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2B70" w14:textId="77777777" w:rsidR="001B5958" w:rsidRPr="00A81E2F" w:rsidRDefault="001B5958" w:rsidP="001B5958">
      <w:pPr>
        <w:jc w:val="center"/>
        <w:rPr>
          <w:rFonts w:ascii="Times New Roman" w:hAnsi="Times New Roman" w:cs="Times New Roman"/>
          <w:b/>
        </w:rPr>
      </w:pPr>
      <w:r>
        <w:rPr>
          <w:rFonts w:ascii="Times New Roman" w:hAnsi="Times New Roman" w:cs="Times New Roman"/>
          <w:b/>
        </w:rPr>
        <w:t>Supplementary I</w:t>
      </w:r>
      <w:r w:rsidRPr="00D61A28">
        <w:rPr>
          <w:rFonts w:ascii="Times New Roman" w:hAnsi="Times New Roman" w:cs="Times New Roman"/>
          <w:b/>
        </w:rPr>
        <w:t>nformation</w:t>
      </w:r>
    </w:p>
    <w:p w14:paraId="23785037" w14:textId="77777777" w:rsidR="001B5958" w:rsidRDefault="001B5958" w:rsidP="002C67A3">
      <w:pPr>
        <w:rPr>
          <w:rFonts w:ascii="Times New Roman" w:hAnsi="Times New Roman" w:cs="Times New Roman"/>
          <w:b/>
        </w:rPr>
      </w:pPr>
    </w:p>
    <w:p w14:paraId="59AA1071" w14:textId="437771CB" w:rsidR="002C67A3" w:rsidRPr="00C45164" w:rsidRDefault="007D2605" w:rsidP="002C67A3">
      <w:pPr>
        <w:rPr>
          <w:rFonts w:ascii="Times New Roman" w:hAnsi="Times New Roman" w:cs="Times New Roman"/>
          <w:b/>
        </w:rPr>
      </w:pPr>
      <w:r w:rsidRPr="00C45164">
        <w:rPr>
          <w:rFonts w:ascii="Times New Roman" w:hAnsi="Times New Roman" w:cs="Times New Roman"/>
          <w:b/>
        </w:rPr>
        <w:t xml:space="preserve">The </w:t>
      </w:r>
      <w:proofErr w:type="spellStart"/>
      <w:r w:rsidRPr="00C45164">
        <w:rPr>
          <w:rFonts w:ascii="Times New Roman" w:hAnsi="Times New Roman" w:cs="Times New Roman"/>
          <w:b/>
        </w:rPr>
        <w:t>lncRNA</w:t>
      </w:r>
      <w:proofErr w:type="spellEnd"/>
      <w:r w:rsidRPr="00C45164">
        <w:rPr>
          <w:rFonts w:ascii="Times New Roman" w:hAnsi="Times New Roman" w:cs="Times New Roman"/>
          <w:b/>
        </w:rPr>
        <w:t xml:space="preserve"> </w:t>
      </w:r>
      <w:r w:rsidRPr="00C45164">
        <w:rPr>
          <w:rFonts w:ascii="Times New Roman" w:hAnsi="Times New Roman" w:cs="Times New Roman"/>
          <w:b/>
          <w:i/>
        </w:rPr>
        <w:t>DRAIC/PCAT29</w:t>
      </w:r>
      <w:r w:rsidRPr="00C45164">
        <w:rPr>
          <w:rFonts w:ascii="Times New Roman" w:hAnsi="Times New Roman" w:cs="Times New Roman"/>
          <w:b/>
        </w:rPr>
        <w:t xml:space="preserve"> locus constitutes a tumor suppressive nexus</w:t>
      </w:r>
    </w:p>
    <w:p w14:paraId="6C459D4F" w14:textId="77777777" w:rsidR="002C67A3" w:rsidRPr="00C45164" w:rsidRDefault="002C67A3" w:rsidP="002C67A3">
      <w:pPr>
        <w:rPr>
          <w:rFonts w:ascii="Times New Roman" w:hAnsi="Times New Roman" w:cs="Times New Roman"/>
        </w:rPr>
      </w:pPr>
      <w:proofErr w:type="spellStart"/>
      <w:r w:rsidRPr="00C45164">
        <w:rPr>
          <w:rFonts w:ascii="Times New Roman" w:hAnsi="Times New Roman" w:cs="Times New Roman"/>
        </w:rPr>
        <w:t>Kouhei</w:t>
      </w:r>
      <w:proofErr w:type="spellEnd"/>
      <w:r w:rsidRPr="00C45164">
        <w:rPr>
          <w:rFonts w:ascii="Times New Roman" w:hAnsi="Times New Roman" w:cs="Times New Roman"/>
        </w:rPr>
        <w:t xml:space="preserve"> Sakurai, Brian J. </w:t>
      </w:r>
      <w:proofErr w:type="spellStart"/>
      <w:r w:rsidRPr="00C45164">
        <w:rPr>
          <w:rFonts w:ascii="Times New Roman" w:hAnsi="Times New Roman" w:cs="Times New Roman"/>
        </w:rPr>
        <w:t>Reon</w:t>
      </w:r>
      <w:proofErr w:type="spellEnd"/>
      <w:r w:rsidRPr="00C45164">
        <w:rPr>
          <w:rFonts w:ascii="Times New Roman" w:hAnsi="Times New Roman" w:cs="Times New Roman"/>
        </w:rPr>
        <w:t xml:space="preserve">, Jordan Anaya, </w:t>
      </w:r>
      <w:proofErr w:type="spellStart"/>
      <w:r w:rsidRPr="00C45164">
        <w:rPr>
          <w:rFonts w:ascii="Times New Roman" w:hAnsi="Times New Roman" w:cs="Times New Roman"/>
        </w:rPr>
        <w:t>Anindya</w:t>
      </w:r>
      <w:proofErr w:type="spellEnd"/>
      <w:r w:rsidRPr="00C45164">
        <w:rPr>
          <w:rFonts w:ascii="Times New Roman" w:hAnsi="Times New Roman" w:cs="Times New Roman"/>
        </w:rPr>
        <w:t xml:space="preserve"> Dutta</w:t>
      </w:r>
    </w:p>
    <w:p w14:paraId="45B0CCDF" w14:textId="77777777" w:rsidR="002C67A3" w:rsidRPr="00C45164" w:rsidRDefault="002C67A3" w:rsidP="002C67A3">
      <w:pPr>
        <w:rPr>
          <w:rFonts w:ascii="Times New Roman" w:hAnsi="Times New Roman" w:cs="Times New Roman"/>
        </w:rPr>
      </w:pPr>
      <w:r w:rsidRPr="00C45164">
        <w:rPr>
          <w:rFonts w:ascii="Times New Roman" w:hAnsi="Times New Roman" w:cs="Times New Roman"/>
        </w:rPr>
        <w:t>Department of Biochemistry and Molecular Genetics, University of Virginia School of Medicine, Charlottesville, VA, 22908, USA</w:t>
      </w:r>
    </w:p>
    <w:p w14:paraId="2AB05384" w14:textId="77777777" w:rsidR="009842F9" w:rsidRPr="00C45164" w:rsidRDefault="009842F9" w:rsidP="002C67A3">
      <w:pPr>
        <w:rPr>
          <w:rFonts w:ascii="Times New Roman" w:hAnsi="Times New Roman" w:cs="Times New Roman"/>
        </w:rPr>
      </w:pPr>
    </w:p>
    <w:p w14:paraId="4980B3E3" w14:textId="77777777" w:rsidR="00B20126" w:rsidRPr="00C45164" w:rsidRDefault="001B5958" w:rsidP="009842F9">
      <w:pPr>
        <w:rPr>
          <w:rFonts w:ascii="Times New Roman" w:hAnsi="Times New Roman" w:cs="Times New Roman"/>
          <w:b/>
          <w:u w:val="single"/>
        </w:rPr>
      </w:pPr>
      <w:r w:rsidRPr="00C45164">
        <w:rPr>
          <w:rFonts w:ascii="Times New Roman" w:hAnsi="Times New Roman" w:cs="Times New Roman"/>
          <w:b/>
          <w:u w:val="single"/>
        </w:rPr>
        <w:t xml:space="preserve"> </w:t>
      </w:r>
      <w:r w:rsidR="00B20126" w:rsidRPr="00C45164">
        <w:rPr>
          <w:rFonts w:ascii="Times New Roman" w:hAnsi="Times New Roman" w:cs="Times New Roman"/>
          <w:b/>
          <w:u w:val="single"/>
        </w:rPr>
        <w:t>[1] Supplementary material and methods</w:t>
      </w:r>
    </w:p>
    <w:p w14:paraId="6981E97F" w14:textId="47D10623" w:rsidR="009842F9" w:rsidRPr="00C45164" w:rsidRDefault="002C67A3" w:rsidP="009842F9">
      <w:pPr>
        <w:rPr>
          <w:rFonts w:ascii="Times New Roman" w:hAnsi="Times New Roman" w:cs="Times New Roman"/>
        </w:rPr>
      </w:pPr>
      <w:r w:rsidRPr="00C45164">
        <w:rPr>
          <w:rFonts w:ascii="Times New Roman" w:hAnsi="Times New Roman" w:cs="Times New Roman"/>
        </w:rPr>
        <w:t xml:space="preserve">(1) </w:t>
      </w:r>
      <w:r w:rsidR="00C20842" w:rsidRPr="00C45164">
        <w:rPr>
          <w:rFonts w:ascii="Times New Roman" w:hAnsi="Times New Roman" w:cs="Times New Roman"/>
        </w:rPr>
        <w:t>Plasmid constructions</w:t>
      </w:r>
      <w:r w:rsidRPr="00C45164">
        <w:rPr>
          <w:rFonts w:ascii="Times New Roman" w:hAnsi="Times New Roman" w:cs="Times New Roman"/>
        </w:rPr>
        <w:t xml:space="preserve">, </w:t>
      </w:r>
      <w:r w:rsidR="006A4A64" w:rsidRPr="00C45164">
        <w:rPr>
          <w:rFonts w:ascii="Times New Roman" w:hAnsi="Times New Roman" w:cs="Times New Roman"/>
        </w:rPr>
        <w:t xml:space="preserve">(2) Tissues, </w:t>
      </w:r>
      <w:r w:rsidR="006B76D1" w:rsidRPr="00C45164">
        <w:rPr>
          <w:rFonts w:ascii="Times New Roman" w:hAnsi="Times New Roman" w:cs="Times New Roman"/>
        </w:rPr>
        <w:t>(3</w:t>
      </w:r>
      <w:r w:rsidR="006A4A64" w:rsidRPr="00C45164">
        <w:rPr>
          <w:rFonts w:ascii="Times New Roman" w:hAnsi="Times New Roman" w:cs="Times New Roman"/>
        </w:rPr>
        <w:t xml:space="preserve">) Constructions of stable </w:t>
      </w:r>
      <w:r w:rsidR="006A4A64" w:rsidRPr="00C45164">
        <w:rPr>
          <w:rFonts w:ascii="Times New Roman" w:hAnsi="Times New Roman" w:cs="Times New Roman"/>
          <w:i/>
        </w:rPr>
        <w:t>DRAIC</w:t>
      </w:r>
      <w:r w:rsidR="006B76D1" w:rsidRPr="00C45164">
        <w:rPr>
          <w:rFonts w:ascii="Times New Roman" w:hAnsi="Times New Roman" w:cs="Times New Roman"/>
        </w:rPr>
        <w:t xml:space="preserve"> overexpressing cells, (4</w:t>
      </w:r>
      <w:r w:rsidR="006A4A64" w:rsidRPr="00C45164">
        <w:rPr>
          <w:rFonts w:ascii="Times New Roman" w:hAnsi="Times New Roman" w:cs="Times New Roman"/>
        </w:rPr>
        <w:t>) Virus</w:t>
      </w:r>
      <w:r w:rsidR="006B76D1" w:rsidRPr="00C45164">
        <w:rPr>
          <w:rFonts w:ascii="Times New Roman" w:hAnsi="Times New Roman" w:cs="Times New Roman"/>
        </w:rPr>
        <w:t xml:space="preserve"> production and transduction, (5) RT-PCR, (6) Western blotting, (7</w:t>
      </w:r>
      <w:r w:rsidR="006A4A64" w:rsidRPr="00C45164">
        <w:rPr>
          <w:rFonts w:ascii="Times New Roman" w:hAnsi="Times New Roman" w:cs="Times New Roman"/>
        </w:rPr>
        <w:t>) 3’RACE (Rapid</w:t>
      </w:r>
      <w:r w:rsidR="006B76D1" w:rsidRPr="00C45164">
        <w:rPr>
          <w:rFonts w:ascii="Times New Roman" w:hAnsi="Times New Roman" w:cs="Times New Roman"/>
        </w:rPr>
        <w:t xml:space="preserve"> amplification of cDNA ends), (8) </w:t>
      </w:r>
      <w:proofErr w:type="spellStart"/>
      <w:r w:rsidR="006B76D1" w:rsidRPr="00C45164">
        <w:rPr>
          <w:rFonts w:ascii="Times New Roman" w:hAnsi="Times New Roman" w:cs="Times New Roman"/>
        </w:rPr>
        <w:t>ChIP</w:t>
      </w:r>
      <w:proofErr w:type="spellEnd"/>
      <w:r w:rsidR="006B76D1" w:rsidRPr="00C45164">
        <w:rPr>
          <w:rFonts w:ascii="Times New Roman" w:hAnsi="Times New Roman" w:cs="Times New Roman"/>
        </w:rPr>
        <w:t xml:space="preserve"> assay, (9</w:t>
      </w:r>
      <w:r w:rsidR="006A4A64" w:rsidRPr="00C45164">
        <w:rPr>
          <w:rFonts w:ascii="Times New Roman" w:hAnsi="Times New Roman" w:cs="Times New Roman"/>
        </w:rPr>
        <w:t xml:space="preserve">) </w:t>
      </w:r>
      <w:proofErr w:type="spellStart"/>
      <w:r w:rsidR="006A4A64" w:rsidRPr="00C45164">
        <w:rPr>
          <w:rFonts w:ascii="Times New Roman" w:hAnsi="Times New Roman" w:cs="Times New Roman"/>
        </w:rPr>
        <w:t>ChIP-seq</w:t>
      </w:r>
      <w:proofErr w:type="spellEnd"/>
      <w:r w:rsidR="006A4A64" w:rsidRPr="00C45164">
        <w:rPr>
          <w:rFonts w:ascii="Times New Roman" w:hAnsi="Times New Roman" w:cs="Times New Roman"/>
        </w:rPr>
        <w:t xml:space="preserve"> </w:t>
      </w:r>
      <w:r w:rsidR="006B76D1" w:rsidRPr="00C45164">
        <w:rPr>
          <w:rFonts w:ascii="Times New Roman" w:hAnsi="Times New Roman" w:cs="Times New Roman"/>
        </w:rPr>
        <w:t>analysis, (10</w:t>
      </w:r>
      <w:r w:rsidR="00485181" w:rsidRPr="00C45164">
        <w:rPr>
          <w:rFonts w:ascii="Times New Roman" w:hAnsi="Times New Roman" w:cs="Times New Roman"/>
        </w:rPr>
        <w:t>) RNA-</w:t>
      </w:r>
      <w:proofErr w:type="spellStart"/>
      <w:r w:rsidR="00485181" w:rsidRPr="00C45164">
        <w:rPr>
          <w:rFonts w:ascii="Times New Roman" w:hAnsi="Times New Roman" w:cs="Times New Roman"/>
        </w:rPr>
        <w:t>seq</w:t>
      </w:r>
      <w:proofErr w:type="spellEnd"/>
      <w:r w:rsidR="00485181" w:rsidRPr="00C45164">
        <w:rPr>
          <w:rFonts w:ascii="Times New Roman" w:hAnsi="Times New Roman" w:cs="Times New Roman"/>
        </w:rPr>
        <w:t xml:space="preserve"> analysis</w:t>
      </w:r>
      <w:r w:rsidR="006A4A64" w:rsidRPr="00C45164">
        <w:rPr>
          <w:rFonts w:ascii="Times New Roman" w:hAnsi="Times New Roman" w:cs="Times New Roman"/>
        </w:rPr>
        <w:t xml:space="preserve"> </w:t>
      </w:r>
    </w:p>
    <w:p w14:paraId="37E7ABC4" w14:textId="77777777" w:rsidR="009842F9" w:rsidRPr="00C45164" w:rsidRDefault="009842F9" w:rsidP="009842F9">
      <w:pPr>
        <w:rPr>
          <w:rFonts w:ascii="Times New Roman" w:hAnsi="Times New Roman" w:cs="Times New Roman"/>
        </w:rPr>
      </w:pPr>
    </w:p>
    <w:p w14:paraId="4DB556FE" w14:textId="77777777" w:rsidR="00C85897" w:rsidRPr="00C45164" w:rsidRDefault="009842F9" w:rsidP="00CD4ACD">
      <w:pPr>
        <w:rPr>
          <w:rFonts w:ascii="Times New Roman" w:hAnsi="Times New Roman" w:cs="Times New Roman"/>
          <w:b/>
          <w:u w:val="single"/>
        </w:rPr>
      </w:pPr>
      <w:r w:rsidRPr="00C45164">
        <w:rPr>
          <w:rFonts w:ascii="Times New Roman" w:hAnsi="Times New Roman" w:cs="Times New Roman"/>
          <w:b/>
          <w:u w:val="single"/>
        </w:rPr>
        <w:t xml:space="preserve"> </w:t>
      </w:r>
      <w:r w:rsidR="00B20126" w:rsidRPr="00C45164">
        <w:rPr>
          <w:rFonts w:ascii="Times New Roman" w:hAnsi="Times New Roman" w:cs="Times New Roman"/>
          <w:b/>
          <w:u w:val="single"/>
        </w:rPr>
        <w:t>[2] Supplementary Figures</w:t>
      </w:r>
      <w:r w:rsidR="002C67A3" w:rsidRPr="00C45164">
        <w:rPr>
          <w:rFonts w:ascii="Times New Roman" w:hAnsi="Times New Roman" w:cs="Times New Roman"/>
          <w:b/>
          <w:u w:val="single"/>
        </w:rPr>
        <w:t xml:space="preserve"> and Tables</w:t>
      </w:r>
    </w:p>
    <w:p w14:paraId="40D7317B" w14:textId="77777777" w:rsidR="00B20126" w:rsidRPr="00C45164" w:rsidRDefault="00B20126" w:rsidP="00CD4ACD">
      <w:pPr>
        <w:rPr>
          <w:rFonts w:ascii="Times New Roman" w:hAnsi="Times New Roman" w:cs="Times New Roman"/>
          <w:kern w:val="0"/>
        </w:rPr>
      </w:pPr>
      <w:r w:rsidRPr="00C45164">
        <w:rPr>
          <w:rFonts w:ascii="Times New Roman" w:hAnsi="Times New Roman" w:cs="Times New Roman"/>
          <w:b/>
        </w:rPr>
        <w:t>Supplementary Fig</w:t>
      </w:r>
      <w:r w:rsidR="00AF407C" w:rsidRPr="00C45164">
        <w:rPr>
          <w:rFonts w:ascii="Times New Roman" w:hAnsi="Times New Roman" w:cs="Times New Roman"/>
          <w:b/>
        </w:rPr>
        <w:t>ure</w:t>
      </w:r>
      <w:r w:rsidR="00F910D5" w:rsidRPr="00C45164">
        <w:rPr>
          <w:rFonts w:ascii="Times New Roman" w:hAnsi="Times New Roman" w:cs="Times New Roman"/>
          <w:b/>
        </w:rPr>
        <w:t xml:space="preserve"> </w:t>
      </w:r>
      <w:proofErr w:type="gramStart"/>
      <w:r w:rsidR="009842F9" w:rsidRPr="00C45164">
        <w:rPr>
          <w:rFonts w:ascii="Times New Roman" w:hAnsi="Times New Roman" w:cs="Times New Roman"/>
          <w:b/>
        </w:rPr>
        <w:t>1</w:t>
      </w:r>
      <w:r w:rsidR="00D61A28" w:rsidRPr="00C45164">
        <w:rPr>
          <w:rFonts w:ascii="Times New Roman" w:hAnsi="Times New Roman" w:cs="Times New Roman"/>
        </w:rPr>
        <w:t xml:space="preserve"> :</w:t>
      </w:r>
      <w:proofErr w:type="gramEnd"/>
      <w:r w:rsidR="00D61A28" w:rsidRPr="00C45164">
        <w:rPr>
          <w:rFonts w:ascii="Times New Roman" w:hAnsi="Times New Roman" w:cs="Times New Roman"/>
        </w:rPr>
        <w:t xml:space="preserve"> </w:t>
      </w:r>
      <w:r w:rsidR="00193BA7" w:rsidRPr="00C45164">
        <w:rPr>
          <w:rFonts w:ascii="Times New Roman" w:hAnsi="Times New Roman" w:cs="Times New Roman"/>
        </w:rPr>
        <w:t xml:space="preserve">Cellular localization of </w:t>
      </w:r>
      <w:r w:rsidR="00E55718" w:rsidRPr="00C45164">
        <w:rPr>
          <w:rFonts w:ascii="Times New Roman" w:hAnsi="Times New Roman" w:cs="Times New Roman"/>
          <w:i/>
        </w:rPr>
        <w:t>DRAIC</w:t>
      </w:r>
      <w:r w:rsidR="00193BA7" w:rsidRPr="00C45164">
        <w:rPr>
          <w:rFonts w:ascii="Times New Roman" w:hAnsi="Times New Roman" w:cs="Times New Roman"/>
        </w:rPr>
        <w:t xml:space="preserve"> and </w:t>
      </w:r>
      <w:r w:rsidR="00D61A28" w:rsidRPr="00C45164">
        <w:rPr>
          <w:rFonts w:ascii="Times New Roman" w:hAnsi="Times New Roman" w:cs="Times New Roman"/>
          <w:kern w:val="0"/>
        </w:rPr>
        <w:t xml:space="preserve">3’RACE of </w:t>
      </w:r>
      <w:r w:rsidR="00E55718" w:rsidRPr="00C45164">
        <w:rPr>
          <w:rFonts w:ascii="Times New Roman" w:hAnsi="Times New Roman" w:cs="Times New Roman"/>
          <w:i/>
        </w:rPr>
        <w:t>DRAIC</w:t>
      </w:r>
      <w:r w:rsidR="00193BA7" w:rsidRPr="00C45164">
        <w:rPr>
          <w:rFonts w:ascii="Times New Roman" w:hAnsi="Times New Roman" w:cs="Times New Roman"/>
          <w:kern w:val="0"/>
        </w:rPr>
        <w:t xml:space="preserve"> gene</w:t>
      </w:r>
    </w:p>
    <w:p w14:paraId="1A92020B" w14:textId="77777777" w:rsidR="00870B53" w:rsidRPr="00C45164" w:rsidRDefault="00C223F4" w:rsidP="00870B53">
      <w:pPr>
        <w:rPr>
          <w:rFonts w:ascii="Times New Roman" w:hAnsi="Times New Roman" w:cs="Times New Roman"/>
          <w:b/>
          <w:kern w:val="0"/>
        </w:rPr>
      </w:pPr>
      <w:r w:rsidRPr="00C45164">
        <w:rPr>
          <w:rFonts w:ascii="Times New Roman" w:hAnsi="Times New Roman" w:cs="Times New Roman"/>
          <w:b/>
          <w:kern w:val="0"/>
        </w:rPr>
        <w:t>Supplementary Figure</w:t>
      </w:r>
      <w:r w:rsidR="00F910D5" w:rsidRPr="00C45164">
        <w:rPr>
          <w:rFonts w:ascii="Times New Roman" w:hAnsi="Times New Roman" w:cs="Times New Roman"/>
          <w:b/>
          <w:kern w:val="0"/>
        </w:rPr>
        <w:t xml:space="preserve"> </w:t>
      </w:r>
      <w:proofErr w:type="gramStart"/>
      <w:r w:rsidR="009842F9" w:rsidRPr="00C45164">
        <w:rPr>
          <w:rFonts w:ascii="Times New Roman" w:hAnsi="Times New Roman" w:cs="Times New Roman"/>
          <w:b/>
          <w:kern w:val="0"/>
        </w:rPr>
        <w:t>2</w:t>
      </w:r>
      <w:r w:rsidRPr="00C45164">
        <w:rPr>
          <w:rFonts w:ascii="Times New Roman" w:hAnsi="Times New Roman" w:cs="Times New Roman"/>
          <w:kern w:val="0"/>
        </w:rPr>
        <w:t xml:space="preserve"> :</w:t>
      </w:r>
      <w:proofErr w:type="gramEnd"/>
      <w:r w:rsidRPr="00C45164">
        <w:rPr>
          <w:rFonts w:ascii="Times New Roman" w:hAnsi="Times New Roman" w:cs="Times New Roman"/>
          <w:kern w:val="0"/>
        </w:rPr>
        <w:t xml:space="preserve"> </w:t>
      </w:r>
      <w:r w:rsidR="00B95DE0" w:rsidRPr="00C45164">
        <w:rPr>
          <w:rFonts w:ascii="Times New Roman" w:hAnsi="Times New Roman" w:cs="Times New Roman"/>
          <w:kern w:val="0"/>
        </w:rPr>
        <w:t xml:space="preserve">Transcriptional variants of </w:t>
      </w:r>
      <w:r w:rsidR="00B95DE0" w:rsidRPr="00C45164">
        <w:rPr>
          <w:rFonts w:ascii="Times New Roman" w:hAnsi="Times New Roman" w:cs="Times New Roman"/>
          <w:i/>
        </w:rPr>
        <w:t>DRAIC</w:t>
      </w:r>
      <w:r w:rsidR="00B95DE0" w:rsidRPr="00C45164">
        <w:rPr>
          <w:rFonts w:ascii="Times New Roman" w:hAnsi="Times New Roman" w:cs="Times New Roman"/>
          <w:kern w:val="0"/>
        </w:rPr>
        <w:t xml:space="preserve"> gene</w:t>
      </w:r>
    </w:p>
    <w:p w14:paraId="6E6528F9" w14:textId="77777777" w:rsidR="00F3768B" w:rsidRPr="00C45164" w:rsidRDefault="00F3768B" w:rsidP="00CD4ACD">
      <w:pPr>
        <w:rPr>
          <w:rFonts w:ascii="Times New Roman" w:hAnsi="Times New Roman" w:cs="Times New Roman"/>
          <w:b/>
        </w:rPr>
      </w:pPr>
      <w:r w:rsidRPr="00C45164">
        <w:rPr>
          <w:rFonts w:ascii="Times New Roman" w:hAnsi="Times New Roman" w:cs="Times New Roman"/>
          <w:b/>
        </w:rPr>
        <w:t>Supplementary Figure</w:t>
      </w:r>
      <w:r w:rsidR="00F910D5" w:rsidRPr="00C45164">
        <w:rPr>
          <w:rFonts w:ascii="Times New Roman" w:hAnsi="Times New Roman" w:cs="Times New Roman"/>
          <w:b/>
        </w:rPr>
        <w:t xml:space="preserve"> </w:t>
      </w:r>
      <w:proofErr w:type="gramStart"/>
      <w:r w:rsidR="009842F9" w:rsidRPr="00C45164">
        <w:rPr>
          <w:rFonts w:ascii="Times New Roman" w:hAnsi="Times New Roman" w:cs="Times New Roman"/>
          <w:b/>
        </w:rPr>
        <w:t>3</w:t>
      </w:r>
      <w:r w:rsidRPr="00C45164">
        <w:rPr>
          <w:rFonts w:ascii="Times New Roman" w:hAnsi="Times New Roman" w:cs="Times New Roman"/>
        </w:rPr>
        <w:t xml:space="preserve"> :</w:t>
      </w:r>
      <w:proofErr w:type="gramEnd"/>
      <w:r w:rsidRPr="00C45164">
        <w:rPr>
          <w:rFonts w:ascii="Times New Roman" w:hAnsi="Times New Roman" w:cs="Times New Roman"/>
        </w:rPr>
        <w:t xml:space="preserve"> </w:t>
      </w:r>
      <w:r w:rsidR="007A40B8" w:rsidRPr="00C45164">
        <w:rPr>
          <w:rFonts w:ascii="Times New Roman" w:hAnsi="Times New Roman" w:cs="Times New Roman"/>
        </w:rPr>
        <w:t xml:space="preserve">AR, FOXA1 and NKX3-1 binding sequences at </w:t>
      </w:r>
      <w:r w:rsidR="007A40B8" w:rsidRPr="00C45164">
        <w:rPr>
          <w:rFonts w:ascii="Times New Roman" w:hAnsi="Times New Roman" w:cs="Times New Roman"/>
          <w:i/>
        </w:rPr>
        <w:t>DRAIC</w:t>
      </w:r>
      <w:r w:rsidR="00F41B8F" w:rsidRPr="00C45164">
        <w:rPr>
          <w:rFonts w:ascii="Times New Roman" w:hAnsi="Times New Roman" w:cs="Times New Roman"/>
        </w:rPr>
        <w:t xml:space="preserve"> locus</w:t>
      </w:r>
    </w:p>
    <w:p w14:paraId="39E1D583" w14:textId="77777777" w:rsidR="00832FDB" w:rsidRPr="00C45164" w:rsidRDefault="002C67A3" w:rsidP="00CD4ACD">
      <w:pPr>
        <w:rPr>
          <w:rFonts w:ascii="Times New Roman" w:hAnsi="Times New Roman" w:cs="Times New Roman"/>
        </w:rPr>
      </w:pPr>
      <w:r w:rsidRPr="00C45164">
        <w:rPr>
          <w:rFonts w:ascii="Times New Roman" w:hAnsi="Times New Roman" w:cs="Times New Roman"/>
          <w:b/>
        </w:rPr>
        <w:t>Supplementary Table</w:t>
      </w:r>
      <w:r w:rsidR="00F910D5" w:rsidRPr="00C45164">
        <w:rPr>
          <w:rFonts w:ascii="Times New Roman" w:hAnsi="Times New Roman" w:cs="Times New Roman"/>
          <w:b/>
        </w:rPr>
        <w:t xml:space="preserve"> </w:t>
      </w:r>
      <w:proofErr w:type="gramStart"/>
      <w:r w:rsidRPr="00C45164">
        <w:rPr>
          <w:rFonts w:ascii="Times New Roman" w:hAnsi="Times New Roman" w:cs="Times New Roman"/>
          <w:b/>
        </w:rPr>
        <w:t>1</w:t>
      </w:r>
      <w:r w:rsidRPr="00C45164">
        <w:rPr>
          <w:rFonts w:ascii="Times New Roman" w:hAnsi="Times New Roman" w:cs="Times New Roman"/>
        </w:rPr>
        <w:t xml:space="preserve"> :</w:t>
      </w:r>
      <w:proofErr w:type="gramEnd"/>
      <w:r w:rsidRPr="00C45164">
        <w:rPr>
          <w:rFonts w:ascii="Times New Roman" w:hAnsi="Times New Roman" w:cs="Times New Roman"/>
        </w:rPr>
        <w:t xml:space="preserve"> </w:t>
      </w:r>
      <w:r w:rsidR="00832FDB" w:rsidRPr="00C45164">
        <w:rPr>
          <w:rFonts w:ascii="Times New Roman" w:hAnsi="Times New Roman" w:cs="Times New Roman"/>
        </w:rPr>
        <w:t xml:space="preserve">Primer, </w:t>
      </w:r>
      <w:proofErr w:type="spellStart"/>
      <w:r w:rsidR="00832FDB" w:rsidRPr="00C45164">
        <w:rPr>
          <w:rFonts w:ascii="Times New Roman" w:hAnsi="Times New Roman" w:cs="Times New Roman"/>
        </w:rPr>
        <w:t>siRNA</w:t>
      </w:r>
      <w:proofErr w:type="spellEnd"/>
      <w:r w:rsidR="00832FDB" w:rsidRPr="00C45164">
        <w:rPr>
          <w:rFonts w:ascii="Times New Roman" w:hAnsi="Times New Roman" w:cs="Times New Roman"/>
        </w:rPr>
        <w:t xml:space="preserve"> and </w:t>
      </w:r>
      <w:proofErr w:type="spellStart"/>
      <w:r w:rsidR="00832FDB" w:rsidRPr="00C45164">
        <w:rPr>
          <w:rFonts w:ascii="Times New Roman" w:hAnsi="Times New Roman" w:cs="Times New Roman"/>
        </w:rPr>
        <w:t>shRNA</w:t>
      </w:r>
      <w:proofErr w:type="spellEnd"/>
      <w:r w:rsidR="00832FDB" w:rsidRPr="00C45164">
        <w:rPr>
          <w:rFonts w:ascii="Times New Roman" w:hAnsi="Times New Roman" w:cs="Times New Roman"/>
        </w:rPr>
        <w:t xml:space="preserve"> sequences</w:t>
      </w:r>
    </w:p>
    <w:p w14:paraId="27C8E293" w14:textId="77777777" w:rsidR="002C67A3" w:rsidRPr="00C45164" w:rsidRDefault="002C67A3" w:rsidP="00CD4ACD">
      <w:pPr>
        <w:rPr>
          <w:rFonts w:ascii="Times New Roman" w:hAnsi="Times New Roman" w:cs="Times New Roman"/>
        </w:rPr>
      </w:pPr>
    </w:p>
    <w:p w14:paraId="60A8EF07" w14:textId="77777777" w:rsidR="00FD524A" w:rsidRPr="00C45164" w:rsidRDefault="00FD524A" w:rsidP="00CD4ACD">
      <w:pPr>
        <w:rPr>
          <w:rFonts w:ascii="Times New Roman" w:hAnsi="Times New Roman" w:cs="Times New Roman"/>
          <w:b/>
          <w:u w:val="single"/>
        </w:rPr>
      </w:pPr>
      <w:r w:rsidRPr="00C45164">
        <w:rPr>
          <w:rFonts w:ascii="Times New Roman" w:hAnsi="Times New Roman" w:cs="Times New Roman"/>
          <w:b/>
          <w:u w:val="single"/>
        </w:rPr>
        <w:t xml:space="preserve">[3] </w:t>
      </w:r>
      <w:r w:rsidR="007D5A5F" w:rsidRPr="00C45164">
        <w:rPr>
          <w:rFonts w:ascii="Times New Roman" w:hAnsi="Times New Roman" w:cs="Times New Roman"/>
          <w:b/>
          <w:u w:val="single"/>
        </w:rPr>
        <w:t xml:space="preserve">Supplementary </w:t>
      </w:r>
      <w:r w:rsidRPr="00C45164">
        <w:rPr>
          <w:rFonts w:ascii="Times New Roman" w:hAnsi="Times New Roman" w:cs="Times New Roman"/>
          <w:b/>
          <w:u w:val="single"/>
        </w:rPr>
        <w:t>References</w:t>
      </w:r>
    </w:p>
    <w:p w14:paraId="4BE6C046" w14:textId="77777777" w:rsidR="006A4A64" w:rsidRPr="00C45164" w:rsidRDefault="006A4A64" w:rsidP="00CD4ACD">
      <w:pPr>
        <w:rPr>
          <w:rFonts w:ascii="Times New Roman" w:hAnsi="Times New Roman" w:cs="Times New Roman"/>
        </w:rPr>
      </w:pPr>
      <w:r w:rsidRPr="00C45164">
        <w:rPr>
          <w:rFonts w:ascii="Times New Roman" w:hAnsi="Times New Roman" w:cs="Times New Roman"/>
        </w:rPr>
        <w:br w:type="page"/>
      </w:r>
    </w:p>
    <w:p w14:paraId="6E6B2A5F" w14:textId="77777777" w:rsidR="00C85897" w:rsidRPr="00C45164" w:rsidRDefault="00B20126" w:rsidP="00CD4ACD">
      <w:pPr>
        <w:rPr>
          <w:rFonts w:ascii="Times New Roman" w:hAnsi="Times New Roman" w:cs="Times New Roman"/>
          <w:b/>
          <w:u w:val="single"/>
        </w:rPr>
      </w:pPr>
      <w:r w:rsidRPr="00C45164">
        <w:rPr>
          <w:rFonts w:ascii="Times New Roman" w:hAnsi="Times New Roman" w:cs="Times New Roman"/>
          <w:b/>
          <w:u w:val="single"/>
        </w:rPr>
        <w:lastRenderedPageBreak/>
        <w:t xml:space="preserve">[1] </w:t>
      </w:r>
      <w:r w:rsidR="00C85897" w:rsidRPr="00C45164">
        <w:rPr>
          <w:rFonts w:ascii="Times New Roman" w:hAnsi="Times New Roman" w:cs="Times New Roman"/>
          <w:b/>
          <w:u w:val="single"/>
        </w:rPr>
        <w:t>Supplementary material and methods</w:t>
      </w:r>
    </w:p>
    <w:p w14:paraId="204582C3" w14:textId="77777777" w:rsidR="00233E8B" w:rsidRPr="00C45164" w:rsidRDefault="00233E8B" w:rsidP="00CD4ACD">
      <w:pPr>
        <w:rPr>
          <w:rFonts w:ascii="Times New Roman" w:hAnsi="Times New Roman" w:cs="Times New Roman"/>
        </w:rPr>
      </w:pPr>
    </w:p>
    <w:p w14:paraId="25B63D3F" w14:textId="5CBED0E3" w:rsidR="002B498D" w:rsidRPr="00C45164" w:rsidRDefault="002C67A3" w:rsidP="00CD4ACD">
      <w:pPr>
        <w:rPr>
          <w:rFonts w:ascii="Times New Roman" w:hAnsi="Times New Roman" w:cs="Times New Roman"/>
          <w:b/>
        </w:rPr>
      </w:pPr>
      <w:r w:rsidRPr="00C45164">
        <w:rPr>
          <w:rFonts w:ascii="Times New Roman" w:hAnsi="Times New Roman" w:cs="Times New Roman"/>
          <w:b/>
        </w:rPr>
        <w:t xml:space="preserve">(1) </w:t>
      </w:r>
      <w:r w:rsidR="0007555D" w:rsidRPr="00C45164">
        <w:rPr>
          <w:rFonts w:ascii="Times New Roman" w:hAnsi="Times New Roman" w:cs="Times New Roman"/>
          <w:b/>
        </w:rPr>
        <w:t>Plasmid construction</w:t>
      </w:r>
      <w:r w:rsidR="00CA7DF9" w:rsidRPr="00C45164">
        <w:rPr>
          <w:rFonts w:ascii="Times New Roman" w:hAnsi="Times New Roman" w:cs="Times New Roman"/>
          <w:b/>
        </w:rPr>
        <w:t>s</w:t>
      </w:r>
    </w:p>
    <w:p w14:paraId="5B585B86" w14:textId="77777777" w:rsidR="002B498D" w:rsidRPr="00C45164" w:rsidRDefault="00817FD6" w:rsidP="00224032">
      <w:pPr>
        <w:ind w:firstLine="960"/>
        <w:rPr>
          <w:rFonts w:ascii="Times New Roman" w:hAnsi="Times New Roman" w:cs="Times New Roman"/>
        </w:rPr>
      </w:pPr>
      <w:r w:rsidRPr="00C45164">
        <w:rPr>
          <w:rFonts w:ascii="Times New Roman" w:hAnsi="Times New Roman" w:cs="Times New Roman"/>
        </w:rPr>
        <w:t xml:space="preserve">For the construction of the </w:t>
      </w:r>
      <w:r w:rsidR="00E55718" w:rsidRPr="00C45164">
        <w:rPr>
          <w:rFonts w:ascii="Times New Roman" w:hAnsi="Times New Roman" w:cs="Times New Roman"/>
          <w:i/>
        </w:rPr>
        <w:t>DRAIC</w:t>
      </w:r>
      <w:r w:rsidRPr="00C45164">
        <w:rPr>
          <w:rFonts w:ascii="Times New Roman" w:hAnsi="Times New Roman" w:cs="Times New Roman"/>
        </w:rPr>
        <w:t xml:space="preserve"> expression vector, the full length o</w:t>
      </w:r>
      <w:r w:rsidR="00161ABE" w:rsidRPr="00C45164">
        <w:rPr>
          <w:rFonts w:ascii="Times New Roman" w:hAnsi="Times New Roman" w:cs="Times New Roman"/>
        </w:rPr>
        <w:t xml:space="preserve">f </w:t>
      </w:r>
      <w:r w:rsidR="00E55718" w:rsidRPr="00C45164">
        <w:rPr>
          <w:rFonts w:ascii="Times New Roman" w:hAnsi="Times New Roman" w:cs="Times New Roman"/>
          <w:i/>
        </w:rPr>
        <w:t>DRAIC</w:t>
      </w:r>
      <w:r w:rsidR="00161ABE" w:rsidRPr="00C45164">
        <w:rPr>
          <w:rFonts w:ascii="Times New Roman" w:hAnsi="Times New Roman" w:cs="Times New Roman"/>
        </w:rPr>
        <w:t xml:space="preserve"> was amplified by PCR </w:t>
      </w:r>
      <w:r w:rsidRPr="00C45164">
        <w:rPr>
          <w:rFonts w:ascii="Times New Roman" w:hAnsi="Times New Roman" w:cs="Times New Roman"/>
        </w:rPr>
        <w:t>using the primer pair</w:t>
      </w:r>
      <w:r w:rsidR="004743B8" w:rsidRPr="00C45164">
        <w:rPr>
          <w:rFonts w:ascii="Times New Roman" w:hAnsi="Times New Roman" w:cs="Times New Roman"/>
        </w:rPr>
        <w:t xml:space="preserve"> (Supplementary Table</w:t>
      </w:r>
      <w:r w:rsidR="0007555D" w:rsidRPr="00C45164">
        <w:rPr>
          <w:rFonts w:ascii="Times New Roman" w:hAnsi="Times New Roman" w:cs="Times New Roman"/>
        </w:rPr>
        <w:t xml:space="preserve"> </w:t>
      </w:r>
      <w:r w:rsidR="00832FDB" w:rsidRPr="00C45164">
        <w:rPr>
          <w:rFonts w:ascii="Times New Roman" w:hAnsi="Times New Roman" w:cs="Times New Roman"/>
        </w:rPr>
        <w:t>1</w:t>
      </w:r>
      <w:r w:rsidR="004743B8" w:rsidRPr="00C45164">
        <w:rPr>
          <w:rFonts w:ascii="Times New Roman" w:hAnsi="Times New Roman" w:cs="Times New Roman"/>
        </w:rPr>
        <w:t>)</w:t>
      </w:r>
      <w:r w:rsidR="00694F3E" w:rsidRPr="00C45164">
        <w:rPr>
          <w:rFonts w:ascii="Times New Roman" w:hAnsi="Times New Roman" w:cs="Times New Roman"/>
        </w:rPr>
        <w:t xml:space="preserve"> </w:t>
      </w:r>
      <w:r w:rsidR="0007555D" w:rsidRPr="00C45164">
        <w:rPr>
          <w:rFonts w:ascii="Times New Roman" w:hAnsi="Times New Roman" w:cs="Times New Roman"/>
        </w:rPr>
        <w:t xml:space="preserve">from </w:t>
      </w:r>
      <w:proofErr w:type="spellStart"/>
      <w:r w:rsidR="0007555D" w:rsidRPr="00C45164">
        <w:rPr>
          <w:rFonts w:ascii="Times New Roman" w:hAnsi="Times New Roman" w:cs="Times New Roman"/>
        </w:rPr>
        <w:t>LNCaP</w:t>
      </w:r>
      <w:proofErr w:type="spellEnd"/>
      <w:r w:rsidRPr="00C45164">
        <w:rPr>
          <w:rFonts w:ascii="Times New Roman" w:hAnsi="Times New Roman" w:cs="Times New Roman"/>
        </w:rPr>
        <w:t xml:space="preserve"> cDNA</w:t>
      </w:r>
      <w:r w:rsidR="00694F3E" w:rsidRPr="00C45164">
        <w:rPr>
          <w:rFonts w:ascii="Times New Roman" w:hAnsi="Times New Roman" w:cs="Times New Roman"/>
        </w:rPr>
        <w:t xml:space="preserve"> and was inserted into pCR4-TOPO vector </w:t>
      </w:r>
      <w:r w:rsidR="005D6521" w:rsidRPr="00C45164">
        <w:rPr>
          <w:rFonts w:ascii="Times New Roman" w:hAnsi="Times New Roman" w:cs="Times New Roman"/>
        </w:rPr>
        <w:t xml:space="preserve">(Life Technology) </w:t>
      </w:r>
      <w:r w:rsidR="00694F3E" w:rsidRPr="00C45164">
        <w:rPr>
          <w:rFonts w:ascii="Times New Roman" w:hAnsi="Times New Roman" w:cs="Times New Roman"/>
        </w:rPr>
        <w:t>to generate pCR4-</w:t>
      </w:r>
      <w:r w:rsidR="00E55718" w:rsidRPr="00C45164">
        <w:rPr>
          <w:rFonts w:ascii="Times New Roman" w:hAnsi="Times New Roman" w:cs="Times New Roman"/>
          <w:i/>
        </w:rPr>
        <w:t>DRAIC</w:t>
      </w:r>
      <w:r w:rsidR="00694F3E" w:rsidRPr="00C45164">
        <w:rPr>
          <w:rFonts w:ascii="Times New Roman" w:hAnsi="Times New Roman" w:cs="Times New Roman"/>
        </w:rPr>
        <w:t xml:space="preserve">. The </w:t>
      </w:r>
      <w:proofErr w:type="spellStart"/>
      <w:r w:rsidR="00694F3E" w:rsidRPr="00C45164">
        <w:rPr>
          <w:rFonts w:ascii="Times New Roman" w:hAnsi="Times New Roman" w:cs="Times New Roman"/>
        </w:rPr>
        <w:t>BamHI</w:t>
      </w:r>
      <w:proofErr w:type="spellEnd"/>
      <w:r w:rsidR="00694F3E" w:rsidRPr="00C45164">
        <w:rPr>
          <w:rFonts w:ascii="Times New Roman" w:hAnsi="Times New Roman" w:cs="Times New Roman"/>
        </w:rPr>
        <w:t>/</w:t>
      </w:r>
      <w:proofErr w:type="spellStart"/>
      <w:r w:rsidR="00694F3E" w:rsidRPr="00C45164">
        <w:rPr>
          <w:rFonts w:ascii="Times New Roman" w:hAnsi="Times New Roman" w:cs="Times New Roman"/>
        </w:rPr>
        <w:t>XhoI</w:t>
      </w:r>
      <w:proofErr w:type="spellEnd"/>
      <w:r w:rsidR="00694F3E" w:rsidRPr="00C45164">
        <w:rPr>
          <w:rFonts w:ascii="Times New Roman" w:hAnsi="Times New Roman" w:cs="Times New Roman"/>
        </w:rPr>
        <w:t xml:space="preserve"> fragment of pCR</w:t>
      </w:r>
      <w:r w:rsidR="00CB619E" w:rsidRPr="00C45164">
        <w:rPr>
          <w:rFonts w:ascii="Times New Roman" w:hAnsi="Times New Roman" w:cs="Times New Roman"/>
        </w:rPr>
        <w:t>4-</w:t>
      </w:r>
      <w:r w:rsidR="00E55718" w:rsidRPr="00C45164">
        <w:rPr>
          <w:rFonts w:ascii="Times New Roman" w:hAnsi="Times New Roman" w:cs="Times New Roman"/>
          <w:i/>
        </w:rPr>
        <w:t>DRAIC</w:t>
      </w:r>
      <w:r w:rsidR="00CB619E" w:rsidRPr="00C45164">
        <w:rPr>
          <w:rFonts w:ascii="Times New Roman" w:hAnsi="Times New Roman" w:cs="Times New Roman"/>
        </w:rPr>
        <w:t xml:space="preserve"> was inserted into pcDNA3</w:t>
      </w:r>
      <w:r w:rsidR="00694F3E" w:rsidRPr="00C45164">
        <w:rPr>
          <w:rFonts w:ascii="Times New Roman" w:hAnsi="Times New Roman" w:cs="Times New Roman"/>
        </w:rPr>
        <w:t>-FLAG</w:t>
      </w:r>
      <w:r w:rsidR="00232C89" w:rsidRPr="00C45164">
        <w:rPr>
          <w:rFonts w:ascii="Times New Roman" w:hAnsi="Times New Roman" w:cs="Times New Roman"/>
        </w:rPr>
        <w:t xml:space="preserve"> </w:t>
      </w:r>
      <w:r w:rsidR="00F8086A" w:rsidRPr="00C45164">
        <w:rPr>
          <w:rFonts w:ascii="Times New Roman" w:hAnsi="Times New Roman" w:cs="Times New Roman"/>
        </w:rPr>
        <w:fldChar w:fldCharType="begin" w:fldLock="1"/>
      </w:r>
      <w:r w:rsidR="005F7102" w:rsidRPr="00C45164">
        <w:rPr>
          <w:rFonts w:ascii="Times New Roman" w:hAnsi="Times New Roman" w:cs="Times New Roman"/>
        </w:rPr>
        <w:instrText>ADDIN CSL_CITATION { "citationItems" : [ { "id" : "ITEM-1", "itemData" : { "DOI" : "10.1371/journal.pone.0095216", "ISSN" : "1932-6203", "PMID" : "24748121", "abstract" : "Long noncoding RNAs (lncRNAs) have emerged as a major regulator of cell physiology, but many of which have no known function. CDKN1A/p21 is an important inhibitor of the cell-cycle, regulator of the DNA damage response and effector of the tumor suppressor p53, playing a crucial role in tumor development and prevention. In order to identify a regulator for tumor progression, we performed an siRNA screen of human lncRNAs required for cell proliferation, and identified a novel lncRNA, APTR, that acts in trans to repress the CDKN1A/p21 promoter independent of p53 to promote cell proliferation. APTR associates with the promoter of CDKN1A/p21 and this association requires a complementary-Alu sequence encoded in APTR. A different module of APTR associates with and recruits the Polycomb repressive complex 2 (PRC2) to epigenetically repress the p21 promoter. A decrease in APTR is necessary for the induction of p21 after heat stress and DNA damage by doxorubicin, and the levels of APTR and p21 are anti-correlated in human glioblastomas. Our data identify a new regulator of the cell-cycle inhibitor CDKN1A/p21 that acts as a proliferative factor in cancer cell lines and in glioblastomas and demonstrate that Alu elements present in lncRNAs can contribute to targeting regulatory lncRNAs to promoters.", "author" : [ { "dropping-particle" : "", "family" : "Negishi", "given" : "Masamitsu", "non-dropping-particle" : "", "parse-names" : false, "suffix" : "" }, { "dropping-particle" : "", "family" : "Wongpalee", "given" : "Somsakul P", "non-dropping-particle" : "", "parse-names" : false, "suffix" : "" }, { "dropping-particle" : "", "family" : "Sarkar", "given" : "Sukumar", "non-dropping-particle" : "", "parse-names" : false, "suffix" : "" }, { "dropping-particle" : "", "family" : "Park", "given" : "Jonghoon", "non-dropping-particle" : "", "parse-names" : false, "suffix" : "" }, { "dropping-particle" : "", "family" : "Lee", "given" : "Kyung Yong", "non-dropping-particle" : "", "parse-names" : false, "suffix" : "" }, { "dropping-particle" : "", "family" : "Shibata", "given" : "Yoshiyuki", "non-dropping-particle" : "", "parse-names" : false, "suffix" : "" }, { "dropping-particle" : "", "family" : "Reon", "given" : "Brian J", "non-dropping-particle" : "", "parse-names" : false, "suffix" : "" }, { "dropping-particle" : "", "family" : "Abounader", "given" : "Roger", "non-dropping-particle" : "", "parse-names" : false, "suffix" : "" }, { "dropping-particle" : "", "family" : "Suzuki", "given" : "Yutaka", "non-dropping-particle" : "", "parse-names" : false, "suffix" : "" }, { "dropping-particle" : "", "family" : "Sugano", "given" : "Sumio", "non-dropping-particle" : "", "parse-names" : false, "suffix" : "" }, { "dropping-particle" : "", "family" : "Dutta", "given" : "Anindya", "non-dropping-particle" : "", "parse-names" : false, "suffix" : "" } ], "container-title" : "PloS one", "id" : "ITEM-1", "issue" : "4", "issued" : { "date-parts" : [ [ "2014", "1" ] ] }, "page" : "e95216", "title" : "A new lncRNA, APTR, associates with and represses the CDKN1A/p21 promoter by recruiting polycomb proteins.", "type" : "article-journal", "volume" : "9" }, "uris" : [ "http://www.mendeley.com/documents/?uuid=101ece55-df2a-4c6f-9cde-420323c35c34" ] } ], "mendeley" : { "previouslyFormattedCitation" : "(1)" }, "properties" : { "noteIndex" : 0 }, "schema" : "https://github.com/citation-style-language/schema/raw/master/csl-citation.json" }</w:instrText>
      </w:r>
      <w:r w:rsidR="00F8086A" w:rsidRPr="00C45164">
        <w:rPr>
          <w:rFonts w:ascii="Times New Roman" w:hAnsi="Times New Roman" w:cs="Times New Roman"/>
        </w:rPr>
        <w:fldChar w:fldCharType="separate"/>
      </w:r>
      <w:r w:rsidR="006A4A64" w:rsidRPr="00C45164">
        <w:rPr>
          <w:rFonts w:ascii="Times New Roman" w:hAnsi="Times New Roman" w:cs="Times New Roman"/>
          <w:noProof/>
        </w:rPr>
        <w:t>(1)</w:t>
      </w:r>
      <w:r w:rsidR="00F8086A" w:rsidRPr="00C45164">
        <w:rPr>
          <w:rFonts w:ascii="Times New Roman" w:hAnsi="Times New Roman" w:cs="Times New Roman"/>
        </w:rPr>
        <w:fldChar w:fldCharType="end"/>
      </w:r>
      <w:r w:rsidR="004743B8" w:rsidRPr="00C45164">
        <w:rPr>
          <w:rFonts w:ascii="Times New Roman" w:hAnsi="Times New Roman" w:cs="Times New Roman"/>
        </w:rPr>
        <w:t xml:space="preserve"> </w:t>
      </w:r>
      <w:r w:rsidR="00694F3E" w:rsidRPr="00C45164">
        <w:rPr>
          <w:rFonts w:ascii="Times New Roman" w:hAnsi="Times New Roman" w:cs="Times New Roman"/>
        </w:rPr>
        <w:t>to generate pcDNA3-FLAG-</w:t>
      </w:r>
      <w:r w:rsidR="00E55718" w:rsidRPr="00C45164">
        <w:rPr>
          <w:rFonts w:ascii="Times New Roman" w:hAnsi="Times New Roman" w:cs="Times New Roman"/>
          <w:i/>
        </w:rPr>
        <w:t xml:space="preserve"> DRAIC</w:t>
      </w:r>
      <w:r w:rsidR="00694F3E" w:rsidRPr="00C45164">
        <w:rPr>
          <w:rFonts w:ascii="Times New Roman" w:hAnsi="Times New Roman" w:cs="Times New Roman"/>
        </w:rPr>
        <w:t xml:space="preserve">. </w:t>
      </w:r>
    </w:p>
    <w:p w14:paraId="67BC0203" w14:textId="77777777" w:rsidR="00CB619E" w:rsidRPr="00C45164" w:rsidRDefault="00161ABE" w:rsidP="00224032">
      <w:pPr>
        <w:ind w:firstLine="960"/>
        <w:rPr>
          <w:rFonts w:ascii="Times New Roman" w:hAnsi="Times New Roman" w:cs="Times New Roman"/>
        </w:rPr>
      </w:pPr>
      <w:r w:rsidRPr="00C45164">
        <w:rPr>
          <w:rFonts w:ascii="Times New Roman" w:hAnsi="Times New Roman" w:cs="Times New Roman"/>
        </w:rPr>
        <w:t xml:space="preserve">For the construction of the </w:t>
      </w:r>
      <w:r w:rsidRPr="00C45164">
        <w:rPr>
          <w:rFonts w:ascii="Times New Roman" w:hAnsi="Times New Roman" w:cs="Times New Roman"/>
          <w:i/>
        </w:rPr>
        <w:t>FOXA1</w:t>
      </w:r>
      <w:r w:rsidRPr="00C45164">
        <w:rPr>
          <w:rFonts w:ascii="Times New Roman" w:hAnsi="Times New Roman" w:cs="Times New Roman"/>
        </w:rPr>
        <w:t xml:space="preserve"> expression vectors, the full length of </w:t>
      </w:r>
      <w:r w:rsidRPr="00C45164">
        <w:rPr>
          <w:rFonts w:ascii="Times New Roman" w:hAnsi="Times New Roman" w:cs="Times New Roman"/>
          <w:i/>
        </w:rPr>
        <w:t>FOXA1</w:t>
      </w:r>
      <w:r w:rsidR="00161B6A" w:rsidRPr="00C45164">
        <w:rPr>
          <w:rFonts w:ascii="Times New Roman" w:hAnsi="Times New Roman" w:cs="Times New Roman"/>
        </w:rPr>
        <w:t xml:space="preserve"> was</w:t>
      </w:r>
      <w:r w:rsidRPr="00C45164">
        <w:rPr>
          <w:rFonts w:ascii="Times New Roman" w:hAnsi="Times New Roman" w:cs="Times New Roman"/>
        </w:rPr>
        <w:t xml:space="preserve"> amplified by PCR using the primer pair</w:t>
      </w:r>
      <w:r w:rsidR="004743B8" w:rsidRPr="00C45164">
        <w:rPr>
          <w:rFonts w:ascii="Times New Roman" w:hAnsi="Times New Roman" w:cs="Times New Roman"/>
        </w:rPr>
        <w:t xml:space="preserve"> (Supplementary Table</w:t>
      </w:r>
      <w:r w:rsidR="00832FDB" w:rsidRPr="00C45164">
        <w:rPr>
          <w:rFonts w:ascii="Times New Roman" w:hAnsi="Times New Roman" w:cs="Times New Roman"/>
        </w:rPr>
        <w:t>1</w:t>
      </w:r>
      <w:r w:rsidR="004743B8" w:rsidRPr="00C45164">
        <w:rPr>
          <w:rFonts w:ascii="Times New Roman" w:hAnsi="Times New Roman" w:cs="Times New Roman"/>
        </w:rPr>
        <w:t>)</w:t>
      </w:r>
      <w:r w:rsidR="0007555D" w:rsidRPr="00C45164">
        <w:rPr>
          <w:rFonts w:ascii="Times New Roman" w:hAnsi="Times New Roman" w:cs="Times New Roman"/>
        </w:rPr>
        <w:t xml:space="preserve"> from </w:t>
      </w:r>
      <w:proofErr w:type="spellStart"/>
      <w:r w:rsidR="0007555D" w:rsidRPr="00C45164">
        <w:rPr>
          <w:rFonts w:ascii="Times New Roman" w:hAnsi="Times New Roman" w:cs="Times New Roman"/>
        </w:rPr>
        <w:t>LNCaP</w:t>
      </w:r>
      <w:proofErr w:type="spellEnd"/>
      <w:r w:rsidR="00161B6A" w:rsidRPr="00C45164">
        <w:rPr>
          <w:rFonts w:ascii="Times New Roman" w:hAnsi="Times New Roman" w:cs="Times New Roman"/>
        </w:rPr>
        <w:t xml:space="preserve"> cDNA and was inserted into pCR4-TOPO vector</w:t>
      </w:r>
      <w:r w:rsidRPr="00C45164">
        <w:rPr>
          <w:rFonts w:ascii="Times New Roman" w:hAnsi="Times New Roman" w:cs="Times New Roman"/>
        </w:rPr>
        <w:t xml:space="preserve"> t</w:t>
      </w:r>
      <w:r w:rsidR="00CB619E" w:rsidRPr="00C45164">
        <w:rPr>
          <w:rFonts w:ascii="Times New Roman" w:hAnsi="Times New Roman" w:cs="Times New Roman"/>
        </w:rPr>
        <w:t>o generate pCR4-</w:t>
      </w:r>
      <w:r w:rsidR="00CB619E" w:rsidRPr="00C45164">
        <w:rPr>
          <w:rFonts w:ascii="Times New Roman" w:hAnsi="Times New Roman" w:cs="Times New Roman"/>
          <w:i/>
        </w:rPr>
        <w:t>FOXA1</w:t>
      </w:r>
      <w:r w:rsidR="00CB619E" w:rsidRPr="00C45164">
        <w:rPr>
          <w:rFonts w:ascii="Times New Roman" w:hAnsi="Times New Roman" w:cs="Times New Roman"/>
        </w:rPr>
        <w:t xml:space="preserve">. The </w:t>
      </w:r>
      <w:proofErr w:type="spellStart"/>
      <w:r w:rsidR="00CB619E" w:rsidRPr="00C45164">
        <w:rPr>
          <w:rFonts w:ascii="Times New Roman" w:hAnsi="Times New Roman" w:cs="Times New Roman"/>
        </w:rPr>
        <w:t>HindIII</w:t>
      </w:r>
      <w:proofErr w:type="spellEnd"/>
      <w:r w:rsidRPr="00C45164">
        <w:rPr>
          <w:rFonts w:ascii="Times New Roman" w:hAnsi="Times New Roman" w:cs="Times New Roman"/>
        </w:rPr>
        <w:t>/</w:t>
      </w:r>
      <w:proofErr w:type="spellStart"/>
      <w:r w:rsidRPr="00C45164">
        <w:rPr>
          <w:rFonts w:ascii="Times New Roman" w:hAnsi="Times New Roman" w:cs="Times New Roman"/>
        </w:rPr>
        <w:t>XhoI</w:t>
      </w:r>
      <w:proofErr w:type="spellEnd"/>
      <w:r w:rsidRPr="00C45164">
        <w:rPr>
          <w:rFonts w:ascii="Times New Roman" w:hAnsi="Times New Roman" w:cs="Times New Roman"/>
        </w:rPr>
        <w:t xml:space="preserve"> fragment of pCR4-</w:t>
      </w:r>
      <w:r w:rsidRPr="00C45164">
        <w:rPr>
          <w:rFonts w:ascii="Times New Roman" w:hAnsi="Times New Roman" w:cs="Times New Roman"/>
          <w:i/>
        </w:rPr>
        <w:t>FOXA1</w:t>
      </w:r>
      <w:r w:rsidR="00161B6A" w:rsidRPr="00C45164">
        <w:rPr>
          <w:rFonts w:ascii="Times New Roman" w:hAnsi="Times New Roman" w:cs="Times New Roman"/>
        </w:rPr>
        <w:t xml:space="preserve"> was</w:t>
      </w:r>
      <w:r w:rsidRPr="00C45164">
        <w:rPr>
          <w:rFonts w:ascii="Times New Roman" w:hAnsi="Times New Roman" w:cs="Times New Roman"/>
        </w:rPr>
        <w:t xml:space="preserve"> inserted into pcDNA3 to generate pcDNA3-</w:t>
      </w:r>
      <w:r w:rsidRPr="00C45164">
        <w:rPr>
          <w:rFonts w:ascii="Times New Roman" w:hAnsi="Times New Roman" w:cs="Times New Roman"/>
          <w:i/>
        </w:rPr>
        <w:t>FOXA1</w:t>
      </w:r>
      <w:r w:rsidRPr="00C45164">
        <w:rPr>
          <w:rFonts w:ascii="Times New Roman" w:hAnsi="Times New Roman" w:cs="Times New Roman"/>
        </w:rPr>
        <w:t>.</w:t>
      </w:r>
      <w:r w:rsidR="00161B6A" w:rsidRPr="00C45164">
        <w:rPr>
          <w:rFonts w:ascii="Times New Roman" w:hAnsi="Times New Roman" w:cs="Times New Roman"/>
        </w:rPr>
        <w:t xml:space="preserve"> </w:t>
      </w:r>
      <w:r w:rsidR="00CB619E" w:rsidRPr="00C45164">
        <w:rPr>
          <w:rFonts w:ascii="Times New Roman" w:hAnsi="Times New Roman" w:cs="Times New Roman"/>
          <w:bCs/>
          <w:color w:val="1A1A1A"/>
          <w:kern w:val="0"/>
        </w:rPr>
        <w:t xml:space="preserve">For </w:t>
      </w:r>
      <w:r w:rsidR="00CB619E" w:rsidRPr="00C45164">
        <w:rPr>
          <w:rFonts w:ascii="Times New Roman" w:hAnsi="Times New Roman" w:cs="Times New Roman"/>
          <w:bCs/>
          <w:i/>
          <w:color w:val="1A1A1A"/>
          <w:kern w:val="0"/>
        </w:rPr>
        <w:t>NKX3-1</w:t>
      </w:r>
      <w:r w:rsidR="00CB619E" w:rsidRPr="00C45164">
        <w:rPr>
          <w:rFonts w:ascii="Times New Roman" w:hAnsi="Times New Roman" w:cs="Times New Roman"/>
          <w:bCs/>
          <w:color w:val="1A1A1A"/>
          <w:kern w:val="0"/>
        </w:rPr>
        <w:t xml:space="preserve"> overexpression, we used pcDNA3-</w:t>
      </w:r>
      <w:r w:rsidR="00CB619E" w:rsidRPr="00C45164">
        <w:rPr>
          <w:rFonts w:ascii="Times New Roman" w:hAnsi="Times New Roman" w:cs="Times New Roman"/>
          <w:bCs/>
          <w:i/>
          <w:color w:val="1A1A1A"/>
          <w:kern w:val="0"/>
        </w:rPr>
        <w:t>NKX3-1</w:t>
      </w:r>
      <w:r w:rsidR="00E02429" w:rsidRPr="00C45164">
        <w:rPr>
          <w:rFonts w:ascii="Times New Roman" w:hAnsi="Times New Roman" w:cs="Times New Roman"/>
          <w:bCs/>
          <w:color w:val="1A1A1A"/>
          <w:kern w:val="0"/>
        </w:rPr>
        <w:t xml:space="preserve"> </w:t>
      </w:r>
      <w:r w:rsidR="00F8086A" w:rsidRPr="00C45164">
        <w:rPr>
          <w:rFonts w:ascii="Times New Roman" w:hAnsi="Times New Roman" w:cs="Times New Roman"/>
          <w:bCs/>
          <w:color w:val="1A1A1A"/>
          <w:kern w:val="0"/>
        </w:rPr>
        <w:fldChar w:fldCharType="begin" w:fldLock="1"/>
      </w:r>
      <w:r w:rsidR="005F7102" w:rsidRPr="00C45164">
        <w:rPr>
          <w:rFonts w:ascii="Times New Roman" w:hAnsi="Times New Roman" w:cs="Times New Roman"/>
          <w:bCs/>
          <w:color w:val="1A1A1A"/>
          <w:kern w:val="0"/>
        </w:rPr>
        <w:instrText>ADDIN CSL_CITATION { "citationItems" : [ { "id" : "ITEM-1", "itemData" : { "author" : [ { "dropping-particle" : "", "family" : "Steadman", "given" : "David J", "non-dropping-particle" : "", "parse-names" : false, "suffix" : "" }, { "dropping-particle" : "", "family" : "Giuffrida", "given" : "Domenica", "non-dropping-particle" : "", "parse-names" : false, "suffix" : "" }, { "dropping-particle" : "", "family" : "Gelmann", "given" : "Edward P", "non-dropping-particle" : "", "parse-names" : false, "suffix" : "" } ], "id" : "ITEM-1", "issue" : "12", "issued" : { "date-parts" : [ [ "2000" ] ] }, "page" : "2389-2395", "title" : "DNA-binding sequence of the human prostate-specific homeodomain protein NKX3 . 1", "type" : "article-journal", "volume" : "28" }, "uris" : [ "http://www.mendeley.com/documents/?uuid=f397b04e-a18d-461b-9295-5c8f30d79fdb" ] } ], "mendeley" : { "previouslyFormattedCitation" : "(2)" }, "properties" : { "noteIndex" : 0 }, "schema" : "https://github.com/citation-style-language/schema/raw/master/csl-citation.json" }</w:instrText>
      </w:r>
      <w:r w:rsidR="00F8086A" w:rsidRPr="00C45164">
        <w:rPr>
          <w:rFonts w:ascii="Times New Roman" w:hAnsi="Times New Roman" w:cs="Times New Roman"/>
          <w:bCs/>
          <w:color w:val="1A1A1A"/>
          <w:kern w:val="0"/>
        </w:rPr>
        <w:fldChar w:fldCharType="separate"/>
      </w:r>
      <w:r w:rsidR="00232C89" w:rsidRPr="00C45164">
        <w:rPr>
          <w:rFonts w:ascii="Times New Roman" w:hAnsi="Times New Roman" w:cs="Times New Roman"/>
          <w:bCs/>
          <w:noProof/>
          <w:color w:val="1A1A1A"/>
          <w:kern w:val="0"/>
        </w:rPr>
        <w:t>(2)</w:t>
      </w:r>
      <w:r w:rsidR="00F8086A" w:rsidRPr="00C45164">
        <w:rPr>
          <w:rFonts w:ascii="Times New Roman" w:hAnsi="Times New Roman" w:cs="Times New Roman"/>
          <w:bCs/>
          <w:color w:val="1A1A1A"/>
          <w:kern w:val="0"/>
        </w:rPr>
        <w:fldChar w:fldCharType="end"/>
      </w:r>
      <w:r w:rsidR="00CB619E" w:rsidRPr="00C45164">
        <w:rPr>
          <w:rFonts w:ascii="Times New Roman" w:hAnsi="Times New Roman" w:cs="Times New Roman"/>
          <w:bCs/>
          <w:color w:val="1A1A1A"/>
          <w:kern w:val="0"/>
        </w:rPr>
        <w:t xml:space="preserve"> (</w:t>
      </w:r>
      <w:r w:rsidR="000810CD" w:rsidRPr="00C45164">
        <w:rPr>
          <w:rFonts w:ascii="Times New Roman" w:hAnsi="Times New Roman" w:cs="Times New Roman"/>
          <w:bCs/>
          <w:color w:val="1A1A1A"/>
          <w:kern w:val="0"/>
        </w:rPr>
        <w:t>#</w:t>
      </w:r>
      <w:r w:rsidR="00CB619E" w:rsidRPr="00C45164">
        <w:rPr>
          <w:rFonts w:ascii="Times New Roman" w:hAnsi="Times New Roman" w:cs="Times New Roman"/>
          <w:bCs/>
          <w:color w:val="1A1A1A"/>
          <w:kern w:val="0"/>
        </w:rPr>
        <w:t xml:space="preserve">42897, </w:t>
      </w:r>
      <w:proofErr w:type="spellStart"/>
      <w:r w:rsidR="00CB619E" w:rsidRPr="00C45164">
        <w:rPr>
          <w:rFonts w:ascii="Times New Roman" w:hAnsi="Times New Roman" w:cs="Times New Roman"/>
          <w:bCs/>
          <w:color w:val="1A1A1A"/>
          <w:kern w:val="0"/>
        </w:rPr>
        <w:t>Addgene</w:t>
      </w:r>
      <w:proofErr w:type="spellEnd"/>
      <w:r w:rsidR="00CB619E" w:rsidRPr="00C45164">
        <w:rPr>
          <w:rFonts w:ascii="Times New Roman" w:hAnsi="Times New Roman" w:cs="Times New Roman"/>
          <w:bCs/>
          <w:color w:val="1A1A1A"/>
          <w:kern w:val="0"/>
        </w:rPr>
        <w:t>).</w:t>
      </w:r>
    </w:p>
    <w:p w14:paraId="32A6213B" w14:textId="77777777" w:rsidR="002E48AF" w:rsidRPr="00C45164" w:rsidRDefault="004C63DB" w:rsidP="00224032">
      <w:pPr>
        <w:ind w:firstLine="960"/>
        <w:rPr>
          <w:rFonts w:ascii="Times New Roman" w:hAnsi="Times New Roman" w:cs="Times New Roman"/>
        </w:rPr>
      </w:pPr>
      <w:r w:rsidRPr="00C45164">
        <w:rPr>
          <w:rFonts w:ascii="Times New Roman" w:hAnsi="Times New Roman" w:cs="Times New Roman"/>
        </w:rPr>
        <w:t xml:space="preserve">For the construction of the </w:t>
      </w:r>
      <w:r w:rsidRPr="00C45164">
        <w:rPr>
          <w:rFonts w:ascii="Times New Roman" w:hAnsi="Times New Roman" w:cs="Times New Roman"/>
          <w:kern w:val="0"/>
          <w:sz w:val="23"/>
          <w:szCs w:val="23"/>
        </w:rPr>
        <w:t>short hairpin RNAs (</w:t>
      </w:r>
      <w:proofErr w:type="spellStart"/>
      <w:r w:rsidRPr="00C45164">
        <w:rPr>
          <w:rFonts w:ascii="Times New Roman" w:hAnsi="Times New Roman" w:cs="Times New Roman"/>
          <w:kern w:val="0"/>
          <w:sz w:val="23"/>
          <w:szCs w:val="23"/>
        </w:rPr>
        <w:t>shRNAs</w:t>
      </w:r>
      <w:proofErr w:type="spellEnd"/>
      <w:r w:rsidRPr="00C45164">
        <w:rPr>
          <w:rFonts w:ascii="Times New Roman" w:hAnsi="Times New Roman" w:cs="Times New Roman"/>
          <w:kern w:val="0"/>
          <w:sz w:val="23"/>
          <w:szCs w:val="23"/>
        </w:rPr>
        <w:t xml:space="preserve">) that targets </w:t>
      </w:r>
      <w:r w:rsidR="00E55718" w:rsidRPr="00C45164">
        <w:rPr>
          <w:rFonts w:ascii="Times New Roman" w:hAnsi="Times New Roman" w:cs="Times New Roman"/>
          <w:i/>
        </w:rPr>
        <w:t>DRAIC</w:t>
      </w:r>
      <w:r w:rsidR="004743B8" w:rsidRPr="00C45164">
        <w:rPr>
          <w:rFonts w:ascii="Times New Roman" w:hAnsi="Times New Roman" w:cs="Times New Roman"/>
          <w:kern w:val="0"/>
          <w:sz w:val="23"/>
          <w:szCs w:val="23"/>
        </w:rPr>
        <w:t xml:space="preserve">, the </w:t>
      </w:r>
      <w:r w:rsidRPr="00C45164">
        <w:rPr>
          <w:rFonts w:ascii="Times New Roman" w:hAnsi="Times New Roman" w:cs="Times New Roman"/>
          <w:kern w:val="0"/>
          <w:sz w:val="23"/>
          <w:szCs w:val="23"/>
        </w:rPr>
        <w:t>sense and antisense</w:t>
      </w:r>
      <w:r w:rsidRPr="00C45164">
        <w:rPr>
          <w:rFonts w:ascii="Times New Roman" w:hAnsi="Times New Roman" w:cs="Times New Roman"/>
        </w:rPr>
        <w:t xml:space="preserve"> </w:t>
      </w:r>
      <w:r w:rsidRPr="00C45164">
        <w:rPr>
          <w:rFonts w:ascii="Times New Roman" w:hAnsi="Times New Roman" w:cs="Times New Roman"/>
          <w:kern w:val="0"/>
          <w:sz w:val="23"/>
          <w:szCs w:val="23"/>
        </w:rPr>
        <w:t>oligonucleotides (Supplementary Table</w:t>
      </w:r>
      <w:r w:rsidR="0007555D" w:rsidRPr="00C45164">
        <w:rPr>
          <w:rFonts w:ascii="Times New Roman" w:hAnsi="Times New Roman" w:cs="Times New Roman"/>
          <w:kern w:val="0"/>
          <w:sz w:val="23"/>
          <w:szCs w:val="23"/>
        </w:rPr>
        <w:t xml:space="preserve"> </w:t>
      </w:r>
      <w:r w:rsidR="00832FDB" w:rsidRPr="00C45164">
        <w:rPr>
          <w:rFonts w:ascii="Times New Roman" w:hAnsi="Times New Roman" w:cs="Times New Roman"/>
          <w:kern w:val="0"/>
          <w:sz w:val="23"/>
          <w:szCs w:val="23"/>
        </w:rPr>
        <w:t>1</w:t>
      </w:r>
      <w:r w:rsidRPr="00C45164">
        <w:rPr>
          <w:rFonts w:ascii="Times New Roman" w:hAnsi="Times New Roman" w:cs="Times New Roman"/>
          <w:kern w:val="0"/>
          <w:sz w:val="23"/>
          <w:szCs w:val="23"/>
        </w:rPr>
        <w:t xml:space="preserve">) were annealed and inserted between the </w:t>
      </w:r>
      <w:proofErr w:type="spellStart"/>
      <w:r w:rsidRPr="00C45164">
        <w:rPr>
          <w:rFonts w:ascii="Times New Roman" w:hAnsi="Times New Roman" w:cs="Times New Roman"/>
          <w:kern w:val="0"/>
          <w:sz w:val="23"/>
          <w:szCs w:val="23"/>
        </w:rPr>
        <w:t>BbsI</w:t>
      </w:r>
      <w:proofErr w:type="spellEnd"/>
      <w:r w:rsidRPr="00C45164">
        <w:rPr>
          <w:rFonts w:ascii="Times New Roman" w:hAnsi="Times New Roman" w:cs="Times New Roman"/>
          <w:kern w:val="0"/>
          <w:sz w:val="23"/>
          <w:szCs w:val="23"/>
        </w:rPr>
        <w:t>/</w:t>
      </w:r>
      <w:proofErr w:type="spellStart"/>
      <w:r w:rsidRPr="00C45164">
        <w:rPr>
          <w:rFonts w:ascii="Times New Roman" w:hAnsi="Times New Roman" w:cs="Times New Roman"/>
          <w:kern w:val="0"/>
          <w:sz w:val="23"/>
          <w:szCs w:val="23"/>
        </w:rPr>
        <w:t>EcoRI</w:t>
      </w:r>
      <w:proofErr w:type="spellEnd"/>
      <w:r w:rsidRPr="00C45164">
        <w:rPr>
          <w:rFonts w:ascii="Times New Roman" w:hAnsi="Times New Roman" w:cs="Times New Roman"/>
        </w:rPr>
        <w:t xml:space="preserve"> </w:t>
      </w:r>
      <w:r w:rsidRPr="00C45164">
        <w:rPr>
          <w:rFonts w:ascii="Times New Roman" w:hAnsi="Times New Roman" w:cs="Times New Roman"/>
          <w:kern w:val="0"/>
          <w:sz w:val="23"/>
          <w:szCs w:val="23"/>
        </w:rPr>
        <w:t>sites of pmU6</w:t>
      </w:r>
      <w:r w:rsidR="00710F08" w:rsidRPr="00C45164">
        <w:rPr>
          <w:rFonts w:ascii="Times New Roman" w:hAnsi="Times New Roman" w:cs="Times New Roman"/>
          <w:kern w:val="0"/>
          <w:sz w:val="23"/>
          <w:szCs w:val="23"/>
        </w:rPr>
        <w:t xml:space="preserve"> kindly gifted by </w:t>
      </w:r>
      <w:proofErr w:type="spellStart"/>
      <w:r w:rsidR="00710F08" w:rsidRPr="00C45164">
        <w:rPr>
          <w:rFonts w:ascii="Times New Roman" w:hAnsi="Times New Roman" w:cs="Times New Roman"/>
          <w:kern w:val="0"/>
          <w:sz w:val="23"/>
          <w:szCs w:val="23"/>
        </w:rPr>
        <w:t>Dr.Iba</w:t>
      </w:r>
      <w:proofErr w:type="spellEnd"/>
      <w:r w:rsidR="00710F08" w:rsidRPr="00C45164">
        <w:rPr>
          <w:rFonts w:ascii="Times New Roman" w:hAnsi="Times New Roman" w:cs="Times New Roman"/>
          <w:kern w:val="0"/>
          <w:sz w:val="23"/>
          <w:szCs w:val="23"/>
        </w:rPr>
        <w:t xml:space="preserve"> </w:t>
      </w:r>
      <w:r w:rsidR="00F8086A" w:rsidRPr="00C45164">
        <w:rPr>
          <w:rFonts w:ascii="Times New Roman" w:hAnsi="Times New Roman" w:cs="Times New Roman"/>
          <w:kern w:val="0"/>
          <w:sz w:val="23"/>
          <w:szCs w:val="23"/>
        </w:rPr>
        <w:fldChar w:fldCharType="begin" w:fldLock="1"/>
      </w:r>
      <w:r w:rsidR="005F7102" w:rsidRPr="00C45164">
        <w:rPr>
          <w:rFonts w:ascii="Times New Roman" w:hAnsi="Times New Roman" w:cs="Times New Roman"/>
          <w:kern w:val="0"/>
          <w:sz w:val="23"/>
          <w:szCs w:val="23"/>
        </w:rPr>
        <w:instrText>ADDIN CSL_CITATION { "citationItems" : [ { "id" : "ITEM-1", "itemData" : { "DOI" : "10.1093/nar/gkp040", "ISSN" : "1362-4962", "PMID" : "19223327", "abstract" : "Whereas the strong and stable suppression of specific microRNA activity would be essential for the functional analysis of these molecules, and also for the development of therapeutic applications, effective inhibitory methods to achieve this have not yet been fully established. In our current study, we tested various RNA decoys which were designed to efficiently expose indigestible complementary RNAs to a specific miRNA molecule. These inhibitory RNAs were at the same time designed to be expressed in lentiviral vectors and to be transported into the cytoplasm after transcription by RNA polymerase III. We report the optimal conditions that we have established for the design of such RNA decoys (we term these molecules TuD RNAs; tough decoy RNAs). We finally demonstrate that TuD RNAs induce specific and strong biological effects and also show that TuD RNAs achieve the efficient and long-term-suppression of specific miRNAs for over 1 month in mammalian cells.", "author" : [ { "dropping-particle" : "", "family" : "Haraguchi", "given" : "Takeshi", "non-dropping-particle" : "", "parse-names" : false, "suffix" : "" }, { "dropping-particle" : "", "family" : "Ozaki", "given" : "Yuka", "non-dropping-particle" : "", "parse-names" : false, "suffix" : "" }, { "dropping-particle" : "", "family" : "Iba", "given" : "Hideo", "non-dropping-particle" : "", "parse-names" : false, "suffix" : "" } ], "container-title" : "Nucleic acids research", "id" : "ITEM-1", "issue" : "6", "issued" : { "date-parts" : [ [ "2009", "4" ] ] }, "page" : "e43", "title" : "Vectors expressing efficient RNA decoys achieve the long-term suppression of specific microRNA activity in mammalian cells.", "type" : "article-journal", "volume" : "37" }, "uris" : [ "http://www.mendeley.com/documents/?uuid=59f78447-facf-4d23-8937-cbfea160533f" ] } ], "mendeley" : { "previouslyFormattedCitation" : "(3)" }, "properties" : { "noteIndex" : 0 }, "schema" : "https://github.com/citation-style-language/schema/raw/master/csl-citation.json" }</w:instrText>
      </w:r>
      <w:r w:rsidR="00F8086A" w:rsidRPr="00C45164">
        <w:rPr>
          <w:rFonts w:ascii="Times New Roman" w:hAnsi="Times New Roman" w:cs="Times New Roman"/>
          <w:kern w:val="0"/>
          <w:sz w:val="23"/>
          <w:szCs w:val="23"/>
        </w:rPr>
        <w:fldChar w:fldCharType="separate"/>
      </w:r>
      <w:r w:rsidR="00232C89" w:rsidRPr="00C45164">
        <w:rPr>
          <w:rFonts w:ascii="Times New Roman" w:hAnsi="Times New Roman" w:cs="Times New Roman"/>
          <w:noProof/>
          <w:kern w:val="0"/>
          <w:sz w:val="23"/>
          <w:szCs w:val="23"/>
        </w:rPr>
        <w:t>(3)</w:t>
      </w:r>
      <w:r w:rsidR="00F8086A" w:rsidRPr="00C45164">
        <w:rPr>
          <w:rFonts w:ascii="Times New Roman" w:hAnsi="Times New Roman" w:cs="Times New Roman"/>
          <w:kern w:val="0"/>
          <w:sz w:val="23"/>
          <w:szCs w:val="23"/>
        </w:rPr>
        <w:fldChar w:fldCharType="end"/>
      </w:r>
      <w:r w:rsidRPr="00C45164">
        <w:rPr>
          <w:rFonts w:ascii="Times New Roman" w:hAnsi="Times New Roman" w:cs="Times New Roman"/>
          <w:kern w:val="0"/>
          <w:sz w:val="23"/>
          <w:szCs w:val="23"/>
        </w:rPr>
        <w:t xml:space="preserve"> to generate pmU6-sh</w:t>
      </w:r>
      <w:r w:rsidR="004743B8" w:rsidRPr="00C45164">
        <w:rPr>
          <w:rFonts w:ascii="Times New Roman" w:hAnsi="Times New Roman" w:cs="Times New Roman"/>
          <w:kern w:val="0"/>
          <w:sz w:val="23"/>
          <w:szCs w:val="23"/>
        </w:rPr>
        <w:t>RNA</w:t>
      </w:r>
      <w:r w:rsidRPr="00C45164">
        <w:rPr>
          <w:rFonts w:ascii="Times New Roman" w:hAnsi="Times New Roman" w:cs="Times New Roman"/>
          <w:kern w:val="0"/>
          <w:sz w:val="23"/>
          <w:szCs w:val="23"/>
        </w:rPr>
        <w:t xml:space="preserve">. This product was digested with </w:t>
      </w:r>
      <w:proofErr w:type="spellStart"/>
      <w:r w:rsidRPr="00C45164">
        <w:rPr>
          <w:rFonts w:ascii="Times New Roman" w:hAnsi="Times New Roman" w:cs="Times New Roman"/>
          <w:kern w:val="0"/>
          <w:sz w:val="23"/>
          <w:szCs w:val="23"/>
        </w:rPr>
        <w:t>BamHI</w:t>
      </w:r>
      <w:proofErr w:type="spellEnd"/>
      <w:r w:rsidR="00CB619E" w:rsidRPr="00C45164">
        <w:rPr>
          <w:rFonts w:ascii="Times New Roman" w:hAnsi="Times New Roman" w:cs="Times New Roman"/>
          <w:kern w:val="0"/>
          <w:sz w:val="23"/>
          <w:szCs w:val="23"/>
        </w:rPr>
        <w:t>/</w:t>
      </w:r>
      <w:proofErr w:type="spellStart"/>
      <w:r w:rsidRPr="00C45164">
        <w:rPr>
          <w:rFonts w:ascii="Times New Roman" w:hAnsi="Times New Roman" w:cs="Times New Roman"/>
          <w:kern w:val="0"/>
          <w:sz w:val="23"/>
          <w:szCs w:val="23"/>
        </w:rPr>
        <w:t>EcoRI</w:t>
      </w:r>
      <w:proofErr w:type="spellEnd"/>
      <w:r w:rsidRPr="00C45164">
        <w:rPr>
          <w:rFonts w:ascii="Times New Roman" w:hAnsi="Times New Roman" w:cs="Times New Roman"/>
          <w:kern w:val="0"/>
          <w:sz w:val="23"/>
          <w:szCs w:val="23"/>
        </w:rPr>
        <w:t xml:space="preserve"> and inserted between these sites in </w:t>
      </w:r>
      <w:proofErr w:type="spellStart"/>
      <w:r w:rsidRPr="00C45164">
        <w:rPr>
          <w:rFonts w:ascii="Times New Roman" w:hAnsi="Times New Roman" w:cs="Times New Roman"/>
          <w:kern w:val="0"/>
          <w:sz w:val="23"/>
          <w:szCs w:val="23"/>
        </w:rPr>
        <w:t>pLSP</w:t>
      </w:r>
      <w:proofErr w:type="spellEnd"/>
      <w:r w:rsidRPr="00C45164">
        <w:rPr>
          <w:rFonts w:ascii="Times New Roman" w:hAnsi="Times New Roman" w:cs="Times New Roman"/>
          <w:kern w:val="0"/>
          <w:sz w:val="23"/>
          <w:szCs w:val="23"/>
        </w:rPr>
        <w:t xml:space="preserve"> </w:t>
      </w:r>
      <w:r w:rsidR="00000246" w:rsidRPr="00C45164">
        <w:rPr>
          <w:rFonts w:ascii="Times New Roman" w:hAnsi="Times New Roman" w:cs="Times New Roman"/>
          <w:kern w:val="0"/>
          <w:sz w:val="23"/>
          <w:szCs w:val="23"/>
        </w:rPr>
        <w:t xml:space="preserve">kindly gifted by </w:t>
      </w:r>
      <w:proofErr w:type="spellStart"/>
      <w:r w:rsidR="00000246" w:rsidRPr="00C45164">
        <w:rPr>
          <w:rFonts w:ascii="Times New Roman" w:hAnsi="Times New Roman" w:cs="Times New Roman"/>
          <w:kern w:val="0"/>
          <w:sz w:val="23"/>
          <w:szCs w:val="23"/>
        </w:rPr>
        <w:t>Dr.Iba</w:t>
      </w:r>
      <w:proofErr w:type="spellEnd"/>
      <w:r w:rsidR="00000246" w:rsidRPr="00C45164">
        <w:rPr>
          <w:rFonts w:ascii="Times New Roman" w:hAnsi="Times New Roman" w:cs="Times New Roman"/>
          <w:kern w:val="0"/>
          <w:sz w:val="23"/>
          <w:szCs w:val="23"/>
        </w:rPr>
        <w:t xml:space="preserve"> </w:t>
      </w:r>
      <w:r w:rsidR="00F8086A" w:rsidRPr="00C45164">
        <w:rPr>
          <w:rFonts w:ascii="Times New Roman" w:hAnsi="Times New Roman" w:cs="Times New Roman"/>
          <w:kern w:val="0"/>
          <w:sz w:val="23"/>
          <w:szCs w:val="23"/>
        </w:rPr>
        <w:fldChar w:fldCharType="begin" w:fldLock="1"/>
      </w:r>
      <w:r w:rsidR="005F7102" w:rsidRPr="00C45164">
        <w:rPr>
          <w:rFonts w:ascii="Times New Roman" w:hAnsi="Times New Roman" w:cs="Times New Roman"/>
          <w:kern w:val="0"/>
          <w:sz w:val="23"/>
          <w:szCs w:val="23"/>
        </w:rPr>
        <w:instrText>ADDIN CSL_CITATION { "citationItems" : [ { "id" : "ITEM-1", "itemData" : { "DOI" : "10.1093/nar/gkp040", "ISSN" : "1362-4962", "PMID" : "19223327", "abstract" : "Whereas the strong and stable suppression of specific microRNA activity would be essential for the functional analysis of these molecules, and also for the development of therapeutic applications, effective inhibitory methods to achieve this have not yet been fully established. In our current study, we tested various RNA decoys which were designed to efficiently expose indigestible complementary RNAs to a specific miRNA molecule. These inhibitory RNAs were at the same time designed to be expressed in lentiviral vectors and to be transported into the cytoplasm after transcription by RNA polymerase III. We report the optimal conditions that we have established for the design of such RNA decoys (we term these molecules TuD RNAs; tough decoy RNAs). We finally demonstrate that TuD RNAs induce specific and strong biological effects and also show that TuD RNAs achieve the efficient and long-term-suppression of specific miRNAs for over 1 month in mammalian cells.", "author" : [ { "dropping-particle" : "", "family" : "Haraguchi", "given" : "Takeshi", "non-dropping-particle" : "", "parse-names" : false, "suffix" : "" }, { "dropping-particle" : "", "family" : "Ozaki", "given" : "Yuka", "non-dropping-particle" : "", "parse-names" : false, "suffix" : "" }, { "dropping-particle" : "", "family" : "Iba", "given" : "Hideo", "non-dropping-particle" : "", "parse-names" : false, "suffix" : "" } ], "container-title" : "Nucleic acids research", "id" : "ITEM-1", "issue" : "6", "issued" : { "date-parts" : [ [ "2009", "4" ] ] }, "page" : "e43", "title" : "Vectors expressing efficient RNA decoys achieve the long-term suppression of specific microRNA activity in mammalian cells.", "type" : "article-journal", "volume" : "37" }, "uris" : [ "http://www.mendeley.com/documents/?uuid=59f78447-facf-4d23-8937-cbfea160533f" ] } ], "mendeley" : { "previouslyFormattedCitation" : "(3)" }, "properties" : { "noteIndex" : 0 }, "schema" : "https://github.com/citation-style-language/schema/raw/master/csl-citation.json" }</w:instrText>
      </w:r>
      <w:r w:rsidR="00F8086A" w:rsidRPr="00C45164">
        <w:rPr>
          <w:rFonts w:ascii="Times New Roman" w:hAnsi="Times New Roman" w:cs="Times New Roman"/>
          <w:kern w:val="0"/>
          <w:sz w:val="23"/>
          <w:szCs w:val="23"/>
        </w:rPr>
        <w:fldChar w:fldCharType="separate"/>
      </w:r>
      <w:r w:rsidR="00232C89" w:rsidRPr="00C45164">
        <w:rPr>
          <w:rFonts w:ascii="Times New Roman" w:hAnsi="Times New Roman" w:cs="Times New Roman"/>
          <w:noProof/>
          <w:kern w:val="0"/>
          <w:sz w:val="23"/>
          <w:szCs w:val="23"/>
        </w:rPr>
        <w:t>(3)</w:t>
      </w:r>
      <w:r w:rsidR="00F8086A" w:rsidRPr="00C45164">
        <w:rPr>
          <w:rFonts w:ascii="Times New Roman" w:hAnsi="Times New Roman" w:cs="Times New Roman"/>
          <w:kern w:val="0"/>
          <w:sz w:val="23"/>
          <w:szCs w:val="23"/>
        </w:rPr>
        <w:fldChar w:fldCharType="end"/>
      </w:r>
      <w:r w:rsidR="00000246" w:rsidRPr="00C45164">
        <w:rPr>
          <w:rFonts w:ascii="Times New Roman" w:hAnsi="Times New Roman" w:cs="Times New Roman"/>
          <w:kern w:val="0"/>
          <w:sz w:val="23"/>
          <w:szCs w:val="23"/>
        </w:rPr>
        <w:t xml:space="preserve"> </w:t>
      </w:r>
      <w:r w:rsidRPr="00C45164">
        <w:rPr>
          <w:rFonts w:ascii="Times New Roman" w:hAnsi="Times New Roman" w:cs="Times New Roman"/>
          <w:kern w:val="0"/>
          <w:sz w:val="23"/>
          <w:szCs w:val="23"/>
        </w:rPr>
        <w:t xml:space="preserve">to generate the </w:t>
      </w:r>
      <w:proofErr w:type="spellStart"/>
      <w:r w:rsidRPr="00C45164">
        <w:rPr>
          <w:rFonts w:ascii="Times New Roman" w:hAnsi="Times New Roman" w:cs="Times New Roman"/>
          <w:kern w:val="0"/>
          <w:sz w:val="23"/>
          <w:szCs w:val="23"/>
        </w:rPr>
        <w:t>lentiviral</w:t>
      </w:r>
      <w:proofErr w:type="spellEnd"/>
      <w:r w:rsidRPr="00C45164">
        <w:rPr>
          <w:rFonts w:ascii="Times New Roman" w:hAnsi="Times New Roman" w:cs="Times New Roman"/>
          <w:kern w:val="0"/>
          <w:sz w:val="23"/>
          <w:szCs w:val="23"/>
        </w:rPr>
        <w:t xml:space="preserve"> vector, pLSP-</w:t>
      </w:r>
      <w:r w:rsidR="004743B8" w:rsidRPr="00C45164">
        <w:rPr>
          <w:rFonts w:ascii="Times New Roman" w:hAnsi="Times New Roman" w:cs="Times New Roman"/>
          <w:kern w:val="0"/>
          <w:sz w:val="23"/>
          <w:szCs w:val="23"/>
        </w:rPr>
        <w:t>mU6-</w:t>
      </w:r>
      <w:r w:rsidRPr="00C45164">
        <w:rPr>
          <w:rFonts w:ascii="Times New Roman" w:hAnsi="Times New Roman" w:cs="Times New Roman"/>
          <w:kern w:val="0"/>
          <w:sz w:val="23"/>
          <w:szCs w:val="23"/>
        </w:rPr>
        <w:t>sh</w:t>
      </w:r>
      <w:r w:rsidR="004743B8" w:rsidRPr="00C45164">
        <w:rPr>
          <w:rFonts w:ascii="Times New Roman" w:hAnsi="Times New Roman" w:cs="Times New Roman"/>
          <w:kern w:val="0"/>
          <w:sz w:val="23"/>
          <w:szCs w:val="23"/>
        </w:rPr>
        <w:t>RNA</w:t>
      </w:r>
      <w:r w:rsidRPr="00C45164">
        <w:rPr>
          <w:rFonts w:ascii="Times New Roman" w:hAnsi="Times New Roman" w:cs="Times New Roman"/>
          <w:kern w:val="0"/>
          <w:sz w:val="23"/>
          <w:szCs w:val="23"/>
        </w:rPr>
        <w:t>.</w:t>
      </w:r>
    </w:p>
    <w:p w14:paraId="2A559CBE" w14:textId="77777777" w:rsidR="00CD4ACD" w:rsidRPr="00C45164" w:rsidRDefault="00CD4ACD" w:rsidP="00926CC9">
      <w:pPr>
        <w:rPr>
          <w:rFonts w:ascii="Times New Roman" w:hAnsi="Times New Roman" w:cs="Times New Roman"/>
        </w:rPr>
      </w:pPr>
    </w:p>
    <w:p w14:paraId="316AE35D" w14:textId="77777777" w:rsidR="00926CC9" w:rsidRPr="00C45164" w:rsidRDefault="00C443FC" w:rsidP="00926CC9">
      <w:pPr>
        <w:rPr>
          <w:rFonts w:ascii="Times New Roman" w:hAnsi="Times New Roman" w:cs="Times New Roman"/>
          <w:b/>
        </w:rPr>
      </w:pPr>
      <w:r w:rsidRPr="00C45164">
        <w:rPr>
          <w:rFonts w:ascii="Times New Roman" w:hAnsi="Times New Roman" w:cs="Times New Roman"/>
          <w:b/>
        </w:rPr>
        <w:t xml:space="preserve">(2) </w:t>
      </w:r>
      <w:r w:rsidR="00926CC9" w:rsidRPr="00C45164">
        <w:rPr>
          <w:rFonts w:ascii="Times New Roman" w:hAnsi="Times New Roman" w:cs="Times New Roman"/>
          <w:b/>
        </w:rPr>
        <w:t>Tissues</w:t>
      </w:r>
    </w:p>
    <w:p w14:paraId="6CA1456B" w14:textId="77777777" w:rsidR="00926CC9" w:rsidRPr="00C45164" w:rsidRDefault="00926CC9" w:rsidP="00C443FC">
      <w:pPr>
        <w:ind w:firstLine="960"/>
        <w:rPr>
          <w:rFonts w:ascii="Times New Roman" w:hAnsi="Times New Roman" w:cs="Times New Roman"/>
        </w:rPr>
      </w:pPr>
      <w:r w:rsidRPr="00C45164">
        <w:rPr>
          <w:rFonts w:ascii="Times New Roman" w:hAnsi="Times New Roman" w:cs="Times New Roman"/>
        </w:rPr>
        <w:t>De-identified mid-Gleason-grade prostate cancer tissues were obtained from the University of Virginia mid-Atlantic CHTN (Cooperative Human Tissue Network). A pathologist screened sections so that at least 70% of the cells in a cancer section were malignant.</w:t>
      </w:r>
    </w:p>
    <w:p w14:paraId="19BD33BA" w14:textId="77777777" w:rsidR="00926CC9" w:rsidRPr="00C45164" w:rsidRDefault="00926CC9" w:rsidP="00CD4ACD">
      <w:pPr>
        <w:rPr>
          <w:rFonts w:ascii="Times New Roman" w:hAnsi="Times New Roman" w:cs="Times New Roman"/>
        </w:rPr>
      </w:pPr>
    </w:p>
    <w:p w14:paraId="0A761BD9" w14:textId="50BC1124" w:rsidR="00E60641" w:rsidRPr="00C45164" w:rsidRDefault="00656739" w:rsidP="00E60641">
      <w:pPr>
        <w:rPr>
          <w:rFonts w:ascii="Times New Roman" w:hAnsi="Times New Roman" w:cs="Times New Roman"/>
          <w:b/>
        </w:rPr>
      </w:pPr>
      <w:r w:rsidRPr="00C45164">
        <w:rPr>
          <w:rFonts w:ascii="Times New Roman" w:hAnsi="Times New Roman" w:cs="Times New Roman"/>
          <w:b/>
        </w:rPr>
        <w:t>(</w:t>
      </w:r>
      <w:r w:rsidR="006B76D1" w:rsidRPr="00C45164">
        <w:rPr>
          <w:rFonts w:ascii="Times New Roman" w:hAnsi="Times New Roman" w:cs="Times New Roman"/>
          <w:b/>
        </w:rPr>
        <w:t>3</w:t>
      </w:r>
      <w:r w:rsidR="002C67A3" w:rsidRPr="00C45164">
        <w:rPr>
          <w:rFonts w:ascii="Times New Roman" w:hAnsi="Times New Roman" w:cs="Times New Roman"/>
          <w:b/>
        </w:rPr>
        <w:t xml:space="preserve">) </w:t>
      </w:r>
      <w:r w:rsidR="00E60641" w:rsidRPr="00C45164">
        <w:rPr>
          <w:rFonts w:ascii="Times New Roman" w:hAnsi="Times New Roman" w:cs="Times New Roman"/>
          <w:b/>
        </w:rPr>
        <w:t xml:space="preserve">Constructions of stable </w:t>
      </w:r>
      <w:r w:rsidR="00E55718" w:rsidRPr="00C45164">
        <w:rPr>
          <w:rFonts w:ascii="Times New Roman" w:hAnsi="Times New Roman" w:cs="Times New Roman"/>
          <w:b/>
          <w:i/>
        </w:rPr>
        <w:t>DRAIC</w:t>
      </w:r>
      <w:r w:rsidR="0007555D" w:rsidRPr="00C45164">
        <w:rPr>
          <w:rFonts w:ascii="Times New Roman" w:hAnsi="Times New Roman" w:cs="Times New Roman"/>
          <w:b/>
        </w:rPr>
        <w:t xml:space="preserve"> overexpressing</w:t>
      </w:r>
      <w:r w:rsidR="00E60641" w:rsidRPr="00C45164">
        <w:rPr>
          <w:rFonts w:ascii="Times New Roman" w:hAnsi="Times New Roman" w:cs="Times New Roman"/>
          <w:b/>
        </w:rPr>
        <w:t xml:space="preserve"> cells</w:t>
      </w:r>
    </w:p>
    <w:p w14:paraId="70170CED" w14:textId="77777777" w:rsidR="00E60641" w:rsidRPr="00C45164" w:rsidRDefault="00E60641" w:rsidP="00224032">
      <w:pPr>
        <w:widowControl/>
        <w:autoSpaceDE w:val="0"/>
        <w:autoSpaceDN w:val="0"/>
        <w:adjustRightInd w:val="0"/>
        <w:ind w:firstLine="960"/>
        <w:jc w:val="left"/>
        <w:rPr>
          <w:rFonts w:ascii="Times New Roman" w:hAnsi="Times New Roman" w:cs="Times New Roman"/>
          <w:kern w:val="0"/>
        </w:rPr>
      </w:pPr>
      <w:proofErr w:type="spellStart"/>
      <w:proofErr w:type="gramStart"/>
      <w:r w:rsidRPr="00C45164">
        <w:rPr>
          <w:rFonts w:ascii="Times New Roman" w:hAnsi="Times New Roman" w:cs="Times New Roman"/>
        </w:rPr>
        <w:t>pcDNA</w:t>
      </w:r>
      <w:proofErr w:type="spellEnd"/>
      <w:r w:rsidRPr="00C45164">
        <w:rPr>
          <w:rFonts w:ascii="Times New Roman" w:hAnsi="Times New Roman" w:cs="Times New Roman"/>
        </w:rPr>
        <w:t>-FLAG</w:t>
      </w:r>
      <w:proofErr w:type="gramEnd"/>
      <w:r w:rsidRPr="00C45164">
        <w:rPr>
          <w:rFonts w:ascii="Times New Roman" w:hAnsi="Times New Roman" w:cs="Times New Roman"/>
        </w:rPr>
        <w:t xml:space="preserve"> (</w:t>
      </w:r>
      <w:r w:rsidR="00B95DE0" w:rsidRPr="00C45164">
        <w:rPr>
          <w:rFonts w:ascii="Times New Roman" w:hAnsi="Times New Roman" w:cs="Times New Roman"/>
          <w:i/>
        </w:rPr>
        <w:t>Empty</w:t>
      </w:r>
      <w:r w:rsidRPr="00C45164">
        <w:rPr>
          <w:rFonts w:ascii="Times New Roman" w:hAnsi="Times New Roman" w:cs="Times New Roman"/>
        </w:rPr>
        <w:t xml:space="preserve">) and </w:t>
      </w:r>
      <w:proofErr w:type="spellStart"/>
      <w:r w:rsidRPr="00C45164">
        <w:rPr>
          <w:rFonts w:ascii="Times New Roman" w:hAnsi="Times New Roman" w:cs="Times New Roman"/>
        </w:rPr>
        <w:t>pcDNA</w:t>
      </w:r>
      <w:proofErr w:type="spellEnd"/>
      <w:r w:rsidRPr="00C45164">
        <w:rPr>
          <w:rFonts w:ascii="Times New Roman" w:hAnsi="Times New Roman" w:cs="Times New Roman"/>
        </w:rPr>
        <w:t>-FLAG-</w:t>
      </w:r>
      <w:r w:rsidR="00E55718" w:rsidRPr="00C45164">
        <w:rPr>
          <w:rFonts w:ascii="Times New Roman" w:hAnsi="Times New Roman" w:cs="Times New Roman"/>
          <w:i/>
        </w:rPr>
        <w:t>DRAIC</w:t>
      </w:r>
      <w:r w:rsidRPr="00C45164">
        <w:rPr>
          <w:rFonts w:ascii="Times New Roman" w:hAnsi="Times New Roman" w:cs="Times New Roman"/>
        </w:rPr>
        <w:t xml:space="preserve"> were digested with </w:t>
      </w:r>
      <w:proofErr w:type="spellStart"/>
      <w:r w:rsidRPr="00C45164">
        <w:rPr>
          <w:rFonts w:ascii="Times New Roman" w:hAnsi="Times New Roman" w:cs="Times New Roman"/>
        </w:rPr>
        <w:t>Bgl</w:t>
      </w:r>
      <w:proofErr w:type="spellEnd"/>
      <w:r w:rsidRPr="00C45164">
        <w:rPr>
          <w:rFonts w:ascii="Times New Roman" w:hAnsi="Times New Roman" w:cs="Times New Roman"/>
        </w:rPr>
        <w:t xml:space="preserve"> II and linearized vectors were purified from agarose gel</w:t>
      </w:r>
      <w:r w:rsidR="00E36949" w:rsidRPr="00C45164">
        <w:rPr>
          <w:rFonts w:ascii="Times New Roman" w:hAnsi="Times New Roman" w:cs="Times New Roman"/>
        </w:rPr>
        <w:t xml:space="preserve"> by </w:t>
      </w:r>
      <w:proofErr w:type="spellStart"/>
      <w:r w:rsidR="00E36949" w:rsidRPr="00C45164">
        <w:rPr>
          <w:rFonts w:ascii="Times New Roman" w:hAnsi="Times New Roman" w:cs="Times New Roman"/>
        </w:rPr>
        <w:t>QIAquick</w:t>
      </w:r>
      <w:proofErr w:type="spellEnd"/>
      <w:r w:rsidR="00E36949" w:rsidRPr="00C45164">
        <w:rPr>
          <w:rFonts w:ascii="Times New Roman" w:hAnsi="Times New Roman" w:cs="Times New Roman"/>
        </w:rPr>
        <w:t xml:space="preserve"> Gel Extraction Kit (QIAGEN)</w:t>
      </w:r>
      <w:r w:rsidR="0007555D" w:rsidRPr="00C45164">
        <w:rPr>
          <w:rFonts w:ascii="Times New Roman" w:hAnsi="Times New Roman" w:cs="Times New Roman"/>
        </w:rPr>
        <w:t xml:space="preserve">. </w:t>
      </w:r>
      <w:r w:rsidRPr="00C45164">
        <w:rPr>
          <w:rFonts w:ascii="Times New Roman" w:hAnsi="Times New Roman" w:cs="Times New Roman"/>
        </w:rPr>
        <w:t xml:space="preserve">PC3M-luc cells were seeded into 6 well </w:t>
      </w:r>
      <w:proofErr w:type="gramStart"/>
      <w:r w:rsidRPr="00C45164">
        <w:rPr>
          <w:rFonts w:ascii="Times New Roman" w:hAnsi="Times New Roman" w:cs="Times New Roman"/>
        </w:rPr>
        <w:t>plate</w:t>
      </w:r>
      <w:proofErr w:type="gramEnd"/>
      <w:r w:rsidRPr="00C45164">
        <w:rPr>
          <w:rFonts w:ascii="Times New Roman" w:hAnsi="Times New Roman" w:cs="Times New Roman"/>
        </w:rPr>
        <w:t xml:space="preserve"> and linearized v</w:t>
      </w:r>
      <w:r w:rsidR="00E36949" w:rsidRPr="00C45164">
        <w:rPr>
          <w:rFonts w:ascii="Times New Roman" w:hAnsi="Times New Roman" w:cs="Times New Roman"/>
        </w:rPr>
        <w:t xml:space="preserve">ector (1µg) was transfected by </w:t>
      </w:r>
      <w:proofErr w:type="spellStart"/>
      <w:r w:rsidRPr="00C45164">
        <w:rPr>
          <w:rFonts w:ascii="Times New Roman" w:hAnsi="Times New Roman" w:cs="Times New Roman"/>
        </w:rPr>
        <w:t>Lipofectamine</w:t>
      </w:r>
      <w:proofErr w:type="spellEnd"/>
      <w:r w:rsidRPr="00C45164">
        <w:rPr>
          <w:rFonts w:ascii="Times New Roman" w:hAnsi="Times New Roman" w:cs="Times New Roman"/>
        </w:rPr>
        <w:t xml:space="preserve"> 2000 (Invitrogen). </w:t>
      </w:r>
      <w:r w:rsidRPr="00C45164">
        <w:rPr>
          <w:rFonts w:ascii="Times New Roman" w:hAnsi="Times New Roman" w:cs="Times New Roman"/>
          <w:kern w:val="0"/>
        </w:rPr>
        <w:t xml:space="preserve">At 24h after transfection, the medium was changed to fresh </w:t>
      </w:r>
      <w:r w:rsidR="0007555D" w:rsidRPr="00C45164">
        <w:rPr>
          <w:rFonts w:ascii="Times New Roman" w:hAnsi="Times New Roman" w:cs="Times New Roman"/>
          <w:kern w:val="0"/>
        </w:rPr>
        <w:t>medium</w:t>
      </w:r>
      <w:r w:rsidRPr="00C45164">
        <w:rPr>
          <w:rFonts w:ascii="Times New Roman" w:hAnsi="Times New Roman" w:cs="Times New Roman"/>
          <w:kern w:val="0"/>
        </w:rPr>
        <w:t xml:space="preserve"> and at 48 hours after transfection, cells were selected wit</w:t>
      </w:r>
      <w:r w:rsidR="0007555D" w:rsidRPr="00C45164">
        <w:rPr>
          <w:rFonts w:ascii="Times New Roman" w:hAnsi="Times New Roman" w:cs="Times New Roman"/>
          <w:kern w:val="0"/>
        </w:rPr>
        <w:t xml:space="preserve">h </w:t>
      </w:r>
      <w:r w:rsidRPr="00C45164">
        <w:rPr>
          <w:rFonts w:ascii="Times New Roman" w:hAnsi="Times New Roman" w:cs="Times New Roman"/>
          <w:kern w:val="0"/>
        </w:rPr>
        <w:t xml:space="preserve">300µg/mL of G418. During G418 selection, the medium was replaced </w:t>
      </w:r>
      <w:r w:rsidR="0007555D" w:rsidRPr="00C45164">
        <w:rPr>
          <w:rFonts w:ascii="Times New Roman" w:hAnsi="Times New Roman" w:cs="Times New Roman"/>
          <w:kern w:val="0"/>
        </w:rPr>
        <w:t>with</w:t>
      </w:r>
      <w:r w:rsidRPr="00C45164">
        <w:rPr>
          <w:rFonts w:ascii="Times New Roman" w:hAnsi="Times New Roman" w:cs="Times New Roman"/>
          <w:kern w:val="0"/>
        </w:rPr>
        <w:t xml:space="preserve"> fresh </w:t>
      </w:r>
      <w:r w:rsidR="0007555D" w:rsidRPr="00C45164">
        <w:rPr>
          <w:rFonts w:ascii="Times New Roman" w:hAnsi="Times New Roman" w:cs="Times New Roman"/>
          <w:kern w:val="0"/>
        </w:rPr>
        <w:t>medium</w:t>
      </w:r>
      <w:r w:rsidRPr="00C45164">
        <w:rPr>
          <w:rFonts w:ascii="Times New Roman" w:hAnsi="Times New Roman" w:cs="Times New Roman"/>
          <w:kern w:val="0"/>
        </w:rPr>
        <w:t xml:space="preserve"> containing G418 every 3-4 days. The selections were completed at 20-30 days after </w:t>
      </w:r>
      <w:r w:rsidR="004743B8" w:rsidRPr="00C45164">
        <w:rPr>
          <w:rFonts w:ascii="Times New Roman" w:hAnsi="Times New Roman" w:cs="Times New Roman"/>
          <w:kern w:val="0"/>
        </w:rPr>
        <w:t xml:space="preserve">the </w:t>
      </w:r>
      <w:r w:rsidRPr="00C45164">
        <w:rPr>
          <w:rFonts w:ascii="Times New Roman" w:hAnsi="Times New Roman" w:cs="Times New Roman"/>
          <w:kern w:val="0"/>
        </w:rPr>
        <w:t>transfection. After the selection, the G418 concentration was reduced to 30µg/mL and maintained.</w:t>
      </w:r>
    </w:p>
    <w:p w14:paraId="3F57C9AC" w14:textId="77777777" w:rsidR="00E60641" w:rsidRPr="00C45164" w:rsidRDefault="00E60641" w:rsidP="00CD4ACD">
      <w:pPr>
        <w:rPr>
          <w:rFonts w:ascii="Times New Roman" w:hAnsi="Times New Roman" w:cs="Times New Roman"/>
        </w:rPr>
      </w:pPr>
    </w:p>
    <w:p w14:paraId="2915E6BA" w14:textId="77777777" w:rsidR="006B76D1" w:rsidRPr="00C45164" w:rsidRDefault="006B76D1" w:rsidP="00CD4ACD">
      <w:pPr>
        <w:rPr>
          <w:rFonts w:ascii="Times New Roman" w:hAnsi="Times New Roman" w:cs="Times New Roman"/>
        </w:rPr>
      </w:pPr>
    </w:p>
    <w:p w14:paraId="25E0A2C7" w14:textId="14CA1F0D" w:rsidR="002B498D" w:rsidRPr="00C45164" w:rsidRDefault="00656739" w:rsidP="00CD4ACD">
      <w:pPr>
        <w:rPr>
          <w:rFonts w:ascii="Times New Roman" w:hAnsi="Times New Roman" w:cs="Times New Roman"/>
          <w:b/>
        </w:rPr>
      </w:pPr>
      <w:r w:rsidRPr="00C45164">
        <w:rPr>
          <w:rFonts w:ascii="Times New Roman" w:hAnsi="Times New Roman" w:cs="Times New Roman"/>
          <w:b/>
        </w:rPr>
        <w:lastRenderedPageBreak/>
        <w:t>(</w:t>
      </w:r>
      <w:r w:rsidR="006B76D1" w:rsidRPr="00C45164">
        <w:rPr>
          <w:rFonts w:ascii="Times New Roman" w:hAnsi="Times New Roman" w:cs="Times New Roman"/>
          <w:b/>
        </w:rPr>
        <w:t>4</w:t>
      </w:r>
      <w:r w:rsidR="002C67A3" w:rsidRPr="00C45164">
        <w:rPr>
          <w:rFonts w:ascii="Times New Roman" w:hAnsi="Times New Roman" w:cs="Times New Roman"/>
          <w:b/>
        </w:rPr>
        <w:t xml:space="preserve">) </w:t>
      </w:r>
      <w:r w:rsidR="0073494B" w:rsidRPr="00C45164">
        <w:rPr>
          <w:rFonts w:ascii="Times New Roman" w:hAnsi="Times New Roman" w:cs="Times New Roman"/>
          <w:b/>
        </w:rPr>
        <w:t>Virus production</w:t>
      </w:r>
      <w:r w:rsidR="004C63DB" w:rsidRPr="00C45164">
        <w:rPr>
          <w:rFonts w:ascii="Times New Roman" w:hAnsi="Times New Roman" w:cs="Times New Roman"/>
          <w:b/>
        </w:rPr>
        <w:t xml:space="preserve"> and </w:t>
      </w:r>
      <w:r w:rsidR="00D90517" w:rsidRPr="00C45164">
        <w:rPr>
          <w:rFonts w:ascii="Times New Roman" w:hAnsi="Times New Roman" w:cs="Times New Roman"/>
          <w:b/>
        </w:rPr>
        <w:t>transduction</w:t>
      </w:r>
    </w:p>
    <w:p w14:paraId="35D17739" w14:textId="77777777" w:rsidR="00CB619E" w:rsidRPr="00C45164" w:rsidRDefault="00AC2956" w:rsidP="00224032">
      <w:pPr>
        <w:widowControl/>
        <w:autoSpaceDE w:val="0"/>
        <w:autoSpaceDN w:val="0"/>
        <w:adjustRightInd w:val="0"/>
        <w:ind w:firstLine="960"/>
        <w:jc w:val="left"/>
        <w:rPr>
          <w:rFonts w:ascii="Times New Roman" w:hAnsi="Times New Roman" w:cs="Times New Roman"/>
          <w:kern w:val="0"/>
        </w:rPr>
      </w:pPr>
      <w:r w:rsidRPr="00C45164">
        <w:rPr>
          <w:rFonts w:ascii="Times New Roman" w:hAnsi="Times New Roman" w:cs="Times New Roman" w:hint="eastAsia"/>
          <w:kern w:val="0"/>
        </w:rPr>
        <w:t xml:space="preserve">For </w:t>
      </w:r>
      <w:r w:rsidRPr="00C45164">
        <w:rPr>
          <w:rFonts w:ascii="Times New Roman" w:hAnsi="Times New Roman" w:cs="Times New Roman"/>
          <w:kern w:val="0"/>
        </w:rPr>
        <w:t xml:space="preserve">virus production, </w:t>
      </w:r>
      <w:r w:rsidR="00D90517" w:rsidRPr="00C45164">
        <w:rPr>
          <w:rFonts w:ascii="Times New Roman" w:hAnsi="Times New Roman" w:cs="Times New Roman"/>
          <w:kern w:val="0"/>
        </w:rPr>
        <w:t>vesicular stomatitis virus-G–</w:t>
      </w:r>
      <w:proofErr w:type="spellStart"/>
      <w:r w:rsidR="00D90517" w:rsidRPr="00C45164">
        <w:rPr>
          <w:rFonts w:ascii="Times New Roman" w:hAnsi="Times New Roman" w:cs="Times New Roman"/>
          <w:kern w:val="0"/>
        </w:rPr>
        <w:t>pseudotyped</w:t>
      </w:r>
      <w:proofErr w:type="spellEnd"/>
      <w:r w:rsidR="00D90517" w:rsidRPr="00C45164">
        <w:rPr>
          <w:rFonts w:ascii="Times New Roman" w:hAnsi="Times New Roman" w:cs="Times New Roman"/>
          <w:kern w:val="0"/>
        </w:rPr>
        <w:t xml:space="preserve"> </w:t>
      </w:r>
      <w:proofErr w:type="spellStart"/>
      <w:r w:rsidR="00D90517" w:rsidRPr="00C45164">
        <w:rPr>
          <w:rFonts w:ascii="Times New Roman" w:hAnsi="Times New Roman" w:cs="Times New Roman"/>
          <w:kern w:val="0"/>
        </w:rPr>
        <w:t>lentiviral</w:t>
      </w:r>
      <w:proofErr w:type="spellEnd"/>
      <w:r w:rsidR="00D90517" w:rsidRPr="00C45164">
        <w:rPr>
          <w:rFonts w:ascii="Times New Roman" w:hAnsi="Times New Roman" w:cs="Times New Roman"/>
          <w:kern w:val="0"/>
        </w:rPr>
        <w:t xml:space="preserve"> vectors</w:t>
      </w:r>
      <w:r w:rsidR="00000246" w:rsidRPr="00C45164">
        <w:rPr>
          <w:rFonts w:ascii="Times New Roman" w:hAnsi="Times New Roman" w:cs="Times New Roman"/>
          <w:kern w:val="0"/>
        </w:rPr>
        <w:t xml:space="preserve"> (</w:t>
      </w:r>
      <w:proofErr w:type="spellStart"/>
      <w:r w:rsidR="00000246" w:rsidRPr="00C45164">
        <w:rPr>
          <w:rFonts w:ascii="Times New Roman" w:hAnsi="Times New Roman" w:cs="Times New Roman"/>
          <w:kern w:val="0"/>
        </w:rPr>
        <w:t>pLSP</w:t>
      </w:r>
      <w:proofErr w:type="spellEnd"/>
      <w:r w:rsidR="00000246" w:rsidRPr="00C45164">
        <w:rPr>
          <w:rFonts w:ascii="Times New Roman" w:hAnsi="Times New Roman" w:cs="Times New Roman"/>
          <w:kern w:val="0"/>
        </w:rPr>
        <w:t>)</w:t>
      </w:r>
      <w:r w:rsidR="00D90517" w:rsidRPr="00C45164">
        <w:rPr>
          <w:rFonts w:ascii="Times New Roman" w:hAnsi="Times New Roman" w:cs="Times New Roman"/>
          <w:kern w:val="0"/>
        </w:rPr>
        <w:t xml:space="preserve"> kindly gifted by </w:t>
      </w:r>
      <w:proofErr w:type="spellStart"/>
      <w:r w:rsidR="00D90517" w:rsidRPr="00C45164">
        <w:rPr>
          <w:rFonts w:ascii="Times New Roman" w:hAnsi="Times New Roman" w:cs="Times New Roman"/>
          <w:kern w:val="0"/>
        </w:rPr>
        <w:t>Dr.Iba</w:t>
      </w:r>
      <w:proofErr w:type="spellEnd"/>
      <w:r w:rsidR="00E02429" w:rsidRPr="00C45164">
        <w:rPr>
          <w:rFonts w:ascii="Times New Roman" w:hAnsi="Times New Roman" w:cs="Times New Roman"/>
          <w:kern w:val="0"/>
        </w:rPr>
        <w:t xml:space="preserve"> </w:t>
      </w:r>
      <w:r w:rsidR="00F8086A" w:rsidRPr="00C45164">
        <w:rPr>
          <w:rFonts w:ascii="Times New Roman" w:hAnsi="Times New Roman" w:cs="Times New Roman"/>
          <w:kern w:val="0"/>
        </w:rPr>
        <w:fldChar w:fldCharType="begin" w:fldLock="1"/>
      </w:r>
      <w:r w:rsidR="005F7102" w:rsidRPr="00C45164">
        <w:rPr>
          <w:rFonts w:ascii="Times New Roman" w:hAnsi="Times New Roman" w:cs="Times New Roman"/>
          <w:kern w:val="0"/>
        </w:rPr>
        <w:instrText>ADDIN CSL_CITATION { "citationItems" : [ { "id" : "ITEM-1", "itemData" : { "DOI" : "10.1093/nar/gkp040", "ISSN" : "1362-4962", "PMID" : "19223327", "abstract" : "Whereas the strong and stable suppression of specific microRNA activity would be essential for the functional analysis of these molecules, and also for the development of therapeutic applications, effective inhibitory methods to achieve this have not yet been fully established. In our current study, we tested various RNA decoys which were designed to efficiently expose indigestible complementary RNAs to a specific miRNA molecule. These inhibitory RNAs were at the same time designed to be expressed in lentiviral vectors and to be transported into the cytoplasm after transcription by RNA polymerase III. We report the optimal conditions that we have established for the design of such RNA decoys (we term these molecules TuD RNAs; tough decoy RNAs). We finally demonstrate that TuD RNAs induce specific and strong biological effects and also show that TuD RNAs achieve the efficient and long-term-suppression of specific miRNAs for over 1 month in mammalian cells.", "author" : [ { "dropping-particle" : "", "family" : "Haraguchi", "given" : "Takeshi", "non-dropping-particle" : "", "parse-names" : false, "suffix" : "" }, { "dropping-particle" : "", "family" : "Ozaki", "given" : "Yuka", "non-dropping-particle" : "", "parse-names" : false, "suffix" : "" }, { "dropping-particle" : "", "family" : "Iba", "given" : "Hideo", "non-dropping-particle" : "", "parse-names" : false, "suffix" : "" } ], "container-title" : "Nucleic acids research", "id" : "ITEM-1", "issue" : "6", "issued" : { "date-parts" : [ [ "2009", "4" ] ] }, "page" : "e43", "title" : "Vectors expressing efficient RNA decoys achieve the long-term suppression of specific microRNA activity in mammalian cells.", "type" : "article-journal", "volume" : "37" }, "uris" : [ "http://www.mendeley.com/documents/?uuid=59f78447-facf-4d23-8937-cbfea160533f" ] } ], "mendeley" : { "previouslyFormattedCitation" : "(3)" }, "properties" : { "noteIndex" : 0 }, "schema" : "https://github.com/citation-style-language/schema/raw/master/csl-citation.json" }</w:instrText>
      </w:r>
      <w:r w:rsidR="00F8086A" w:rsidRPr="00C45164">
        <w:rPr>
          <w:rFonts w:ascii="Times New Roman" w:hAnsi="Times New Roman" w:cs="Times New Roman"/>
          <w:kern w:val="0"/>
        </w:rPr>
        <w:fldChar w:fldCharType="separate"/>
      </w:r>
      <w:r w:rsidR="00232C89" w:rsidRPr="00C45164">
        <w:rPr>
          <w:rFonts w:ascii="Times New Roman" w:hAnsi="Times New Roman" w:cs="Times New Roman"/>
          <w:noProof/>
          <w:kern w:val="0"/>
        </w:rPr>
        <w:t>(3)</w:t>
      </w:r>
      <w:r w:rsidR="00F8086A" w:rsidRPr="00C45164">
        <w:rPr>
          <w:rFonts w:ascii="Times New Roman" w:hAnsi="Times New Roman" w:cs="Times New Roman"/>
          <w:kern w:val="0"/>
        </w:rPr>
        <w:fldChar w:fldCharType="end"/>
      </w:r>
      <w:r w:rsidR="008F3CC9" w:rsidRPr="00C45164">
        <w:rPr>
          <w:rFonts w:ascii="Times New Roman" w:hAnsi="Times New Roman" w:cs="Times New Roman"/>
          <w:kern w:val="0"/>
        </w:rPr>
        <w:t xml:space="preserve"> (3.0</w:t>
      </w:r>
      <w:r w:rsidR="00E60641" w:rsidRPr="00C45164">
        <w:rPr>
          <w:rFonts w:ascii="Times New Roman" w:hAnsi="Times New Roman" w:cs="Times New Roman"/>
          <w:kern w:val="0"/>
        </w:rPr>
        <w:t>µ</w:t>
      </w:r>
      <w:r w:rsidR="008F3CC9" w:rsidRPr="00C45164">
        <w:rPr>
          <w:rFonts w:ascii="Times New Roman" w:hAnsi="Times New Roman" w:cs="Times New Roman"/>
          <w:kern w:val="0"/>
        </w:rPr>
        <w:t xml:space="preserve">g) </w:t>
      </w:r>
      <w:r w:rsidR="004C63DB" w:rsidRPr="00C45164">
        <w:rPr>
          <w:rFonts w:ascii="Times New Roman" w:hAnsi="Times New Roman" w:cs="Times New Roman"/>
          <w:kern w:val="0"/>
        </w:rPr>
        <w:t>were transfected into HEK293T cells (</w:t>
      </w:r>
      <w:r w:rsidR="00386644" w:rsidRPr="00C45164">
        <w:rPr>
          <w:rFonts w:ascii="Times New Roman" w:hAnsi="Times New Roman" w:cs="Times New Roman"/>
          <w:kern w:val="0"/>
        </w:rPr>
        <w:t>7x10</w:t>
      </w:r>
      <w:r w:rsidR="00386644" w:rsidRPr="00C45164">
        <w:rPr>
          <w:rFonts w:ascii="Times New Roman" w:hAnsi="Times New Roman" w:cs="Times New Roman"/>
          <w:kern w:val="0"/>
          <w:vertAlign w:val="superscript"/>
        </w:rPr>
        <w:t>6</w:t>
      </w:r>
      <w:r w:rsidR="004C63DB" w:rsidRPr="00C45164">
        <w:rPr>
          <w:rFonts w:ascii="Times New Roman" w:hAnsi="Times New Roman" w:cs="Times New Roman"/>
          <w:kern w:val="0"/>
        </w:rPr>
        <w:t xml:space="preserve"> cells)</w:t>
      </w:r>
      <w:r w:rsidRPr="00C45164">
        <w:rPr>
          <w:rFonts w:ascii="Times New Roman" w:hAnsi="Times New Roman" w:cs="Times New Roman"/>
          <w:kern w:val="0"/>
        </w:rPr>
        <w:t xml:space="preserve"> in 10cm plate</w:t>
      </w:r>
      <w:r w:rsidR="004C63DB" w:rsidRPr="00C45164">
        <w:rPr>
          <w:rFonts w:ascii="Times New Roman" w:hAnsi="Times New Roman" w:cs="Times New Roman"/>
          <w:kern w:val="0"/>
        </w:rPr>
        <w:t xml:space="preserve"> by the </w:t>
      </w:r>
      <w:proofErr w:type="spellStart"/>
      <w:r w:rsidR="004C63DB" w:rsidRPr="00C45164">
        <w:rPr>
          <w:rFonts w:ascii="Times New Roman" w:hAnsi="Times New Roman" w:cs="Times New Roman"/>
          <w:kern w:val="0"/>
        </w:rPr>
        <w:t>Lipofectamine</w:t>
      </w:r>
      <w:proofErr w:type="spellEnd"/>
      <w:r w:rsidR="004C63DB" w:rsidRPr="00C45164">
        <w:rPr>
          <w:rFonts w:ascii="Times New Roman" w:hAnsi="Times New Roman" w:cs="Times New Roman"/>
          <w:kern w:val="0"/>
        </w:rPr>
        <w:t xml:space="preserve"> 2000 (Invitrogen) with </w:t>
      </w:r>
      <w:proofErr w:type="spellStart"/>
      <w:r w:rsidRPr="00C45164">
        <w:rPr>
          <w:rFonts w:ascii="Times New Roman" w:hAnsi="Times New Roman" w:cs="Times New Roman"/>
          <w:kern w:val="0"/>
        </w:rPr>
        <w:t>virapower</w:t>
      </w:r>
      <w:proofErr w:type="spellEnd"/>
      <w:r w:rsidRPr="00C45164">
        <w:rPr>
          <w:rFonts w:ascii="Times New Roman" w:hAnsi="Times New Roman" w:cs="Times New Roman"/>
          <w:kern w:val="0"/>
        </w:rPr>
        <w:t xml:space="preserve"> packaging mix (9.0</w:t>
      </w:r>
      <w:r w:rsidR="00FD524A" w:rsidRPr="00C45164">
        <w:rPr>
          <w:rFonts w:ascii="Times New Roman" w:hAnsi="Times New Roman" w:cs="Times New Roman" w:hint="eastAsia"/>
          <w:kern w:val="0"/>
        </w:rPr>
        <w:t xml:space="preserve"> </w:t>
      </w:r>
      <w:proofErr w:type="spellStart"/>
      <w:r w:rsidR="00FD524A" w:rsidRPr="00C45164">
        <w:rPr>
          <w:rFonts w:ascii="Times New Roman" w:hAnsi="Times New Roman" w:cs="Times New Roman" w:hint="eastAsia"/>
          <w:kern w:val="0"/>
        </w:rPr>
        <w:t>u</w:t>
      </w:r>
      <w:r w:rsidRPr="00C45164">
        <w:rPr>
          <w:rFonts w:ascii="Times New Roman" w:hAnsi="Times New Roman" w:cs="Times New Roman"/>
          <w:kern w:val="0"/>
        </w:rPr>
        <w:t>g</w:t>
      </w:r>
      <w:proofErr w:type="spellEnd"/>
      <w:r w:rsidRPr="00C45164">
        <w:rPr>
          <w:rFonts w:ascii="Times New Roman" w:hAnsi="Times New Roman" w:cs="Times New Roman"/>
          <w:kern w:val="0"/>
        </w:rPr>
        <w:t xml:space="preserve">) (pLP1, pLP2 and </w:t>
      </w:r>
      <w:proofErr w:type="spellStart"/>
      <w:r w:rsidRPr="00C45164">
        <w:rPr>
          <w:rFonts w:ascii="Times New Roman" w:hAnsi="Times New Roman" w:cs="Times New Roman"/>
          <w:kern w:val="0"/>
        </w:rPr>
        <w:t>pLP</w:t>
      </w:r>
      <w:proofErr w:type="spellEnd"/>
      <w:r w:rsidRPr="00C45164">
        <w:rPr>
          <w:rFonts w:ascii="Times New Roman" w:hAnsi="Times New Roman" w:cs="Times New Roman"/>
          <w:kern w:val="0"/>
        </w:rPr>
        <w:t>-VSVG) (Invitrogen)</w:t>
      </w:r>
      <w:r w:rsidR="004C63DB" w:rsidRPr="00C45164">
        <w:rPr>
          <w:rFonts w:ascii="Times New Roman" w:hAnsi="Times New Roman" w:cs="Times New Roman"/>
          <w:kern w:val="0"/>
        </w:rPr>
        <w:t>. Supernatant</w:t>
      </w:r>
      <w:r w:rsidRPr="00C45164">
        <w:rPr>
          <w:rFonts w:ascii="Times New Roman" w:hAnsi="Times New Roman" w:cs="Times New Roman"/>
          <w:kern w:val="0"/>
        </w:rPr>
        <w:t>s</w:t>
      </w:r>
      <w:r w:rsidR="004C63DB" w:rsidRPr="00C45164">
        <w:rPr>
          <w:rFonts w:ascii="Times New Roman" w:hAnsi="Times New Roman" w:cs="Times New Roman"/>
          <w:kern w:val="0"/>
        </w:rPr>
        <w:t xml:space="preserve"> were </w:t>
      </w:r>
      <w:r w:rsidRPr="00C45164">
        <w:rPr>
          <w:rFonts w:ascii="Times New Roman" w:hAnsi="Times New Roman" w:cs="Times New Roman"/>
          <w:kern w:val="0"/>
        </w:rPr>
        <w:t>collected</w:t>
      </w:r>
      <w:r w:rsidR="004C63DB" w:rsidRPr="00C45164">
        <w:rPr>
          <w:rFonts w:ascii="Times New Roman" w:hAnsi="Times New Roman" w:cs="Times New Roman"/>
          <w:kern w:val="0"/>
        </w:rPr>
        <w:t xml:space="preserve"> at 24h and 4</w:t>
      </w:r>
      <w:r w:rsidRPr="00C45164">
        <w:rPr>
          <w:rFonts w:ascii="Times New Roman" w:hAnsi="Times New Roman" w:cs="Times New Roman"/>
          <w:kern w:val="0"/>
        </w:rPr>
        <w:t>8h after transfection and mixed</w:t>
      </w:r>
      <w:r w:rsidR="005D6521" w:rsidRPr="00C45164">
        <w:rPr>
          <w:rFonts w:ascii="Times New Roman" w:hAnsi="Times New Roman" w:cs="Times New Roman"/>
          <w:kern w:val="0"/>
        </w:rPr>
        <w:t>,</w:t>
      </w:r>
      <w:r w:rsidRPr="00C45164">
        <w:rPr>
          <w:rFonts w:ascii="Times New Roman" w:hAnsi="Times New Roman" w:cs="Times New Roman"/>
          <w:kern w:val="0"/>
        </w:rPr>
        <w:t xml:space="preserve"> followed by filtering through</w:t>
      </w:r>
      <w:r w:rsidR="004C63DB" w:rsidRPr="00C45164">
        <w:rPr>
          <w:rFonts w:ascii="Times New Roman" w:hAnsi="Times New Roman" w:cs="Times New Roman"/>
          <w:kern w:val="0"/>
        </w:rPr>
        <w:t xml:space="preserve"> 0.45</w:t>
      </w:r>
      <w:r w:rsidR="004C54CB" w:rsidRPr="00C45164">
        <w:rPr>
          <w:rFonts w:ascii="Times New Roman" w:hAnsi="Times New Roman" w:cs="Times New Roman"/>
          <w:kern w:val="0"/>
        </w:rPr>
        <w:t>µ</w:t>
      </w:r>
      <w:r w:rsidR="00FD524A" w:rsidRPr="00C45164">
        <w:rPr>
          <w:rFonts w:ascii="Times New Roman" w:hAnsi="Times New Roman" w:cs="Times New Roman"/>
          <w:kern w:val="0"/>
        </w:rPr>
        <w:t xml:space="preserve">m </w:t>
      </w:r>
      <w:r w:rsidR="00E36949" w:rsidRPr="00C45164">
        <w:rPr>
          <w:rFonts w:ascii="Times New Roman" w:hAnsi="Times New Roman" w:cs="Times New Roman"/>
          <w:kern w:val="0"/>
        </w:rPr>
        <w:t>filter</w:t>
      </w:r>
      <w:r w:rsidR="004743B8" w:rsidRPr="00C45164">
        <w:rPr>
          <w:rFonts w:ascii="Times New Roman" w:hAnsi="Times New Roman" w:cs="Times New Roman"/>
          <w:kern w:val="0"/>
        </w:rPr>
        <w:t xml:space="preserve"> </w:t>
      </w:r>
      <w:r w:rsidR="00232C89" w:rsidRPr="00C45164">
        <w:rPr>
          <w:rFonts w:ascii="Times New Roman" w:hAnsi="Times New Roman" w:cs="Times New Roman"/>
          <w:kern w:val="0"/>
        </w:rPr>
        <w:t>(Corning</w:t>
      </w:r>
      <w:r w:rsidR="004743B8" w:rsidRPr="00C45164">
        <w:rPr>
          <w:rFonts w:ascii="Times New Roman" w:hAnsi="Times New Roman" w:cs="Times New Roman"/>
          <w:kern w:val="0"/>
        </w:rPr>
        <w:t>)</w:t>
      </w:r>
      <w:r w:rsidR="00E36949" w:rsidRPr="00C45164">
        <w:rPr>
          <w:rFonts w:ascii="Times New Roman" w:hAnsi="Times New Roman" w:cs="Times New Roman"/>
          <w:kern w:val="0"/>
        </w:rPr>
        <w:t xml:space="preserve"> as virus solutions and stored </w:t>
      </w:r>
      <w:r w:rsidR="004743B8" w:rsidRPr="00C45164">
        <w:rPr>
          <w:rFonts w:ascii="Times New Roman" w:hAnsi="Times New Roman" w:cs="Times New Roman"/>
          <w:kern w:val="0"/>
        </w:rPr>
        <w:t>the aliquots</w:t>
      </w:r>
      <w:r w:rsidR="00E36949" w:rsidRPr="00C45164">
        <w:rPr>
          <w:rFonts w:ascii="Times New Roman" w:hAnsi="Times New Roman" w:cs="Times New Roman"/>
          <w:kern w:val="0"/>
        </w:rPr>
        <w:t xml:space="preserve"> at -80</w:t>
      </w:r>
      <w:r w:rsidR="00E36949" w:rsidRPr="00C45164">
        <w:rPr>
          <w:rFonts w:ascii="Times New Roman" w:eastAsia="MS Mincho" w:hAnsi="Times New Roman" w:cs="Times New Roman"/>
        </w:rPr>
        <w:t>ºC.</w:t>
      </w:r>
    </w:p>
    <w:p w14:paraId="3FD791C2" w14:textId="77777777" w:rsidR="00CB619E" w:rsidRPr="00C45164" w:rsidRDefault="00AC2956" w:rsidP="00224032">
      <w:pPr>
        <w:widowControl/>
        <w:autoSpaceDE w:val="0"/>
        <w:autoSpaceDN w:val="0"/>
        <w:adjustRightInd w:val="0"/>
        <w:ind w:firstLine="960"/>
        <w:jc w:val="left"/>
        <w:rPr>
          <w:rFonts w:ascii="Times New Roman" w:hAnsi="Times New Roman" w:cs="Times New Roman"/>
          <w:kern w:val="0"/>
        </w:rPr>
      </w:pPr>
      <w:r w:rsidRPr="00C45164">
        <w:rPr>
          <w:rFonts w:ascii="Times New Roman" w:hAnsi="Times New Roman" w:cs="Times New Roman"/>
          <w:kern w:val="0"/>
        </w:rPr>
        <w:t>For virus infection, the virus solutions</w:t>
      </w:r>
      <w:r w:rsidR="004C63DB" w:rsidRPr="00C45164">
        <w:rPr>
          <w:rFonts w:ascii="Times New Roman" w:hAnsi="Times New Roman" w:cs="Times New Roman"/>
          <w:kern w:val="0"/>
        </w:rPr>
        <w:t xml:space="preserve"> with 8</w:t>
      </w:r>
      <w:r w:rsidRPr="00C45164">
        <w:rPr>
          <w:rFonts w:ascii="Times New Roman" w:hAnsi="Times New Roman" w:cs="Times New Roman"/>
          <w:kern w:val="0"/>
        </w:rPr>
        <w:t>.0</w:t>
      </w:r>
      <w:r w:rsidR="00706B95" w:rsidRPr="00C45164">
        <w:rPr>
          <w:rFonts w:ascii="Times New Roman" w:hAnsi="Times New Roman" w:cs="Times New Roman"/>
          <w:kern w:val="0"/>
        </w:rPr>
        <w:t>µ</w:t>
      </w:r>
      <w:r w:rsidRPr="00C45164">
        <w:rPr>
          <w:rFonts w:ascii="Times New Roman" w:hAnsi="Times New Roman" w:cs="Times New Roman"/>
          <w:kern w:val="0"/>
        </w:rPr>
        <w:t xml:space="preserve">g/mL </w:t>
      </w:r>
      <w:proofErr w:type="spellStart"/>
      <w:r w:rsidRPr="00C45164">
        <w:rPr>
          <w:rFonts w:ascii="Times New Roman" w:hAnsi="Times New Roman" w:cs="Times New Roman"/>
          <w:kern w:val="0"/>
        </w:rPr>
        <w:t>polybrene</w:t>
      </w:r>
      <w:proofErr w:type="spellEnd"/>
      <w:r w:rsidR="004C63DB" w:rsidRPr="00C45164">
        <w:rPr>
          <w:rFonts w:ascii="Times New Roman" w:hAnsi="Times New Roman" w:cs="Times New Roman"/>
          <w:kern w:val="0"/>
        </w:rPr>
        <w:t xml:space="preserve"> were added to the cells</w:t>
      </w:r>
      <w:r w:rsidRPr="00C45164">
        <w:rPr>
          <w:rFonts w:ascii="Times New Roman" w:hAnsi="Times New Roman" w:cs="Times New Roman"/>
          <w:kern w:val="0"/>
        </w:rPr>
        <w:t xml:space="preserve"> (</w:t>
      </w:r>
      <w:r w:rsidR="00870B53" w:rsidRPr="00C45164">
        <w:rPr>
          <w:rFonts w:ascii="Times New Roman" w:hAnsi="Times New Roman" w:cs="Times New Roman"/>
          <w:kern w:val="0"/>
        </w:rPr>
        <w:t>1x10</w:t>
      </w:r>
      <w:r w:rsidR="00870B53" w:rsidRPr="00C45164">
        <w:rPr>
          <w:rFonts w:ascii="Times New Roman" w:hAnsi="Times New Roman" w:cs="Times New Roman"/>
          <w:kern w:val="0"/>
          <w:vertAlign w:val="superscript"/>
        </w:rPr>
        <w:t>5</w:t>
      </w:r>
      <w:r w:rsidRPr="00C45164">
        <w:rPr>
          <w:rFonts w:ascii="Times New Roman" w:hAnsi="Times New Roman" w:cs="Times New Roman"/>
          <w:kern w:val="0"/>
        </w:rPr>
        <w:t xml:space="preserve"> cells) in 6 well </w:t>
      </w:r>
      <w:proofErr w:type="gramStart"/>
      <w:r w:rsidRPr="00C45164">
        <w:rPr>
          <w:rFonts w:ascii="Times New Roman" w:hAnsi="Times New Roman" w:cs="Times New Roman"/>
          <w:kern w:val="0"/>
        </w:rPr>
        <w:t>plate</w:t>
      </w:r>
      <w:proofErr w:type="gramEnd"/>
      <w:r w:rsidR="004C63DB" w:rsidRPr="00C45164">
        <w:rPr>
          <w:rFonts w:ascii="Times New Roman" w:hAnsi="Times New Roman" w:cs="Times New Roman"/>
          <w:kern w:val="0"/>
        </w:rPr>
        <w:t>. At 24h after infection, the</w:t>
      </w:r>
      <w:r w:rsidR="002E5326" w:rsidRPr="00C45164">
        <w:rPr>
          <w:rFonts w:ascii="Times New Roman" w:hAnsi="Times New Roman" w:cs="Times New Roman"/>
          <w:kern w:val="0"/>
        </w:rPr>
        <w:t xml:space="preserve"> medium was changed</w:t>
      </w:r>
      <w:r w:rsidR="004C63DB" w:rsidRPr="00C45164">
        <w:rPr>
          <w:rFonts w:ascii="Times New Roman" w:hAnsi="Times New Roman" w:cs="Times New Roman"/>
          <w:kern w:val="0"/>
        </w:rPr>
        <w:t xml:space="preserve"> and at 48 hours </w:t>
      </w:r>
      <w:r w:rsidR="00CB619E" w:rsidRPr="00C45164">
        <w:rPr>
          <w:rFonts w:ascii="Times New Roman" w:hAnsi="Times New Roman" w:cs="Times New Roman"/>
          <w:kern w:val="0"/>
        </w:rPr>
        <w:t>after infection</w:t>
      </w:r>
      <w:r w:rsidR="00C0124A" w:rsidRPr="00C45164">
        <w:rPr>
          <w:rFonts w:ascii="Times New Roman" w:hAnsi="Times New Roman" w:cs="Times New Roman"/>
          <w:kern w:val="0"/>
        </w:rPr>
        <w:t>,</w:t>
      </w:r>
      <w:r w:rsidR="004C63DB" w:rsidRPr="00C45164">
        <w:rPr>
          <w:rFonts w:ascii="Times New Roman" w:hAnsi="Times New Roman" w:cs="Times New Roman"/>
          <w:kern w:val="0"/>
        </w:rPr>
        <w:t xml:space="preserve"> </w:t>
      </w:r>
      <w:r w:rsidR="004743B8" w:rsidRPr="00C45164">
        <w:rPr>
          <w:rFonts w:ascii="Times New Roman" w:hAnsi="Times New Roman" w:cs="Times New Roman"/>
          <w:kern w:val="0"/>
        </w:rPr>
        <w:t xml:space="preserve">the </w:t>
      </w:r>
      <w:r w:rsidR="004C63DB" w:rsidRPr="00C45164">
        <w:rPr>
          <w:rFonts w:ascii="Times New Roman" w:hAnsi="Times New Roman" w:cs="Times New Roman"/>
          <w:kern w:val="0"/>
        </w:rPr>
        <w:t>cells were selected with 1</w:t>
      </w:r>
      <w:r w:rsidR="00706B95" w:rsidRPr="00C45164">
        <w:rPr>
          <w:rFonts w:ascii="Times New Roman" w:hAnsi="Times New Roman" w:cs="Times New Roman"/>
          <w:kern w:val="0"/>
        </w:rPr>
        <w:t>µ</w:t>
      </w:r>
      <w:r w:rsidR="00CB619E" w:rsidRPr="00C45164">
        <w:rPr>
          <w:rFonts w:ascii="Times New Roman" w:hAnsi="Times New Roman" w:cs="Times New Roman"/>
          <w:kern w:val="0"/>
        </w:rPr>
        <w:t xml:space="preserve">g/mL </w:t>
      </w:r>
      <w:proofErr w:type="spellStart"/>
      <w:r w:rsidR="00CB619E" w:rsidRPr="00C45164">
        <w:rPr>
          <w:rFonts w:ascii="Times New Roman" w:hAnsi="Times New Roman" w:cs="Times New Roman"/>
          <w:kern w:val="0"/>
        </w:rPr>
        <w:t>puromycin</w:t>
      </w:r>
      <w:proofErr w:type="spellEnd"/>
      <w:r w:rsidR="00CB619E" w:rsidRPr="00C45164">
        <w:rPr>
          <w:rFonts w:ascii="Times New Roman" w:hAnsi="Times New Roman" w:cs="Times New Roman"/>
          <w:kern w:val="0"/>
        </w:rPr>
        <w:t xml:space="preserve"> (Sigma). </w:t>
      </w:r>
      <w:r w:rsidR="005D6521" w:rsidRPr="00C45164">
        <w:rPr>
          <w:rFonts w:ascii="Times New Roman" w:hAnsi="Times New Roman" w:cs="Times New Roman"/>
          <w:kern w:val="0"/>
        </w:rPr>
        <w:t xml:space="preserve">During </w:t>
      </w:r>
      <w:proofErr w:type="spellStart"/>
      <w:r w:rsidR="005D6521" w:rsidRPr="00C45164">
        <w:rPr>
          <w:rFonts w:ascii="Times New Roman" w:hAnsi="Times New Roman" w:cs="Times New Roman"/>
          <w:kern w:val="0"/>
        </w:rPr>
        <w:t>puromycin</w:t>
      </w:r>
      <w:proofErr w:type="spellEnd"/>
      <w:r w:rsidR="005D6521" w:rsidRPr="00C45164">
        <w:rPr>
          <w:rFonts w:ascii="Times New Roman" w:hAnsi="Times New Roman" w:cs="Times New Roman"/>
          <w:kern w:val="0"/>
        </w:rPr>
        <w:t xml:space="preserve"> selection, the medium containing </w:t>
      </w:r>
      <w:proofErr w:type="spellStart"/>
      <w:r w:rsidR="005D6521" w:rsidRPr="00C45164">
        <w:rPr>
          <w:rFonts w:ascii="Times New Roman" w:hAnsi="Times New Roman" w:cs="Times New Roman"/>
          <w:kern w:val="0"/>
        </w:rPr>
        <w:t>puromycin</w:t>
      </w:r>
      <w:proofErr w:type="spellEnd"/>
      <w:r w:rsidR="005D6521" w:rsidRPr="00C45164">
        <w:rPr>
          <w:rFonts w:ascii="Times New Roman" w:hAnsi="Times New Roman" w:cs="Times New Roman"/>
          <w:kern w:val="0"/>
        </w:rPr>
        <w:t xml:space="preserve"> </w:t>
      </w:r>
      <w:r w:rsidR="002E5326" w:rsidRPr="00C45164">
        <w:rPr>
          <w:rFonts w:ascii="Times New Roman" w:hAnsi="Times New Roman" w:cs="Times New Roman"/>
          <w:kern w:val="0"/>
        </w:rPr>
        <w:t xml:space="preserve">was replaced </w:t>
      </w:r>
      <w:r w:rsidR="005D6521" w:rsidRPr="00C45164">
        <w:rPr>
          <w:rFonts w:ascii="Times New Roman" w:hAnsi="Times New Roman" w:cs="Times New Roman"/>
          <w:kern w:val="0"/>
        </w:rPr>
        <w:t>every</w:t>
      </w:r>
      <w:r w:rsidR="004743B8" w:rsidRPr="00C45164">
        <w:rPr>
          <w:rFonts w:ascii="Times New Roman" w:hAnsi="Times New Roman" w:cs="Times New Roman"/>
          <w:kern w:val="0"/>
        </w:rPr>
        <w:t xml:space="preserve"> 2</w:t>
      </w:r>
      <w:r w:rsidR="005D6521" w:rsidRPr="00C45164">
        <w:rPr>
          <w:rFonts w:ascii="Times New Roman" w:hAnsi="Times New Roman" w:cs="Times New Roman"/>
          <w:kern w:val="0"/>
        </w:rPr>
        <w:t xml:space="preserve"> days.</w:t>
      </w:r>
      <w:r w:rsidR="00C0124A" w:rsidRPr="00C45164">
        <w:rPr>
          <w:rFonts w:ascii="Times New Roman" w:hAnsi="Times New Roman" w:cs="Times New Roman"/>
          <w:kern w:val="0"/>
        </w:rPr>
        <w:t xml:space="preserve"> The </w:t>
      </w:r>
      <w:r w:rsidR="004743B8" w:rsidRPr="00C45164">
        <w:rPr>
          <w:rFonts w:ascii="Times New Roman" w:hAnsi="Times New Roman" w:cs="Times New Roman"/>
          <w:kern w:val="0"/>
        </w:rPr>
        <w:t>selections were completed at 7-8</w:t>
      </w:r>
      <w:r w:rsidR="00C0124A" w:rsidRPr="00C45164">
        <w:rPr>
          <w:rFonts w:ascii="Times New Roman" w:hAnsi="Times New Roman" w:cs="Times New Roman"/>
          <w:kern w:val="0"/>
        </w:rPr>
        <w:t xml:space="preserve"> days after transduction.</w:t>
      </w:r>
    </w:p>
    <w:p w14:paraId="4BFFA754" w14:textId="573062D9" w:rsidR="005D6521" w:rsidRPr="00C45164" w:rsidRDefault="00700E5E" w:rsidP="00224032">
      <w:pPr>
        <w:widowControl/>
        <w:autoSpaceDE w:val="0"/>
        <w:autoSpaceDN w:val="0"/>
        <w:adjustRightInd w:val="0"/>
        <w:ind w:firstLine="960"/>
        <w:jc w:val="left"/>
        <w:rPr>
          <w:rFonts w:ascii="Times New Roman" w:hAnsi="Times New Roman" w:cs="Times New Roman"/>
          <w:kern w:val="0"/>
        </w:rPr>
      </w:pPr>
      <w:r w:rsidRPr="00C45164">
        <w:rPr>
          <w:rFonts w:ascii="Times New Roman" w:hAnsi="Times New Roman" w:cs="Times New Roman"/>
          <w:kern w:val="0"/>
        </w:rPr>
        <w:t xml:space="preserve">At 12 days after </w:t>
      </w:r>
      <w:proofErr w:type="spellStart"/>
      <w:r w:rsidRPr="00C45164">
        <w:rPr>
          <w:rFonts w:ascii="Times New Roman" w:hAnsi="Times New Roman" w:cs="Times New Roman"/>
          <w:kern w:val="0"/>
        </w:rPr>
        <w:t>sh</w:t>
      </w:r>
      <w:r w:rsidR="00E55718" w:rsidRPr="00C45164">
        <w:rPr>
          <w:rFonts w:ascii="Times New Roman" w:hAnsi="Times New Roman" w:cs="Times New Roman"/>
          <w:i/>
        </w:rPr>
        <w:t>DRAIC</w:t>
      </w:r>
      <w:proofErr w:type="spellEnd"/>
      <w:r w:rsidR="002E5326" w:rsidRPr="00C45164">
        <w:rPr>
          <w:rFonts w:ascii="Times New Roman" w:hAnsi="Times New Roman" w:cs="Times New Roman"/>
          <w:kern w:val="0"/>
        </w:rPr>
        <w:t xml:space="preserve"> transduction in </w:t>
      </w:r>
      <w:proofErr w:type="spellStart"/>
      <w:r w:rsidR="002E5326" w:rsidRPr="00C45164">
        <w:rPr>
          <w:rFonts w:ascii="Times New Roman" w:hAnsi="Times New Roman" w:cs="Times New Roman"/>
          <w:kern w:val="0"/>
        </w:rPr>
        <w:t>LNCaP</w:t>
      </w:r>
      <w:proofErr w:type="spellEnd"/>
      <w:r w:rsidRPr="00C45164">
        <w:rPr>
          <w:rFonts w:ascii="Times New Roman" w:hAnsi="Times New Roman" w:cs="Times New Roman"/>
          <w:kern w:val="0"/>
        </w:rPr>
        <w:t xml:space="preserve"> cells, the expression of </w:t>
      </w:r>
      <w:r w:rsidR="00E55718" w:rsidRPr="00C45164">
        <w:rPr>
          <w:rFonts w:ascii="Times New Roman" w:hAnsi="Times New Roman" w:cs="Times New Roman"/>
          <w:i/>
        </w:rPr>
        <w:t>DRAIC</w:t>
      </w:r>
      <w:r w:rsidRPr="00C45164">
        <w:rPr>
          <w:rFonts w:ascii="Times New Roman" w:hAnsi="Times New Roman" w:cs="Times New Roman"/>
          <w:kern w:val="0"/>
        </w:rPr>
        <w:t xml:space="preserve"> was mea</w:t>
      </w:r>
      <w:r w:rsidR="00E60641" w:rsidRPr="00C45164">
        <w:rPr>
          <w:rFonts w:ascii="Times New Roman" w:hAnsi="Times New Roman" w:cs="Times New Roman"/>
          <w:kern w:val="0"/>
        </w:rPr>
        <w:t>sured by RT-</w:t>
      </w:r>
      <w:proofErr w:type="spellStart"/>
      <w:r w:rsidR="00E60641" w:rsidRPr="00C45164">
        <w:rPr>
          <w:rFonts w:ascii="Times New Roman" w:hAnsi="Times New Roman" w:cs="Times New Roman"/>
          <w:kern w:val="0"/>
        </w:rPr>
        <w:t>qPCR</w:t>
      </w:r>
      <w:proofErr w:type="spellEnd"/>
      <w:r w:rsidR="00E60641" w:rsidRPr="00C45164">
        <w:rPr>
          <w:rFonts w:ascii="Times New Roman" w:hAnsi="Times New Roman" w:cs="Times New Roman"/>
          <w:kern w:val="0"/>
        </w:rPr>
        <w:t xml:space="preserve"> (Fig.</w:t>
      </w:r>
      <w:r w:rsidR="002E5326" w:rsidRPr="00C45164">
        <w:rPr>
          <w:rFonts w:ascii="Times New Roman" w:hAnsi="Times New Roman" w:cs="Times New Roman"/>
          <w:kern w:val="0"/>
        </w:rPr>
        <w:t xml:space="preserve"> </w:t>
      </w:r>
      <w:r w:rsidR="00CA7DF9" w:rsidRPr="00C45164">
        <w:rPr>
          <w:rFonts w:ascii="Times New Roman" w:hAnsi="Times New Roman" w:cs="Times New Roman"/>
          <w:kern w:val="0"/>
        </w:rPr>
        <w:t>6C</w:t>
      </w:r>
      <w:r w:rsidR="00E60641" w:rsidRPr="00C45164">
        <w:rPr>
          <w:rFonts w:ascii="Times New Roman" w:hAnsi="Times New Roman" w:cs="Times New Roman"/>
          <w:kern w:val="0"/>
        </w:rPr>
        <w:t>). At 17</w:t>
      </w:r>
      <w:r w:rsidRPr="00C45164">
        <w:rPr>
          <w:rFonts w:ascii="Times New Roman" w:hAnsi="Times New Roman" w:cs="Times New Roman"/>
          <w:kern w:val="0"/>
        </w:rPr>
        <w:t xml:space="preserve"> days after </w:t>
      </w:r>
      <w:proofErr w:type="spellStart"/>
      <w:r w:rsidRPr="00C45164">
        <w:rPr>
          <w:rFonts w:ascii="Times New Roman" w:hAnsi="Times New Roman" w:cs="Times New Roman"/>
          <w:kern w:val="0"/>
        </w:rPr>
        <w:t>sh</w:t>
      </w:r>
      <w:r w:rsidR="00E55718" w:rsidRPr="00C45164">
        <w:rPr>
          <w:rFonts w:ascii="Times New Roman" w:hAnsi="Times New Roman" w:cs="Times New Roman"/>
          <w:i/>
        </w:rPr>
        <w:t>DRAIC</w:t>
      </w:r>
      <w:proofErr w:type="spellEnd"/>
      <w:r w:rsidR="002E5326" w:rsidRPr="00C45164">
        <w:rPr>
          <w:rFonts w:ascii="Times New Roman" w:hAnsi="Times New Roman" w:cs="Times New Roman"/>
          <w:kern w:val="0"/>
        </w:rPr>
        <w:t xml:space="preserve"> transduction in </w:t>
      </w:r>
      <w:proofErr w:type="spellStart"/>
      <w:r w:rsidR="002E5326" w:rsidRPr="00C45164">
        <w:rPr>
          <w:rFonts w:ascii="Times New Roman" w:hAnsi="Times New Roman" w:cs="Times New Roman"/>
          <w:kern w:val="0"/>
        </w:rPr>
        <w:t>LNCaP</w:t>
      </w:r>
      <w:proofErr w:type="spellEnd"/>
      <w:r w:rsidRPr="00C45164">
        <w:rPr>
          <w:rFonts w:ascii="Times New Roman" w:hAnsi="Times New Roman" w:cs="Times New Roman"/>
          <w:kern w:val="0"/>
        </w:rPr>
        <w:t xml:space="preserve"> cells, the cells were seeded to new 6 well plate</w:t>
      </w:r>
      <w:r w:rsidR="002E5326" w:rsidRPr="00C45164">
        <w:rPr>
          <w:rFonts w:ascii="Times New Roman" w:hAnsi="Times New Roman" w:cs="Times New Roman"/>
          <w:kern w:val="0"/>
        </w:rPr>
        <w:t>s</w:t>
      </w:r>
      <w:r w:rsidRPr="00C45164">
        <w:rPr>
          <w:rFonts w:ascii="Times New Roman" w:hAnsi="Times New Roman" w:cs="Times New Roman"/>
          <w:kern w:val="0"/>
        </w:rPr>
        <w:t xml:space="preserve"> and scratch wound healing assa</w:t>
      </w:r>
      <w:r w:rsidR="00E60641" w:rsidRPr="00C45164">
        <w:rPr>
          <w:rFonts w:ascii="Times New Roman" w:hAnsi="Times New Roman" w:cs="Times New Roman"/>
          <w:kern w:val="0"/>
        </w:rPr>
        <w:t>y were performed (Fig.</w:t>
      </w:r>
      <w:r w:rsidR="002E5326" w:rsidRPr="00C45164">
        <w:rPr>
          <w:rFonts w:ascii="Times New Roman" w:hAnsi="Times New Roman" w:cs="Times New Roman"/>
          <w:kern w:val="0"/>
        </w:rPr>
        <w:t xml:space="preserve"> </w:t>
      </w:r>
      <w:r w:rsidR="00CA7DF9" w:rsidRPr="00C45164">
        <w:rPr>
          <w:rFonts w:ascii="Times New Roman" w:hAnsi="Times New Roman" w:cs="Times New Roman"/>
          <w:kern w:val="0"/>
        </w:rPr>
        <w:t>6E</w:t>
      </w:r>
      <w:r w:rsidR="00E60641" w:rsidRPr="00C45164">
        <w:rPr>
          <w:rFonts w:ascii="Times New Roman" w:hAnsi="Times New Roman" w:cs="Times New Roman"/>
          <w:kern w:val="0"/>
        </w:rPr>
        <w:t>). At 12</w:t>
      </w:r>
      <w:r w:rsidRPr="00C45164">
        <w:rPr>
          <w:rFonts w:ascii="Times New Roman" w:hAnsi="Times New Roman" w:cs="Times New Roman"/>
          <w:kern w:val="0"/>
        </w:rPr>
        <w:t xml:space="preserve"> days after </w:t>
      </w:r>
      <w:proofErr w:type="spellStart"/>
      <w:r w:rsidRPr="00C45164">
        <w:rPr>
          <w:rFonts w:ascii="Times New Roman" w:hAnsi="Times New Roman" w:cs="Times New Roman"/>
          <w:kern w:val="0"/>
        </w:rPr>
        <w:t>sh</w:t>
      </w:r>
      <w:r w:rsidR="00E55718" w:rsidRPr="00C45164">
        <w:rPr>
          <w:rFonts w:ascii="Times New Roman" w:hAnsi="Times New Roman" w:cs="Times New Roman"/>
          <w:i/>
        </w:rPr>
        <w:t>DRAIC</w:t>
      </w:r>
      <w:proofErr w:type="spellEnd"/>
      <w:r w:rsidR="002E5326" w:rsidRPr="00C45164">
        <w:rPr>
          <w:rFonts w:ascii="Times New Roman" w:hAnsi="Times New Roman" w:cs="Times New Roman"/>
          <w:kern w:val="0"/>
        </w:rPr>
        <w:t xml:space="preserve"> transduction in </w:t>
      </w:r>
      <w:proofErr w:type="spellStart"/>
      <w:r w:rsidR="002E5326" w:rsidRPr="00C45164">
        <w:rPr>
          <w:rFonts w:ascii="Times New Roman" w:hAnsi="Times New Roman" w:cs="Times New Roman"/>
          <w:kern w:val="0"/>
        </w:rPr>
        <w:t>LNCaP</w:t>
      </w:r>
      <w:proofErr w:type="spellEnd"/>
      <w:r w:rsidRPr="00C45164">
        <w:rPr>
          <w:rFonts w:ascii="Times New Roman" w:hAnsi="Times New Roman" w:cs="Times New Roman"/>
          <w:kern w:val="0"/>
        </w:rPr>
        <w:t xml:space="preserve"> cells, the cells were seeded to </w:t>
      </w:r>
      <w:proofErr w:type="spellStart"/>
      <w:r w:rsidRPr="00C45164">
        <w:rPr>
          <w:rFonts w:ascii="Times New Roman" w:hAnsi="Times New Roman" w:cs="Times New Roman"/>
          <w:kern w:val="0"/>
        </w:rPr>
        <w:t>Matrigel</w:t>
      </w:r>
      <w:proofErr w:type="spellEnd"/>
      <w:r w:rsidRPr="00C45164">
        <w:rPr>
          <w:rFonts w:ascii="Times New Roman" w:hAnsi="Times New Roman" w:cs="Times New Roman"/>
          <w:kern w:val="0"/>
        </w:rPr>
        <w:t xml:space="preserve"> invasion chamber and invasion assays were performed (Fig.</w:t>
      </w:r>
      <w:r w:rsidR="002E5326" w:rsidRPr="00C45164">
        <w:rPr>
          <w:rFonts w:ascii="Times New Roman" w:hAnsi="Times New Roman" w:cs="Times New Roman"/>
          <w:kern w:val="0"/>
        </w:rPr>
        <w:t xml:space="preserve"> </w:t>
      </w:r>
      <w:r w:rsidR="00CA7DF9" w:rsidRPr="00C45164">
        <w:rPr>
          <w:rFonts w:ascii="Times New Roman" w:hAnsi="Times New Roman" w:cs="Times New Roman"/>
          <w:kern w:val="0"/>
        </w:rPr>
        <w:t>6F</w:t>
      </w:r>
      <w:r w:rsidRPr="00C45164">
        <w:rPr>
          <w:rFonts w:ascii="Times New Roman" w:hAnsi="Times New Roman" w:cs="Times New Roman"/>
          <w:kern w:val="0"/>
        </w:rPr>
        <w:t>).</w:t>
      </w:r>
    </w:p>
    <w:p w14:paraId="29C311EA" w14:textId="77777777" w:rsidR="001C6243" w:rsidRPr="00C45164" w:rsidRDefault="001C6243" w:rsidP="00A650E1">
      <w:pPr>
        <w:rPr>
          <w:rFonts w:ascii="Times New Roman" w:hAnsi="Times New Roman" w:cs="Times New Roman"/>
        </w:rPr>
      </w:pPr>
    </w:p>
    <w:p w14:paraId="3B931407" w14:textId="0A2CA687" w:rsidR="00C443FC" w:rsidRPr="00C45164" w:rsidRDefault="006B76D1" w:rsidP="00C443FC">
      <w:pPr>
        <w:rPr>
          <w:rFonts w:ascii="Times New Roman" w:hAnsi="Times New Roman" w:cs="Times New Roman"/>
          <w:b/>
        </w:rPr>
      </w:pPr>
      <w:r w:rsidRPr="00C45164">
        <w:rPr>
          <w:rFonts w:ascii="Times New Roman" w:hAnsi="Times New Roman" w:cs="Times New Roman"/>
          <w:b/>
        </w:rPr>
        <w:t>(5</w:t>
      </w:r>
      <w:r w:rsidR="00C443FC" w:rsidRPr="00C45164">
        <w:rPr>
          <w:rFonts w:ascii="Times New Roman" w:hAnsi="Times New Roman" w:cs="Times New Roman"/>
          <w:b/>
        </w:rPr>
        <w:t>) RT-PCR</w:t>
      </w:r>
    </w:p>
    <w:p w14:paraId="1474181A" w14:textId="77777777" w:rsidR="00C443FC" w:rsidRPr="00C45164" w:rsidRDefault="00C443FC" w:rsidP="00C443FC">
      <w:pPr>
        <w:widowControl/>
        <w:autoSpaceDE w:val="0"/>
        <w:autoSpaceDN w:val="0"/>
        <w:adjustRightInd w:val="0"/>
        <w:ind w:firstLine="960"/>
        <w:jc w:val="left"/>
        <w:rPr>
          <w:rFonts w:ascii="Times New Roman" w:hAnsi="Times New Roman" w:cs="Times New Roman"/>
          <w:kern w:val="0"/>
        </w:rPr>
      </w:pPr>
      <w:proofErr w:type="gramStart"/>
      <w:r w:rsidRPr="00C45164">
        <w:rPr>
          <w:rFonts w:ascii="Times New Roman" w:hAnsi="Times New Roman" w:cs="Times New Roman"/>
          <w:kern w:val="0"/>
        </w:rPr>
        <w:t>cDNA</w:t>
      </w:r>
      <w:proofErr w:type="gramEnd"/>
      <w:r w:rsidRPr="00C45164">
        <w:rPr>
          <w:rFonts w:ascii="Times New Roman" w:hAnsi="Times New Roman" w:cs="Times New Roman"/>
          <w:kern w:val="0"/>
        </w:rPr>
        <w:t xml:space="preserve"> was synthesized with Random </w:t>
      </w:r>
      <w:proofErr w:type="spellStart"/>
      <w:r w:rsidRPr="00C45164">
        <w:rPr>
          <w:rFonts w:ascii="Times New Roman" w:hAnsi="Times New Roman" w:cs="Times New Roman"/>
          <w:kern w:val="0"/>
        </w:rPr>
        <w:t>hexamer</w:t>
      </w:r>
      <w:proofErr w:type="spellEnd"/>
      <w:r w:rsidRPr="00C45164">
        <w:rPr>
          <w:rFonts w:ascii="Times New Roman" w:hAnsi="Times New Roman" w:cs="Times New Roman"/>
          <w:kern w:val="0"/>
        </w:rPr>
        <w:t xml:space="preserve"> by the Superscript III First Strand Synthesis System (Invitrogen). Quantitative RT-PCR was performed by 7300 Real time PCR system (Applied </w:t>
      </w:r>
      <w:proofErr w:type="spellStart"/>
      <w:r w:rsidRPr="00C45164">
        <w:rPr>
          <w:rFonts w:ascii="Times New Roman" w:hAnsi="Times New Roman" w:cs="Times New Roman"/>
          <w:kern w:val="0"/>
        </w:rPr>
        <w:t>Biosystems</w:t>
      </w:r>
      <w:proofErr w:type="spellEnd"/>
      <w:r w:rsidRPr="00C45164">
        <w:rPr>
          <w:rFonts w:ascii="Times New Roman" w:hAnsi="Times New Roman" w:cs="Times New Roman"/>
          <w:kern w:val="0"/>
        </w:rPr>
        <w:t xml:space="preserve">) with </w:t>
      </w:r>
      <w:proofErr w:type="spellStart"/>
      <w:r w:rsidRPr="00C45164">
        <w:rPr>
          <w:rFonts w:ascii="Times New Roman" w:hAnsi="Times New Roman" w:cs="Times New Roman"/>
          <w:kern w:val="0"/>
        </w:rPr>
        <w:t>ABsolute</w:t>
      </w:r>
      <w:proofErr w:type="spellEnd"/>
      <w:r w:rsidRPr="00C45164">
        <w:rPr>
          <w:rFonts w:ascii="Times New Roman" w:hAnsi="Times New Roman" w:cs="Times New Roman"/>
          <w:kern w:val="0"/>
        </w:rPr>
        <w:t xml:space="preserve"> Blue SYBR Green Mixes (Thermo SCIENTIFIC). Relative expressions for the target RNAs were determined by the comparative CT method after normalization to </w:t>
      </w:r>
      <w:r w:rsidRPr="00C45164">
        <w:rPr>
          <w:rFonts w:ascii="Times New Roman" w:hAnsi="Times New Roman" w:cs="Times New Roman"/>
          <w:i/>
          <w:kern w:val="0"/>
        </w:rPr>
        <w:t>GAPDH</w:t>
      </w:r>
      <w:r w:rsidRPr="00C45164">
        <w:rPr>
          <w:rFonts w:ascii="Times New Roman" w:hAnsi="Times New Roman" w:cs="Times New Roman"/>
          <w:kern w:val="0"/>
        </w:rPr>
        <w:t>. Semi-</w:t>
      </w:r>
      <w:proofErr w:type="spellStart"/>
      <w:r w:rsidRPr="00C45164">
        <w:rPr>
          <w:rFonts w:ascii="Times New Roman" w:hAnsi="Times New Roman" w:cs="Times New Roman"/>
          <w:kern w:val="0"/>
        </w:rPr>
        <w:t>quantative</w:t>
      </w:r>
      <w:proofErr w:type="spellEnd"/>
      <w:r w:rsidRPr="00C45164">
        <w:rPr>
          <w:rFonts w:ascii="Times New Roman" w:hAnsi="Times New Roman" w:cs="Times New Roman"/>
          <w:kern w:val="0"/>
        </w:rPr>
        <w:t xml:space="preserve"> RT-PCR was performed by LA-</w:t>
      </w:r>
      <w:proofErr w:type="spellStart"/>
      <w:r w:rsidRPr="00C45164">
        <w:rPr>
          <w:rFonts w:ascii="Times New Roman" w:hAnsi="Times New Roman" w:cs="Times New Roman"/>
          <w:kern w:val="0"/>
        </w:rPr>
        <w:t>Taq</w:t>
      </w:r>
      <w:proofErr w:type="spellEnd"/>
      <w:r w:rsidRPr="00C45164">
        <w:rPr>
          <w:rFonts w:ascii="Times New Roman" w:hAnsi="Times New Roman" w:cs="Times New Roman"/>
          <w:kern w:val="0"/>
        </w:rPr>
        <w:t xml:space="preserve"> (</w:t>
      </w:r>
      <w:proofErr w:type="spellStart"/>
      <w:r w:rsidRPr="00C45164">
        <w:rPr>
          <w:rFonts w:ascii="Times New Roman" w:hAnsi="Times New Roman" w:cs="Times New Roman"/>
          <w:kern w:val="0"/>
        </w:rPr>
        <w:t>TaKaRa</w:t>
      </w:r>
      <w:proofErr w:type="spellEnd"/>
      <w:r w:rsidRPr="00C45164">
        <w:rPr>
          <w:rFonts w:ascii="Times New Roman" w:hAnsi="Times New Roman" w:cs="Times New Roman"/>
          <w:kern w:val="0"/>
        </w:rPr>
        <w:t xml:space="preserve">) with 2720 Thermal Cycler (Applied </w:t>
      </w:r>
      <w:proofErr w:type="spellStart"/>
      <w:r w:rsidRPr="00C45164">
        <w:rPr>
          <w:rFonts w:ascii="Times New Roman" w:hAnsi="Times New Roman" w:cs="Times New Roman"/>
          <w:kern w:val="0"/>
        </w:rPr>
        <w:t>Biosystems</w:t>
      </w:r>
      <w:proofErr w:type="spellEnd"/>
      <w:r w:rsidRPr="00C45164">
        <w:rPr>
          <w:rFonts w:ascii="Times New Roman" w:hAnsi="Times New Roman" w:cs="Times New Roman"/>
          <w:kern w:val="0"/>
        </w:rPr>
        <w:t>). The primers sequences for RT-PCR analysis are shown in Supplementary Table 1.</w:t>
      </w:r>
    </w:p>
    <w:p w14:paraId="44CD62D4" w14:textId="77777777" w:rsidR="00C443FC" w:rsidRPr="00C45164" w:rsidRDefault="00C443FC" w:rsidP="00C443FC">
      <w:pPr>
        <w:rPr>
          <w:rFonts w:ascii="Times New Roman" w:hAnsi="Times New Roman" w:cs="Times New Roman"/>
        </w:rPr>
      </w:pPr>
    </w:p>
    <w:p w14:paraId="16554080" w14:textId="292F7329" w:rsidR="00C443FC" w:rsidRPr="00C45164" w:rsidRDefault="006B76D1" w:rsidP="00C443FC">
      <w:pPr>
        <w:rPr>
          <w:rFonts w:ascii="Times New Roman" w:hAnsi="Times New Roman" w:cs="Times New Roman"/>
          <w:b/>
        </w:rPr>
      </w:pPr>
      <w:r w:rsidRPr="00C45164">
        <w:rPr>
          <w:rFonts w:ascii="Times New Roman" w:hAnsi="Times New Roman" w:cs="Times New Roman"/>
          <w:b/>
        </w:rPr>
        <w:t>(6</w:t>
      </w:r>
      <w:r w:rsidR="00C443FC" w:rsidRPr="00C45164">
        <w:rPr>
          <w:rFonts w:ascii="Times New Roman" w:hAnsi="Times New Roman" w:cs="Times New Roman"/>
          <w:b/>
        </w:rPr>
        <w:t>) Western blotting</w:t>
      </w:r>
    </w:p>
    <w:p w14:paraId="5F982E0A" w14:textId="77777777" w:rsidR="00C443FC" w:rsidRPr="00C45164" w:rsidRDefault="00C443FC" w:rsidP="00C443FC">
      <w:pPr>
        <w:ind w:firstLine="960"/>
        <w:rPr>
          <w:rFonts w:ascii="Times New Roman" w:hAnsi="Times New Roman" w:cs="Times New Roman"/>
        </w:rPr>
      </w:pPr>
      <w:r w:rsidRPr="00C45164">
        <w:rPr>
          <w:rFonts w:ascii="Times New Roman" w:hAnsi="Times New Roman" w:cs="Times New Roman"/>
          <w:kern w:val="0"/>
        </w:rPr>
        <w:t xml:space="preserve">Total protein extracts were prepared by boiling the cells in SDS sample gel buffer for 10 min at 95°C. The proteins (10-20µg) were then separated by 6-8% SDS-PAGE and transferred into </w:t>
      </w:r>
      <w:proofErr w:type="spellStart"/>
      <w:r w:rsidRPr="00C45164">
        <w:rPr>
          <w:rFonts w:ascii="Times New Roman" w:hAnsi="Times New Roman" w:cs="Times New Roman"/>
          <w:kern w:val="0"/>
        </w:rPr>
        <w:t>Immobilon</w:t>
      </w:r>
      <w:proofErr w:type="spellEnd"/>
      <w:r w:rsidRPr="00C45164">
        <w:rPr>
          <w:rFonts w:ascii="Times New Roman" w:hAnsi="Times New Roman" w:cs="Times New Roman"/>
          <w:kern w:val="0"/>
        </w:rPr>
        <w:t xml:space="preserve">-P PVDF membranes (Millipore). </w:t>
      </w:r>
      <w:proofErr w:type="spellStart"/>
      <w:r w:rsidRPr="00C45164">
        <w:rPr>
          <w:rFonts w:ascii="Times New Roman" w:hAnsi="Times New Roman" w:cs="Times New Roman"/>
          <w:kern w:val="0"/>
        </w:rPr>
        <w:t>Immunoblotting</w:t>
      </w:r>
      <w:proofErr w:type="spellEnd"/>
      <w:r w:rsidRPr="00C45164">
        <w:rPr>
          <w:rFonts w:ascii="Times New Roman" w:hAnsi="Times New Roman" w:cs="Times New Roman"/>
          <w:kern w:val="0"/>
        </w:rPr>
        <w:t xml:space="preserve"> was performed by incubating the membrane for 1-2 hours at RT with primary antibodies. After three washes with phosphate-buffered saline containing Tween, secondary antibodies were incubated with the membranes for 45 minutes at RT. After five washes with phosphate-buffered saline containing Tween, signals were detected using </w:t>
      </w:r>
      <w:proofErr w:type="spellStart"/>
      <w:r w:rsidRPr="00C45164">
        <w:rPr>
          <w:rFonts w:ascii="Times New Roman" w:hAnsi="Times New Roman" w:cs="Times New Roman"/>
          <w:kern w:val="0"/>
        </w:rPr>
        <w:t>Immobilon</w:t>
      </w:r>
      <w:proofErr w:type="spellEnd"/>
      <w:r w:rsidRPr="00C45164">
        <w:rPr>
          <w:rFonts w:ascii="Times New Roman" w:hAnsi="Times New Roman" w:cs="Times New Roman"/>
          <w:kern w:val="0"/>
        </w:rPr>
        <w:t xml:space="preserve"> Western </w:t>
      </w:r>
      <w:proofErr w:type="spellStart"/>
      <w:r w:rsidRPr="00C45164">
        <w:rPr>
          <w:rFonts w:ascii="Times New Roman" w:hAnsi="Times New Roman" w:cs="Times New Roman"/>
          <w:kern w:val="0"/>
        </w:rPr>
        <w:t>Chemiluminescent</w:t>
      </w:r>
      <w:proofErr w:type="spellEnd"/>
      <w:r w:rsidRPr="00C45164">
        <w:rPr>
          <w:rFonts w:ascii="Times New Roman" w:hAnsi="Times New Roman" w:cs="Times New Roman"/>
          <w:kern w:val="0"/>
        </w:rPr>
        <w:t xml:space="preserve"> HRP Substrate (Millipore). The primary antibodies used in western blotting are: anti-AR (H-280, Santa Cruz), anti-FOXA1 (ab23738, </w:t>
      </w:r>
      <w:proofErr w:type="spellStart"/>
      <w:r w:rsidRPr="00C45164">
        <w:rPr>
          <w:rFonts w:ascii="Times New Roman" w:hAnsi="Times New Roman" w:cs="Times New Roman"/>
          <w:kern w:val="0"/>
        </w:rPr>
        <w:t>Abcam</w:t>
      </w:r>
      <w:proofErr w:type="spellEnd"/>
      <w:r w:rsidRPr="00C45164">
        <w:rPr>
          <w:rFonts w:ascii="Times New Roman" w:hAnsi="Times New Roman" w:cs="Times New Roman"/>
          <w:kern w:val="0"/>
        </w:rPr>
        <w:t xml:space="preserve">), anti-NKX3-1 </w:t>
      </w:r>
      <w:r w:rsidRPr="00C45164">
        <w:rPr>
          <w:rFonts w:ascii="Times New Roman" w:hAnsi="Times New Roman" w:cs="Times New Roman"/>
          <w:kern w:val="0"/>
        </w:rPr>
        <w:lastRenderedPageBreak/>
        <w:t xml:space="preserve">(sc-15022, Santa Cruz) and anti-Actin (sc-47778, Santa Cruz). The secondary antibodies used in western blotting are: Rabbit (P0448, </w:t>
      </w:r>
      <w:proofErr w:type="spellStart"/>
      <w:r w:rsidRPr="00C45164">
        <w:rPr>
          <w:rFonts w:ascii="Times New Roman" w:hAnsi="Times New Roman" w:cs="Times New Roman"/>
          <w:kern w:val="0"/>
        </w:rPr>
        <w:t>Dako</w:t>
      </w:r>
      <w:proofErr w:type="spellEnd"/>
      <w:r w:rsidRPr="00C45164">
        <w:rPr>
          <w:rFonts w:ascii="Times New Roman" w:hAnsi="Times New Roman" w:cs="Times New Roman"/>
          <w:kern w:val="0"/>
        </w:rPr>
        <w:t xml:space="preserve">), Mouse (P0161, </w:t>
      </w:r>
      <w:proofErr w:type="spellStart"/>
      <w:r w:rsidRPr="00C45164">
        <w:rPr>
          <w:rFonts w:ascii="Times New Roman" w:hAnsi="Times New Roman" w:cs="Times New Roman"/>
          <w:kern w:val="0"/>
        </w:rPr>
        <w:t>Dako</w:t>
      </w:r>
      <w:proofErr w:type="spellEnd"/>
      <w:r w:rsidRPr="00C45164">
        <w:rPr>
          <w:rFonts w:ascii="Times New Roman" w:hAnsi="Times New Roman" w:cs="Times New Roman"/>
          <w:kern w:val="0"/>
        </w:rPr>
        <w:t xml:space="preserve">) and Goat (P0160, </w:t>
      </w:r>
      <w:proofErr w:type="spellStart"/>
      <w:r w:rsidRPr="00C45164">
        <w:rPr>
          <w:rFonts w:ascii="Times New Roman" w:hAnsi="Times New Roman" w:cs="Times New Roman"/>
          <w:kern w:val="0"/>
        </w:rPr>
        <w:t>Dako</w:t>
      </w:r>
      <w:proofErr w:type="spellEnd"/>
      <w:r w:rsidRPr="00C45164">
        <w:rPr>
          <w:rFonts w:ascii="Times New Roman" w:hAnsi="Times New Roman" w:cs="Times New Roman"/>
          <w:kern w:val="0"/>
        </w:rPr>
        <w:t>).</w:t>
      </w:r>
    </w:p>
    <w:p w14:paraId="6C2B10AB" w14:textId="77777777" w:rsidR="00C443FC" w:rsidRPr="00C45164" w:rsidRDefault="00C443FC" w:rsidP="00A650E1">
      <w:pPr>
        <w:rPr>
          <w:rFonts w:ascii="Times New Roman" w:hAnsi="Times New Roman" w:cs="Times New Roman"/>
        </w:rPr>
      </w:pPr>
    </w:p>
    <w:p w14:paraId="4B2B648F" w14:textId="6A4838DE" w:rsidR="00C443FC" w:rsidRPr="00C45164" w:rsidRDefault="006B76D1" w:rsidP="00C443FC">
      <w:pPr>
        <w:rPr>
          <w:rFonts w:ascii="Times New Roman" w:hAnsi="Times New Roman" w:cs="Times New Roman"/>
          <w:b/>
        </w:rPr>
      </w:pPr>
      <w:r w:rsidRPr="00C45164">
        <w:rPr>
          <w:rFonts w:ascii="Times New Roman" w:hAnsi="Times New Roman" w:cs="Times New Roman"/>
          <w:b/>
        </w:rPr>
        <w:t>(7</w:t>
      </w:r>
      <w:r w:rsidR="00C443FC" w:rsidRPr="00C45164">
        <w:rPr>
          <w:rFonts w:ascii="Times New Roman" w:hAnsi="Times New Roman" w:cs="Times New Roman"/>
          <w:b/>
        </w:rPr>
        <w:t>) 3’RACE (Rapid amplification of cDNA ends)</w:t>
      </w:r>
    </w:p>
    <w:p w14:paraId="5ABDA647" w14:textId="77777777" w:rsidR="00C443FC" w:rsidRPr="00C45164" w:rsidRDefault="00C443FC" w:rsidP="00C443FC">
      <w:pPr>
        <w:ind w:firstLine="960"/>
        <w:rPr>
          <w:rFonts w:ascii="Times New Roman" w:eastAsia="MS Mincho" w:hAnsi="Times New Roman" w:cs="Times New Roman"/>
        </w:rPr>
      </w:pPr>
      <w:r w:rsidRPr="00C45164">
        <w:rPr>
          <w:rFonts w:ascii="Times New Roman" w:hAnsi="Times New Roman" w:cs="Times New Roman"/>
        </w:rPr>
        <w:t xml:space="preserve">3’RACE was performed with </w:t>
      </w:r>
      <w:proofErr w:type="spellStart"/>
      <w:r w:rsidRPr="00C45164">
        <w:rPr>
          <w:rFonts w:ascii="Times New Roman" w:hAnsi="Times New Roman" w:cs="Times New Roman"/>
        </w:rPr>
        <w:t>FirstChoice</w:t>
      </w:r>
      <w:proofErr w:type="spellEnd"/>
      <w:r w:rsidRPr="00C45164">
        <w:rPr>
          <w:rFonts w:ascii="Times New Roman" w:hAnsi="Times New Roman" w:cs="Times New Roman"/>
        </w:rPr>
        <w:t xml:space="preserve"> RLM-RACE Kit (Invitrogen) according to the manufacturer’s instruction. 70 ng of </w:t>
      </w:r>
      <w:proofErr w:type="spellStart"/>
      <w:r w:rsidRPr="00C45164">
        <w:rPr>
          <w:rFonts w:ascii="Times New Roman" w:hAnsi="Times New Roman" w:cs="Times New Roman"/>
        </w:rPr>
        <w:t>LNCap</w:t>
      </w:r>
      <w:proofErr w:type="spellEnd"/>
      <w:r w:rsidRPr="00C45164">
        <w:rPr>
          <w:rFonts w:ascii="Times New Roman" w:hAnsi="Times New Roman" w:cs="Times New Roman"/>
        </w:rPr>
        <w:t xml:space="preserve"> </w:t>
      </w:r>
      <w:proofErr w:type="spellStart"/>
      <w:r w:rsidRPr="00C45164">
        <w:rPr>
          <w:rFonts w:ascii="Times New Roman" w:hAnsi="Times New Roman" w:cs="Times New Roman"/>
        </w:rPr>
        <w:t>polyA</w:t>
      </w:r>
      <w:proofErr w:type="spellEnd"/>
      <w:r w:rsidRPr="00C45164">
        <w:rPr>
          <w:rFonts w:ascii="Times New Roman" w:hAnsi="Times New Roman" w:cs="Times New Roman"/>
        </w:rPr>
        <w:t xml:space="preserve"> RNA was reverse-transcribed with 3’RACE adaptor at 42</w:t>
      </w:r>
      <w:r w:rsidRPr="00C45164">
        <w:rPr>
          <w:rFonts w:ascii="Times New Roman" w:eastAsia="MS Mincho" w:hAnsi="Times New Roman" w:cs="Times New Roman"/>
        </w:rPr>
        <w:t xml:space="preserve">ºC for 1 hour. Outer 3’RACE PCR using 1 µl of cDNA was performed with outer forward and reverse primer. PCR cycle : Initial denaturation (1 cycle) 94ºC for 2 minutes, Amplification (35 cycles) 94ºC for 30 seconds &amp; 60ºC for 30 seconds &amp; 72ºC 1 minutes, Final extension (1 cycle) 72ºC for 5 minutes. Nested PCRs using nested forward and reverse primers were performed because PCR bands were not seen at expected size in outer PCR (Supplementary Fig.2B). Nested PCR condition is same as outer PCR as mentioned above. </w:t>
      </w:r>
      <w:proofErr w:type="gramStart"/>
      <w:r w:rsidRPr="00C45164">
        <w:rPr>
          <w:rFonts w:ascii="Times New Roman" w:hAnsi="Times New Roman" w:cs="Times New Roman"/>
          <w:kern w:val="0"/>
        </w:rPr>
        <w:t>cDNA</w:t>
      </w:r>
      <w:proofErr w:type="gramEnd"/>
      <w:r w:rsidRPr="00C45164">
        <w:rPr>
          <w:rFonts w:ascii="Times New Roman" w:hAnsi="Times New Roman" w:cs="Times New Roman"/>
          <w:kern w:val="0"/>
        </w:rPr>
        <w:t xml:space="preserve"> generated by nested PCR were cut from 2% agarose gel by </w:t>
      </w:r>
      <w:proofErr w:type="spellStart"/>
      <w:r w:rsidRPr="00C45164">
        <w:rPr>
          <w:rFonts w:ascii="Times New Roman" w:hAnsi="Times New Roman" w:cs="Times New Roman"/>
        </w:rPr>
        <w:t>QIAquick</w:t>
      </w:r>
      <w:proofErr w:type="spellEnd"/>
      <w:r w:rsidRPr="00C45164">
        <w:rPr>
          <w:rFonts w:ascii="Times New Roman" w:hAnsi="Times New Roman" w:cs="Times New Roman"/>
        </w:rPr>
        <w:t xml:space="preserve"> Gel Extraction Kit (QIAGEN)</w:t>
      </w:r>
      <w:r w:rsidRPr="00C45164">
        <w:rPr>
          <w:rFonts w:ascii="Times New Roman" w:hAnsi="Times New Roman" w:cs="Times New Roman"/>
          <w:kern w:val="0"/>
        </w:rPr>
        <w:t xml:space="preserve"> and inserted into pCR4-TOPO vector (life technology). </w:t>
      </w:r>
      <w:proofErr w:type="gramStart"/>
      <w:r w:rsidRPr="00C45164">
        <w:rPr>
          <w:rFonts w:ascii="Times New Roman" w:hAnsi="Times New Roman" w:cs="Times New Roman"/>
          <w:kern w:val="0"/>
        </w:rPr>
        <w:t>cDNA</w:t>
      </w:r>
      <w:proofErr w:type="gramEnd"/>
      <w:r w:rsidRPr="00C45164">
        <w:rPr>
          <w:rFonts w:ascii="Times New Roman" w:hAnsi="Times New Roman" w:cs="Times New Roman"/>
          <w:kern w:val="0"/>
        </w:rPr>
        <w:t xml:space="preserve"> sequences were confirmed by sanger sequencing.</w:t>
      </w:r>
    </w:p>
    <w:p w14:paraId="38A0D3F3" w14:textId="77777777" w:rsidR="00C443FC" w:rsidRPr="00C45164" w:rsidRDefault="00C443FC" w:rsidP="00A650E1">
      <w:pPr>
        <w:rPr>
          <w:rFonts w:ascii="Times New Roman" w:hAnsi="Times New Roman" w:cs="Times New Roman"/>
        </w:rPr>
      </w:pPr>
      <w:r w:rsidRPr="00C45164">
        <w:rPr>
          <w:rFonts w:ascii="Times New Roman" w:hAnsi="Times New Roman" w:cs="Times New Roman"/>
        </w:rPr>
        <w:t>The primer sequences for 3’RACE are shown in Supplementary Table 1.</w:t>
      </w:r>
    </w:p>
    <w:p w14:paraId="0CEFE92C" w14:textId="77777777" w:rsidR="00C443FC" w:rsidRPr="00C45164" w:rsidRDefault="00C443FC" w:rsidP="00A650E1">
      <w:pPr>
        <w:rPr>
          <w:rFonts w:ascii="Times New Roman" w:hAnsi="Times New Roman" w:cs="Times New Roman"/>
        </w:rPr>
      </w:pPr>
    </w:p>
    <w:p w14:paraId="6AD0F2EE" w14:textId="63EF7693" w:rsidR="00A650E1" w:rsidRPr="00C45164" w:rsidRDefault="00A650E1" w:rsidP="00A650E1">
      <w:pPr>
        <w:rPr>
          <w:rFonts w:ascii="Times New Roman" w:hAnsi="Times New Roman" w:cs="Times New Roman"/>
          <w:b/>
        </w:rPr>
      </w:pPr>
      <w:r w:rsidRPr="00C45164">
        <w:rPr>
          <w:rFonts w:ascii="Times New Roman" w:hAnsi="Times New Roman" w:cs="Times New Roman"/>
          <w:b/>
        </w:rPr>
        <w:t>(</w:t>
      </w:r>
      <w:r w:rsidR="006B76D1" w:rsidRPr="00C45164">
        <w:rPr>
          <w:rFonts w:ascii="Times New Roman" w:hAnsi="Times New Roman" w:cs="Times New Roman"/>
          <w:b/>
        </w:rPr>
        <w:t>8</w:t>
      </w:r>
      <w:r w:rsidRPr="00C45164">
        <w:rPr>
          <w:rFonts w:ascii="Times New Roman" w:hAnsi="Times New Roman" w:cs="Times New Roman"/>
          <w:b/>
        </w:rPr>
        <w:t xml:space="preserve">) </w:t>
      </w:r>
      <w:proofErr w:type="spellStart"/>
      <w:r w:rsidRPr="00C45164">
        <w:rPr>
          <w:rFonts w:ascii="Times New Roman" w:hAnsi="Times New Roman" w:cs="Times New Roman"/>
          <w:b/>
        </w:rPr>
        <w:t>ChIP</w:t>
      </w:r>
      <w:proofErr w:type="spellEnd"/>
      <w:r w:rsidRPr="00C45164">
        <w:rPr>
          <w:rFonts w:ascii="Times New Roman" w:hAnsi="Times New Roman" w:cs="Times New Roman"/>
          <w:b/>
        </w:rPr>
        <w:t xml:space="preserve"> assay</w:t>
      </w:r>
    </w:p>
    <w:p w14:paraId="6D048C45" w14:textId="77777777" w:rsidR="00A650E1" w:rsidRPr="00C45164" w:rsidRDefault="00A650E1" w:rsidP="00C443FC">
      <w:pPr>
        <w:widowControl/>
        <w:autoSpaceDE w:val="0"/>
        <w:autoSpaceDN w:val="0"/>
        <w:adjustRightInd w:val="0"/>
        <w:ind w:firstLine="960"/>
        <w:jc w:val="left"/>
        <w:rPr>
          <w:rFonts w:ascii="Times New Roman" w:hAnsi="Times New Roman" w:cs="Times New Roman"/>
          <w:kern w:val="0"/>
        </w:rPr>
      </w:pPr>
      <w:proofErr w:type="spellStart"/>
      <w:r w:rsidRPr="00C45164">
        <w:rPr>
          <w:rFonts w:ascii="Times New Roman" w:hAnsi="Times New Roman" w:cs="Times New Roman"/>
          <w:kern w:val="0"/>
        </w:rPr>
        <w:t>LNCaP</w:t>
      </w:r>
      <w:proofErr w:type="spellEnd"/>
      <w:r w:rsidRPr="00C45164">
        <w:rPr>
          <w:rFonts w:ascii="Times New Roman" w:hAnsi="Times New Roman" w:cs="Times New Roman"/>
          <w:kern w:val="0"/>
        </w:rPr>
        <w:t xml:space="preserve"> cells were </w:t>
      </w:r>
      <w:proofErr w:type="spellStart"/>
      <w:r w:rsidRPr="00C45164">
        <w:rPr>
          <w:rFonts w:ascii="Times New Roman" w:hAnsi="Times New Roman" w:cs="Times New Roman"/>
          <w:kern w:val="0"/>
        </w:rPr>
        <w:t>crosslinked</w:t>
      </w:r>
      <w:proofErr w:type="spellEnd"/>
      <w:r w:rsidRPr="00C45164">
        <w:rPr>
          <w:rFonts w:ascii="Times New Roman" w:hAnsi="Times New Roman" w:cs="Times New Roman"/>
          <w:kern w:val="0"/>
        </w:rPr>
        <w:t xml:space="preserve"> with 1% formaldehyde at RT for 15 min and neutralized in the presence of 0.125 M Glycine at RT for 5 min. The cells were homogenized with </w:t>
      </w:r>
      <w:proofErr w:type="spellStart"/>
      <w:r w:rsidRPr="00C45164">
        <w:rPr>
          <w:rFonts w:ascii="Times New Roman" w:hAnsi="Times New Roman" w:cs="Times New Roman"/>
          <w:kern w:val="0"/>
        </w:rPr>
        <w:t>ChIP</w:t>
      </w:r>
      <w:proofErr w:type="spellEnd"/>
      <w:r w:rsidRPr="00C45164">
        <w:rPr>
          <w:rFonts w:ascii="Times New Roman" w:hAnsi="Times New Roman" w:cs="Times New Roman"/>
          <w:kern w:val="0"/>
        </w:rPr>
        <w:t xml:space="preserve"> </w:t>
      </w:r>
      <w:proofErr w:type="spellStart"/>
      <w:r w:rsidRPr="00C45164">
        <w:rPr>
          <w:rFonts w:ascii="Times New Roman" w:hAnsi="Times New Roman" w:cs="Times New Roman"/>
          <w:kern w:val="0"/>
        </w:rPr>
        <w:t>lysis</w:t>
      </w:r>
      <w:proofErr w:type="spellEnd"/>
      <w:r w:rsidRPr="00C45164">
        <w:rPr>
          <w:rFonts w:ascii="Times New Roman" w:hAnsi="Times New Roman" w:cs="Times New Roman"/>
          <w:kern w:val="0"/>
        </w:rPr>
        <w:t xml:space="preserve"> buffer (50 </w:t>
      </w:r>
      <w:proofErr w:type="spellStart"/>
      <w:r w:rsidRPr="00C45164">
        <w:rPr>
          <w:rFonts w:ascii="Times New Roman" w:hAnsi="Times New Roman" w:cs="Times New Roman"/>
          <w:kern w:val="0"/>
        </w:rPr>
        <w:t>mM</w:t>
      </w:r>
      <w:proofErr w:type="spellEnd"/>
      <w:r w:rsidRPr="00C45164">
        <w:rPr>
          <w:rFonts w:ascii="Times New Roman" w:hAnsi="Times New Roman" w:cs="Times New Roman"/>
          <w:kern w:val="0"/>
        </w:rPr>
        <w:t xml:space="preserve"> Tris-</w:t>
      </w:r>
      <w:proofErr w:type="spellStart"/>
      <w:r w:rsidRPr="00C45164">
        <w:rPr>
          <w:rFonts w:ascii="Times New Roman" w:hAnsi="Times New Roman" w:cs="Times New Roman"/>
          <w:kern w:val="0"/>
        </w:rPr>
        <w:t>HCl</w:t>
      </w:r>
      <w:proofErr w:type="spellEnd"/>
      <w:r w:rsidRPr="00C45164">
        <w:rPr>
          <w:rFonts w:ascii="Times New Roman" w:hAnsi="Times New Roman" w:cs="Times New Roman"/>
          <w:kern w:val="0"/>
        </w:rPr>
        <w:t xml:space="preserve"> (pH 8.0), 10 </w:t>
      </w:r>
      <w:proofErr w:type="spellStart"/>
      <w:r w:rsidRPr="00C45164">
        <w:rPr>
          <w:rFonts w:ascii="Times New Roman" w:hAnsi="Times New Roman" w:cs="Times New Roman"/>
          <w:kern w:val="0"/>
        </w:rPr>
        <w:t>mM</w:t>
      </w:r>
      <w:proofErr w:type="spellEnd"/>
      <w:r w:rsidRPr="00C45164">
        <w:rPr>
          <w:rFonts w:ascii="Times New Roman" w:hAnsi="Times New Roman" w:cs="Times New Roman"/>
          <w:kern w:val="0"/>
        </w:rPr>
        <w:t xml:space="preserve"> EDTA, 0.1%SDS, and a proteinase inhibitor cocktail (Complete Mini) (Roche). Each sample was </w:t>
      </w:r>
      <w:proofErr w:type="spellStart"/>
      <w:r w:rsidRPr="00C45164">
        <w:rPr>
          <w:rFonts w:ascii="Times New Roman" w:hAnsi="Times New Roman" w:cs="Times New Roman"/>
          <w:kern w:val="0"/>
        </w:rPr>
        <w:t>immunoprecipitated</w:t>
      </w:r>
      <w:proofErr w:type="spellEnd"/>
      <w:r w:rsidRPr="00C45164">
        <w:rPr>
          <w:rFonts w:ascii="Times New Roman" w:hAnsi="Times New Roman" w:cs="Times New Roman"/>
          <w:kern w:val="0"/>
        </w:rPr>
        <w:t xml:space="preserve"> with pre-mixed antibody (5µg) -</w:t>
      </w:r>
      <w:proofErr w:type="spellStart"/>
      <w:r w:rsidRPr="00C45164">
        <w:rPr>
          <w:rFonts w:ascii="Times New Roman" w:hAnsi="Times New Roman" w:cs="Times New Roman"/>
          <w:kern w:val="0"/>
        </w:rPr>
        <w:t>dynabead</w:t>
      </w:r>
      <w:proofErr w:type="spellEnd"/>
      <w:r w:rsidRPr="00C45164">
        <w:rPr>
          <w:rFonts w:ascii="Times New Roman" w:hAnsi="Times New Roman" w:cs="Times New Roman"/>
          <w:kern w:val="0"/>
        </w:rPr>
        <w:t xml:space="preserve"> protein G complex. The </w:t>
      </w:r>
      <w:proofErr w:type="spellStart"/>
      <w:r w:rsidRPr="00C45164">
        <w:rPr>
          <w:rFonts w:ascii="Times New Roman" w:hAnsi="Times New Roman" w:cs="Times New Roman"/>
          <w:kern w:val="0"/>
        </w:rPr>
        <w:t>immunoprecipitant</w:t>
      </w:r>
      <w:proofErr w:type="spellEnd"/>
      <w:r w:rsidRPr="00C45164">
        <w:rPr>
          <w:rFonts w:ascii="Times New Roman" w:hAnsi="Times New Roman" w:cs="Times New Roman"/>
          <w:kern w:val="0"/>
        </w:rPr>
        <w:t xml:space="preserve"> was incubated at 65°C overnight to de-crosslink and treated with </w:t>
      </w:r>
      <w:proofErr w:type="spellStart"/>
      <w:r w:rsidRPr="00C45164">
        <w:rPr>
          <w:rFonts w:ascii="Times New Roman" w:hAnsi="Times New Roman" w:cs="Times New Roman"/>
          <w:kern w:val="0"/>
        </w:rPr>
        <w:t>RNaseA</w:t>
      </w:r>
      <w:proofErr w:type="spellEnd"/>
      <w:r w:rsidRPr="00C45164">
        <w:rPr>
          <w:rFonts w:ascii="Times New Roman" w:hAnsi="Times New Roman" w:cs="Times New Roman"/>
          <w:kern w:val="0"/>
        </w:rPr>
        <w:t xml:space="preserve"> at 37°C for 30 min and proteinase K at 55°C for 60 min followed by phenol/chloroform treatment. Purified DNA was analyzed by </w:t>
      </w:r>
      <w:proofErr w:type="spellStart"/>
      <w:r w:rsidRPr="00C45164">
        <w:rPr>
          <w:rFonts w:ascii="Times New Roman" w:hAnsi="Times New Roman" w:cs="Times New Roman"/>
          <w:kern w:val="0"/>
        </w:rPr>
        <w:t>qPCR</w:t>
      </w:r>
      <w:proofErr w:type="spellEnd"/>
      <w:r w:rsidRPr="00C45164">
        <w:rPr>
          <w:rFonts w:ascii="Times New Roman" w:hAnsi="Times New Roman" w:cs="Times New Roman"/>
          <w:kern w:val="0"/>
        </w:rPr>
        <w:t xml:space="preserve"> using the primers shown in Supplementary Table 1. The antibodies for </w:t>
      </w:r>
      <w:proofErr w:type="spellStart"/>
      <w:r w:rsidRPr="00C45164">
        <w:rPr>
          <w:rFonts w:ascii="Times New Roman" w:hAnsi="Times New Roman" w:cs="Times New Roman"/>
          <w:kern w:val="0"/>
        </w:rPr>
        <w:t>ChIP</w:t>
      </w:r>
      <w:proofErr w:type="spellEnd"/>
      <w:r w:rsidRPr="00C45164">
        <w:rPr>
          <w:rFonts w:ascii="Times New Roman" w:hAnsi="Times New Roman" w:cs="Times New Roman"/>
          <w:kern w:val="0"/>
        </w:rPr>
        <w:t xml:space="preserve"> assay are: anti-AR (H-280, Santa Cruz), anti-FOXA1 (ab23738, </w:t>
      </w:r>
      <w:proofErr w:type="spellStart"/>
      <w:r w:rsidRPr="00C45164">
        <w:rPr>
          <w:rFonts w:ascii="Times New Roman" w:hAnsi="Times New Roman" w:cs="Times New Roman"/>
          <w:kern w:val="0"/>
        </w:rPr>
        <w:t>Abcam</w:t>
      </w:r>
      <w:proofErr w:type="spellEnd"/>
      <w:r w:rsidRPr="00C45164">
        <w:rPr>
          <w:rFonts w:ascii="Times New Roman" w:hAnsi="Times New Roman" w:cs="Times New Roman"/>
          <w:kern w:val="0"/>
        </w:rPr>
        <w:t xml:space="preserve">), anti-NKX3-1 (sc-15022, Santa Cruz), normal rabbit </w:t>
      </w:r>
      <w:proofErr w:type="spellStart"/>
      <w:r w:rsidRPr="00C45164">
        <w:rPr>
          <w:rFonts w:ascii="Times New Roman" w:hAnsi="Times New Roman" w:cs="Times New Roman"/>
          <w:kern w:val="0"/>
        </w:rPr>
        <w:t>IgG</w:t>
      </w:r>
      <w:proofErr w:type="spellEnd"/>
      <w:r w:rsidRPr="00C45164">
        <w:rPr>
          <w:rFonts w:ascii="Times New Roman" w:hAnsi="Times New Roman" w:cs="Times New Roman"/>
          <w:kern w:val="0"/>
        </w:rPr>
        <w:t xml:space="preserve"> (12-370, Millipore) and normal goat </w:t>
      </w:r>
      <w:proofErr w:type="spellStart"/>
      <w:r w:rsidRPr="00C45164">
        <w:rPr>
          <w:rFonts w:ascii="Times New Roman" w:hAnsi="Times New Roman" w:cs="Times New Roman"/>
          <w:kern w:val="0"/>
        </w:rPr>
        <w:t>IgG</w:t>
      </w:r>
      <w:proofErr w:type="spellEnd"/>
      <w:r w:rsidRPr="00C45164">
        <w:rPr>
          <w:rFonts w:ascii="Times New Roman" w:hAnsi="Times New Roman" w:cs="Times New Roman"/>
          <w:kern w:val="0"/>
        </w:rPr>
        <w:t xml:space="preserve"> (I5256, SIGMA).</w:t>
      </w:r>
    </w:p>
    <w:p w14:paraId="62861DFD" w14:textId="77777777" w:rsidR="00A650E1" w:rsidRPr="00C45164" w:rsidRDefault="00A650E1" w:rsidP="001C6243">
      <w:pPr>
        <w:rPr>
          <w:rFonts w:ascii="Times New Roman" w:hAnsi="Times New Roman" w:cs="Times New Roman"/>
        </w:rPr>
      </w:pPr>
    </w:p>
    <w:p w14:paraId="4E39548B" w14:textId="7171665D" w:rsidR="00A650E1" w:rsidRPr="00C45164" w:rsidRDefault="00A650E1" w:rsidP="00A650E1">
      <w:pPr>
        <w:rPr>
          <w:rFonts w:ascii="Times New Roman" w:hAnsi="Times New Roman" w:cs="Times New Roman"/>
          <w:b/>
        </w:rPr>
      </w:pPr>
      <w:r w:rsidRPr="00C45164">
        <w:rPr>
          <w:rFonts w:ascii="Times New Roman" w:hAnsi="Times New Roman" w:cs="Times New Roman"/>
          <w:b/>
        </w:rPr>
        <w:t>(</w:t>
      </w:r>
      <w:r w:rsidR="006B76D1" w:rsidRPr="00C45164">
        <w:rPr>
          <w:rFonts w:ascii="Times New Roman" w:hAnsi="Times New Roman" w:cs="Times New Roman"/>
          <w:b/>
        </w:rPr>
        <w:t>9</w:t>
      </w:r>
      <w:r w:rsidRPr="00C45164">
        <w:rPr>
          <w:rFonts w:ascii="Times New Roman" w:hAnsi="Times New Roman" w:cs="Times New Roman"/>
          <w:b/>
        </w:rPr>
        <w:t xml:space="preserve">) </w:t>
      </w:r>
      <w:proofErr w:type="spellStart"/>
      <w:r w:rsidRPr="00C45164">
        <w:rPr>
          <w:rFonts w:ascii="Times New Roman" w:hAnsi="Times New Roman" w:cs="Times New Roman"/>
          <w:b/>
        </w:rPr>
        <w:t>ChIP-seq</w:t>
      </w:r>
      <w:proofErr w:type="spellEnd"/>
      <w:r w:rsidRPr="00C45164">
        <w:rPr>
          <w:rFonts w:ascii="Times New Roman" w:hAnsi="Times New Roman" w:cs="Times New Roman"/>
          <w:b/>
        </w:rPr>
        <w:t xml:space="preserve"> analysis</w:t>
      </w:r>
    </w:p>
    <w:p w14:paraId="086D25FA" w14:textId="77777777" w:rsidR="00A650E1" w:rsidRPr="00C45164" w:rsidRDefault="00A650E1" w:rsidP="00C443FC">
      <w:pPr>
        <w:ind w:firstLine="960"/>
        <w:rPr>
          <w:rFonts w:ascii="Times New Roman" w:hAnsi="Times New Roman" w:cs="Times New Roman"/>
        </w:rPr>
      </w:pPr>
      <w:r w:rsidRPr="00C45164">
        <w:rPr>
          <w:rFonts w:ascii="Times New Roman" w:hAnsi="Times New Roman" w:cs="Times New Roman"/>
        </w:rPr>
        <w:t xml:space="preserve">The supplemental alignment files for </w:t>
      </w:r>
      <w:proofErr w:type="spellStart"/>
      <w:r w:rsidRPr="00C45164">
        <w:rPr>
          <w:rFonts w:ascii="Times New Roman" w:hAnsi="Times New Roman" w:cs="Times New Roman"/>
        </w:rPr>
        <w:t>ChIP-Seq</w:t>
      </w:r>
      <w:proofErr w:type="spellEnd"/>
      <w:r w:rsidRPr="00C45164">
        <w:rPr>
          <w:rFonts w:ascii="Times New Roman" w:hAnsi="Times New Roman" w:cs="Times New Roman"/>
        </w:rPr>
        <w:t xml:space="preserve"> performed with </w:t>
      </w:r>
      <w:proofErr w:type="spellStart"/>
      <w:r w:rsidRPr="00C45164">
        <w:rPr>
          <w:rFonts w:ascii="Times New Roman" w:hAnsi="Times New Roman" w:cs="Times New Roman"/>
        </w:rPr>
        <w:t>LNCaP</w:t>
      </w:r>
      <w:proofErr w:type="spellEnd"/>
      <w:r w:rsidRPr="00C45164">
        <w:rPr>
          <w:rFonts w:ascii="Times New Roman" w:hAnsi="Times New Roman" w:cs="Times New Roman"/>
        </w:rPr>
        <w:t xml:space="preserve"> cells for AR without or with R1881, for FOXA1 in regular medium, for NKX3-1 with DHT treatment, and for AR after FOXA1 knockdown were downloaded from these GEO accessions: GSM353643, GSM353644, GSM353633, GSM699633,</w:t>
      </w:r>
      <w:r w:rsidR="00CF5709" w:rsidRPr="00C45164">
        <w:rPr>
          <w:rFonts w:ascii="Times New Roman" w:hAnsi="Times New Roman" w:cs="Times New Roman"/>
        </w:rPr>
        <w:t xml:space="preserve"> GSM916521 and GSM916522</w:t>
      </w:r>
      <w:r w:rsidRPr="00C45164">
        <w:rPr>
          <w:rFonts w:ascii="Times New Roman" w:hAnsi="Times New Roman" w:cs="Times New Roman"/>
        </w:rPr>
        <w:t xml:space="preserve">, respectively. The coverage at each nucleotide in the </w:t>
      </w:r>
      <w:r w:rsidRPr="00C45164">
        <w:rPr>
          <w:rFonts w:ascii="Times New Roman" w:hAnsi="Times New Roman" w:cs="Times New Roman"/>
          <w:i/>
        </w:rPr>
        <w:t>DRAIC/PCAT29</w:t>
      </w:r>
      <w:r w:rsidRPr="00C45164">
        <w:rPr>
          <w:rFonts w:ascii="Times New Roman" w:hAnsi="Times New Roman" w:cs="Times New Roman"/>
        </w:rPr>
        <w:t xml:space="preserve"> locus was recorded and plotted at single nucleotide resolution.</w:t>
      </w:r>
    </w:p>
    <w:p w14:paraId="5E569440" w14:textId="77777777" w:rsidR="00DD4447" w:rsidRPr="00C45164" w:rsidRDefault="00DD4447" w:rsidP="00CD4ACD">
      <w:pPr>
        <w:rPr>
          <w:rFonts w:ascii="Times New Roman" w:hAnsi="Times New Roman" w:cs="Times New Roman"/>
        </w:rPr>
      </w:pPr>
    </w:p>
    <w:p w14:paraId="3A825070" w14:textId="54294E8F" w:rsidR="0050226D" w:rsidRPr="00C45164" w:rsidRDefault="0050226D" w:rsidP="0050226D">
      <w:pPr>
        <w:rPr>
          <w:rFonts w:ascii="Times New Roman" w:hAnsi="Times New Roman" w:cs="Times New Roman"/>
          <w:b/>
        </w:rPr>
      </w:pPr>
      <w:r w:rsidRPr="00C45164">
        <w:rPr>
          <w:rFonts w:ascii="Times New Roman" w:hAnsi="Times New Roman" w:cs="Times New Roman"/>
          <w:b/>
        </w:rPr>
        <w:lastRenderedPageBreak/>
        <w:t>(</w:t>
      </w:r>
      <w:r w:rsidR="006B76D1" w:rsidRPr="00C45164">
        <w:rPr>
          <w:rFonts w:ascii="Times New Roman" w:hAnsi="Times New Roman" w:cs="Times New Roman"/>
          <w:b/>
        </w:rPr>
        <w:t>10</w:t>
      </w:r>
      <w:r w:rsidRPr="00C45164">
        <w:rPr>
          <w:rFonts w:ascii="Times New Roman" w:hAnsi="Times New Roman" w:cs="Times New Roman"/>
          <w:b/>
        </w:rPr>
        <w:t>) RNA-</w:t>
      </w:r>
      <w:proofErr w:type="spellStart"/>
      <w:r w:rsidRPr="00C45164">
        <w:rPr>
          <w:rFonts w:ascii="Times New Roman" w:hAnsi="Times New Roman" w:cs="Times New Roman"/>
          <w:b/>
        </w:rPr>
        <w:t>seq</w:t>
      </w:r>
      <w:proofErr w:type="spellEnd"/>
      <w:r w:rsidRPr="00C45164">
        <w:rPr>
          <w:rFonts w:ascii="Times New Roman" w:hAnsi="Times New Roman" w:cs="Times New Roman"/>
          <w:b/>
        </w:rPr>
        <w:t xml:space="preserve"> analysis</w:t>
      </w:r>
    </w:p>
    <w:p w14:paraId="3454B5D3" w14:textId="77777777" w:rsidR="0050226D" w:rsidRPr="00C45164" w:rsidRDefault="0050226D" w:rsidP="00485181">
      <w:pPr>
        <w:ind w:firstLine="960"/>
        <w:rPr>
          <w:rFonts w:ascii="Times New Roman" w:hAnsi="Times New Roman"/>
        </w:rPr>
      </w:pPr>
      <w:r w:rsidRPr="00C45164">
        <w:rPr>
          <w:rFonts w:ascii="Times New Roman" w:hAnsi="Times New Roman"/>
        </w:rPr>
        <w:t xml:space="preserve">All sequencing reads were aligned to the hg19 reference genome with </w:t>
      </w:r>
      <w:proofErr w:type="spellStart"/>
      <w:r w:rsidRPr="00C45164">
        <w:rPr>
          <w:rFonts w:ascii="Times New Roman" w:hAnsi="Times New Roman"/>
        </w:rPr>
        <w:t>Tophat</w:t>
      </w:r>
      <w:proofErr w:type="spellEnd"/>
      <w:r w:rsidRPr="00C45164">
        <w:rPr>
          <w:rFonts w:ascii="Times New Roman" w:hAnsi="Times New Roman"/>
        </w:rPr>
        <w:t xml:space="preserve"> using the default settings </w:t>
      </w:r>
      <w:r w:rsidR="00F8086A" w:rsidRPr="00C45164">
        <w:rPr>
          <w:rFonts w:ascii="Times New Roman" w:hAnsi="Times New Roman"/>
        </w:rPr>
        <w:fldChar w:fldCharType="begin" w:fldLock="1"/>
      </w:r>
      <w:r w:rsidR="005F7102" w:rsidRPr="00C45164">
        <w:rPr>
          <w:rFonts w:ascii="Times New Roman" w:hAnsi="Times New Roman"/>
        </w:rPr>
        <w:instrText>ADDIN CSL_CITATION { "citationItems" : [ { "id" : "ITEM-1", "itemData" : { "DOI" : "10.1186/gb-2013-14-4-r36", "ISSN" : "1465-6914", "PMID" : "23618408", "abstract" : "TopHat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 "author" : [ { "dropping-particle" : "", "family" : "Kim", "given" : "Daehwan", "non-dropping-particle" : "", "parse-names" : false, "suffix" : "" }, { "dropping-particle" : "", "family" : "Pertea", "given" : "Geo", "non-dropping-particle" : "", "parse-names" : false, "suffix" : "" }, { "dropping-particle" : "", "family" : "Trapnell", "given" : "Cole", "non-dropping-particle" : "", "parse-names" : false, "suffix" : "" }, { "dropping-particle" : "", "family" : "Pimentel", "given" : "Harold", "non-dropping-particle" : "", "parse-names" : false, "suffix" : "" }, { "dropping-particle" : "", "family" : "Kelley", "given" : "Ryan", "non-dropping-particle" : "", "parse-names" : false, "suffix" : "" }, { "dropping-particle" : "", "family" : "Salzberg", "given" : "Steven L", "non-dropping-particle" : "", "parse-names" : false, "suffix" : "" } ], "container-title" : "Genome biology", "id" : "ITEM-1", "issue" : "4", "issued" : { "date-parts" : [ [ "2013", "4", "25" ] ] }, "page" : "R36", "publisher" : "BioMed Central Ltd", "title" : "TopHat2: accurate alignment of transcriptomes in the presence of insertions, deletions and gene fusions.", "type" : "article-journal", "volume" : "14" }, "uris" : [ "http://www.mendeley.com/documents/?uuid=2efd10be-5f70-4394-afee-be44d11ec370" ] } ], "mendeley" : { "previouslyFormattedCitation" : "(4)" }, "properties" : { "noteIndex" : 0 }, "schema" : "https://github.com/citation-style-language/schema/raw/master/csl-citation.json" }</w:instrText>
      </w:r>
      <w:r w:rsidR="00F8086A" w:rsidRPr="00C45164">
        <w:rPr>
          <w:rFonts w:ascii="Times New Roman" w:hAnsi="Times New Roman"/>
        </w:rPr>
        <w:fldChar w:fldCharType="separate"/>
      </w:r>
      <w:r w:rsidR="006A4A64" w:rsidRPr="00C45164">
        <w:rPr>
          <w:rFonts w:ascii="Times New Roman" w:hAnsi="Times New Roman"/>
          <w:noProof/>
        </w:rPr>
        <w:t>(4)</w:t>
      </w:r>
      <w:r w:rsidR="00F8086A" w:rsidRPr="00C45164">
        <w:rPr>
          <w:rFonts w:ascii="Times New Roman" w:hAnsi="Times New Roman"/>
        </w:rPr>
        <w:fldChar w:fldCharType="end"/>
      </w:r>
      <w:r w:rsidRPr="00C45164">
        <w:rPr>
          <w:rFonts w:ascii="Times New Roman" w:hAnsi="Times New Roman"/>
        </w:rPr>
        <w:t xml:space="preserve">. Novel transcripts were discovered by de novo assembly with Cufflinks and differentially expressed genes were identified using </w:t>
      </w:r>
      <w:proofErr w:type="spellStart"/>
      <w:r w:rsidRPr="00C45164">
        <w:rPr>
          <w:rFonts w:ascii="Times New Roman" w:hAnsi="Times New Roman"/>
        </w:rPr>
        <w:t>Cuffdiff</w:t>
      </w:r>
      <w:proofErr w:type="spellEnd"/>
      <w:r w:rsidRPr="00C45164">
        <w:rPr>
          <w:rFonts w:ascii="Times New Roman" w:hAnsi="Times New Roman"/>
        </w:rPr>
        <w:t xml:space="preserve"> </w:t>
      </w:r>
      <w:r w:rsidR="00F8086A" w:rsidRPr="00C45164">
        <w:rPr>
          <w:rFonts w:ascii="Times New Roman" w:hAnsi="Times New Roman"/>
        </w:rPr>
        <w:fldChar w:fldCharType="begin" w:fldLock="1"/>
      </w:r>
      <w:r w:rsidR="005F7102" w:rsidRPr="00C45164">
        <w:rPr>
          <w:rFonts w:ascii="Times New Roman" w:hAnsi="Times New Roman"/>
        </w:rPr>
        <w:instrText>ADDIN CSL_CITATION { "citationItems" : [ { "id" : "ITEM-1", "itemData" : { "DOI" : "10.1038/nbt.1621", "ISSN" : "1546-1696", "PMID" : "20436464", "abstract" : "High-throughput mRNA sequencing (RNA-Seq) promises simultaneous transcript discovery and abundance estimation. However, this would require algorithms that are not restricted by prior gene annotations and that account for alternative transcription and splicing. Here we introduce such algorithms in an open-source software program called Cufflinks. To test Cufflinks, we sequenced and analyzed &gt;430 million paired 75-bp RNA-Seq reads from a mouse myoblast cell line over a differentiation time series. We detected 13,692 known transcripts and 3,724 previously unannotated ones, 62% of which are supported by independent expression data or by homologous genes in other species. Over the time series, 330 genes showed complete switches in the dominant transcription start site (TSS) or splice isoform, and we observed more subtle shifts in 1,304 other genes. These results suggest that Cufflinks can illuminate the substantial regulatory flexibility and complexity in even this well-studied model of muscle development and that it can improve transcriptome-based genome annotation.", "author" : [ { "dropping-particle" : "", "family" : "Trapnell", "given" : "Cole", "non-dropping-particle" : "", "parse-names" : false, "suffix" : "" }, { "dropping-particle" : "", "family" : "Williams", "given" : "Brian a", "non-dropping-particle" : "", "parse-names" : false, "suffix" : "" }, { "dropping-particle" : "", "family" : "Pertea", "given" : "Geo", "non-dropping-particle" : "", "parse-names" : false, "suffix" : "" }, { "dropping-particle" : "", "family" : "Mortazavi", "given" : "Ali", "non-dropping-particle" : "", "parse-names" : false, "suffix" : "" }, { "dropping-particle" : "", "family" : "Kwan", "given" : "Gordon", "non-dropping-particle" : "", "parse-names" : false, "suffix" : "" }, { "dropping-particle" : "", "family" : "Baren", "given" : "Marijke J", "non-dropping-particle" : "van", "parse-names" : false, "suffix" : "" }, { "dropping-particle" : "", "family" : "Salzberg", "given" : "Steven L", "non-dropping-particle" : "", "parse-names" : false, "suffix" : "" }, { "dropping-particle" : "", "family" : "Wold", "given" : "Barbara J", "non-dropping-particle" : "", "parse-names" : false, "suffix" : "" }, { "dropping-particle" : "", "family" : "Pachter", "given" : "Lior", "non-dropping-particle" : "", "parse-names" : false, "suffix" : "" } ], "container-title" : "Nature biotechnology", "id" : "ITEM-1", "issue" : "5", "issued" : { "date-parts" : [ [ "2010", "5" ] ] }, "page" : "511-5", "publisher" : "Nature Publishing Group", "title" : "Transcript assembly and quantification by RNA-Seq reveals unannotated transcripts and isoform switching during cell differentiation.", "type" : "article-journal", "volume" : "28" }, "uris" : [ "http://www.mendeley.com/documents/?uuid=de485e3a-2b45-4f3e-9352-35b4818ce8e0" ] } ], "mendeley" : { "previouslyFormattedCitation" : "(5)" }, "properties" : { "noteIndex" : 0 }, "schema" : "https://github.com/citation-style-language/schema/raw/master/csl-citation.json" }</w:instrText>
      </w:r>
      <w:r w:rsidR="00F8086A" w:rsidRPr="00C45164">
        <w:rPr>
          <w:rFonts w:ascii="Times New Roman" w:hAnsi="Times New Roman"/>
        </w:rPr>
        <w:fldChar w:fldCharType="separate"/>
      </w:r>
      <w:r w:rsidR="006A4A64" w:rsidRPr="00C45164">
        <w:rPr>
          <w:rFonts w:ascii="Times New Roman" w:hAnsi="Times New Roman"/>
          <w:noProof/>
        </w:rPr>
        <w:t>(5)</w:t>
      </w:r>
      <w:r w:rsidR="00F8086A" w:rsidRPr="00C45164">
        <w:rPr>
          <w:rFonts w:ascii="Times New Roman" w:hAnsi="Times New Roman"/>
        </w:rPr>
        <w:fldChar w:fldCharType="end"/>
      </w:r>
      <w:r w:rsidRPr="00C45164">
        <w:rPr>
          <w:rFonts w:ascii="Times New Roman" w:hAnsi="Times New Roman"/>
        </w:rPr>
        <w:t xml:space="preserve">. The datasets used in our analysis are as follows; </w:t>
      </w:r>
      <w:proofErr w:type="spellStart"/>
      <w:r w:rsidRPr="00C45164">
        <w:rPr>
          <w:rFonts w:ascii="Times New Roman" w:hAnsi="Times New Roman"/>
        </w:rPr>
        <w:t>LNCaP</w:t>
      </w:r>
      <w:proofErr w:type="spellEnd"/>
      <w:r w:rsidRPr="00C45164">
        <w:rPr>
          <w:rFonts w:ascii="Times New Roman" w:hAnsi="Times New Roman"/>
        </w:rPr>
        <w:t xml:space="preserve"> Vehicle and R1881 treated: GSM855072-GSM855077, C4-2B: GSM984368 and GSM984369, pre- and post-androgen deprivation therapy: GSM1177208-GSM1177214 and GSM1177215-GSM1177221, respectively </w:t>
      </w:r>
      <w:r w:rsidR="00F8086A" w:rsidRPr="00C45164">
        <w:rPr>
          <w:rFonts w:ascii="Times New Roman" w:hAnsi="Times New Roman"/>
        </w:rPr>
        <w:fldChar w:fldCharType="begin" w:fldLock="1"/>
      </w:r>
      <w:r w:rsidR="005F7102" w:rsidRPr="00C45164">
        <w:rPr>
          <w:rFonts w:ascii="Times New Roman" w:hAnsi="Times New Roman"/>
        </w:rPr>
        <w:instrText>ADDIN CSL_CITATION { "citationItems" : [ { "id" : "ITEM-1", "itemData" : { "DOI" : "10.1186/gb-2012-13-10-r88", "ISSN" : "1465-6914", "PMID" : "23034120", "abstract" : "BACKGROUND: Epigenetic mechanisms such as chromatin accessibility impact transcription factor binding to DNA and transcriptional specificity. The androgen receptor (AR), a master regulator of the male phenotype and prostate cancer pathogenesis, acts primarily through ligand-activated transcription of target genes. Although several determinants of AR transcriptional specificity have been elucidated, our understanding of the interplay between chromatin accessibility and AR function remains incomplete.\n\nRESULTS: We used deep sequencing to assess chromatin structure via DNase I hypersensitivity and mRNA abundance, and paired these datasets with three independent AR ChIP-seq datasets. Our analysis revealed qualitative and quantitative differences in chromatin accessibility that corresponded to both AR binding and an enrichment of motifs for potential collaborating factors, one of which was identified as SP1. These quantitative differences were significantly associated with AR-regulated mRNA transcription across the genome. Base-pair resolution of the DNase I cleavage profile revealed three distinct footprinting patterns associated with the AR-DNA interaction, suggesting multiple modes of AR interaction with the genome.\n\nCONCLUSIONS: In contrast with other DNA-binding factors, AR binding to the genome does not only target regions that are accessible to DNase I cleavage prior to hormone induction. AR binding is invariably associated with an increase in chromatin accessibility and, consequently, changes in gene expression. Furthermore, we present the first in vivo evidence that a significant fraction of AR binds only to half of the full AR DNA motif. These findings indicate a dynamic quantitative relationship between chromatin structure and AR-DNA binding that impacts AR transcriptional specificity.", "author" : [ { "dropping-particle" : "", "family" : "Tewari", "given" : "Alok K", "non-dropping-particle" : "", "parse-names" : false, "suffix" : "" }, { "dropping-particle" : "", "family" : "Yardimci", "given" : "Galip G\u00fcrkan", "non-dropping-particle" : "", "parse-names" : false, "suffix" : "" }, { "dropping-particle" : "", "family" : "Shibata", "given" : "Yoichiro", "non-dropping-particle" : "", "parse-names" : false, "suffix" : "" }, { "dropping-particle" : "", "family" : "Sheffield", "given" : "Nathan C", "non-dropping-particle" : "", "parse-names" : false, "suffix" : "" }, { "dropping-particle" : "", "family" : "Song", "given" : "Lingyun", "non-dropping-particle" : "", "parse-names" : false, "suffix" : "" }, { "dropping-particle" : "", "family" : "Taylor", "given" : "Barry S", "non-dropping-particle" : "", "parse-names" : false, "suffix" : "" }, { "dropping-particle" : "", "family" : "Georgiev", "given" : "Stoyan G", "non-dropping-particle" : "", "parse-names" : false, "suffix" : "" }, { "dropping-particle" : "", "family" : "Coetzee", "given" : "Gerhard a", "non-dropping-particle" : "", "parse-names" : false, "suffix" : "" }, { "dropping-particle" : "", "family" : "Ohler", "given" : "Uwe", "non-dropping-particle" : "", "parse-names" : false, "suffix" : "" }, { "dropping-particle" : "", "family" : "Furey", "given" : "Terrence S", "non-dropping-particle" : "", "parse-names" : false, "suffix" : "" }, { "dropping-particle" : "", "family" : "Crawford", "given" : "Gregory E", "non-dropping-particle" : "", "parse-names" : false, "suffix" : "" }, { "dropping-particle" : "", "family" : "Febbo", "given" : "Phillip G", "non-dropping-particle" : "", "parse-names" : false, "suffix" : "" } ], "container-title" : "Genome biology", "id" : "ITEM-1", "issue" : "10", "issued" : { "date-parts" : [ [ "2012", "1" ] ] }, "page" : "R88", "publisher" : "BioMed Central Ltd", "title" : "Chromatin accessibility reveals insights into androgen receptor activation and transcriptional specificity.", "type" : "article-journal", "volume" : "13" }, "uris" : [ "http://www.mendeley.com/documents/?uuid=40a7262a-5c95-44be-b151-c3e84802781f" ] }, { "id" : "ITEM-2", "itemData" : { "DOI" : "10.1093/nar/gks888", "ISSN" : "1362-4962", "PMID" : "23019221", "abstract" : "The androgen receptor (AR) is a ligand-inducible transcription factor that mediates androgen action in target tissues. Upon ligand binding, the AR binds to thousands of genomic loci and activates a cell-type specific gene program. Prostate cancer growth and progression depend on androgen-induced AR signaling. Treatment of advanced prostate cancer through medical or surgical castration leads to initial response and durable remission, but resistance inevitably develops. In castration-resistant prostate cancer (CRPC), AR activity remains critical for tumor growth despite androgen deprivation. Although previous studies have focused on ligand-dependent AR signaling, in this study we explore AR function under the androgen-deprived conditions characteristic of CRPC. Our data demonstrate that AR persistently occupies a distinct set of genomic loci after androgen deprivation in CRPC. These androgen-independent AR occupied regions have constitutively open chromatin structures that lack the canonical androgen response element and are independent of FoxA1, a transcription factor involved in ligand-dependent AR targeting. Many AR binding events occur at proximal promoters, which can act as enhancers to augment transcriptional activities of other promoters through DNA looping. We further show that androgen-independent AR binding directs a gene expression program in CRPC, which is necessary for the growth of CRPC after androgen withdrawal.", "author" : [ { "dropping-particle" : "", "family" : "Decker", "given" : "Keith F", "non-dropping-particle" : "", "parse-names" : false, "suffix" : "" }, { "dropping-particle" : "", "family" : "Zheng", "given" : "Dali", "non-dropping-particle" : "", "parse-names" : false, "suffix" : "" }, { "dropping-particle" : "", "family" : "He", "given" : "Yuhong", "non-dropping-particle" : "", "parse-names" : false, "suffix" : "" }, { "dropping-particle" : "", "family" : "Bowman", "given" : "Tamara", "non-dropping-particle" : "", "parse-names" : false, "suffix" : "" }, { "dropping-particle" : "", "family" : "Edwards", "given" : "John R", "non-dropping-particle" : "", "parse-names" : false, "suffix" : "" }, { "dropping-particle" : "", "family" : "Jia", "given" : "Li", "non-dropping-particle" : "", "parse-names" : false, "suffix" : "" } ], "container-title" : "Nucleic acids research", "id" : "ITEM-2", "issue" : "21", "issued" : { "date-parts" : [ [ "2012", "11" ] ] }, "page" : "10765-79", "title" : "Persistent androgen receptor-mediated transcription in castration-resistant prostate cancer under androgen-deprived conditions.", "type" : "article-journal", "volume" : "40" }, "uris" : [ "http://www.mendeley.com/documents/?uuid=209f5712-c2a1-4ec8-bd94-9ccd14ab203d" ] }, { "id" : "ITEM-3", "itemData" : { "DOI" : "10.1016/j.eururo.2013.08.011", "ISSN" : "1873-7560", "PMID" : "24054872", "abstract" : "BACKGROUND: Androgen-deprivation therapy (ADT) is standard treatment for locally advanced or metastatic prostate cancer (PCa). Many patients develop castration resistance (castration-resistant PCa [CRPC]) after approximately 2-3 yr, with a poor prognosis. The molecular mechanisms underlying CRPC progression are unclear.\n\nOBJECTIVE: To undertake quantitative tumour transcriptome profiling prior to and following ADT to identify functionally important androgen-regulated pathways or genes that may be reactivated in CRPC.\n\nDESIGN, SETTING, AND PARTICIPANTS: RNA sequencing (RNA-seq) was performed on tumour-rich, targeted prostatic biopsies from seven patients with locally advanced or metastatic PCa before and approximately 22 wk after ADT initiation. Differentially regulated genes were identified in treatment pairs and further investigated by quantitative reverse transcription-polymerase chain reaction (qRT-PCR) on cell lines and immunohistochemistry on a separate CRPC patient cohort. Functional assays were used to determine the effect of pathway modulation on cell phenotypes.\n\nOUTCOME MEASUREMENTS AND STATISTICAL ANALYSIS: We searched for gene expression changes affecting key cell signalling pathways that may be targeted as proof of principle in a CRPC in vitro cell line model.\n\nRESULTS AND LIMITATIONS: We identified ADT-regulated signalling pathways, including the Wnt/\u03b2-catenin signalling pathway, and observed overexpression of \u03b2-catenin in a subset of CRPC by immunohistochemistry. We validated 6 of 12 (50%) pathway members by qRT-PCR on LNCaP/LNCaP-AI cell RNAs, of which 4 (67%) demonstrated expression changes consistent with RNA-seq data. We show that the tankyrase inhibitor XAV939 (which promotes \u03b2-catenin degradation) reduced androgen-independent LNCaP-AI cell line growth compared with androgen-responsive LNCaP cells via an accumulation of cell proportions in the G0/G1 phase and reduction in the S and G2/M phases. Our biopsy protocol did not account for tumour heterogeneity, and pathway inhibition was limited to pharmacologic approaches.\n\nCONCLUSIONS: RNA-seq of paired PCa samples revealed ADT-regulated signalling pathways. Proof-of-principle inhibition of the Wnt/\u03b2-catenin signalling pathway specifically delays androgen-independent PCa cell cycle progression and proliferation and warrants further investigation as a potential target for therapy for CRPC.", "author" : [ { "dropping-particle" : "", "family" : "Rajan", "given" : "Prabhakar", "non-dropping-particle" : "", "parse-names" : false, "suffix" : "" }, { "dropping-particle" : "", "family" : "Sudbery", "given" : "Ian M", "non-dropping-particle" : "", "parse-names" : false, "suffix" : "" }, { "dropping-particle" : "", "family" : "Villasevil", "given" : "M Eugenia M", "non-dropping-particle" : "", "parse-names" : false, "suffix" : "" }, { "dropping-particle" : "", "family" : "Mui", "given" : "Ernest", "non-dropping-particle" : "", "parse-names" : false, "suffix" : "" }, { "dropping-particle" : "", "family" : "Fleming", "given" : "Janis", "non-dropping-particle" : "", "parse-names" : false, "suffix" : "" }, { "dropping-particle" : "", "family" : "Davis", "given" : "Mark", "non-dropping-particle" : "", "parse-names" : false, "suffix" : "" }, { "dropping-particle" : "", "family" : "Ahmad", "given" : "Imran", "non-dropping-particle" : "", "parse-names" : false, "suffix" : "" }, { "dropping-particle" : "", "family" : "Edwards", "given" : "Joanne", "non-dropping-particle" : "", "parse-names" : false, "suffix" : "" }, { "dropping-particle" : "", "family" : "Sansom", "given" : "Owen J", "non-dropping-particle" : "", "parse-names" : false, "suffix" : "" }, { "dropping-particle" : "", "family" : "Sims", "given" : "David", "non-dropping-particle" : "", "parse-names" : false, "suffix" : "" }, { "dropping-particle" : "", "family" : "Ponting", "given" : "Chris P", "non-dropping-particle" : "", "parse-names" : false, "suffix" : "" }, { "dropping-particle" : "", "family" : "Heger", "given" : "Andreas", "non-dropping-particle" : "", "parse-names" : false, "suffix" : "" }, { "dropping-particle" : "", "family" : "McMenemin", "given" : "Rhona M", "non-dropping-particle" : "", "parse-names" : false, "suffix" : "" }, { "dropping-particle" : "", "family" : "Pedley", "given" : "Ian D", "non-dropping-particle" : "", "parse-names" : false, "suffix" : "" }, { "dropping-particle" : "", "family" : "Leung", "given" : "Hing Y", "non-dropping-particle" : "", "parse-names" : false, "suffix" : "" } ], "container-title" : "European urology", "id" : "ITEM-3", "issue" : "1", "issued" : { "date-parts" : [ [ "2014", "7" ] ] }, "page" : "32-9", "publisher" : "European Association of Urology", "title" : "Next-generation sequencing of advanced prostate cancer treated with androgen-deprivation therapy.", "type" : "article-journal", "volume" : "66" }, "uris" : [ "http://www.mendeley.com/documents/?uuid=ad93ea28-b84c-425f-9999-c134c2929acd" ] } ], "mendeley" : { "manualFormatting" : "(6\u20138)", "previouslyFormattedCitation" : "(6\u20138)" }, "properties" : { "noteIndex" : 0 }, "schema" : "https://github.com/citation-style-language/schema/raw/master/csl-citation.json" }</w:instrText>
      </w:r>
      <w:r w:rsidR="00F8086A" w:rsidRPr="00C45164">
        <w:rPr>
          <w:rFonts w:ascii="Times New Roman" w:hAnsi="Times New Roman"/>
        </w:rPr>
        <w:fldChar w:fldCharType="separate"/>
      </w:r>
      <w:r w:rsidRPr="00C45164">
        <w:rPr>
          <w:rFonts w:ascii="Times New Roman" w:hAnsi="Times New Roman"/>
          <w:noProof/>
        </w:rPr>
        <w:t>(6–8)</w:t>
      </w:r>
      <w:r w:rsidR="00F8086A" w:rsidRPr="00C45164">
        <w:rPr>
          <w:rFonts w:ascii="Times New Roman" w:hAnsi="Times New Roman"/>
        </w:rPr>
        <w:fldChar w:fldCharType="end"/>
      </w:r>
      <w:r w:rsidRPr="00C45164">
        <w:rPr>
          <w:rFonts w:ascii="Times New Roman" w:hAnsi="Times New Roman"/>
        </w:rPr>
        <w:t xml:space="preserve">. The expression of </w:t>
      </w:r>
      <w:r w:rsidRPr="00C45164">
        <w:rPr>
          <w:rFonts w:ascii="Times New Roman" w:hAnsi="Times New Roman"/>
          <w:i/>
        </w:rPr>
        <w:t>DRAIC</w:t>
      </w:r>
      <w:r w:rsidRPr="00C45164">
        <w:rPr>
          <w:rFonts w:ascii="Times New Roman" w:hAnsi="Times New Roman"/>
        </w:rPr>
        <w:t xml:space="preserve"> for each of the pre- and post-</w:t>
      </w:r>
      <w:r w:rsidRPr="00C45164">
        <w:rPr>
          <w:rFonts w:ascii="Times New Roman" w:hAnsi="Times New Roman" w:cs="Times New Roman"/>
          <w:kern w:val="0"/>
        </w:rPr>
        <w:t>Androgen Deprivation Therapy (ADT)</w:t>
      </w:r>
      <w:r w:rsidRPr="00C45164">
        <w:rPr>
          <w:rFonts w:ascii="Times New Roman" w:hAnsi="Times New Roman"/>
        </w:rPr>
        <w:t xml:space="preserve"> samples was determined using the Tuxedo suite and plotted using R. The statistical significance of the changes in </w:t>
      </w:r>
      <w:r w:rsidRPr="00C45164">
        <w:rPr>
          <w:rFonts w:ascii="Times New Roman" w:hAnsi="Times New Roman"/>
          <w:i/>
        </w:rPr>
        <w:t>DRAIC</w:t>
      </w:r>
      <w:r w:rsidRPr="00C45164">
        <w:rPr>
          <w:rFonts w:ascii="Times New Roman" w:hAnsi="Times New Roman"/>
        </w:rPr>
        <w:t xml:space="preserve"> expression was evaluated using a paired t-test. For the correlation curve, all tier-3 RNA-</w:t>
      </w:r>
      <w:proofErr w:type="spellStart"/>
      <w:r w:rsidRPr="00C45164">
        <w:rPr>
          <w:rFonts w:ascii="Times New Roman" w:hAnsi="Times New Roman"/>
        </w:rPr>
        <w:t>seq</w:t>
      </w:r>
      <w:proofErr w:type="spellEnd"/>
      <w:r w:rsidRPr="00C45164">
        <w:rPr>
          <w:rFonts w:ascii="Times New Roman" w:hAnsi="Times New Roman"/>
        </w:rPr>
        <w:t xml:space="preserve"> data for prostate adenocarcinoma (PRAD) was downloaded from the TCGA (</w:t>
      </w:r>
      <w:hyperlink r:id="rId8" w:history="1">
        <w:r w:rsidRPr="00C45164">
          <w:rPr>
            <w:rStyle w:val="Hyperlink"/>
            <w:rFonts w:ascii="Times New Roman" w:hAnsi="Times New Roman"/>
            <w:color w:val="auto"/>
            <w:u w:val="none"/>
          </w:rPr>
          <w:t>https://tcga-data.nci.nih.gov/tcga/</w:t>
        </w:r>
      </w:hyperlink>
      <w:r w:rsidRPr="00C45164">
        <w:rPr>
          <w:rFonts w:ascii="Times New Roman" w:hAnsi="Times New Roman"/>
        </w:rPr>
        <w:t xml:space="preserve">). The pre-determined RSEM expression values of NKX3-1, FOXA1 and </w:t>
      </w:r>
      <w:r w:rsidRPr="00C45164">
        <w:rPr>
          <w:rFonts w:ascii="Times New Roman" w:hAnsi="Times New Roman"/>
          <w:i/>
        </w:rPr>
        <w:t>DRAIC</w:t>
      </w:r>
      <w:r w:rsidRPr="00C45164">
        <w:rPr>
          <w:rFonts w:ascii="Times New Roman" w:hAnsi="Times New Roman"/>
        </w:rPr>
        <w:t xml:space="preserve"> were collected for all tumors and the Spearman correlation coefficient for each comparison was calculated using R.</w:t>
      </w:r>
      <w:r w:rsidR="00485181" w:rsidRPr="00C45164">
        <w:rPr>
          <w:rFonts w:ascii="Times New Roman" w:hAnsi="Times New Roman"/>
        </w:rPr>
        <w:br w:type="page"/>
      </w:r>
    </w:p>
    <w:p w14:paraId="30D03107" w14:textId="77777777" w:rsidR="00D61A28" w:rsidRPr="00C45164" w:rsidRDefault="00D61A28" w:rsidP="00CD4ACD">
      <w:pPr>
        <w:rPr>
          <w:rFonts w:ascii="Times New Roman" w:hAnsi="Times New Roman" w:cs="Times New Roman"/>
          <w:b/>
          <w:u w:val="single"/>
        </w:rPr>
      </w:pPr>
      <w:r w:rsidRPr="00C45164">
        <w:rPr>
          <w:rFonts w:ascii="Times New Roman" w:hAnsi="Times New Roman" w:cs="Times New Roman"/>
          <w:b/>
          <w:u w:val="single"/>
        </w:rPr>
        <w:lastRenderedPageBreak/>
        <w:t>[2] Supplementary Figures</w:t>
      </w:r>
    </w:p>
    <w:p w14:paraId="3DF5970F" w14:textId="77777777" w:rsidR="00A81E2F" w:rsidRPr="00C45164" w:rsidRDefault="00A81E2F" w:rsidP="0055135E">
      <w:pPr>
        <w:rPr>
          <w:rFonts w:ascii="Times New Roman" w:hAnsi="Times New Roman" w:cs="Times New Roman"/>
          <w:b/>
          <w:kern w:val="0"/>
        </w:rPr>
      </w:pPr>
    </w:p>
    <w:p w14:paraId="11B0F929" w14:textId="77777777" w:rsidR="0055135E" w:rsidRPr="00C45164" w:rsidRDefault="0055135E" w:rsidP="0055135E">
      <w:pPr>
        <w:rPr>
          <w:rFonts w:ascii="Times New Roman" w:hAnsi="Times New Roman" w:cs="Times New Roman"/>
          <w:b/>
        </w:rPr>
      </w:pPr>
      <w:r w:rsidRPr="00C45164">
        <w:rPr>
          <w:rFonts w:ascii="Times New Roman" w:hAnsi="Times New Roman" w:cs="Times New Roman"/>
          <w:b/>
        </w:rPr>
        <w:t>Supplementary Figure 1</w:t>
      </w:r>
    </w:p>
    <w:p w14:paraId="4D536426" w14:textId="77777777" w:rsidR="0055135E" w:rsidRPr="00C45164" w:rsidRDefault="0055135E" w:rsidP="0055135E">
      <w:pPr>
        <w:rPr>
          <w:rFonts w:ascii="Times New Roman" w:hAnsi="Times New Roman" w:cs="Times New Roman"/>
          <w:b/>
          <w:color w:val="231F20"/>
          <w:kern w:val="0"/>
        </w:rPr>
      </w:pPr>
      <w:r w:rsidRPr="00C45164">
        <w:rPr>
          <w:rFonts w:ascii="Times New Roman" w:hAnsi="Times New Roman" w:cs="Times New Roman"/>
          <w:b/>
        </w:rPr>
        <w:t xml:space="preserve">Cellular localization of </w:t>
      </w:r>
      <w:r w:rsidRPr="00C45164">
        <w:rPr>
          <w:rFonts w:ascii="Times New Roman" w:hAnsi="Times New Roman" w:cs="Times New Roman"/>
          <w:b/>
          <w:i/>
        </w:rPr>
        <w:t>DRAIC</w:t>
      </w:r>
      <w:r w:rsidRPr="00C45164">
        <w:rPr>
          <w:rFonts w:ascii="Times New Roman" w:hAnsi="Times New Roman" w:cs="Times New Roman"/>
          <w:b/>
        </w:rPr>
        <w:t xml:space="preserve"> and </w:t>
      </w:r>
      <w:r w:rsidRPr="00C45164">
        <w:rPr>
          <w:rFonts w:ascii="Times New Roman" w:hAnsi="Times New Roman" w:cs="Times New Roman"/>
          <w:b/>
          <w:kern w:val="0"/>
        </w:rPr>
        <w:t xml:space="preserve">3’RACE of </w:t>
      </w:r>
      <w:r w:rsidRPr="00C45164">
        <w:rPr>
          <w:rFonts w:ascii="Times New Roman" w:hAnsi="Times New Roman" w:cs="Times New Roman"/>
          <w:b/>
          <w:i/>
        </w:rPr>
        <w:t>DRAIC</w:t>
      </w:r>
      <w:r w:rsidRPr="00C45164">
        <w:rPr>
          <w:rFonts w:ascii="Times New Roman" w:hAnsi="Times New Roman" w:cs="Times New Roman"/>
          <w:b/>
          <w:kern w:val="0"/>
        </w:rPr>
        <w:t xml:space="preserve"> gene</w:t>
      </w:r>
    </w:p>
    <w:p w14:paraId="1335DFDF" w14:textId="77777777" w:rsidR="0055135E" w:rsidRPr="00C45164" w:rsidRDefault="0055135E" w:rsidP="0055135E">
      <w:pPr>
        <w:rPr>
          <w:rFonts w:ascii="Times New Roman" w:hAnsi="Times New Roman" w:cs="Times New Roman"/>
          <w:kern w:val="0"/>
        </w:rPr>
      </w:pPr>
      <w:r w:rsidRPr="00C45164">
        <w:rPr>
          <w:rFonts w:ascii="Times New Roman" w:hAnsi="Times New Roman" w:cs="Times New Roman"/>
          <w:kern w:val="0"/>
        </w:rPr>
        <w:t>(A) Semi-</w:t>
      </w:r>
      <w:proofErr w:type="spellStart"/>
      <w:r w:rsidRPr="00C45164">
        <w:rPr>
          <w:rFonts w:ascii="Times New Roman" w:hAnsi="Times New Roman" w:cs="Times New Roman"/>
          <w:kern w:val="0"/>
        </w:rPr>
        <w:t>quantative</w:t>
      </w:r>
      <w:proofErr w:type="spellEnd"/>
      <w:r w:rsidRPr="00C45164">
        <w:rPr>
          <w:rFonts w:ascii="Times New Roman" w:hAnsi="Times New Roman" w:cs="Times New Roman"/>
          <w:kern w:val="0"/>
        </w:rPr>
        <w:t xml:space="preserve"> RT-PCR was performed using </w:t>
      </w:r>
      <w:proofErr w:type="spellStart"/>
      <w:r w:rsidRPr="00C45164">
        <w:rPr>
          <w:rFonts w:ascii="Times New Roman" w:hAnsi="Times New Roman" w:cs="Times New Roman"/>
          <w:kern w:val="0"/>
        </w:rPr>
        <w:t>LNCaP</w:t>
      </w:r>
      <w:proofErr w:type="spellEnd"/>
      <w:r w:rsidRPr="00C45164">
        <w:rPr>
          <w:rFonts w:ascii="Times New Roman" w:hAnsi="Times New Roman" w:cs="Times New Roman"/>
          <w:kern w:val="0"/>
        </w:rPr>
        <w:t xml:space="preserve"> nuclear (</w:t>
      </w:r>
      <w:proofErr w:type="spellStart"/>
      <w:r w:rsidRPr="00C45164">
        <w:rPr>
          <w:rFonts w:ascii="Times New Roman" w:hAnsi="Times New Roman" w:cs="Times New Roman"/>
          <w:kern w:val="0"/>
        </w:rPr>
        <w:t>Nuc</w:t>
      </w:r>
      <w:proofErr w:type="spellEnd"/>
      <w:r w:rsidRPr="00C45164">
        <w:rPr>
          <w:rFonts w:ascii="Times New Roman" w:hAnsi="Times New Roman" w:cs="Times New Roman"/>
          <w:kern w:val="0"/>
        </w:rPr>
        <w:t>) and cytoplasm (</w:t>
      </w:r>
      <w:proofErr w:type="spellStart"/>
      <w:r w:rsidRPr="00C45164">
        <w:rPr>
          <w:rFonts w:ascii="Times New Roman" w:hAnsi="Times New Roman" w:cs="Times New Roman"/>
          <w:kern w:val="0"/>
        </w:rPr>
        <w:t>Cyt</w:t>
      </w:r>
      <w:proofErr w:type="spellEnd"/>
      <w:r w:rsidRPr="00C45164">
        <w:rPr>
          <w:rFonts w:ascii="Times New Roman" w:hAnsi="Times New Roman" w:cs="Times New Roman"/>
          <w:kern w:val="0"/>
        </w:rPr>
        <w:t xml:space="preserve">) RNA. </w:t>
      </w:r>
      <w:r w:rsidRPr="00C45164">
        <w:rPr>
          <w:rFonts w:ascii="Times New Roman" w:hAnsi="Times New Roman" w:cs="Times New Roman"/>
          <w:i/>
          <w:kern w:val="0"/>
        </w:rPr>
        <w:t>APTR</w:t>
      </w:r>
      <w:r w:rsidRPr="00C45164">
        <w:rPr>
          <w:rFonts w:ascii="Times New Roman" w:hAnsi="Times New Roman" w:cs="Times New Roman"/>
          <w:kern w:val="0"/>
        </w:rPr>
        <w:t xml:space="preserve">, which is a </w:t>
      </w:r>
      <w:proofErr w:type="spellStart"/>
      <w:r w:rsidRPr="00C45164">
        <w:rPr>
          <w:rFonts w:ascii="Times New Roman" w:hAnsi="Times New Roman" w:cs="Times New Roman"/>
          <w:kern w:val="0"/>
        </w:rPr>
        <w:t>lncRNA</w:t>
      </w:r>
      <w:proofErr w:type="spellEnd"/>
      <w:r w:rsidRPr="00C45164">
        <w:rPr>
          <w:rFonts w:ascii="Times New Roman" w:hAnsi="Times New Roman" w:cs="Times New Roman"/>
          <w:kern w:val="0"/>
        </w:rPr>
        <w:t xml:space="preserve"> identified by our group </w:t>
      </w:r>
      <w:r w:rsidR="00F8086A" w:rsidRPr="00C45164">
        <w:rPr>
          <w:rFonts w:ascii="Times New Roman" w:hAnsi="Times New Roman" w:cs="Times New Roman"/>
          <w:kern w:val="0"/>
        </w:rPr>
        <w:fldChar w:fldCharType="begin" w:fldLock="1"/>
      </w:r>
      <w:r w:rsidR="005F7102" w:rsidRPr="00C45164">
        <w:rPr>
          <w:rFonts w:ascii="Times New Roman" w:hAnsi="Times New Roman" w:cs="Times New Roman"/>
          <w:kern w:val="0"/>
        </w:rPr>
        <w:instrText>ADDIN CSL_CITATION { "citationItems" : [ { "id" : "ITEM-1", "itemData" : { "DOI" : "10.1371/journal.pone.0095216", "ISSN" : "1932-6203", "PMID" : "24748121", "abstract" : "Long noncoding RNAs (lncRNAs) have emerged as a major regulator of cell physiology, but many of which have no known function. CDKN1A/p21 is an important inhibitor of the cell-cycle, regulator of the DNA damage response and effector of the tumor suppressor p53, playing a crucial role in tumor development and prevention. In order to identify a regulator for tumor progression, we performed an siRNA screen of human lncRNAs required for cell proliferation, and identified a novel lncRNA, APTR, that acts in trans to repress the CDKN1A/p21 promoter independent of p53 to promote cell proliferation. APTR associates with the promoter of CDKN1A/p21 and this association requires a complementary-Alu sequence encoded in APTR. A different module of APTR associates with and recruits the Polycomb repressive complex 2 (PRC2) to epigenetically repress the p21 promoter. A decrease in APTR is necessary for the induction of p21 after heat stress and DNA damage by doxorubicin, and the levels of APTR and p21 are anti-correlated in human glioblastomas. Our data identify a new regulator of the cell-cycle inhibitor CDKN1A/p21 that acts as a proliferative factor in cancer cell lines and in glioblastomas and demonstrate that Alu elements present in lncRNAs can contribute to targeting regulatory lncRNAs to promoters.", "author" : [ { "dropping-particle" : "", "family" : "Negishi", "given" : "Masamitsu", "non-dropping-particle" : "", "parse-names" : false, "suffix" : "" }, { "dropping-particle" : "", "family" : "Wongpalee", "given" : "Somsakul P", "non-dropping-particle" : "", "parse-names" : false, "suffix" : "" }, { "dropping-particle" : "", "family" : "Sarkar", "given" : "Sukumar", "non-dropping-particle" : "", "parse-names" : false, "suffix" : "" }, { "dropping-particle" : "", "family" : "Park", "given" : "Jonghoon", "non-dropping-particle" : "", "parse-names" : false, "suffix" : "" }, { "dropping-particle" : "", "family" : "Lee", "given" : "Kyung Yong", "non-dropping-particle" : "", "parse-names" : false, "suffix" : "" }, { "dropping-particle" : "", "family" : "Shibata", "given" : "Yoshiyuki", "non-dropping-particle" : "", "parse-names" : false, "suffix" : "" }, { "dropping-particle" : "", "family" : "Reon", "given" : "Brian J", "non-dropping-particle" : "", "parse-names" : false, "suffix" : "" }, { "dropping-particle" : "", "family" : "Abounader", "given" : "Roger", "non-dropping-particle" : "", "parse-names" : false, "suffix" : "" }, { "dropping-particle" : "", "family" : "Suzuki", "given" : "Yutaka", "non-dropping-particle" : "", "parse-names" : false, "suffix" : "" }, { "dropping-particle" : "", "family" : "Sugano", "given" : "Sumio", "non-dropping-particle" : "", "parse-names" : false, "suffix" : "" }, { "dropping-particle" : "", "family" : "Dutta", "given" : "Anindya", "non-dropping-particle" : "", "parse-names" : false, "suffix" : "" } ], "container-title" : "PloS one", "id" : "ITEM-1", "issue" : "4", "issued" : { "date-parts" : [ [ "2014", "1" ] ] }, "page" : "e95216", "title" : "A new lncRNA, APTR, associates with and represses the CDKN1A/p21 promoter by recruiting polycomb proteins.", "type" : "article-journal", "volume" : "9" }, "uris" : [ "http://www.mendeley.com/documents/?uuid=101ece55-df2a-4c6f-9cde-420323c35c34" ] } ], "mendeley" : { "previouslyFormattedCitation" : "(1)" }, "properties" : { "noteIndex" : 0 }, "schema" : "https://github.com/citation-style-language/schema/raw/master/csl-citation.json" }</w:instrText>
      </w:r>
      <w:r w:rsidR="00F8086A" w:rsidRPr="00C45164">
        <w:rPr>
          <w:rFonts w:ascii="Times New Roman" w:hAnsi="Times New Roman" w:cs="Times New Roman"/>
          <w:kern w:val="0"/>
        </w:rPr>
        <w:fldChar w:fldCharType="separate"/>
      </w:r>
      <w:r w:rsidR="006A4A64" w:rsidRPr="00C45164">
        <w:rPr>
          <w:rFonts w:ascii="Times New Roman" w:hAnsi="Times New Roman" w:cs="Times New Roman"/>
          <w:noProof/>
          <w:kern w:val="0"/>
        </w:rPr>
        <w:t>(1)</w:t>
      </w:r>
      <w:r w:rsidR="00F8086A" w:rsidRPr="00C45164">
        <w:rPr>
          <w:rFonts w:ascii="Times New Roman" w:hAnsi="Times New Roman" w:cs="Times New Roman"/>
          <w:kern w:val="0"/>
        </w:rPr>
        <w:fldChar w:fldCharType="end"/>
      </w:r>
      <w:r w:rsidRPr="00C45164">
        <w:rPr>
          <w:rFonts w:ascii="Times New Roman" w:hAnsi="Times New Roman" w:cs="Times New Roman"/>
          <w:kern w:val="0"/>
        </w:rPr>
        <w:t xml:space="preserve">, is located mostly in the nuclear fraction. </w:t>
      </w:r>
      <w:r w:rsidRPr="00C45164">
        <w:rPr>
          <w:rFonts w:ascii="Times New Roman" w:hAnsi="Times New Roman" w:cs="Times New Roman"/>
          <w:i/>
        </w:rPr>
        <w:t>DRAIC</w:t>
      </w:r>
      <w:r w:rsidRPr="00C45164">
        <w:rPr>
          <w:rFonts w:ascii="Times New Roman" w:hAnsi="Times New Roman" w:cs="Times New Roman"/>
          <w:kern w:val="0"/>
        </w:rPr>
        <w:t xml:space="preserve"> and </w:t>
      </w:r>
      <w:r w:rsidRPr="00C45164">
        <w:rPr>
          <w:rFonts w:ascii="Times New Roman" w:hAnsi="Times New Roman" w:cs="Times New Roman"/>
          <w:i/>
          <w:kern w:val="0"/>
        </w:rPr>
        <w:t>GAPDH</w:t>
      </w:r>
      <w:r w:rsidRPr="00C45164">
        <w:rPr>
          <w:rFonts w:ascii="Times New Roman" w:hAnsi="Times New Roman" w:cs="Times New Roman"/>
          <w:kern w:val="0"/>
        </w:rPr>
        <w:t xml:space="preserve"> mRNA are expressed in cytoplasm. (B) 3’RACE was performed using </w:t>
      </w:r>
      <w:proofErr w:type="spellStart"/>
      <w:r w:rsidRPr="00C45164">
        <w:rPr>
          <w:rFonts w:ascii="Times New Roman" w:hAnsi="Times New Roman" w:cs="Times New Roman"/>
          <w:kern w:val="0"/>
        </w:rPr>
        <w:t>LNCaP</w:t>
      </w:r>
      <w:proofErr w:type="spellEnd"/>
      <w:r w:rsidRPr="00C45164">
        <w:rPr>
          <w:rFonts w:ascii="Times New Roman" w:hAnsi="Times New Roman" w:cs="Times New Roman"/>
          <w:kern w:val="0"/>
        </w:rPr>
        <w:t xml:space="preserve"> poly A+ RNA. 3’ end of </w:t>
      </w:r>
      <w:r w:rsidRPr="00C45164">
        <w:rPr>
          <w:rFonts w:ascii="Times New Roman" w:hAnsi="Times New Roman" w:cs="Times New Roman"/>
          <w:i/>
        </w:rPr>
        <w:t>DRAIC</w:t>
      </w:r>
      <w:r w:rsidRPr="00C45164">
        <w:rPr>
          <w:rFonts w:ascii="Times New Roman" w:hAnsi="Times New Roman" w:cs="Times New Roman"/>
          <w:kern w:val="0"/>
        </w:rPr>
        <w:t xml:space="preserve"> is shown and </w:t>
      </w:r>
      <w:proofErr w:type="spellStart"/>
      <w:r w:rsidRPr="00C45164">
        <w:rPr>
          <w:rFonts w:ascii="Times New Roman" w:hAnsi="Times New Roman" w:cs="Times New Roman"/>
          <w:kern w:val="0"/>
        </w:rPr>
        <w:t>polyA</w:t>
      </w:r>
      <w:proofErr w:type="spellEnd"/>
      <w:r w:rsidRPr="00C45164">
        <w:rPr>
          <w:rFonts w:ascii="Times New Roman" w:hAnsi="Times New Roman" w:cs="Times New Roman"/>
          <w:kern w:val="0"/>
        </w:rPr>
        <w:t xml:space="preserve"> signal (AATAAA) is boxed. The products of the reaction are shown on the gel and were sequenced to confirm the 3' end.</w:t>
      </w:r>
    </w:p>
    <w:p w14:paraId="14DA2E3A" w14:textId="77777777" w:rsidR="0055135E" w:rsidRPr="00C45164" w:rsidRDefault="0055135E" w:rsidP="0055135E">
      <w:pPr>
        <w:rPr>
          <w:rFonts w:ascii="Times New Roman" w:hAnsi="Times New Roman" w:cs="Times New Roman"/>
          <w:color w:val="231F20"/>
          <w:kern w:val="0"/>
        </w:rPr>
      </w:pPr>
    </w:p>
    <w:p w14:paraId="112C341A" w14:textId="77777777" w:rsidR="0055135E" w:rsidRPr="00C45164" w:rsidRDefault="0055135E" w:rsidP="0055135E">
      <w:pPr>
        <w:rPr>
          <w:rFonts w:ascii="Times New Roman" w:hAnsi="Times New Roman" w:cs="Times New Roman"/>
          <w:b/>
        </w:rPr>
      </w:pPr>
      <w:r w:rsidRPr="00C45164">
        <w:rPr>
          <w:rFonts w:ascii="Times New Roman" w:hAnsi="Times New Roman" w:cs="Times New Roman"/>
          <w:b/>
        </w:rPr>
        <w:t>Supplementary Figure 2</w:t>
      </w:r>
    </w:p>
    <w:p w14:paraId="67D7726E" w14:textId="77777777" w:rsidR="0055135E" w:rsidRPr="00C45164" w:rsidRDefault="0055135E" w:rsidP="0055135E">
      <w:pPr>
        <w:rPr>
          <w:rFonts w:ascii="Times New Roman" w:hAnsi="Times New Roman" w:cs="Times New Roman"/>
          <w:b/>
          <w:kern w:val="0"/>
        </w:rPr>
      </w:pPr>
      <w:r w:rsidRPr="00C45164">
        <w:rPr>
          <w:rFonts w:ascii="Times New Roman" w:hAnsi="Times New Roman" w:cs="Times New Roman"/>
          <w:b/>
          <w:kern w:val="0"/>
        </w:rPr>
        <w:t xml:space="preserve">Transcriptional variants of </w:t>
      </w:r>
      <w:r w:rsidRPr="00C45164">
        <w:rPr>
          <w:rFonts w:ascii="Times New Roman" w:hAnsi="Times New Roman" w:cs="Times New Roman"/>
          <w:b/>
          <w:i/>
        </w:rPr>
        <w:t>DRAIC</w:t>
      </w:r>
      <w:r w:rsidRPr="00C45164">
        <w:rPr>
          <w:rFonts w:ascii="Times New Roman" w:hAnsi="Times New Roman" w:cs="Times New Roman"/>
          <w:b/>
          <w:kern w:val="0"/>
        </w:rPr>
        <w:t xml:space="preserve"> gene</w:t>
      </w:r>
    </w:p>
    <w:p w14:paraId="4F4DCD83" w14:textId="77777777" w:rsidR="0055135E" w:rsidRPr="00C45164" w:rsidRDefault="0055135E" w:rsidP="0055135E">
      <w:pPr>
        <w:rPr>
          <w:rFonts w:ascii="Times New Roman" w:hAnsi="Times New Roman" w:cs="Times New Roman"/>
        </w:rPr>
      </w:pPr>
      <w:r w:rsidRPr="00C45164">
        <w:rPr>
          <w:rFonts w:ascii="Times New Roman" w:hAnsi="Times New Roman" w:cs="Times New Roman"/>
          <w:kern w:val="0"/>
        </w:rPr>
        <w:t xml:space="preserve">(A) Gene structures of transcript variants (variant1, 2 and 3) and </w:t>
      </w:r>
      <w:r w:rsidRPr="00C45164">
        <w:rPr>
          <w:rFonts w:ascii="Times New Roman" w:hAnsi="Times New Roman" w:cs="Times New Roman"/>
          <w:i/>
        </w:rPr>
        <w:t>DRAIC</w:t>
      </w:r>
      <w:r w:rsidRPr="00C45164">
        <w:rPr>
          <w:rFonts w:ascii="Times New Roman" w:hAnsi="Times New Roman" w:cs="Times New Roman"/>
          <w:kern w:val="0"/>
        </w:rPr>
        <w:t>. Forward and reverse RT-</w:t>
      </w:r>
      <w:proofErr w:type="spellStart"/>
      <w:r w:rsidRPr="00C45164">
        <w:rPr>
          <w:rFonts w:ascii="Times New Roman" w:hAnsi="Times New Roman" w:cs="Times New Roman"/>
          <w:kern w:val="0"/>
        </w:rPr>
        <w:t>qPCR</w:t>
      </w:r>
      <w:proofErr w:type="spellEnd"/>
      <w:r w:rsidRPr="00C45164">
        <w:rPr>
          <w:rFonts w:ascii="Times New Roman" w:hAnsi="Times New Roman" w:cs="Times New Roman"/>
          <w:kern w:val="0"/>
        </w:rPr>
        <w:t xml:space="preserve"> primers which can distinguish each transcripts are shown as arrows. (B) </w:t>
      </w:r>
      <w:r w:rsidRPr="00C45164">
        <w:rPr>
          <w:rFonts w:ascii="Times New Roman" w:hAnsi="Times New Roman" w:cs="Times New Roman"/>
        </w:rPr>
        <w:t>The expressions of variant 1, 2 and 3 in a panel of prostate cancer cells were measured by RT-</w:t>
      </w:r>
      <w:proofErr w:type="spellStart"/>
      <w:r w:rsidRPr="00C45164">
        <w:rPr>
          <w:rFonts w:ascii="Times New Roman" w:hAnsi="Times New Roman" w:cs="Times New Roman"/>
        </w:rPr>
        <w:t>qPCR</w:t>
      </w:r>
      <w:proofErr w:type="spellEnd"/>
      <w:r w:rsidRPr="00C45164">
        <w:rPr>
          <w:rFonts w:ascii="Times New Roman" w:hAnsi="Times New Roman" w:cs="Times New Roman"/>
        </w:rPr>
        <w:t xml:space="preserve"> and normalized to </w:t>
      </w:r>
      <w:r w:rsidRPr="00C45164">
        <w:rPr>
          <w:rFonts w:ascii="Times New Roman" w:hAnsi="Times New Roman" w:cs="Times New Roman"/>
          <w:i/>
        </w:rPr>
        <w:t>GAPDH</w:t>
      </w:r>
      <w:r w:rsidRPr="00C45164">
        <w:rPr>
          <w:rFonts w:ascii="Times New Roman" w:hAnsi="Times New Roman" w:cs="Times New Roman"/>
        </w:rPr>
        <w:t>. Rest as in Fig. 1C.</w:t>
      </w:r>
    </w:p>
    <w:p w14:paraId="76D1F57A" w14:textId="77777777" w:rsidR="0055135E" w:rsidRPr="00C45164" w:rsidRDefault="0055135E" w:rsidP="0055135E">
      <w:pPr>
        <w:rPr>
          <w:rFonts w:ascii="Times New Roman" w:hAnsi="Times New Roman" w:cs="Times New Roman"/>
          <w:kern w:val="0"/>
        </w:rPr>
      </w:pPr>
    </w:p>
    <w:p w14:paraId="6FC32FD2" w14:textId="77777777" w:rsidR="007A40B8" w:rsidRPr="00C45164" w:rsidRDefault="007A40B8" w:rsidP="0055135E">
      <w:pPr>
        <w:rPr>
          <w:rFonts w:ascii="Times New Roman" w:hAnsi="Times New Roman" w:cs="Times New Roman"/>
        </w:rPr>
      </w:pPr>
      <w:r w:rsidRPr="00C45164">
        <w:rPr>
          <w:rFonts w:ascii="Times New Roman" w:hAnsi="Times New Roman" w:cs="Times New Roman"/>
          <w:b/>
        </w:rPr>
        <w:t>Supplementary Figure</w:t>
      </w:r>
      <w:r w:rsidR="00F910D5" w:rsidRPr="00C45164">
        <w:rPr>
          <w:rFonts w:ascii="Times New Roman" w:hAnsi="Times New Roman" w:cs="Times New Roman"/>
          <w:b/>
        </w:rPr>
        <w:t xml:space="preserve"> </w:t>
      </w:r>
      <w:r w:rsidR="0055135E" w:rsidRPr="00C45164">
        <w:rPr>
          <w:rFonts w:ascii="Times New Roman" w:hAnsi="Times New Roman" w:cs="Times New Roman"/>
          <w:b/>
        </w:rPr>
        <w:t>3</w:t>
      </w:r>
    </w:p>
    <w:p w14:paraId="2E0E77B6" w14:textId="77777777" w:rsidR="007A40B8" w:rsidRPr="00C45164" w:rsidRDefault="007A40B8" w:rsidP="0055135E">
      <w:pPr>
        <w:rPr>
          <w:rFonts w:ascii="Times New Roman" w:hAnsi="Times New Roman" w:cs="Times New Roman"/>
          <w:b/>
        </w:rPr>
      </w:pPr>
      <w:r w:rsidRPr="00C45164">
        <w:rPr>
          <w:rFonts w:ascii="Times New Roman" w:hAnsi="Times New Roman" w:cs="Times New Roman"/>
          <w:b/>
        </w:rPr>
        <w:t xml:space="preserve">AR, FOXA1 and NKX3-1 binding sequences at </w:t>
      </w:r>
      <w:r w:rsidRPr="00C45164">
        <w:rPr>
          <w:rFonts w:ascii="Times New Roman" w:hAnsi="Times New Roman" w:cs="Times New Roman"/>
          <w:b/>
          <w:i/>
        </w:rPr>
        <w:t>DRAIC</w:t>
      </w:r>
      <w:r w:rsidR="00F41B8F" w:rsidRPr="00C45164">
        <w:rPr>
          <w:rFonts w:ascii="Times New Roman" w:hAnsi="Times New Roman" w:cs="Times New Roman"/>
          <w:b/>
        </w:rPr>
        <w:t xml:space="preserve"> locus</w:t>
      </w:r>
    </w:p>
    <w:p w14:paraId="7C1354A9" w14:textId="77777777" w:rsidR="007A40B8" w:rsidRPr="00C45164" w:rsidRDefault="007A40B8" w:rsidP="0055135E">
      <w:pPr>
        <w:rPr>
          <w:rFonts w:ascii="Times New Roman" w:hAnsi="Times New Roman" w:cs="Times New Roman"/>
          <w:kern w:val="0"/>
        </w:rPr>
      </w:pPr>
      <w:r w:rsidRPr="00C45164">
        <w:rPr>
          <w:rFonts w:ascii="Times New Roman" w:hAnsi="Times New Roman" w:cs="Times New Roman"/>
          <w:kern w:val="0"/>
        </w:rPr>
        <w:t xml:space="preserve">Putative binding sequences of AR and FOXA1 at </w:t>
      </w:r>
      <w:r w:rsidRPr="00C45164">
        <w:rPr>
          <w:rFonts w:ascii="Times New Roman" w:hAnsi="Times New Roman" w:cs="Times New Roman"/>
          <w:i/>
          <w:kern w:val="0"/>
        </w:rPr>
        <w:t>DRAIC</w:t>
      </w:r>
      <w:r w:rsidR="00F41B8F" w:rsidRPr="00C45164">
        <w:rPr>
          <w:rFonts w:ascii="Times New Roman" w:hAnsi="Times New Roman" w:cs="Times New Roman"/>
          <w:kern w:val="0"/>
        </w:rPr>
        <w:t xml:space="preserve"> locus</w:t>
      </w:r>
      <w:r w:rsidRPr="00C45164">
        <w:rPr>
          <w:rFonts w:ascii="Times New Roman" w:hAnsi="Times New Roman" w:cs="Times New Roman"/>
          <w:kern w:val="0"/>
        </w:rPr>
        <w:t xml:space="preserve"> were searched by </w:t>
      </w:r>
      <w:r w:rsidRPr="00C45164">
        <w:rPr>
          <w:rFonts w:ascii="Times New Roman" w:hAnsi="Times New Roman" w:cs="Times New Roman"/>
        </w:rPr>
        <w:t>ALG</w:t>
      </w:r>
      <w:r w:rsidR="00601AA5" w:rsidRPr="00C45164">
        <w:rPr>
          <w:rFonts w:ascii="Times New Roman" w:hAnsi="Times New Roman" w:cs="Times New Roman"/>
        </w:rPr>
        <w:t>G</w:t>
      </w:r>
      <w:r w:rsidRPr="00C45164">
        <w:rPr>
          <w:rFonts w:ascii="Times New Roman" w:hAnsi="Times New Roman" w:cs="Times New Roman"/>
        </w:rPr>
        <w:t>EN-PRIMO (</w:t>
      </w:r>
      <w:hyperlink r:id="rId9" w:history="1">
        <w:r w:rsidRPr="00C45164">
          <w:rPr>
            <w:rStyle w:val="Hyperlink"/>
            <w:rFonts w:ascii="Times New Roman" w:hAnsi="Times New Roman" w:cs="Times New Roman"/>
          </w:rPr>
          <w:t>http://alggen.lsi.upc.es/cgi-bin/promo_v3/promo/promoinit.cgi?dirDB=TF_8.3</w:t>
        </w:r>
      </w:hyperlink>
      <w:r w:rsidRPr="00C45164">
        <w:rPr>
          <w:rFonts w:ascii="Times New Roman" w:hAnsi="Times New Roman" w:cs="Times New Roman"/>
        </w:rPr>
        <w:t xml:space="preserve">). </w:t>
      </w:r>
    </w:p>
    <w:p w14:paraId="0CA3C58B" w14:textId="77777777" w:rsidR="007A40B8" w:rsidRPr="00C45164" w:rsidRDefault="00130D19" w:rsidP="0055135E">
      <w:pPr>
        <w:rPr>
          <w:rFonts w:ascii="Times New Roman" w:hAnsi="Times New Roman" w:cs="Times New Roman"/>
          <w:kern w:val="0"/>
        </w:rPr>
      </w:pPr>
      <w:r w:rsidRPr="00C45164">
        <w:rPr>
          <w:rFonts w:ascii="Times New Roman" w:hAnsi="Times New Roman" w:cs="Times New Roman"/>
          <w:kern w:val="0"/>
        </w:rPr>
        <w:t>H</w:t>
      </w:r>
      <w:r w:rsidR="007A40B8" w:rsidRPr="00C45164">
        <w:rPr>
          <w:rFonts w:ascii="Times New Roman" w:hAnsi="Times New Roman" w:cs="Times New Roman"/>
          <w:kern w:val="0"/>
        </w:rPr>
        <w:t>alf-ARE sequence</w:t>
      </w:r>
      <w:r w:rsidRPr="00C45164">
        <w:rPr>
          <w:rFonts w:ascii="Times New Roman" w:hAnsi="Times New Roman" w:cs="Times New Roman"/>
          <w:kern w:val="0"/>
        </w:rPr>
        <w:t>s are boxed under AR sites</w:t>
      </w:r>
      <w:r w:rsidR="007A40B8" w:rsidRPr="00C45164">
        <w:rPr>
          <w:rFonts w:ascii="Times New Roman" w:hAnsi="Times New Roman" w:cs="Times New Roman"/>
          <w:kern w:val="0"/>
        </w:rPr>
        <w:t xml:space="preserve">. Putative binding sequences of NKX3-1 identical to the consensus sequences (5’TAAGTA3’) </w:t>
      </w:r>
      <w:r w:rsidR="000810CD" w:rsidRPr="00C45164">
        <w:rPr>
          <w:rFonts w:ascii="Times New Roman" w:hAnsi="Times New Roman" w:cs="Times New Roman"/>
          <w:kern w:val="0"/>
        </w:rPr>
        <w:t>are</w:t>
      </w:r>
      <w:r w:rsidR="007A40B8" w:rsidRPr="00C45164">
        <w:rPr>
          <w:rFonts w:ascii="Times New Roman" w:hAnsi="Times New Roman" w:cs="Times New Roman"/>
          <w:kern w:val="0"/>
        </w:rPr>
        <w:t xml:space="preserve"> shown.</w:t>
      </w:r>
    </w:p>
    <w:p w14:paraId="01DE1993" w14:textId="77777777" w:rsidR="006A4A64" w:rsidRPr="00C45164" w:rsidRDefault="006A4A64" w:rsidP="00CD4ACD">
      <w:pPr>
        <w:rPr>
          <w:rFonts w:ascii="Times New Roman" w:hAnsi="Times New Roman" w:cs="Times New Roman"/>
          <w:b/>
        </w:rPr>
      </w:pPr>
      <w:r w:rsidRPr="00C45164">
        <w:rPr>
          <w:rFonts w:ascii="Times New Roman" w:hAnsi="Times New Roman" w:cs="Times New Roman"/>
          <w:b/>
        </w:rPr>
        <w:br w:type="page"/>
      </w:r>
    </w:p>
    <w:p w14:paraId="4087D918" w14:textId="77777777" w:rsidR="007D5A5F" w:rsidRPr="00C45164" w:rsidRDefault="006A4A64" w:rsidP="00CD4ACD">
      <w:pPr>
        <w:rPr>
          <w:rFonts w:ascii="Times New Roman" w:hAnsi="Times New Roman" w:cs="Times New Roman"/>
          <w:b/>
          <w:u w:val="single"/>
        </w:rPr>
      </w:pPr>
      <w:r w:rsidRPr="00C45164">
        <w:rPr>
          <w:rFonts w:ascii="Times New Roman" w:hAnsi="Times New Roman" w:cs="Times New Roman"/>
          <w:b/>
          <w:u w:val="single"/>
        </w:rPr>
        <w:lastRenderedPageBreak/>
        <w:t xml:space="preserve"> </w:t>
      </w:r>
      <w:r w:rsidR="007D5A5F" w:rsidRPr="00C45164">
        <w:rPr>
          <w:rFonts w:ascii="Times New Roman" w:hAnsi="Times New Roman" w:cs="Times New Roman"/>
          <w:b/>
          <w:u w:val="single"/>
        </w:rPr>
        <w:t>[3] Supplementary References</w:t>
      </w:r>
    </w:p>
    <w:p w14:paraId="36A04C82" w14:textId="0D42991F" w:rsidR="005F7102" w:rsidRPr="00C45164" w:rsidRDefault="00F8086A">
      <w:pPr>
        <w:pStyle w:val="NormalWeb"/>
        <w:ind w:left="640" w:hanging="640"/>
        <w:divId w:val="1289430609"/>
        <w:rPr>
          <w:rFonts w:ascii="Times New Roman" w:hAnsi="Times New Roman"/>
          <w:noProof/>
          <w:sz w:val="24"/>
        </w:rPr>
      </w:pPr>
      <w:r w:rsidRPr="00C45164">
        <w:rPr>
          <w:rFonts w:ascii="Times New Roman" w:hAnsi="Times New Roman"/>
        </w:rPr>
        <w:fldChar w:fldCharType="begin" w:fldLock="1"/>
      </w:r>
      <w:r w:rsidR="00E02429" w:rsidRPr="00C45164">
        <w:rPr>
          <w:rFonts w:ascii="Times New Roman" w:hAnsi="Times New Roman"/>
        </w:rPr>
        <w:instrText xml:space="preserve">ADDIN Mendeley Bibliography CSL_BIBLIOGRAPHY </w:instrText>
      </w:r>
      <w:r w:rsidRPr="00C45164">
        <w:rPr>
          <w:rFonts w:ascii="Times New Roman" w:hAnsi="Times New Roman"/>
        </w:rPr>
        <w:fldChar w:fldCharType="separate"/>
      </w:r>
      <w:r w:rsidR="005F7102" w:rsidRPr="00C45164">
        <w:rPr>
          <w:rFonts w:ascii="Times New Roman" w:hAnsi="Times New Roman"/>
          <w:noProof/>
          <w:sz w:val="24"/>
        </w:rPr>
        <w:t xml:space="preserve">1. </w:t>
      </w:r>
      <w:r w:rsidR="005F7102" w:rsidRPr="00C45164">
        <w:rPr>
          <w:rFonts w:ascii="Times New Roman" w:hAnsi="Times New Roman"/>
          <w:noProof/>
          <w:sz w:val="24"/>
        </w:rPr>
        <w:tab/>
        <w:t>Negishi M, Wongpalee SP, Sarkar S, Park J, Lee KY, Shibata Y, et al. A new lncRNA, APTR, associates with and represses the CDKN1A/p21 promoter by recruiting polycomb proteins. PLoS One 2014</w:t>
      </w:r>
      <w:r w:rsidR="00CA7DF9" w:rsidRPr="00C45164">
        <w:rPr>
          <w:rFonts w:ascii="Times New Roman" w:hAnsi="Times New Roman"/>
          <w:noProof/>
          <w:sz w:val="24"/>
        </w:rPr>
        <w:t>;9:e95216.</w:t>
      </w:r>
    </w:p>
    <w:p w14:paraId="3EA3D917" w14:textId="3B0892E1"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2. </w:t>
      </w:r>
      <w:r w:rsidRPr="00C45164">
        <w:rPr>
          <w:rFonts w:ascii="Times New Roman" w:hAnsi="Times New Roman"/>
          <w:noProof/>
          <w:sz w:val="24"/>
        </w:rPr>
        <w:tab/>
        <w:t xml:space="preserve">Steadman DJ, Giuffrida D, Gelmann EP. DNA-binding sequence of the human prostate-specific homeodomain protein </w:t>
      </w:r>
      <w:r w:rsidR="00CA7DF9" w:rsidRPr="00C45164">
        <w:rPr>
          <w:rFonts w:ascii="Times New Roman" w:hAnsi="Times New Roman"/>
          <w:noProof/>
          <w:sz w:val="24"/>
        </w:rPr>
        <w:t>NKX3.</w:t>
      </w:r>
      <w:r w:rsidRPr="00C45164">
        <w:rPr>
          <w:rFonts w:ascii="Times New Roman" w:hAnsi="Times New Roman"/>
          <w:noProof/>
          <w:sz w:val="24"/>
        </w:rPr>
        <w:t xml:space="preserve">1. </w:t>
      </w:r>
      <w:r w:rsidR="00CA7DF9" w:rsidRPr="00C45164">
        <w:rPr>
          <w:rFonts w:ascii="Times New Roman" w:hAnsi="Times New Roman"/>
          <w:noProof/>
          <w:sz w:val="24"/>
        </w:rPr>
        <w:t xml:space="preserve">Nucleic Acids Res </w:t>
      </w:r>
      <w:r w:rsidRPr="00C45164">
        <w:rPr>
          <w:rFonts w:ascii="Times New Roman" w:hAnsi="Times New Roman"/>
          <w:noProof/>
          <w:sz w:val="24"/>
        </w:rPr>
        <w:t xml:space="preserve">2000;28:2389–95. </w:t>
      </w:r>
    </w:p>
    <w:p w14:paraId="2ECC143C" w14:textId="26213418"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3. </w:t>
      </w:r>
      <w:r w:rsidRPr="00C45164">
        <w:rPr>
          <w:rFonts w:ascii="Times New Roman" w:hAnsi="Times New Roman"/>
          <w:noProof/>
          <w:sz w:val="24"/>
        </w:rPr>
        <w:tab/>
        <w:t>Haraguchi T, Ozaki Y, Iba H. Vectors expressing efficient RNA decoys achieve the long-term suppression of specific microRNA activity in mammalian cells. Nucleic Acids Res 2009</w:t>
      </w:r>
      <w:r w:rsidR="00CA7DF9" w:rsidRPr="00C45164">
        <w:rPr>
          <w:rFonts w:ascii="Times New Roman" w:hAnsi="Times New Roman"/>
          <w:noProof/>
          <w:sz w:val="24"/>
        </w:rPr>
        <w:t>;37:e43.</w:t>
      </w:r>
    </w:p>
    <w:p w14:paraId="66310335" w14:textId="4BEEA4C0"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4. </w:t>
      </w:r>
      <w:r w:rsidRPr="00C45164">
        <w:rPr>
          <w:rFonts w:ascii="Times New Roman" w:hAnsi="Times New Roman"/>
          <w:noProof/>
          <w:sz w:val="24"/>
        </w:rPr>
        <w:tab/>
        <w:t>Kim D, Pertea G, Trapnell C, Pimentel H, Kelley R, Salzberg SL. TopHat2: accurate alignment of transcriptomes in the presence of insertions, deletions and gene fusions. Genome Biol 2013</w:t>
      </w:r>
      <w:r w:rsidR="00CA7DF9" w:rsidRPr="00C45164">
        <w:rPr>
          <w:rFonts w:ascii="Times New Roman" w:hAnsi="Times New Roman"/>
          <w:noProof/>
          <w:sz w:val="24"/>
        </w:rPr>
        <w:t>;14:R36.</w:t>
      </w:r>
    </w:p>
    <w:p w14:paraId="0154F80D" w14:textId="48565831"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5. </w:t>
      </w:r>
      <w:r w:rsidRPr="00C45164">
        <w:rPr>
          <w:rFonts w:ascii="Times New Roman" w:hAnsi="Times New Roman"/>
          <w:noProof/>
          <w:sz w:val="24"/>
        </w:rPr>
        <w:tab/>
        <w:t>Trapnell C, Williams B a, Pertea G, Mortazavi A, Kwan G, van Baren MJ, et al. Transcript assembly and quantification by RNA-Seq reveals unannotated transcripts and isoform switching during cell differentiation. Nat Biotechnol 2010;28</w:t>
      </w:r>
      <w:r w:rsidR="00CA7DF9" w:rsidRPr="00C45164">
        <w:rPr>
          <w:rFonts w:ascii="Times New Roman" w:hAnsi="Times New Roman"/>
          <w:noProof/>
          <w:sz w:val="24"/>
        </w:rPr>
        <w:t>:511–5.</w:t>
      </w:r>
    </w:p>
    <w:p w14:paraId="33BCBE80" w14:textId="421A579E"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6. </w:t>
      </w:r>
      <w:r w:rsidRPr="00C45164">
        <w:rPr>
          <w:rFonts w:ascii="Times New Roman" w:hAnsi="Times New Roman"/>
          <w:noProof/>
          <w:sz w:val="24"/>
        </w:rPr>
        <w:tab/>
        <w:t>Tewari AK, Yardimci GG, Shibata Y, Sheffield NC, Song L, Taylor BS, et al. Chromatin accessibility reveals insights into androgen receptor activation and transcriptional specificity. Genome Biol 2012;13:R88.</w:t>
      </w:r>
    </w:p>
    <w:p w14:paraId="6AE4FBAE" w14:textId="7B102553"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7. </w:t>
      </w:r>
      <w:r w:rsidRPr="00C45164">
        <w:rPr>
          <w:rFonts w:ascii="Times New Roman" w:hAnsi="Times New Roman"/>
          <w:noProof/>
          <w:sz w:val="24"/>
        </w:rPr>
        <w:tab/>
        <w:t>Decker KF, Zheng D, He Y, Bowman T, Edwards JR, Jia L. Persistent androgen receptor-mediated transcription in castration-resistant prostate cancer under androgen-deprived conditions. Nucleic Acids Res 2012;40:10765–79.</w:t>
      </w:r>
    </w:p>
    <w:p w14:paraId="6D983CFA" w14:textId="4BF37DCF" w:rsidR="005F7102" w:rsidRPr="00C45164" w:rsidRDefault="005F7102">
      <w:pPr>
        <w:pStyle w:val="NormalWeb"/>
        <w:ind w:left="640" w:hanging="640"/>
        <w:divId w:val="1289430609"/>
        <w:rPr>
          <w:rFonts w:ascii="Times New Roman" w:hAnsi="Times New Roman"/>
          <w:noProof/>
          <w:sz w:val="24"/>
        </w:rPr>
      </w:pPr>
      <w:r w:rsidRPr="00C45164">
        <w:rPr>
          <w:rFonts w:ascii="Times New Roman" w:hAnsi="Times New Roman"/>
          <w:noProof/>
          <w:sz w:val="24"/>
        </w:rPr>
        <w:t xml:space="preserve">8. </w:t>
      </w:r>
      <w:r w:rsidRPr="00C45164">
        <w:rPr>
          <w:rFonts w:ascii="Times New Roman" w:hAnsi="Times New Roman"/>
          <w:noProof/>
          <w:sz w:val="24"/>
        </w:rPr>
        <w:tab/>
        <w:t>Rajan P, Sudbery IM, Villasevil MEM, Mui E, Fleming J, Davis M, et al. Next-generation sequencing of advanced prostate cancer treated with androge</w:t>
      </w:r>
      <w:r w:rsidR="00CA7DF9" w:rsidRPr="00C45164">
        <w:rPr>
          <w:rFonts w:ascii="Times New Roman" w:hAnsi="Times New Roman"/>
          <w:noProof/>
          <w:sz w:val="24"/>
        </w:rPr>
        <w:t xml:space="preserve">n-deprivation therapy. Eur Urol </w:t>
      </w:r>
      <w:r w:rsidRPr="00C45164">
        <w:rPr>
          <w:rFonts w:ascii="Times New Roman" w:hAnsi="Times New Roman"/>
          <w:noProof/>
          <w:sz w:val="24"/>
        </w:rPr>
        <w:t>2014</w:t>
      </w:r>
      <w:r w:rsidR="00CA7DF9" w:rsidRPr="00C45164">
        <w:rPr>
          <w:rFonts w:ascii="Times New Roman" w:hAnsi="Times New Roman"/>
          <w:noProof/>
          <w:sz w:val="24"/>
        </w:rPr>
        <w:t>;66:32–9.</w:t>
      </w:r>
    </w:p>
    <w:p w14:paraId="3E6AE9AD" w14:textId="77777777" w:rsidR="002B498D" w:rsidRPr="00D61A28" w:rsidRDefault="00F8086A" w:rsidP="004B24CE">
      <w:pPr>
        <w:pStyle w:val="NormalWeb"/>
        <w:divId w:val="1309552720"/>
        <w:rPr>
          <w:rFonts w:ascii="Times New Roman" w:hAnsi="Times New Roman"/>
        </w:rPr>
      </w:pPr>
      <w:r w:rsidRPr="00C45164">
        <w:rPr>
          <w:rFonts w:ascii="Times New Roman" w:hAnsi="Times New Roman"/>
        </w:rPr>
        <w:fldChar w:fldCharType="end"/>
      </w:r>
      <w:bookmarkStart w:id="0" w:name="_GoBack"/>
      <w:bookmarkEnd w:id="0"/>
    </w:p>
    <w:sectPr w:rsidR="002B498D" w:rsidRPr="00D61A28" w:rsidSect="003612EE">
      <w:footerReference w:type="even" r:id="rId10"/>
      <w:footerReference w:type="default" r:id="rId11"/>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5D75C" w14:textId="77777777" w:rsidR="00097FDB" w:rsidRDefault="00097FDB" w:rsidP="00E3739E">
      <w:r>
        <w:separator/>
      </w:r>
    </w:p>
  </w:endnote>
  <w:endnote w:type="continuationSeparator" w:id="0">
    <w:p w14:paraId="296665A2" w14:textId="77777777" w:rsidR="00097FDB" w:rsidRDefault="00097FDB" w:rsidP="00E3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8D17" w14:textId="77777777" w:rsidR="0044389E" w:rsidRDefault="00F8086A" w:rsidP="007A083A">
    <w:pPr>
      <w:pStyle w:val="Footer"/>
      <w:framePr w:wrap="around" w:vAnchor="text" w:hAnchor="margin" w:xAlign="center" w:y="1"/>
      <w:rPr>
        <w:rStyle w:val="PageNumber"/>
      </w:rPr>
    </w:pPr>
    <w:r>
      <w:rPr>
        <w:rStyle w:val="PageNumber"/>
      </w:rPr>
      <w:fldChar w:fldCharType="begin"/>
    </w:r>
    <w:r w:rsidR="0044389E">
      <w:rPr>
        <w:rStyle w:val="PageNumber"/>
      </w:rPr>
      <w:instrText xml:space="preserve">PAGE  </w:instrText>
    </w:r>
    <w:r>
      <w:rPr>
        <w:rStyle w:val="PageNumber"/>
      </w:rPr>
      <w:fldChar w:fldCharType="end"/>
    </w:r>
  </w:p>
  <w:p w14:paraId="02B19BAD" w14:textId="77777777" w:rsidR="0044389E" w:rsidRDefault="00443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0235" w14:textId="77777777" w:rsidR="0044389E" w:rsidRDefault="00F8086A" w:rsidP="007A083A">
    <w:pPr>
      <w:pStyle w:val="Footer"/>
      <w:framePr w:wrap="around" w:vAnchor="text" w:hAnchor="margin" w:xAlign="center" w:y="1"/>
      <w:rPr>
        <w:rStyle w:val="PageNumber"/>
      </w:rPr>
    </w:pPr>
    <w:r>
      <w:rPr>
        <w:rStyle w:val="PageNumber"/>
      </w:rPr>
      <w:fldChar w:fldCharType="begin"/>
    </w:r>
    <w:r w:rsidR="0044389E">
      <w:rPr>
        <w:rStyle w:val="PageNumber"/>
      </w:rPr>
      <w:instrText xml:space="preserve">PAGE  </w:instrText>
    </w:r>
    <w:r>
      <w:rPr>
        <w:rStyle w:val="PageNumber"/>
      </w:rPr>
      <w:fldChar w:fldCharType="separate"/>
    </w:r>
    <w:r w:rsidR="00C45164">
      <w:rPr>
        <w:rStyle w:val="PageNumber"/>
        <w:noProof/>
      </w:rPr>
      <w:t>7</w:t>
    </w:r>
    <w:r>
      <w:rPr>
        <w:rStyle w:val="PageNumber"/>
      </w:rPr>
      <w:fldChar w:fldCharType="end"/>
    </w:r>
  </w:p>
  <w:p w14:paraId="7F9E635F" w14:textId="77777777" w:rsidR="0044389E" w:rsidRDefault="0044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325BE" w14:textId="77777777" w:rsidR="00097FDB" w:rsidRDefault="00097FDB" w:rsidP="00E3739E">
      <w:r>
        <w:separator/>
      </w:r>
    </w:p>
  </w:footnote>
  <w:footnote w:type="continuationSeparator" w:id="0">
    <w:p w14:paraId="3961B244" w14:textId="77777777" w:rsidR="00097FDB" w:rsidRDefault="00097FDB" w:rsidP="00E37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E"/>
    <w:rsid w:val="00000246"/>
    <w:rsid w:val="000005F6"/>
    <w:rsid w:val="000016C7"/>
    <w:rsid w:val="00040262"/>
    <w:rsid w:val="0007555D"/>
    <w:rsid w:val="000810CD"/>
    <w:rsid w:val="00085C66"/>
    <w:rsid w:val="00097D28"/>
    <w:rsid w:val="00097FDB"/>
    <w:rsid w:val="000C0059"/>
    <w:rsid w:val="000C3FE5"/>
    <w:rsid w:val="000F0118"/>
    <w:rsid w:val="000F06BE"/>
    <w:rsid w:val="00130D19"/>
    <w:rsid w:val="001359CF"/>
    <w:rsid w:val="00141D9D"/>
    <w:rsid w:val="001439FD"/>
    <w:rsid w:val="00161ABE"/>
    <w:rsid w:val="00161B6A"/>
    <w:rsid w:val="00181ADF"/>
    <w:rsid w:val="00183D4D"/>
    <w:rsid w:val="00193BA7"/>
    <w:rsid w:val="0019703C"/>
    <w:rsid w:val="001A0606"/>
    <w:rsid w:val="001A4D26"/>
    <w:rsid w:val="001B5958"/>
    <w:rsid w:val="001C4B7A"/>
    <w:rsid w:val="001C6243"/>
    <w:rsid w:val="001D4B34"/>
    <w:rsid w:val="00203DA9"/>
    <w:rsid w:val="00207C0D"/>
    <w:rsid w:val="00212ACB"/>
    <w:rsid w:val="00214655"/>
    <w:rsid w:val="00224032"/>
    <w:rsid w:val="00227E70"/>
    <w:rsid w:val="00232C89"/>
    <w:rsid w:val="00233E8B"/>
    <w:rsid w:val="0025673A"/>
    <w:rsid w:val="00267B18"/>
    <w:rsid w:val="00280D52"/>
    <w:rsid w:val="0029466D"/>
    <w:rsid w:val="002975AA"/>
    <w:rsid w:val="002A79B3"/>
    <w:rsid w:val="002B377E"/>
    <w:rsid w:val="002B498D"/>
    <w:rsid w:val="002C67A3"/>
    <w:rsid w:val="002D4E3C"/>
    <w:rsid w:val="002D5017"/>
    <w:rsid w:val="002E48AF"/>
    <w:rsid w:val="002E5326"/>
    <w:rsid w:val="002F252C"/>
    <w:rsid w:val="0030614A"/>
    <w:rsid w:val="00340104"/>
    <w:rsid w:val="003612EE"/>
    <w:rsid w:val="00364E28"/>
    <w:rsid w:val="00365600"/>
    <w:rsid w:val="00376652"/>
    <w:rsid w:val="003843A2"/>
    <w:rsid w:val="00386644"/>
    <w:rsid w:val="003B0281"/>
    <w:rsid w:val="003F0131"/>
    <w:rsid w:val="0040403A"/>
    <w:rsid w:val="00411AAC"/>
    <w:rsid w:val="0044167A"/>
    <w:rsid w:val="0044389E"/>
    <w:rsid w:val="00446643"/>
    <w:rsid w:val="004467C6"/>
    <w:rsid w:val="00465007"/>
    <w:rsid w:val="004731BC"/>
    <w:rsid w:val="004743B8"/>
    <w:rsid w:val="00485181"/>
    <w:rsid w:val="0049459A"/>
    <w:rsid w:val="004A6628"/>
    <w:rsid w:val="004B24CE"/>
    <w:rsid w:val="004B391C"/>
    <w:rsid w:val="004C54CB"/>
    <w:rsid w:val="004C63DB"/>
    <w:rsid w:val="004E7336"/>
    <w:rsid w:val="0050226D"/>
    <w:rsid w:val="00544BBD"/>
    <w:rsid w:val="00551329"/>
    <w:rsid w:val="0055135E"/>
    <w:rsid w:val="005720CC"/>
    <w:rsid w:val="00573B8D"/>
    <w:rsid w:val="005B4F4B"/>
    <w:rsid w:val="005B4FC2"/>
    <w:rsid w:val="005B7171"/>
    <w:rsid w:val="005C48A3"/>
    <w:rsid w:val="005D1713"/>
    <w:rsid w:val="005D6521"/>
    <w:rsid w:val="005E045C"/>
    <w:rsid w:val="005E393E"/>
    <w:rsid w:val="005F7102"/>
    <w:rsid w:val="00601AA5"/>
    <w:rsid w:val="006073CA"/>
    <w:rsid w:val="006215FD"/>
    <w:rsid w:val="006249E8"/>
    <w:rsid w:val="00631BD0"/>
    <w:rsid w:val="006431EE"/>
    <w:rsid w:val="006537DC"/>
    <w:rsid w:val="00656739"/>
    <w:rsid w:val="00694F3E"/>
    <w:rsid w:val="006A4A64"/>
    <w:rsid w:val="006B208A"/>
    <w:rsid w:val="006B5869"/>
    <w:rsid w:val="006B76D1"/>
    <w:rsid w:val="006C0896"/>
    <w:rsid w:val="006F7302"/>
    <w:rsid w:val="00700E5E"/>
    <w:rsid w:val="00702159"/>
    <w:rsid w:val="00706B95"/>
    <w:rsid w:val="00710F08"/>
    <w:rsid w:val="007307DC"/>
    <w:rsid w:val="00734642"/>
    <w:rsid w:val="0073494B"/>
    <w:rsid w:val="00745E26"/>
    <w:rsid w:val="00764BAF"/>
    <w:rsid w:val="00780719"/>
    <w:rsid w:val="00787F48"/>
    <w:rsid w:val="007A083A"/>
    <w:rsid w:val="007A40B8"/>
    <w:rsid w:val="007A7588"/>
    <w:rsid w:val="007D2605"/>
    <w:rsid w:val="007D5A5F"/>
    <w:rsid w:val="007F0CE5"/>
    <w:rsid w:val="0080106C"/>
    <w:rsid w:val="00802785"/>
    <w:rsid w:val="00817FD6"/>
    <w:rsid w:val="00832FDB"/>
    <w:rsid w:val="008502B5"/>
    <w:rsid w:val="00856E20"/>
    <w:rsid w:val="00870B53"/>
    <w:rsid w:val="00890312"/>
    <w:rsid w:val="008917BE"/>
    <w:rsid w:val="00891CA8"/>
    <w:rsid w:val="008B0AA8"/>
    <w:rsid w:val="008B69F3"/>
    <w:rsid w:val="008C3DB5"/>
    <w:rsid w:val="008D516D"/>
    <w:rsid w:val="008E0B91"/>
    <w:rsid w:val="008E5CB2"/>
    <w:rsid w:val="008F04FF"/>
    <w:rsid w:val="008F3CC9"/>
    <w:rsid w:val="00916633"/>
    <w:rsid w:val="00926CC9"/>
    <w:rsid w:val="00956D2B"/>
    <w:rsid w:val="009842F9"/>
    <w:rsid w:val="009B7732"/>
    <w:rsid w:val="009F140B"/>
    <w:rsid w:val="00A207EE"/>
    <w:rsid w:val="00A557FF"/>
    <w:rsid w:val="00A650E1"/>
    <w:rsid w:val="00A81E2F"/>
    <w:rsid w:val="00AA2428"/>
    <w:rsid w:val="00AC2956"/>
    <w:rsid w:val="00AD429D"/>
    <w:rsid w:val="00AF2583"/>
    <w:rsid w:val="00AF407C"/>
    <w:rsid w:val="00B20126"/>
    <w:rsid w:val="00B454B3"/>
    <w:rsid w:val="00B46FCF"/>
    <w:rsid w:val="00B67B3E"/>
    <w:rsid w:val="00B95DE0"/>
    <w:rsid w:val="00BC0824"/>
    <w:rsid w:val="00BF4D01"/>
    <w:rsid w:val="00C0124A"/>
    <w:rsid w:val="00C1651A"/>
    <w:rsid w:val="00C20842"/>
    <w:rsid w:val="00C223F4"/>
    <w:rsid w:val="00C25C2F"/>
    <w:rsid w:val="00C4085E"/>
    <w:rsid w:val="00C443FC"/>
    <w:rsid w:val="00C45164"/>
    <w:rsid w:val="00C500FE"/>
    <w:rsid w:val="00C50E5A"/>
    <w:rsid w:val="00C56122"/>
    <w:rsid w:val="00C629BE"/>
    <w:rsid w:val="00C768B7"/>
    <w:rsid w:val="00C85897"/>
    <w:rsid w:val="00C93B94"/>
    <w:rsid w:val="00CA49E9"/>
    <w:rsid w:val="00CA4DF1"/>
    <w:rsid w:val="00CA7DF9"/>
    <w:rsid w:val="00CB3027"/>
    <w:rsid w:val="00CB619E"/>
    <w:rsid w:val="00CD4ACD"/>
    <w:rsid w:val="00CE121C"/>
    <w:rsid w:val="00CF5709"/>
    <w:rsid w:val="00D61A28"/>
    <w:rsid w:val="00D66886"/>
    <w:rsid w:val="00D90517"/>
    <w:rsid w:val="00D927AA"/>
    <w:rsid w:val="00DD4447"/>
    <w:rsid w:val="00DE1AA2"/>
    <w:rsid w:val="00DF2C92"/>
    <w:rsid w:val="00DF6346"/>
    <w:rsid w:val="00E02429"/>
    <w:rsid w:val="00E036D4"/>
    <w:rsid w:val="00E11838"/>
    <w:rsid w:val="00E3337B"/>
    <w:rsid w:val="00E33FAE"/>
    <w:rsid w:val="00E36949"/>
    <w:rsid w:val="00E3739E"/>
    <w:rsid w:val="00E55718"/>
    <w:rsid w:val="00E60641"/>
    <w:rsid w:val="00E62FCE"/>
    <w:rsid w:val="00E805EF"/>
    <w:rsid w:val="00E831DA"/>
    <w:rsid w:val="00E84679"/>
    <w:rsid w:val="00E969F6"/>
    <w:rsid w:val="00EA14CA"/>
    <w:rsid w:val="00EA1AED"/>
    <w:rsid w:val="00EB6A85"/>
    <w:rsid w:val="00EC1A07"/>
    <w:rsid w:val="00ED0171"/>
    <w:rsid w:val="00EF4A66"/>
    <w:rsid w:val="00F00426"/>
    <w:rsid w:val="00F108E9"/>
    <w:rsid w:val="00F2008D"/>
    <w:rsid w:val="00F33898"/>
    <w:rsid w:val="00F3768B"/>
    <w:rsid w:val="00F41B8F"/>
    <w:rsid w:val="00F8086A"/>
    <w:rsid w:val="00F910D5"/>
    <w:rsid w:val="00FA5E0F"/>
    <w:rsid w:val="00FA7473"/>
    <w:rsid w:val="00FB2FE1"/>
    <w:rsid w:val="00FD524A"/>
    <w:rsid w:val="00FE4C57"/>
    <w:rsid w:val="00FF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09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29"/>
    <w:pPr>
      <w:ind w:leftChars="400" w:left="960"/>
    </w:pPr>
  </w:style>
  <w:style w:type="paragraph" w:styleId="NormalWeb">
    <w:name w:val="Normal (Web)"/>
    <w:basedOn w:val="Normal"/>
    <w:uiPriority w:val="99"/>
    <w:unhideWhenUsed/>
    <w:rsid w:val="00E0242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7A40B8"/>
    <w:rPr>
      <w:color w:val="0000FF" w:themeColor="hyperlink"/>
      <w:u w:val="single"/>
    </w:rPr>
  </w:style>
  <w:style w:type="character" w:customStyle="1" w:styleId="apple-converted-space">
    <w:name w:val="apple-converted-space"/>
    <w:basedOn w:val="DefaultParagraphFont"/>
    <w:rsid w:val="0025673A"/>
  </w:style>
  <w:style w:type="character" w:customStyle="1" w:styleId="authors">
    <w:name w:val="authors"/>
    <w:basedOn w:val="DefaultParagraphFont"/>
    <w:rsid w:val="0025673A"/>
  </w:style>
  <w:style w:type="character" w:customStyle="1" w:styleId="title1">
    <w:name w:val="title1"/>
    <w:basedOn w:val="DefaultParagraphFont"/>
    <w:rsid w:val="0025673A"/>
  </w:style>
  <w:style w:type="character" w:customStyle="1" w:styleId="source">
    <w:name w:val="source"/>
    <w:basedOn w:val="DefaultParagraphFont"/>
    <w:rsid w:val="0025673A"/>
  </w:style>
  <w:style w:type="paragraph" w:styleId="BalloonText">
    <w:name w:val="Balloon Text"/>
    <w:basedOn w:val="Normal"/>
    <w:link w:val="BalloonTextChar"/>
    <w:uiPriority w:val="99"/>
    <w:semiHidden/>
    <w:unhideWhenUsed/>
    <w:rsid w:val="00212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ACB"/>
    <w:rPr>
      <w:rFonts w:ascii="Lucida Grande" w:hAnsi="Lucida Grande" w:cs="Lucida Grande"/>
      <w:sz w:val="18"/>
      <w:szCs w:val="18"/>
    </w:rPr>
  </w:style>
  <w:style w:type="paragraph" w:styleId="Footer">
    <w:name w:val="footer"/>
    <w:basedOn w:val="Normal"/>
    <w:link w:val="FooterChar"/>
    <w:uiPriority w:val="99"/>
    <w:unhideWhenUsed/>
    <w:rsid w:val="00E3739E"/>
    <w:pPr>
      <w:tabs>
        <w:tab w:val="center" w:pos="4419"/>
        <w:tab w:val="right" w:pos="8838"/>
      </w:tabs>
      <w:snapToGrid w:val="0"/>
    </w:pPr>
  </w:style>
  <w:style w:type="character" w:customStyle="1" w:styleId="FooterChar">
    <w:name w:val="Footer Char"/>
    <w:basedOn w:val="DefaultParagraphFont"/>
    <w:link w:val="Footer"/>
    <w:uiPriority w:val="99"/>
    <w:rsid w:val="00E3739E"/>
  </w:style>
  <w:style w:type="character" w:styleId="PageNumber">
    <w:name w:val="page number"/>
    <w:basedOn w:val="DefaultParagraphFont"/>
    <w:uiPriority w:val="99"/>
    <w:semiHidden/>
    <w:unhideWhenUsed/>
    <w:rsid w:val="00E3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29"/>
    <w:pPr>
      <w:ind w:leftChars="400" w:left="960"/>
    </w:pPr>
  </w:style>
  <w:style w:type="paragraph" w:styleId="NormalWeb">
    <w:name w:val="Normal (Web)"/>
    <w:basedOn w:val="Normal"/>
    <w:uiPriority w:val="99"/>
    <w:unhideWhenUsed/>
    <w:rsid w:val="00E0242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7A40B8"/>
    <w:rPr>
      <w:color w:val="0000FF" w:themeColor="hyperlink"/>
      <w:u w:val="single"/>
    </w:rPr>
  </w:style>
  <w:style w:type="character" w:customStyle="1" w:styleId="apple-converted-space">
    <w:name w:val="apple-converted-space"/>
    <w:basedOn w:val="DefaultParagraphFont"/>
    <w:rsid w:val="0025673A"/>
  </w:style>
  <w:style w:type="character" w:customStyle="1" w:styleId="authors">
    <w:name w:val="authors"/>
    <w:basedOn w:val="DefaultParagraphFont"/>
    <w:rsid w:val="0025673A"/>
  </w:style>
  <w:style w:type="character" w:customStyle="1" w:styleId="title1">
    <w:name w:val="title1"/>
    <w:basedOn w:val="DefaultParagraphFont"/>
    <w:rsid w:val="0025673A"/>
  </w:style>
  <w:style w:type="character" w:customStyle="1" w:styleId="source">
    <w:name w:val="source"/>
    <w:basedOn w:val="DefaultParagraphFont"/>
    <w:rsid w:val="0025673A"/>
  </w:style>
  <w:style w:type="paragraph" w:styleId="BalloonText">
    <w:name w:val="Balloon Text"/>
    <w:basedOn w:val="Normal"/>
    <w:link w:val="BalloonTextChar"/>
    <w:uiPriority w:val="99"/>
    <w:semiHidden/>
    <w:unhideWhenUsed/>
    <w:rsid w:val="00212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ACB"/>
    <w:rPr>
      <w:rFonts w:ascii="Lucida Grande" w:hAnsi="Lucida Grande" w:cs="Lucida Grande"/>
      <w:sz w:val="18"/>
      <w:szCs w:val="18"/>
    </w:rPr>
  </w:style>
  <w:style w:type="paragraph" w:styleId="Footer">
    <w:name w:val="footer"/>
    <w:basedOn w:val="Normal"/>
    <w:link w:val="FooterChar"/>
    <w:uiPriority w:val="99"/>
    <w:unhideWhenUsed/>
    <w:rsid w:val="00E3739E"/>
    <w:pPr>
      <w:tabs>
        <w:tab w:val="center" w:pos="4419"/>
        <w:tab w:val="right" w:pos="8838"/>
      </w:tabs>
      <w:snapToGrid w:val="0"/>
    </w:pPr>
  </w:style>
  <w:style w:type="character" w:customStyle="1" w:styleId="FooterChar">
    <w:name w:val="Footer Char"/>
    <w:basedOn w:val="DefaultParagraphFont"/>
    <w:link w:val="Footer"/>
    <w:uiPriority w:val="99"/>
    <w:rsid w:val="00E3739E"/>
  </w:style>
  <w:style w:type="character" w:styleId="PageNumber">
    <w:name w:val="page number"/>
    <w:basedOn w:val="DefaultParagraphFont"/>
    <w:uiPriority w:val="99"/>
    <w:semiHidden/>
    <w:unhideWhenUsed/>
    <w:rsid w:val="00E3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8487">
      <w:bodyDiv w:val="1"/>
      <w:marLeft w:val="0"/>
      <w:marRight w:val="0"/>
      <w:marTop w:val="0"/>
      <w:marBottom w:val="0"/>
      <w:divBdr>
        <w:top w:val="none" w:sz="0" w:space="0" w:color="auto"/>
        <w:left w:val="none" w:sz="0" w:space="0" w:color="auto"/>
        <w:bottom w:val="none" w:sz="0" w:space="0" w:color="auto"/>
        <w:right w:val="none" w:sz="0" w:space="0" w:color="auto"/>
      </w:divBdr>
    </w:div>
    <w:div w:id="917404286">
      <w:bodyDiv w:val="1"/>
      <w:marLeft w:val="0"/>
      <w:marRight w:val="0"/>
      <w:marTop w:val="0"/>
      <w:marBottom w:val="0"/>
      <w:divBdr>
        <w:top w:val="none" w:sz="0" w:space="0" w:color="auto"/>
        <w:left w:val="none" w:sz="0" w:space="0" w:color="auto"/>
        <w:bottom w:val="none" w:sz="0" w:space="0" w:color="auto"/>
        <w:right w:val="none" w:sz="0" w:space="0" w:color="auto"/>
      </w:divBdr>
      <w:divsChild>
        <w:div w:id="1451508818">
          <w:marLeft w:val="0"/>
          <w:marRight w:val="0"/>
          <w:marTop w:val="0"/>
          <w:marBottom w:val="0"/>
          <w:divBdr>
            <w:top w:val="none" w:sz="0" w:space="0" w:color="auto"/>
            <w:left w:val="none" w:sz="0" w:space="0" w:color="auto"/>
            <w:bottom w:val="none" w:sz="0" w:space="0" w:color="auto"/>
            <w:right w:val="none" w:sz="0" w:space="0" w:color="auto"/>
          </w:divBdr>
          <w:divsChild>
            <w:div w:id="1803303395">
              <w:marLeft w:val="0"/>
              <w:marRight w:val="0"/>
              <w:marTop w:val="0"/>
              <w:marBottom w:val="0"/>
              <w:divBdr>
                <w:top w:val="none" w:sz="0" w:space="0" w:color="auto"/>
                <w:left w:val="none" w:sz="0" w:space="0" w:color="auto"/>
                <w:bottom w:val="none" w:sz="0" w:space="0" w:color="auto"/>
                <w:right w:val="none" w:sz="0" w:space="0" w:color="auto"/>
              </w:divBdr>
              <w:divsChild>
                <w:div w:id="1101146442">
                  <w:marLeft w:val="0"/>
                  <w:marRight w:val="0"/>
                  <w:marTop w:val="0"/>
                  <w:marBottom w:val="0"/>
                  <w:divBdr>
                    <w:top w:val="none" w:sz="0" w:space="0" w:color="auto"/>
                    <w:left w:val="none" w:sz="0" w:space="0" w:color="auto"/>
                    <w:bottom w:val="none" w:sz="0" w:space="0" w:color="auto"/>
                    <w:right w:val="none" w:sz="0" w:space="0" w:color="auto"/>
                  </w:divBdr>
                  <w:divsChild>
                    <w:div w:id="1401827814">
                      <w:marLeft w:val="0"/>
                      <w:marRight w:val="0"/>
                      <w:marTop w:val="0"/>
                      <w:marBottom w:val="0"/>
                      <w:divBdr>
                        <w:top w:val="none" w:sz="0" w:space="0" w:color="auto"/>
                        <w:left w:val="none" w:sz="0" w:space="0" w:color="auto"/>
                        <w:bottom w:val="none" w:sz="0" w:space="0" w:color="auto"/>
                        <w:right w:val="none" w:sz="0" w:space="0" w:color="auto"/>
                      </w:divBdr>
                      <w:divsChild>
                        <w:div w:id="38865625">
                          <w:marLeft w:val="0"/>
                          <w:marRight w:val="0"/>
                          <w:marTop w:val="0"/>
                          <w:marBottom w:val="0"/>
                          <w:divBdr>
                            <w:top w:val="none" w:sz="0" w:space="0" w:color="auto"/>
                            <w:left w:val="none" w:sz="0" w:space="0" w:color="auto"/>
                            <w:bottom w:val="none" w:sz="0" w:space="0" w:color="auto"/>
                            <w:right w:val="none" w:sz="0" w:space="0" w:color="auto"/>
                          </w:divBdr>
                          <w:divsChild>
                            <w:div w:id="822965280">
                              <w:marLeft w:val="0"/>
                              <w:marRight w:val="0"/>
                              <w:marTop w:val="0"/>
                              <w:marBottom w:val="0"/>
                              <w:divBdr>
                                <w:top w:val="none" w:sz="0" w:space="0" w:color="auto"/>
                                <w:left w:val="none" w:sz="0" w:space="0" w:color="auto"/>
                                <w:bottom w:val="none" w:sz="0" w:space="0" w:color="auto"/>
                                <w:right w:val="none" w:sz="0" w:space="0" w:color="auto"/>
                              </w:divBdr>
                              <w:divsChild>
                                <w:div w:id="582186835">
                                  <w:marLeft w:val="0"/>
                                  <w:marRight w:val="0"/>
                                  <w:marTop w:val="0"/>
                                  <w:marBottom w:val="0"/>
                                  <w:divBdr>
                                    <w:top w:val="none" w:sz="0" w:space="0" w:color="auto"/>
                                    <w:left w:val="none" w:sz="0" w:space="0" w:color="auto"/>
                                    <w:bottom w:val="none" w:sz="0" w:space="0" w:color="auto"/>
                                    <w:right w:val="none" w:sz="0" w:space="0" w:color="auto"/>
                                  </w:divBdr>
                                  <w:divsChild>
                                    <w:div w:id="802312623">
                                      <w:marLeft w:val="0"/>
                                      <w:marRight w:val="0"/>
                                      <w:marTop w:val="0"/>
                                      <w:marBottom w:val="0"/>
                                      <w:divBdr>
                                        <w:top w:val="none" w:sz="0" w:space="0" w:color="auto"/>
                                        <w:left w:val="none" w:sz="0" w:space="0" w:color="auto"/>
                                        <w:bottom w:val="none" w:sz="0" w:space="0" w:color="auto"/>
                                        <w:right w:val="none" w:sz="0" w:space="0" w:color="auto"/>
                                      </w:divBdr>
                                      <w:divsChild>
                                        <w:div w:id="1171990509">
                                          <w:marLeft w:val="0"/>
                                          <w:marRight w:val="0"/>
                                          <w:marTop w:val="0"/>
                                          <w:marBottom w:val="0"/>
                                          <w:divBdr>
                                            <w:top w:val="none" w:sz="0" w:space="0" w:color="auto"/>
                                            <w:left w:val="none" w:sz="0" w:space="0" w:color="auto"/>
                                            <w:bottom w:val="none" w:sz="0" w:space="0" w:color="auto"/>
                                            <w:right w:val="none" w:sz="0" w:space="0" w:color="auto"/>
                                          </w:divBdr>
                                          <w:divsChild>
                                            <w:div w:id="585843728">
                                              <w:marLeft w:val="0"/>
                                              <w:marRight w:val="0"/>
                                              <w:marTop w:val="0"/>
                                              <w:marBottom w:val="0"/>
                                              <w:divBdr>
                                                <w:top w:val="none" w:sz="0" w:space="0" w:color="auto"/>
                                                <w:left w:val="none" w:sz="0" w:space="0" w:color="auto"/>
                                                <w:bottom w:val="none" w:sz="0" w:space="0" w:color="auto"/>
                                                <w:right w:val="none" w:sz="0" w:space="0" w:color="auto"/>
                                              </w:divBdr>
                                              <w:divsChild>
                                                <w:div w:id="421685298">
                                                  <w:marLeft w:val="0"/>
                                                  <w:marRight w:val="0"/>
                                                  <w:marTop w:val="0"/>
                                                  <w:marBottom w:val="0"/>
                                                  <w:divBdr>
                                                    <w:top w:val="none" w:sz="0" w:space="0" w:color="auto"/>
                                                    <w:left w:val="none" w:sz="0" w:space="0" w:color="auto"/>
                                                    <w:bottom w:val="none" w:sz="0" w:space="0" w:color="auto"/>
                                                    <w:right w:val="none" w:sz="0" w:space="0" w:color="auto"/>
                                                  </w:divBdr>
                                                  <w:divsChild>
                                                    <w:div w:id="2127577583">
                                                      <w:marLeft w:val="0"/>
                                                      <w:marRight w:val="0"/>
                                                      <w:marTop w:val="0"/>
                                                      <w:marBottom w:val="0"/>
                                                      <w:divBdr>
                                                        <w:top w:val="none" w:sz="0" w:space="0" w:color="auto"/>
                                                        <w:left w:val="none" w:sz="0" w:space="0" w:color="auto"/>
                                                        <w:bottom w:val="none" w:sz="0" w:space="0" w:color="auto"/>
                                                        <w:right w:val="none" w:sz="0" w:space="0" w:color="auto"/>
                                                      </w:divBdr>
                                                      <w:divsChild>
                                                        <w:div w:id="1557744834">
                                                          <w:marLeft w:val="0"/>
                                                          <w:marRight w:val="0"/>
                                                          <w:marTop w:val="0"/>
                                                          <w:marBottom w:val="0"/>
                                                          <w:divBdr>
                                                            <w:top w:val="none" w:sz="0" w:space="0" w:color="auto"/>
                                                            <w:left w:val="none" w:sz="0" w:space="0" w:color="auto"/>
                                                            <w:bottom w:val="none" w:sz="0" w:space="0" w:color="auto"/>
                                                            <w:right w:val="none" w:sz="0" w:space="0" w:color="auto"/>
                                                          </w:divBdr>
                                                          <w:divsChild>
                                                            <w:div w:id="1309552720">
                                                              <w:marLeft w:val="0"/>
                                                              <w:marRight w:val="0"/>
                                                              <w:marTop w:val="0"/>
                                                              <w:marBottom w:val="0"/>
                                                              <w:divBdr>
                                                                <w:top w:val="none" w:sz="0" w:space="0" w:color="auto"/>
                                                                <w:left w:val="none" w:sz="0" w:space="0" w:color="auto"/>
                                                                <w:bottom w:val="none" w:sz="0" w:space="0" w:color="auto"/>
                                                                <w:right w:val="none" w:sz="0" w:space="0" w:color="auto"/>
                                                              </w:divBdr>
                                                              <w:divsChild>
                                                                <w:div w:id="12894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ga-data.nci.nih.gov/tcg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ggen.lsi.upc.es/cgi-bin/promo_v3/promo/promoinit.cgi?dirDB=TF_8.3"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99A9-85A9-49FB-8D10-0A850AD8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浩平</dc:creator>
  <cp:lastModifiedBy>Quann, Karen</cp:lastModifiedBy>
  <cp:revision>3</cp:revision>
  <cp:lastPrinted>2014-11-11T02:50:00Z</cp:lastPrinted>
  <dcterms:created xsi:type="dcterms:W3CDTF">2015-02-13T16:20:00Z</dcterms:created>
  <dcterms:modified xsi:type="dcterms:W3CDTF">2015-02-13T16:20:00Z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kouheisakurai0711@gmail.com@www.mendeley.com</vt:lpwstr>
  </property>
  <property fmtid="{D5CDD505-2E9C-101B-9397-08002B2CF9AE}" pid="4" name="Mendeley Citation Style_1">
    <vt:lpwstr>http://www.zotero.org/styles/cancer-research</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http://www.zotero.org/styles/cancer-research</vt:lpwstr>
  </property>
  <property fmtid="{D5CDD505-2E9C-101B-9397-08002B2CF9AE}" pid="8" name="Mendeley Recent Style Name 1_1">
    <vt:lpwstr>Cancer Research</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http://csl.mendeley.com/styles/124715031/ieee</vt:lpwstr>
  </property>
  <property fmtid="{D5CDD505-2E9C-101B-9397-08002B2CF9AE}" pid="14" name="Mendeley Recent Style Name 4_1">
    <vt:lpwstr>IEEE - kouhei sakurai</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http://www.zotero.org/styles/molecular-cancer-research</vt:lpwstr>
  </property>
  <property fmtid="{D5CDD505-2E9C-101B-9397-08002B2CF9AE}" pid="20" name="Mendeley Recent Style Name 7_1">
    <vt:lpwstr>Molecular Cancer Research</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