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0694" w14:textId="28DF4947" w:rsidR="00BB0DC3" w:rsidRPr="005955DF" w:rsidRDefault="00BB0DC3" w:rsidP="00BB0DC3">
      <w:pPr>
        <w:pStyle w:val="C-BodyText"/>
        <w:adjustRightInd w:val="0"/>
        <w:snapToGrid w:val="0"/>
        <w:spacing w:before="0" w:after="0" w:line="360" w:lineRule="auto"/>
        <w:jc w:val="both"/>
        <w:rPr>
          <w:b/>
          <w:bCs/>
          <w:szCs w:val="24"/>
        </w:rPr>
      </w:pPr>
      <w:r w:rsidRPr="005955DF">
        <w:rPr>
          <w:rFonts w:eastAsia="ScalaLancetPro"/>
          <w:b/>
          <w:szCs w:val="24"/>
        </w:rPr>
        <w:t>Supplementary Table S6</w:t>
      </w:r>
      <w:r w:rsidRPr="005955DF">
        <w:rPr>
          <w:b/>
          <w:bCs/>
          <w:szCs w:val="24"/>
        </w:rPr>
        <w:t>. Comparison of PI3K inhibitor toxicities and their efficacies for relapsed and/or refractory indolent lymphoma treatments</w:t>
      </w:r>
    </w:p>
    <w:tbl>
      <w:tblPr>
        <w:tblStyle w:val="a7"/>
        <w:tblW w:w="10745" w:type="dxa"/>
        <w:tblInd w:w="-856" w:type="dxa"/>
        <w:tblLook w:val="04A0" w:firstRow="1" w:lastRow="0" w:firstColumn="1" w:lastColumn="0" w:noHBand="0" w:noVBand="1"/>
      </w:tblPr>
      <w:tblGrid>
        <w:gridCol w:w="2970"/>
        <w:gridCol w:w="1445"/>
        <w:gridCol w:w="1518"/>
        <w:gridCol w:w="1627"/>
        <w:gridCol w:w="1537"/>
        <w:gridCol w:w="1648"/>
      </w:tblGrid>
      <w:tr w:rsidR="00BB0DC3" w:rsidRPr="005955DF" w14:paraId="754775CF" w14:textId="77777777" w:rsidTr="00BB0DC3">
        <w:trPr>
          <w:trHeight w:val="569"/>
        </w:trPr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AC0FD8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E8A529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5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Idelalisib</w:t>
            </w:r>
            <w:proofErr w:type="spellEnd"/>
            <w:r w:rsidRPr="00595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7B1511F9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= 146</w:t>
            </w:r>
          </w:p>
        </w:tc>
        <w:tc>
          <w:tcPr>
            <w:tcW w:w="15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5F75DD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5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Copanlisib</w:t>
            </w:r>
            <w:proofErr w:type="spellEnd"/>
            <w:r w:rsidRPr="00595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53399B97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= 244</w:t>
            </w: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12D6E1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Duvelisib*</w:t>
            </w:r>
          </w:p>
          <w:p w14:paraId="41CA6C93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= 442</w:t>
            </w:r>
          </w:p>
        </w:tc>
        <w:tc>
          <w:tcPr>
            <w:tcW w:w="15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B42064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5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Umbralisib</w:t>
            </w:r>
            <w:proofErr w:type="spellEnd"/>
            <w:r w:rsidRPr="00595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524B5FC3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= 371</w:t>
            </w:r>
          </w:p>
        </w:tc>
        <w:tc>
          <w:tcPr>
            <w:tcW w:w="16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A5A7F6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Linperlisib</w:t>
            </w:r>
          </w:p>
          <w:p w14:paraId="5E296653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N=84</w:t>
            </w:r>
          </w:p>
        </w:tc>
      </w:tr>
      <w:tr w:rsidR="00BB0DC3" w:rsidRPr="005955DF" w14:paraId="4A970887" w14:textId="77777777" w:rsidTr="00BB0DC3">
        <w:trPr>
          <w:trHeight w:val="277"/>
        </w:trPr>
        <w:tc>
          <w:tcPr>
            <w:tcW w:w="2970" w:type="dxa"/>
            <w:tcBorders>
              <w:left w:val="nil"/>
              <w:bottom w:val="nil"/>
              <w:right w:val="nil"/>
            </w:tcBorders>
            <w:vAlign w:val="center"/>
          </w:tcPr>
          <w:p w14:paraId="517F8979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b/>
                <w:sz w:val="24"/>
                <w:szCs w:val="24"/>
              </w:rPr>
              <w:t>Efficacy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(FL)</w:t>
            </w:r>
          </w:p>
        </w:tc>
        <w:tc>
          <w:tcPr>
            <w:tcW w:w="1445" w:type="dxa"/>
            <w:tcBorders>
              <w:left w:val="nil"/>
              <w:bottom w:val="nil"/>
              <w:right w:val="nil"/>
            </w:tcBorders>
            <w:vAlign w:val="center"/>
          </w:tcPr>
          <w:p w14:paraId="24C9C9CA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nil"/>
              <w:bottom w:val="nil"/>
              <w:right w:val="nil"/>
            </w:tcBorders>
            <w:vAlign w:val="center"/>
          </w:tcPr>
          <w:p w14:paraId="6C4F1442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nil"/>
              <w:bottom w:val="nil"/>
              <w:right w:val="nil"/>
            </w:tcBorders>
            <w:vAlign w:val="center"/>
          </w:tcPr>
          <w:p w14:paraId="30C92BED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vAlign w:val="center"/>
          </w:tcPr>
          <w:p w14:paraId="30A6F7FE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nil"/>
              <w:bottom w:val="nil"/>
              <w:right w:val="nil"/>
            </w:tcBorders>
            <w:vAlign w:val="center"/>
          </w:tcPr>
          <w:p w14:paraId="10849D66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C3" w:rsidRPr="005955DF" w14:paraId="597B9E8F" w14:textId="77777777" w:rsidTr="00BB0DC3">
        <w:trPr>
          <w:trHeight w:val="27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EFEE8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ORR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5D848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71F5E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59 (FL)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B317E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42 (FL)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6682B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45.3 (FL)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718B5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79.8 (FL)</w:t>
            </w:r>
          </w:p>
        </w:tc>
      </w:tr>
      <w:tr w:rsidR="00BB0DC3" w:rsidRPr="005955DF" w14:paraId="7F89A604" w14:textId="77777777" w:rsidTr="00BB0DC3">
        <w:trPr>
          <w:trHeight w:val="27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EC6BD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Median PFS (months)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B24FC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6E023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1A404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DE652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10.6 (FL)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9D2D3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13.4 (FL)</w:t>
            </w:r>
          </w:p>
        </w:tc>
      </w:tr>
      <w:tr w:rsidR="00BB0DC3" w:rsidRPr="005955DF" w14:paraId="65C9DAC6" w14:textId="77777777" w:rsidTr="00BB0DC3">
        <w:trPr>
          <w:trHeight w:val="27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2DE96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 xml:space="preserve">month OS rate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21981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92AC0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ED22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 xml:space="preserve">77%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ADB9C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7DA98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91.4% (FL)</w:t>
            </w:r>
          </w:p>
        </w:tc>
      </w:tr>
      <w:tr w:rsidR="00BB0DC3" w:rsidRPr="005955DF" w14:paraId="79FB857E" w14:textId="77777777" w:rsidTr="00BB0DC3">
        <w:trPr>
          <w:trHeight w:val="27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ACACE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Median OS (months)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2F163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 xml:space="preserve">20.3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357C6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B4DF3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A4968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EE45D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 xml:space="preserve">Not reached at 42 months follow up </w:t>
            </w:r>
          </w:p>
        </w:tc>
      </w:tr>
      <w:tr w:rsidR="00BB0DC3" w:rsidRPr="005955DF" w14:paraId="0780FA4C" w14:textId="77777777" w:rsidTr="00BB0DC3">
        <w:trPr>
          <w:trHeight w:val="27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D3E71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b/>
                <w:sz w:val="24"/>
                <w:szCs w:val="24"/>
              </w:rPr>
              <w:t>Safety</w:t>
            </w:r>
            <w:r w:rsidRPr="000673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13EB4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F6E70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C7982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E3A41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DBB23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C3" w:rsidRPr="005955DF" w14:paraId="68040EAA" w14:textId="77777777" w:rsidTr="00BB0DC3">
        <w:trPr>
          <w:trHeight w:val="27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EDB25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Grade ≥ 3 AE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A1AB8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FDD7B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0B351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BF907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D49C6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66.7%</w:t>
            </w:r>
          </w:p>
        </w:tc>
      </w:tr>
      <w:tr w:rsidR="00BB0DC3" w:rsidRPr="005955DF" w14:paraId="56E7D1EF" w14:textId="77777777" w:rsidTr="00BB0DC3">
        <w:trPr>
          <w:trHeight w:val="27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37283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SAEs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CF4DD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AA411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4FB97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49A69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47DB8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40.5%</w:t>
            </w:r>
          </w:p>
        </w:tc>
      </w:tr>
      <w:tr w:rsidR="00BB0DC3" w:rsidRPr="005955DF" w14:paraId="3B55EF9B" w14:textId="77777777" w:rsidTr="00BB0DC3">
        <w:trPr>
          <w:trHeight w:val="56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DB2B7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Discontinuations due to AE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DD7BF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A75E1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91B20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23AB2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28E9C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17.9%</w:t>
            </w:r>
          </w:p>
        </w:tc>
      </w:tr>
      <w:tr w:rsidR="00BB0DC3" w:rsidRPr="005955DF" w14:paraId="21AA1729" w14:textId="77777777" w:rsidTr="00BB0DC3">
        <w:trPr>
          <w:trHeight w:val="554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5EDBD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Dose reduction due to AE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E6319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C7E3D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3C0ED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D2AFA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67B6F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14.3%</w:t>
            </w:r>
          </w:p>
        </w:tc>
      </w:tr>
      <w:tr w:rsidR="00BB0DC3" w:rsidRPr="005955DF" w14:paraId="25DE5389" w14:textId="77777777" w:rsidTr="00BB0DC3">
        <w:trPr>
          <w:trHeight w:val="554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73E76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Dose interruption due to AE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4020B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3D49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ED278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CFADD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0F61C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42.9%</w:t>
            </w:r>
          </w:p>
        </w:tc>
      </w:tr>
      <w:tr w:rsidR="00BB0DC3" w:rsidRPr="005955DF" w14:paraId="0C4D919D" w14:textId="77777777" w:rsidTr="00BB0DC3">
        <w:trPr>
          <w:trHeight w:val="29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76D8F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Grade ≥ 3 Infection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2E908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2A8D3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3AD73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1E5ED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E8412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21.4%</w:t>
            </w:r>
          </w:p>
        </w:tc>
      </w:tr>
      <w:tr w:rsidR="00BB0DC3" w:rsidRPr="005955DF" w14:paraId="655E0AF9" w14:textId="77777777" w:rsidTr="00BB0DC3">
        <w:trPr>
          <w:trHeight w:val="554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7FD2B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Grade ≥ 3 Neutropenia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818E2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F9421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2A3E9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6E71B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CB8E5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15.5%</w:t>
            </w:r>
          </w:p>
        </w:tc>
      </w:tr>
      <w:tr w:rsidR="00BB0DC3" w:rsidRPr="005955DF" w14:paraId="0FCCBB1A" w14:textId="77777777" w:rsidTr="00BB0DC3">
        <w:trPr>
          <w:trHeight w:val="56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7CDDE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Grade ≥ 3 Diarrhea/Colitis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1AE90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2C041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62D58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6577E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76FE6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1.2%</w:t>
            </w:r>
          </w:p>
        </w:tc>
      </w:tr>
      <w:tr w:rsidR="00BB0DC3" w:rsidRPr="005955DF" w14:paraId="06D49057" w14:textId="77777777" w:rsidTr="00BB0DC3">
        <w:trPr>
          <w:trHeight w:val="56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2812E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Grade ≥ 3 AST/ALT increase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2860B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D4703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A1108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C6308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FFEF2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1.2%</w:t>
            </w:r>
          </w:p>
        </w:tc>
      </w:tr>
      <w:tr w:rsidR="00BB0DC3" w:rsidRPr="005955DF" w14:paraId="2C89A4FF" w14:textId="77777777" w:rsidTr="00BB0DC3">
        <w:trPr>
          <w:trHeight w:val="27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207FD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Grade ≥ 3 Rash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93917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032CC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9974D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E1A9F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21B4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1.2%</w:t>
            </w:r>
          </w:p>
        </w:tc>
      </w:tr>
      <w:tr w:rsidR="00BB0DC3" w:rsidRPr="005955DF" w14:paraId="291CB30D" w14:textId="77777777" w:rsidTr="00BB0DC3">
        <w:trPr>
          <w:trHeight w:val="56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BA3BA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 xml:space="preserve">Grade ≥ 3 Non-infectious pneumonitis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4EF4A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C9FC1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99FF6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A599D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CAD2F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3.6%</w:t>
            </w:r>
          </w:p>
        </w:tc>
      </w:tr>
      <w:tr w:rsidR="00BB0DC3" w:rsidRPr="005955DF" w14:paraId="030605C1" w14:textId="77777777" w:rsidTr="00BB0DC3">
        <w:trPr>
          <w:trHeight w:val="554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DBE6E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Grade ≥ 3 Hyperglycemia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F7175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053C5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A843C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FB935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0DDB3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1.2%</w:t>
            </w:r>
          </w:p>
        </w:tc>
      </w:tr>
      <w:tr w:rsidR="00BB0DC3" w:rsidRPr="005955DF" w14:paraId="0444D47F" w14:textId="77777777" w:rsidTr="00BB0DC3">
        <w:trPr>
          <w:trHeight w:val="569"/>
        </w:trPr>
        <w:tc>
          <w:tcPr>
            <w:tcW w:w="2970" w:type="dxa"/>
            <w:tcBorders>
              <w:top w:val="nil"/>
              <w:left w:val="nil"/>
              <w:right w:val="nil"/>
            </w:tcBorders>
            <w:vAlign w:val="center"/>
          </w:tcPr>
          <w:p w14:paraId="19177BFB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Grade ≥ 3 Hypertension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vAlign w:val="center"/>
          </w:tcPr>
          <w:p w14:paraId="34FC0EE0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right w:val="nil"/>
            </w:tcBorders>
            <w:vAlign w:val="center"/>
          </w:tcPr>
          <w:p w14:paraId="44D364D1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627" w:type="dxa"/>
            <w:tcBorders>
              <w:top w:val="nil"/>
              <w:left w:val="nil"/>
              <w:right w:val="nil"/>
            </w:tcBorders>
            <w:vAlign w:val="center"/>
          </w:tcPr>
          <w:p w14:paraId="7CCF7DAA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vAlign w:val="center"/>
          </w:tcPr>
          <w:p w14:paraId="3F14D77F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right w:val="nil"/>
            </w:tcBorders>
            <w:vAlign w:val="center"/>
          </w:tcPr>
          <w:p w14:paraId="1D9BFCFA" w14:textId="77777777" w:rsidR="00BB0DC3" w:rsidRPr="005955DF" w:rsidRDefault="00BB0DC3" w:rsidP="002D5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F98BF29" w14:textId="77777777" w:rsidR="00BB0DC3" w:rsidRPr="005955DF" w:rsidRDefault="00BB0DC3" w:rsidP="00BB0DC3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Pr="0006738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955DF">
        <w:rPr>
          <w:rFonts w:ascii="Times New Roman" w:hAnsi="Times New Roman" w:cs="Times New Roman"/>
          <w:sz w:val="24"/>
          <w:szCs w:val="24"/>
        </w:rPr>
        <w:t xml:space="preserve">Safety data were adopted from FDA Introductory Comments of the Oncologic Drugs Advisory Committee Meeting in April 2022. FL indicates that follicular lymphoma sub-analyses were available. </w:t>
      </w:r>
    </w:p>
    <w:p w14:paraId="5DE8B544" w14:textId="01EA7C7D" w:rsidR="00AE299E" w:rsidRDefault="00BB0DC3" w:rsidP="00BB0DC3">
      <w:r w:rsidRPr="005955DF">
        <w:rPr>
          <w:rFonts w:ascii="Times New Roman" w:hAnsi="Times New Roman" w:cs="Times New Roman"/>
          <w:b/>
          <w:sz w:val="24"/>
          <w:szCs w:val="24"/>
        </w:rPr>
        <w:t>Abbreviations</w:t>
      </w:r>
      <w:r w:rsidRPr="005955DF">
        <w:rPr>
          <w:rFonts w:ascii="Times New Roman" w:hAnsi="Times New Roman" w:cs="Times New Roman"/>
          <w:sz w:val="24"/>
          <w:szCs w:val="24"/>
        </w:rPr>
        <w:t>: AEs, adverse events; CR, complete response; FL, follicular lymphoma; ORR, objective response rate; NA, not analyzed; OS, overall survival; PFS, progression-free survival; SAEs, serious adverse events.</w:t>
      </w:r>
    </w:p>
    <w:sectPr w:rsidR="00AE2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BD030" w14:textId="77777777" w:rsidR="007A3E2A" w:rsidRDefault="007A3E2A" w:rsidP="00BB0DC3">
      <w:r>
        <w:separator/>
      </w:r>
    </w:p>
  </w:endnote>
  <w:endnote w:type="continuationSeparator" w:id="0">
    <w:p w14:paraId="377FE18C" w14:textId="77777777" w:rsidR="007A3E2A" w:rsidRDefault="007A3E2A" w:rsidP="00BB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calaLancetPro">
    <w:altName w:val="宋体"/>
    <w:charset w:val="86"/>
    <w:family w:val="roman"/>
    <w:pitch w:val="default"/>
    <w:sig w:usb0="00000001" w:usb1="080F0000" w:usb2="00000010" w:usb3="00000000" w:csb0="0006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ADA8" w14:textId="77777777" w:rsidR="007A3E2A" w:rsidRDefault="007A3E2A" w:rsidP="00BB0DC3">
      <w:r>
        <w:separator/>
      </w:r>
    </w:p>
  </w:footnote>
  <w:footnote w:type="continuationSeparator" w:id="0">
    <w:p w14:paraId="4F326A1A" w14:textId="77777777" w:rsidR="007A3E2A" w:rsidRDefault="007A3E2A" w:rsidP="00BB0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64C"/>
    <w:rsid w:val="00657783"/>
    <w:rsid w:val="006620C2"/>
    <w:rsid w:val="006E4CEC"/>
    <w:rsid w:val="007A3E2A"/>
    <w:rsid w:val="007E764C"/>
    <w:rsid w:val="00AE299E"/>
    <w:rsid w:val="00B27989"/>
    <w:rsid w:val="00BB0DC3"/>
    <w:rsid w:val="00FC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4C16A"/>
  <w15:chartTrackingRefBased/>
  <w15:docId w15:val="{C3C68E7C-D9F7-459A-A7F2-CE13BC70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DC3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0D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0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0DC3"/>
    <w:rPr>
      <w:sz w:val="18"/>
      <w:szCs w:val="18"/>
    </w:rPr>
  </w:style>
  <w:style w:type="table" w:styleId="a7">
    <w:name w:val="Table Grid"/>
    <w:basedOn w:val="a1"/>
    <w:uiPriority w:val="39"/>
    <w:rsid w:val="00BB0DC3"/>
    <w:rPr>
      <w:rFonts w:ascii="等线" w:eastAsia="等线" w:hAnsi="等线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-BodyText">
    <w:name w:val="C-Body Text"/>
    <w:link w:val="C-BodyTextChar"/>
    <w:qFormat/>
    <w:rsid w:val="00BB0DC3"/>
    <w:pPr>
      <w:spacing w:before="120" w:after="120" w:line="280" w:lineRule="atLeast"/>
    </w:pPr>
    <w:rPr>
      <w:rFonts w:ascii="Times New Roman" w:eastAsia="等线" w:hAnsi="Times New Roman" w:cs="Times New Roman"/>
      <w:kern w:val="0"/>
      <w:sz w:val="24"/>
      <w:szCs w:val="20"/>
      <w:lang w:eastAsia="en-US"/>
    </w:rPr>
  </w:style>
  <w:style w:type="character" w:customStyle="1" w:styleId="C-BodyTextChar">
    <w:name w:val="C-Body Text Char"/>
    <w:link w:val="C-BodyText"/>
    <w:qFormat/>
    <w:rsid w:val="00BB0DC3"/>
    <w:rPr>
      <w:rFonts w:ascii="Times New Roman" w:eastAsia="等线" w:hAnsi="Times New Roman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BioMed</dc:creator>
  <cp:keywords/>
  <dc:description/>
  <cp:lastModifiedBy>BioMed</cp:lastModifiedBy>
  <cp:revision>3</cp:revision>
  <dcterms:created xsi:type="dcterms:W3CDTF">2023-01-12T05:41:00Z</dcterms:created>
  <dcterms:modified xsi:type="dcterms:W3CDTF">2023-01-12T06:08:00Z</dcterms:modified>
</cp:coreProperties>
</file>