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972" w:rsidRPr="003C3F8A" w:rsidRDefault="00AA3972" w:rsidP="00AA3972">
      <w:pPr>
        <w:rPr>
          <w:rFonts w:ascii="Times New Roman" w:hAnsi="Times New Roman" w:cs="Times New Roman"/>
          <w:b/>
          <w:bCs/>
          <w:lang w:val="en-US"/>
        </w:rPr>
      </w:pPr>
      <w:r w:rsidRPr="003C3F8A">
        <w:rPr>
          <w:rFonts w:ascii="Times New Roman" w:hAnsi="Times New Roman" w:cs="Times New Roman"/>
          <w:b/>
          <w:bCs/>
          <w:noProof/>
          <w:lang w:val="en-US"/>
        </w:rPr>
        <mc:AlternateContent>
          <mc:Choice Requires="wps">
            <w:drawing>
              <wp:anchor distT="0" distB="0" distL="114300" distR="114300" simplePos="0" relativeHeight="251659264" behindDoc="0" locked="0" layoutInCell="1" allowOverlap="1" wp14:anchorId="3FA65930" wp14:editId="6BB856C2">
                <wp:simplePos x="0" y="0"/>
                <wp:positionH relativeFrom="column">
                  <wp:posOffset>-103367</wp:posOffset>
                </wp:positionH>
                <wp:positionV relativeFrom="paragraph">
                  <wp:posOffset>707666</wp:posOffset>
                </wp:positionV>
                <wp:extent cx="469127" cy="381663"/>
                <wp:effectExtent l="0" t="0" r="7620" b="0"/>
                <wp:wrapNone/>
                <wp:docPr id="3" name="Rectangle 3"/>
                <wp:cNvGraphicFramePr/>
                <a:graphic xmlns:a="http://schemas.openxmlformats.org/drawingml/2006/main">
                  <a:graphicData uri="http://schemas.microsoft.com/office/word/2010/wordprocessingShape">
                    <wps:wsp>
                      <wps:cNvSpPr/>
                      <wps:spPr>
                        <a:xfrm>
                          <a:off x="0" y="0"/>
                          <a:ext cx="469127" cy="381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89447F" id="Rectangle 3" o:spid="_x0000_s1026" style="position:absolute;margin-left:-8.15pt;margin-top:55.7pt;width:36.95pt;height:30.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b0lAIAAIMFAAAOAAAAZHJzL2Uyb0RvYy54bWysVMFu2zAMvQ/YPwi6r47TNG2DOkWQIsOA&#10;og3aDj0rshQbkEVNUuJkXz9Ksp2uK3YYloMiiuQj+Uzy5vbQKLIX1tWgC5qfjSgRmkNZ621Bv7+s&#10;vlxR4jzTJVOgRUGPwtHb+edPN62ZiTFUoEphCYJoN2tNQSvvzSzLHK9Ew9wZGKFRKcE2zKNot1lp&#10;WYvojcrGo9E0a8GWxgIXzuHrXVLSecSXUnD/KKUTnqiCYm4+njaem3Bm8xs221pmqpp3abB/yKJh&#10;tcagA9Qd84zsbP0HVFNzCw6kP+PQZCBlzUWsAavJR++qea6YEbEWJMeZgSb3/2D5w35tSV0W9JwS&#10;zRr8RE9IGtNbJch5oKc1boZWz2ZtO8nhNdR6kLYJ/1gFOURKjwOl4uAJx8fJ9DofX1LCUXV+lU+n&#10;ETM7ORvr/FcBDQmXgloMHolk+3vnMSCa9iYhlgNVl6taqSiELhFLZcme4ffdbPOQMHr8ZqV0sNUQ&#10;vJI6vGShrlRJvPmjEsFO6SchkRDMfRwTia14CsI4F9rnSVWxUqTYFyP89dH7tGIuETAgS4w/YHcA&#10;vWUC6bFTlp19cBWxkwfn0d8SS86DR4wM2g/OTa3BfgSgsKoucrLvSUrUBJY2UB6xXSykOXKGr2r8&#10;bPfM+TWzODg4YrgM/CMeUkFbUOhulFRgf370Huyxn1FLSYuDWFD3Y8esoER909jp1/lkEiY3CpOL&#10;yzEK9q1m81ajd80SsBdyXDuGx2uw96q/SgvNK+6MRYiKKqY5xi4o97YXlj4tCNw6XCwW0Qyn1TB/&#10;r58ND+CB1dCWL4dXZk3Xux6b/gH6oWWzdy2cbIOnhsXOg6xjf5947fjGSY+N022lsEreytHqtDvn&#10;vwAAAP//AwBQSwMEFAAGAAgAAAAhAI/7Q2/hAAAACgEAAA8AAABkcnMvZG93bnJldi54bWxMj8FO&#10;wzAMhu9IvENkJC5oS0NYh0rTCZCQuHDYmBDHrAlNtcapmqzteHrMCY72/+n353Iz+46NdohtQAVi&#10;mQGzWAfTYqNg//6yuAcWk0aju4BWwdlG2FSXF6UuTJhwa8ddahiVYCy0ApdSX3Aea2e9jsvQW6Ts&#10;KwxeJxqHhptBT1TuO36bZTn3ukW64HRvn52tj7uTV/B2lvJ1vJHHad/Kpv3mn08fLih1fTU/PgBL&#10;dk5/MPzqkzpU5HQIJzSRdQoWIpeEUiDEHTAiVusc2IEWa7ECXpX8/wvVDwAAAP//AwBQSwECLQAU&#10;AAYACAAAACEAtoM4kv4AAADhAQAAEwAAAAAAAAAAAAAAAAAAAAAAW0NvbnRlbnRfVHlwZXNdLnht&#10;bFBLAQItABQABgAIAAAAIQA4/SH/1gAAAJQBAAALAAAAAAAAAAAAAAAAAC8BAABfcmVscy8ucmVs&#10;c1BLAQItABQABgAIAAAAIQCRfmb0lAIAAIMFAAAOAAAAAAAAAAAAAAAAAC4CAABkcnMvZTJvRG9j&#10;LnhtbFBLAQItABQABgAIAAAAIQCP+0Nv4QAAAAoBAAAPAAAAAAAAAAAAAAAAAO4EAABkcnMvZG93&#10;bnJldi54bWxQSwUGAAAAAAQABADzAAAA/AUAAAAA&#10;" fillcolor="white [3212]" stroked="f" strokeweight="1pt"/>
            </w:pict>
          </mc:Fallback>
        </mc:AlternateContent>
      </w:r>
      <w:r w:rsidRPr="003C3F8A">
        <w:rPr>
          <w:rFonts w:ascii="Times New Roman" w:hAnsi="Times New Roman" w:cs="Times New Roman"/>
          <w:b/>
          <w:bCs/>
          <w:lang w:val="en-US"/>
        </w:rPr>
        <w:t xml:space="preserve">Supplementary Figure </w:t>
      </w:r>
      <w:r w:rsidRPr="00937519">
        <w:rPr>
          <w:rFonts w:ascii="Times New Roman" w:hAnsi="Times New Roman" w:cs="Times New Roman"/>
          <w:b/>
          <w:bCs/>
          <w:lang w:val="en-US"/>
        </w:rPr>
        <w:t>S2</w:t>
      </w:r>
      <w:r w:rsidRPr="003C3F8A">
        <w:rPr>
          <w:rFonts w:ascii="Times New Roman" w:hAnsi="Times New Roman" w:cs="Times New Roman"/>
          <w:b/>
          <w:bCs/>
          <w:lang w:val="en-US"/>
        </w:rPr>
        <w:t xml:space="preserve">. </w:t>
      </w:r>
      <w:r w:rsidRPr="003C3F8A">
        <w:rPr>
          <w:rFonts w:ascii="Times New Roman" w:hAnsi="Times New Roman" w:cs="Times New Roman"/>
          <w:lang w:val="en-US"/>
        </w:rPr>
        <w:t xml:space="preserve">The effect of covariates, body weight, baseline albumin level, and combination therapy, on </w:t>
      </w:r>
      <w:proofErr w:type="spellStart"/>
      <w:r w:rsidRPr="003C3F8A">
        <w:rPr>
          <w:rFonts w:ascii="Times New Roman" w:hAnsi="Times New Roman" w:cs="Times New Roman"/>
          <w:lang w:val="en-US"/>
        </w:rPr>
        <w:t>tremelimumab</w:t>
      </w:r>
      <w:proofErr w:type="spellEnd"/>
      <w:r w:rsidRPr="003C3F8A">
        <w:rPr>
          <w:rFonts w:ascii="Times New Roman" w:hAnsi="Times New Roman" w:cs="Times New Roman"/>
          <w:lang w:val="en-US"/>
        </w:rPr>
        <w:t xml:space="preserve"> exposure metric C</w:t>
      </w:r>
      <w:r w:rsidRPr="003C3F8A">
        <w:rPr>
          <w:rFonts w:ascii="Times New Roman" w:hAnsi="Times New Roman" w:cs="Times New Roman"/>
          <w:vertAlign w:val="subscript"/>
          <w:lang w:val="en-US"/>
        </w:rPr>
        <w:t>min1</w:t>
      </w:r>
      <w:r w:rsidRPr="003C3F8A">
        <w:rPr>
          <w:rFonts w:ascii="Times New Roman" w:hAnsi="Times New Roman" w:cs="Times New Roman"/>
          <w:lang w:val="en-US"/>
        </w:rPr>
        <w:t xml:space="preserve"> (PK analysis population)</w:t>
      </w:r>
      <w:r w:rsidRPr="003C3F8A">
        <w:rPr>
          <w:rFonts w:ascii="Times New Roman" w:hAnsi="Times New Roman" w:cs="Times New Roman"/>
          <w:vertAlign w:val="subscript"/>
          <w:lang w:val="en-US"/>
        </w:rPr>
        <w:t xml:space="preserve"> </w:t>
      </w:r>
    </w:p>
    <w:p w:rsidR="00AA3972" w:rsidRPr="003C3F8A" w:rsidRDefault="00AA3972" w:rsidP="00AA3972">
      <w:pPr>
        <w:spacing w:line="480" w:lineRule="auto"/>
        <w:rPr>
          <w:rFonts w:ascii="Times New Roman" w:hAnsi="Times New Roman" w:cs="Times New Roman"/>
          <w:sz w:val="18"/>
          <w:szCs w:val="18"/>
          <w:lang w:val="en-US"/>
        </w:rPr>
      </w:pPr>
      <w:r w:rsidRPr="003C3F8A">
        <w:rPr>
          <w:rFonts w:ascii="Times New Roman" w:hAnsi="Times New Roman" w:cs="Times New Roman"/>
          <w:noProof/>
          <w:sz w:val="18"/>
          <w:szCs w:val="18"/>
          <w:lang w:val="en-US"/>
        </w:rPr>
        <w:drawing>
          <wp:inline distT="0" distB="0" distL="0" distR="0" wp14:anchorId="19E545E4" wp14:editId="0BB70796">
            <wp:extent cx="4770533" cy="3429297"/>
            <wp:effectExtent l="0" t="0" r="0" b="0"/>
            <wp:docPr id="2" name="Picture 2"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ox and whisker ch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770533" cy="3429297"/>
                    </a:xfrm>
                    <a:prstGeom prst="rect">
                      <a:avLst/>
                    </a:prstGeom>
                  </pic:spPr>
                </pic:pic>
              </a:graphicData>
            </a:graphic>
          </wp:inline>
        </w:drawing>
      </w:r>
    </w:p>
    <w:p w:rsidR="00AA3972" w:rsidRPr="003C3F8A" w:rsidRDefault="00AA3972" w:rsidP="00AA3972">
      <w:pPr>
        <w:spacing w:line="480" w:lineRule="auto"/>
        <w:rPr>
          <w:rFonts w:ascii="Times New Roman" w:hAnsi="Times New Roman" w:cs="Times New Roman"/>
          <w:color w:val="FF0000"/>
          <w:sz w:val="20"/>
          <w:szCs w:val="20"/>
          <w:lang w:val="en-US"/>
        </w:rPr>
      </w:pPr>
      <w:r w:rsidRPr="003C3F8A">
        <w:rPr>
          <w:rFonts w:ascii="Times New Roman" w:hAnsi="Times New Roman" w:cs="Times New Roman"/>
          <w:sz w:val="20"/>
          <w:szCs w:val="20"/>
          <w:lang w:val="en-US"/>
        </w:rPr>
        <w:t>The black vertical line refers to the geometric mean of the predicted exposure (C</w:t>
      </w:r>
      <w:r w:rsidRPr="003C3F8A">
        <w:rPr>
          <w:rFonts w:ascii="Times New Roman" w:hAnsi="Times New Roman" w:cs="Times New Roman"/>
          <w:sz w:val="20"/>
          <w:szCs w:val="20"/>
          <w:vertAlign w:val="subscript"/>
          <w:lang w:val="en-US"/>
        </w:rPr>
        <w:t>min1</w:t>
      </w:r>
      <w:r w:rsidRPr="003C3F8A">
        <w:rPr>
          <w:rFonts w:ascii="Times New Roman" w:hAnsi="Times New Roman" w:cs="Times New Roman"/>
          <w:sz w:val="20"/>
          <w:szCs w:val="20"/>
          <w:lang w:val="en-US"/>
        </w:rPr>
        <w:t>) of</w:t>
      </w:r>
      <w:r w:rsidRPr="003C3F8A">
        <w:rPr>
          <w:rFonts w:ascii="Times New Roman" w:hAnsi="Times New Roman" w:cs="Times New Roman"/>
          <w:sz w:val="24"/>
          <w:szCs w:val="24"/>
          <w:lang w:val="en-US"/>
        </w:rPr>
        <w:t xml:space="preserve"> </w:t>
      </w:r>
      <w:proofErr w:type="spellStart"/>
      <w:r w:rsidRPr="003C3F8A">
        <w:rPr>
          <w:rFonts w:ascii="Times New Roman" w:hAnsi="Times New Roman" w:cs="Times New Roman"/>
          <w:sz w:val="20"/>
          <w:szCs w:val="20"/>
          <w:lang w:val="en-US"/>
        </w:rPr>
        <w:t>tremelimumab</w:t>
      </w:r>
      <w:proofErr w:type="spellEnd"/>
      <w:r w:rsidRPr="003C3F8A">
        <w:rPr>
          <w:rFonts w:ascii="Times New Roman" w:hAnsi="Times New Roman" w:cs="Times New Roman"/>
          <w:sz w:val="20"/>
          <w:szCs w:val="20"/>
          <w:lang w:val="en-US"/>
        </w:rPr>
        <w:t xml:space="preserve"> across the entire population which serves as the reference value. All percentage values shown in each plot are the relative changes in exposure compared with the reference value. The black shaded bar with values at each end shows the 2.5th to 97.5th percentile exposure range across the entire population. Each blue shaded bar represents the magnitude of influence of the respective covariate on the exposure. The length of each bar represents the magnitude of change in predicted exposure caused by changing the covariate from its reference to the low or high values, or other possible values (indicated on the two sides of the bars). The covariates shown in each plot are ordered from the most influential covariate at the top to the least influential covariate at the bottom.</w:t>
      </w:r>
      <w:bookmarkStart w:id="0" w:name="_Hlk85034789"/>
      <w:r w:rsidRPr="003C3F8A">
        <w:rPr>
          <w:rFonts w:ascii="Times New Roman" w:hAnsi="Times New Roman" w:cs="Times New Roman"/>
          <w:sz w:val="20"/>
          <w:szCs w:val="20"/>
          <w:lang w:val="en-US"/>
        </w:rPr>
        <w:br/>
      </w:r>
      <w:bookmarkEnd w:id="0"/>
      <w:r w:rsidRPr="003C3F8A">
        <w:rPr>
          <w:rFonts w:ascii="Times New Roman" w:hAnsi="Times New Roman" w:cs="Times New Roman"/>
          <w:sz w:val="20"/>
          <w:szCs w:val="20"/>
          <w:lang w:val="en-US"/>
        </w:rPr>
        <w:t>C</w:t>
      </w:r>
      <w:r w:rsidRPr="003C3F8A">
        <w:rPr>
          <w:rFonts w:ascii="Times New Roman" w:hAnsi="Times New Roman" w:cs="Times New Roman"/>
          <w:sz w:val="20"/>
          <w:szCs w:val="20"/>
          <w:vertAlign w:val="subscript"/>
          <w:lang w:val="en-US"/>
        </w:rPr>
        <w:t>min1</w:t>
      </w:r>
      <w:r w:rsidRPr="003C3F8A">
        <w:rPr>
          <w:rFonts w:ascii="Times New Roman" w:hAnsi="Times New Roman" w:cs="Times New Roman"/>
          <w:sz w:val="20"/>
          <w:szCs w:val="20"/>
          <w:lang w:val="en-US"/>
        </w:rPr>
        <w:t>,</w:t>
      </w:r>
      <w:r w:rsidRPr="003C3F8A">
        <w:rPr>
          <w:rFonts w:ascii="Times New Roman" w:hAnsi="Times New Roman" w:cs="Times New Roman"/>
          <w:sz w:val="20"/>
          <w:szCs w:val="20"/>
          <w:vertAlign w:val="subscript"/>
          <w:lang w:val="en-US"/>
        </w:rPr>
        <w:t xml:space="preserve"> </w:t>
      </w:r>
      <w:r w:rsidRPr="003C3F8A">
        <w:rPr>
          <w:rFonts w:ascii="Times New Roman" w:hAnsi="Times New Roman" w:cs="Times New Roman"/>
          <w:sz w:val="20"/>
          <w:szCs w:val="20"/>
          <w:lang w:val="en-US"/>
        </w:rPr>
        <w:t xml:space="preserve">minimum </w:t>
      </w:r>
      <w:proofErr w:type="spellStart"/>
      <w:r w:rsidRPr="003C3F8A">
        <w:rPr>
          <w:rFonts w:ascii="Times New Roman" w:hAnsi="Times New Roman" w:cs="Times New Roman"/>
          <w:sz w:val="20"/>
          <w:szCs w:val="20"/>
          <w:lang w:val="en-US"/>
        </w:rPr>
        <w:t>tremelimumab</w:t>
      </w:r>
      <w:proofErr w:type="spellEnd"/>
      <w:r w:rsidRPr="003C3F8A">
        <w:rPr>
          <w:rFonts w:ascii="Times New Roman" w:hAnsi="Times New Roman" w:cs="Times New Roman"/>
          <w:sz w:val="20"/>
          <w:szCs w:val="20"/>
          <w:lang w:val="en-US"/>
        </w:rPr>
        <w:t xml:space="preserve"> concentration at day 28; COMB, combination therapy (pooled STRIDE and T75+D); PK, pharmacokinetics; STRIDE, Single </w:t>
      </w:r>
      <w:proofErr w:type="spellStart"/>
      <w:r w:rsidRPr="003C3F8A">
        <w:rPr>
          <w:rFonts w:ascii="Times New Roman" w:hAnsi="Times New Roman" w:cs="Times New Roman"/>
          <w:sz w:val="20"/>
          <w:szCs w:val="20"/>
          <w:lang w:val="en-US"/>
        </w:rPr>
        <w:t>Tremelimumab</w:t>
      </w:r>
      <w:proofErr w:type="spellEnd"/>
      <w:r w:rsidRPr="003C3F8A">
        <w:rPr>
          <w:rFonts w:ascii="Times New Roman" w:hAnsi="Times New Roman" w:cs="Times New Roman"/>
          <w:sz w:val="20"/>
          <w:szCs w:val="20"/>
          <w:lang w:val="en-US"/>
        </w:rPr>
        <w:t xml:space="preserve"> Regular Interval </w:t>
      </w:r>
      <w:proofErr w:type="spellStart"/>
      <w:r w:rsidRPr="003C3F8A">
        <w:rPr>
          <w:rFonts w:ascii="Times New Roman" w:hAnsi="Times New Roman" w:cs="Times New Roman"/>
          <w:sz w:val="20"/>
          <w:szCs w:val="20"/>
          <w:lang w:val="en-US"/>
        </w:rPr>
        <w:t>Durvalumab</w:t>
      </w:r>
      <w:proofErr w:type="spellEnd"/>
      <w:r w:rsidRPr="003C3F8A">
        <w:rPr>
          <w:rFonts w:ascii="Times New Roman" w:hAnsi="Times New Roman" w:cs="Times New Roman"/>
          <w:sz w:val="20"/>
          <w:szCs w:val="20"/>
          <w:lang w:val="en-US"/>
        </w:rPr>
        <w:t xml:space="preserve"> (single dose of </w:t>
      </w:r>
      <w:proofErr w:type="spellStart"/>
      <w:r w:rsidRPr="003C3F8A">
        <w:rPr>
          <w:rFonts w:ascii="Times New Roman" w:hAnsi="Times New Roman" w:cs="Times New Roman"/>
          <w:sz w:val="20"/>
          <w:szCs w:val="20"/>
          <w:lang w:val="en-US"/>
        </w:rPr>
        <w:t>tremelimumab</w:t>
      </w:r>
      <w:proofErr w:type="spellEnd"/>
      <w:r w:rsidRPr="003C3F8A">
        <w:rPr>
          <w:rFonts w:ascii="Times New Roman" w:hAnsi="Times New Roman" w:cs="Times New Roman"/>
          <w:sz w:val="20"/>
          <w:szCs w:val="20"/>
          <w:lang w:val="en-US"/>
        </w:rPr>
        <w:t xml:space="preserve"> 300 mg with </w:t>
      </w:r>
      <w:proofErr w:type="spellStart"/>
      <w:r w:rsidRPr="003C3F8A">
        <w:rPr>
          <w:rFonts w:ascii="Times New Roman" w:hAnsi="Times New Roman" w:cs="Times New Roman"/>
          <w:sz w:val="20"/>
          <w:szCs w:val="20"/>
          <w:lang w:val="en-US"/>
        </w:rPr>
        <w:t>durvalumab</w:t>
      </w:r>
      <w:proofErr w:type="spellEnd"/>
      <w:r w:rsidRPr="003C3F8A">
        <w:rPr>
          <w:rFonts w:ascii="Times New Roman" w:hAnsi="Times New Roman" w:cs="Times New Roman"/>
          <w:sz w:val="20"/>
          <w:szCs w:val="20"/>
          <w:lang w:val="en-US"/>
        </w:rPr>
        <w:t xml:space="preserve"> 1500 mg, followed by </w:t>
      </w:r>
      <w:proofErr w:type="spellStart"/>
      <w:r w:rsidRPr="003C3F8A">
        <w:rPr>
          <w:rFonts w:ascii="Times New Roman" w:hAnsi="Times New Roman" w:cs="Times New Roman"/>
          <w:sz w:val="20"/>
          <w:szCs w:val="20"/>
          <w:lang w:val="en-US"/>
        </w:rPr>
        <w:t>durvalumab</w:t>
      </w:r>
      <w:proofErr w:type="spellEnd"/>
      <w:r w:rsidRPr="003C3F8A">
        <w:rPr>
          <w:rFonts w:ascii="Times New Roman" w:hAnsi="Times New Roman" w:cs="Times New Roman"/>
          <w:sz w:val="20"/>
          <w:szCs w:val="20"/>
          <w:lang w:val="en-US"/>
        </w:rPr>
        <w:t xml:space="preserve"> 1500 mg Q4W); T, </w:t>
      </w:r>
      <w:proofErr w:type="spellStart"/>
      <w:r w:rsidRPr="003C3F8A">
        <w:rPr>
          <w:rFonts w:ascii="Times New Roman" w:hAnsi="Times New Roman" w:cs="Times New Roman"/>
          <w:sz w:val="20"/>
          <w:szCs w:val="20"/>
          <w:lang w:val="en-US"/>
        </w:rPr>
        <w:t>tremelimumab</w:t>
      </w:r>
      <w:proofErr w:type="spellEnd"/>
      <w:r w:rsidRPr="003C3F8A">
        <w:rPr>
          <w:rFonts w:ascii="Times New Roman" w:hAnsi="Times New Roman" w:cs="Times New Roman"/>
          <w:sz w:val="20"/>
          <w:szCs w:val="20"/>
          <w:lang w:val="en-US"/>
        </w:rPr>
        <w:t xml:space="preserve"> monotherapy; T+D, pooled STRIDE and T75+D; T75+D, </w:t>
      </w:r>
      <w:proofErr w:type="spellStart"/>
      <w:r w:rsidRPr="003C3F8A">
        <w:rPr>
          <w:rFonts w:ascii="Times New Roman" w:hAnsi="Times New Roman" w:cs="Times New Roman"/>
          <w:sz w:val="20"/>
          <w:szCs w:val="20"/>
          <w:lang w:val="en-US"/>
        </w:rPr>
        <w:t>tremelimumab</w:t>
      </w:r>
      <w:proofErr w:type="spellEnd"/>
      <w:r w:rsidRPr="003C3F8A">
        <w:rPr>
          <w:rFonts w:ascii="Times New Roman" w:hAnsi="Times New Roman" w:cs="Times New Roman"/>
          <w:sz w:val="20"/>
          <w:szCs w:val="20"/>
          <w:lang w:val="en-US"/>
        </w:rPr>
        <w:t xml:space="preserve"> 75 mg plus </w:t>
      </w:r>
      <w:proofErr w:type="spellStart"/>
      <w:r w:rsidRPr="003C3F8A">
        <w:rPr>
          <w:rFonts w:ascii="Times New Roman" w:hAnsi="Times New Roman" w:cs="Times New Roman"/>
          <w:sz w:val="20"/>
          <w:szCs w:val="20"/>
          <w:lang w:val="en-US"/>
        </w:rPr>
        <w:t>durvalumab</w:t>
      </w:r>
      <w:proofErr w:type="spellEnd"/>
      <w:r w:rsidRPr="003C3F8A">
        <w:rPr>
          <w:rFonts w:ascii="Times New Roman" w:hAnsi="Times New Roman" w:cs="Times New Roman"/>
          <w:sz w:val="20"/>
          <w:szCs w:val="20"/>
          <w:lang w:val="en-US"/>
        </w:rPr>
        <w:t xml:space="preserve"> 1500 mg Q4W for a total of 4 doses, followed by </w:t>
      </w:r>
      <w:proofErr w:type="spellStart"/>
      <w:r w:rsidRPr="003C3F8A">
        <w:rPr>
          <w:rFonts w:ascii="Times New Roman" w:hAnsi="Times New Roman" w:cs="Times New Roman"/>
          <w:sz w:val="20"/>
          <w:szCs w:val="20"/>
          <w:lang w:val="en-US"/>
        </w:rPr>
        <w:t>durvalumab</w:t>
      </w:r>
      <w:proofErr w:type="spellEnd"/>
      <w:r w:rsidRPr="003C3F8A">
        <w:rPr>
          <w:rFonts w:ascii="Times New Roman" w:hAnsi="Times New Roman" w:cs="Times New Roman"/>
          <w:sz w:val="20"/>
          <w:szCs w:val="20"/>
          <w:lang w:val="en-US"/>
        </w:rPr>
        <w:t xml:space="preserve"> monotherapy Q4W.</w:t>
      </w:r>
    </w:p>
    <w:p w:rsidR="005D57AC" w:rsidRDefault="005D57AC">
      <w:bookmarkStart w:id="1" w:name="_GoBack"/>
      <w:bookmarkEnd w:id="1"/>
    </w:p>
    <w:sectPr w:rsidR="005D5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972"/>
    <w:rsid w:val="005D57AC"/>
    <w:rsid w:val="00AA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36C71-77CD-4369-B8DB-7AF81150D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97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2022-12-01T16:45:00Z</dcterms:created>
  <dcterms:modified xsi:type="dcterms:W3CDTF">2022-12-01T16:46:00Z</dcterms:modified>
</cp:coreProperties>
</file>