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062B0" w:rsidR="007C1789" w:rsidRDefault="007C1789" w14:paraId="03D86937" w14:textId="3864254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062B0">
        <w:rPr>
          <w:rFonts w:asciiTheme="majorHAnsi" w:hAnsiTheme="majorHAnsi" w:cstheme="majorHAnsi"/>
          <w:b/>
          <w:bCs/>
          <w:sz w:val="24"/>
          <w:szCs w:val="24"/>
        </w:rPr>
        <w:t>Sample</w:t>
      </w:r>
    </w:p>
    <w:p w:rsidRPr="00D062B0" w:rsidR="007377BE" w:rsidRDefault="000F271E" w14:paraId="2FF616E0" w14:textId="6EF49BA6">
      <w:pPr>
        <w:rPr>
          <w:rFonts w:asciiTheme="majorHAnsi" w:hAnsiTheme="majorHAnsi" w:cstheme="majorHAnsi"/>
          <w:sz w:val="24"/>
          <w:szCs w:val="24"/>
        </w:rPr>
      </w:pPr>
      <w:r w:rsidRPr="00D062B0">
        <w:rPr>
          <w:rFonts w:asciiTheme="majorHAnsi" w:hAnsiTheme="majorHAnsi" w:cstheme="majorHAnsi"/>
          <w:sz w:val="24"/>
          <w:szCs w:val="24"/>
        </w:rPr>
        <w:t>We compiled a list of all supplemental and original applications</w:t>
      </w:r>
      <w:r w:rsidRPr="00D062B0" w:rsidR="00FD3DFF">
        <w:rPr>
          <w:rFonts w:asciiTheme="majorHAnsi" w:hAnsiTheme="majorHAnsi" w:cstheme="majorHAnsi"/>
          <w:sz w:val="24"/>
          <w:szCs w:val="24"/>
        </w:rPr>
        <w:t xml:space="preserve"> with and without a Breakthrough Therapy designation (BTD)</w:t>
      </w:r>
      <w:r w:rsidRPr="00D062B0">
        <w:rPr>
          <w:rFonts w:asciiTheme="majorHAnsi" w:hAnsiTheme="majorHAnsi" w:cstheme="majorHAnsi"/>
          <w:sz w:val="24"/>
          <w:szCs w:val="24"/>
        </w:rPr>
        <w:t xml:space="preserve"> approved between January 2013 and October 2021 for treatment of non-small cell lung cancer (NSCLC)</w:t>
      </w:r>
      <w:r w:rsidRPr="00D062B0" w:rsidR="002B41EE">
        <w:rPr>
          <w:rFonts w:asciiTheme="majorHAnsi" w:hAnsiTheme="majorHAnsi" w:cstheme="majorHAnsi"/>
          <w:sz w:val="24"/>
          <w:szCs w:val="24"/>
        </w:rPr>
        <w:t xml:space="preserve"> using review documents and labels published in the online database </w:t>
      </w:r>
      <w:proofErr w:type="spellStart"/>
      <w:r w:rsidRPr="00D062B0" w:rsidR="002B41EE">
        <w:rPr>
          <w:rFonts w:asciiTheme="majorHAnsi" w:hAnsiTheme="majorHAnsi" w:cstheme="majorHAnsi"/>
          <w:sz w:val="24"/>
          <w:szCs w:val="24"/>
        </w:rPr>
        <w:t>Drugs@FDA</w:t>
      </w:r>
      <w:proofErr w:type="spellEnd"/>
      <w:r w:rsidRPr="00D062B0">
        <w:rPr>
          <w:rFonts w:asciiTheme="majorHAnsi" w:hAnsiTheme="majorHAnsi" w:cstheme="majorHAnsi"/>
          <w:sz w:val="24"/>
          <w:szCs w:val="24"/>
        </w:rPr>
        <w:t xml:space="preserve">. </w:t>
      </w:r>
      <w:r w:rsidRPr="00D062B0" w:rsidR="00BC7F44">
        <w:rPr>
          <w:rFonts w:asciiTheme="majorHAnsi" w:hAnsiTheme="majorHAnsi" w:cstheme="majorHAnsi"/>
          <w:sz w:val="24"/>
          <w:szCs w:val="24"/>
        </w:rPr>
        <w:t>Our sample included 32 supplemental approvals and 20 original approvals.</w:t>
      </w:r>
    </w:p>
    <w:p w:rsidRPr="00D062B0" w:rsidR="00BC7F44" w:rsidRDefault="00BC7F44" w14:paraId="485E594C" w14:textId="44A33BB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062B0">
        <w:rPr>
          <w:rFonts w:asciiTheme="majorHAnsi" w:hAnsiTheme="majorHAnsi" w:cstheme="majorHAnsi"/>
          <w:b/>
          <w:bCs/>
          <w:sz w:val="24"/>
          <w:szCs w:val="24"/>
        </w:rPr>
        <w:t>Trial Details</w:t>
      </w:r>
    </w:p>
    <w:p w:rsidRPr="00D062B0" w:rsidR="005167B1" w:rsidP="6E444EF7" w:rsidRDefault="00025252" w14:paraId="398379C1" w14:textId="45F86FD5">
      <w:pPr>
        <w:pStyle w:val="Normal"/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6E444EF7" w:rsidR="00025252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We collected </w:t>
      </w:r>
      <w:r w:rsidRPr="6E444EF7" w:rsidR="00BC7F44">
        <w:rPr>
          <w:rFonts w:ascii="Calibri Light" w:hAnsi="Calibri Light" w:cs="Calibri Light" w:asciiTheme="majorAscii" w:hAnsiTheme="majorAscii" w:cstheme="majorAscii"/>
          <w:sz w:val="24"/>
          <w:szCs w:val="24"/>
        </w:rPr>
        <w:t>trial details</w:t>
      </w:r>
      <w:r w:rsidRPr="6E444EF7" w:rsidR="00025252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from the label published </w:t>
      </w:r>
      <w:r w:rsidRPr="6E444EF7" w:rsidR="00BC7F44">
        <w:rPr>
          <w:rFonts w:ascii="Calibri Light" w:hAnsi="Calibri Light" w:cs="Calibri Light" w:asciiTheme="majorAscii" w:hAnsiTheme="majorAscii" w:cstheme="majorAscii"/>
          <w:sz w:val="24"/>
          <w:szCs w:val="24"/>
        </w:rPr>
        <w:t>with the</w:t>
      </w:r>
      <w:r w:rsidRPr="6E444EF7" w:rsidR="00025252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approval letter</w:t>
      </w:r>
      <w:r w:rsidRPr="6E444EF7" w:rsidR="00EE7788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. </w:t>
      </w:r>
      <w:r w:rsidRPr="6E444EF7" w:rsidR="00BC7F44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Key details included the trial design, </w:t>
      </w:r>
      <w:r w:rsidRPr="6E444EF7" w:rsidR="00FA2519">
        <w:rPr>
          <w:rFonts w:ascii="Calibri Light" w:hAnsi="Calibri Light" w:cs="Calibri Light" w:asciiTheme="majorAscii" w:hAnsiTheme="majorAscii" w:cstheme="majorAscii"/>
          <w:sz w:val="24"/>
          <w:szCs w:val="24"/>
        </w:rPr>
        <w:t>clinical trial</w:t>
      </w:r>
      <w:r w:rsidRPr="6E444EF7" w:rsidR="00FA2519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number</w:t>
      </w:r>
      <w:r w:rsidRPr="6E444EF7" w:rsidR="66F5B71D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(NCT)</w:t>
      </w:r>
      <w:r w:rsidRPr="6E444EF7" w:rsidR="00FA2519">
        <w:rPr>
          <w:rFonts w:ascii="Calibri Light" w:hAnsi="Calibri Light" w:cs="Calibri Light" w:asciiTheme="majorAscii" w:hAnsiTheme="majorAscii" w:cstheme="majorAscii"/>
          <w:sz w:val="24"/>
          <w:szCs w:val="24"/>
        </w:rPr>
        <w:t>, primary endpoint (</w:t>
      </w:r>
      <w:proofErr w:type="spellStart"/>
      <w:r w:rsidRPr="6E444EF7" w:rsidR="00FA2519">
        <w:rPr>
          <w:rFonts w:ascii="Calibri Light" w:hAnsi="Calibri Light" w:cs="Calibri Light" w:asciiTheme="majorAscii" w:hAnsiTheme="majorAscii" w:cstheme="majorAscii"/>
          <w:sz w:val="24"/>
          <w:szCs w:val="24"/>
        </w:rPr>
        <w:t>pEP</w:t>
      </w:r>
      <w:proofErr w:type="spellEnd"/>
      <w:r w:rsidRPr="6E444EF7" w:rsidR="00FA2519">
        <w:rPr>
          <w:rFonts w:ascii="Calibri Light" w:hAnsi="Calibri Light" w:cs="Calibri Light" w:asciiTheme="majorAscii" w:hAnsiTheme="majorAscii" w:cstheme="majorAscii"/>
          <w:sz w:val="24"/>
          <w:szCs w:val="24"/>
        </w:rPr>
        <w:t>) or co-primary endpoint (</w:t>
      </w:r>
      <w:proofErr w:type="spellStart"/>
      <w:r w:rsidRPr="6E444EF7" w:rsidR="00FA2519">
        <w:rPr>
          <w:rFonts w:ascii="Calibri Light" w:hAnsi="Calibri Light" w:cs="Calibri Light" w:asciiTheme="majorAscii" w:hAnsiTheme="majorAscii" w:cstheme="majorAscii"/>
          <w:sz w:val="24"/>
          <w:szCs w:val="24"/>
        </w:rPr>
        <w:t>cpEP</w:t>
      </w:r>
      <w:proofErr w:type="spellEnd"/>
      <w:r w:rsidRPr="6E444EF7" w:rsidR="00FA2519">
        <w:rPr>
          <w:rFonts w:ascii="Calibri Light" w:hAnsi="Calibri Light" w:cs="Calibri Light" w:asciiTheme="majorAscii" w:hAnsiTheme="majorAscii" w:cstheme="majorAscii"/>
          <w:sz w:val="24"/>
          <w:szCs w:val="24"/>
        </w:rPr>
        <w:t>), and comparator used. If an NCT</w:t>
      </w:r>
      <w:r w:rsidRPr="6E444EF7" w:rsidR="00FA2519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was not listed </w:t>
      </w:r>
      <w:r w:rsidRPr="6E444EF7" w:rsidR="6F0BA9F7">
        <w:rPr>
          <w:rFonts w:ascii="Calibri Light" w:hAnsi="Calibri Light" w:cs="Calibri Light" w:asciiTheme="majorAscii" w:hAnsiTheme="majorAscii" w:cstheme="majorAscii"/>
          <w:sz w:val="24"/>
          <w:szCs w:val="24"/>
        </w:rPr>
        <w:t>in</w:t>
      </w:r>
      <w:r w:rsidRPr="6E444EF7" w:rsidR="00FA2519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the label, </w:t>
      </w:r>
      <w:r w:rsidRPr="6E444EF7" w:rsidR="00EE7788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we used </w:t>
      </w:r>
      <w:proofErr w:type="spellStart"/>
      <w:r w:rsidRPr="6E444EF7" w:rsidR="00EE7788">
        <w:rPr>
          <w:rFonts w:ascii="Calibri Light" w:hAnsi="Calibri Light" w:cs="Calibri Light" w:asciiTheme="majorAscii" w:hAnsiTheme="majorAscii" w:cstheme="majorAscii"/>
          <w:sz w:val="24"/>
          <w:szCs w:val="24"/>
        </w:rPr>
        <w:t>ClinicalTrials</w:t>
      </w:r>
      <w:proofErr w:type="spellEnd"/>
      <w:r w:rsidRPr="6E444EF7" w:rsidR="00EE7788">
        <w:rPr>
          <w:rFonts w:ascii="Calibri Light" w:hAnsi="Calibri Light" w:cs="Calibri Light" w:asciiTheme="majorAscii" w:hAnsiTheme="majorAscii" w:cstheme="majorAscii"/>
          <w:sz w:val="24"/>
          <w:szCs w:val="24"/>
        </w:rPr>
        <w:t>.gov to identify the corresponding NCT</w:t>
      </w:r>
      <w:r w:rsidRPr="6E444EF7" w:rsidR="00B000F3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</w:t>
      </w:r>
      <w:r w:rsidRPr="6E444EF7" w:rsidR="00B000F3">
        <w:rPr>
          <w:rFonts w:ascii="Calibri Light" w:hAnsi="Calibri Light" w:cs="Calibri Light" w:asciiTheme="majorAscii" w:hAnsiTheme="majorAscii" w:cstheme="majorAscii"/>
          <w:sz w:val="24"/>
          <w:szCs w:val="24"/>
        </w:rPr>
        <w:t>based on trial details in the label.</w:t>
      </w:r>
    </w:p>
    <w:p w:rsidRPr="00D062B0" w:rsidR="00E8096C" w:rsidRDefault="00B000F3" w14:paraId="652BE4A1" w14:textId="031C3DA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062B0">
        <w:rPr>
          <w:rFonts w:asciiTheme="majorHAnsi" w:hAnsiTheme="majorHAnsi" w:cstheme="majorHAnsi"/>
          <w:b/>
          <w:bCs/>
          <w:sz w:val="24"/>
          <w:szCs w:val="24"/>
        </w:rPr>
        <w:t>Status of Breakthrough Therapy Designation</w:t>
      </w:r>
    </w:p>
    <w:p w:rsidRPr="00D062B0" w:rsidR="00FA2519" w:rsidP="6E444EF7" w:rsidRDefault="4797FA01" w14:paraId="7A14649C" w14:textId="5BF14C08">
      <w:pPr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6E444EF7" w:rsidR="4797FA01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Since BTD drugs typically receive the designation for multiple </w:t>
      </w:r>
      <w:r w:rsidRPr="6E444EF7" w:rsidR="4379FEA4">
        <w:rPr>
          <w:rFonts w:ascii="Calibri Light" w:hAnsi="Calibri Light" w:cs="Calibri Light" w:asciiTheme="majorAscii" w:hAnsiTheme="majorAscii" w:cstheme="majorAscii"/>
          <w:sz w:val="24"/>
          <w:szCs w:val="24"/>
        </w:rPr>
        <w:t>indications</w:t>
      </w:r>
      <w:r w:rsidRPr="6E444EF7" w:rsidR="781A3CDE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and </w:t>
      </w:r>
      <w:r w:rsidRPr="6E444EF7" w:rsidR="4797FA01">
        <w:rPr>
          <w:rFonts w:ascii="Calibri Light" w:hAnsi="Calibri Light" w:cs="Calibri Light" w:asciiTheme="majorAscii" w:hAnsiTheme="majorAscii" w:cstheme="majorAscii"/>
          <w:sz w:val="24"/>
          <w:szCs w:val="24"/>
        </w:rPr>
        <w:t>applications after an initial BTD has been granted, we considered approvals BTDs if they included a drug that received BTD for any indication (I.e., the NSCLC approval in the analysis may not have a BTD but the drug was approved with a BTD for another indication/application). Approvals for drugs that have never received a BTD for any indication/application were assigned to the “Never BTD” category.</w:t>
      </w:r>
    </w:p>
    <w:p w:rsidRPr="00D062B0" w:rsidR="00EE7788" w:rsidRDefault="00025252" w14:paraId="5FCDB584" w14:textId="7A8F124B">
      <w:pPr>
        <w:rPr>
          <w:rFonts w:asciiTheme="majorHAnsi" w:hAnsiTheme="majorHAnsi" w:cstheme="majorHAnsi"/>
          <w:sz w:val="24"/>
          <w:szCs w:val="24"/>
        </w:rPr>
      </w:pPr>
      <w:r w:rsidRPr="00D062B0">
        <w:rPr>
          <w:rFonts w:asciiTheme="majorHAnsi" w:hAnsiTheme="majorHAnsi" w:cstheme="majorHAnsi"/>
          <w:sz w:val="24"/>
          <w:szCs w:val="24"/>
        </w:rPr>
        <w:t xml:space="preserve">Our sample included 41 </w:t>
      </w:r>
      <w:r w:rsidRPr="00D062B0" w:rsidR="00683FC4">
        <w:rPr>
          <w:rFonts w:asciiTheme="majorHAnsi" w:hAnsiTheme="majorHAnsi" w:cstheme="majorHAnsi"/>
          <w:sz w:val="24"/>
          <w:szCs w:val="24"/>
        </w:rPr>
        <w:t xml:space="preserve">BTD </w:t>
      </w:r>
      <w:r w:rsidRPr="00D062B0">
        <w:rPr>
          <w:rFonts w:asciiTheme="majorHAnsi" w:hAnsiTheme="majorHAnsi" w:cstheme="majorHAnsi"/>
          <w:sz w:val="24"/>
          <w:szCs w:val="24"/>
        </w:rPr>
        <w:t>approvals and 11</w:t>
      </w:r>
      <w:r w:rsidRPr="00D062B0" w:rsidR="00683FC4">
        <w:rPr>
          <w:rFonts w:asciiTheme="majorHAnsi" w:hAnsiTheme="majorHAnsi" w:cstheme="majorHAnsi"/>
          <w:sz w:val="24"/>
          <w:szCs w:val="24"/>
        </w:rPr>
        <w:t xml:space="preserve"> </w:t>
      </w:r>
      <w:r w:rsidRPr="00D062B0">
        <w:rPr>
          <w:rFonts w:asciiTheme="majorHAnsi" w:hAnsiTheme="majorHAnsi" w:cstheme="majorHAnsi"/>
          <w:sz w:val="24"/>
          <w:szCs w:val="24"/>
        </w:rPr>
        <w:t>Never BTD</w:t>
      </w:r>
      <w:r w:rsidRPr="00D062B0" w:rsidR="00683FC4">
        <w:rPr>
          <w:rFonts w:asciiTheme="majorHAnsi" w:hAnsiTheme="majorHAnsi" w:cstheme="majorHAnsi"/>
          <w:sz w:val="24"/>
          <w:szCs w:val="24"/>
        </w:rPr>
        <w:t xml:space="preserve"> approvals</w:t>
      </w:r>
      <w:r w:rsidRPr="00D062B0">
        <w:rPr>
          <w:rFonts w:asciiTheme="majorHAnsi" w:hAnsiTheme="majorHAnsi" w:cstheme="majorHAnsi"/>
          <w:sz w:val="24"/>
          <w:szCs w:val="24"/>
        </w:rPr>
        <w:t xml:space="preserve">. </w:t>
      </w:r>
      <w:r w:rsidRPr="00D062B0" w:rsidR="00E8731C">
        <w:rPr>
          <w:rFonts w:asciiTheme="majorHAnsi" w:hAnsiTheme="majorHAnsi" w:cstheme="majorHAnsi"/>
          <w:sz w:val="24"/>
          <w:szCs w:val="24"/>
        </w:rPr>
        <w:t xml:space="preserve">There were 24 approvals that received a BTD for the application in this analysis, 11 that received BTD </w:t>
      </w:r>
      <w:r w:rsidRPr="00D062B0" w:rsidR="00E8096C">
        <w:rPr>
          <w:rFonts w:asciiTheme="majorHAnsi" w:hAnsiTheme="majorHAnsi" w:cstheme="majorHAnsi"/>
          <w:sz w:val="24"/>
          <w:szCs w:val="24"/>
        </w:rPr>
        <w:t>for a different NSCLC application</w:t>
      </w:r>
      <w:r w:rsidRPr="00D062B0" w:rsidR="00E8731C">
        <w:rPr>
          <w:rFonts w:asciiTheme="majorHAnsi" w:hAnsiTheme="majorHAnsi" w:cstheme="majorHAnsi"/>
          <w:sz w:val="24"/>
          <w:szCs w:val="24"/>
        </w:rPr>
        <w:t xml:space="preserve">, 5 </w:t>
      </w:r>
      <w:r w:rsidRPr="00D062B0" w:rsidR="00E8096C">
        <w:rPr>
          <w:rFonts w:asciiTheme="majorHAnsi" w:hAnsiTheme="majorHAnsi" w:cstheme="majorHAnsi"/>
          <w:sz w:val="24"/>
          <w:szCs w:val="24"/>
        </w:rPr>
        <w:t xml:space="preserve">that </w:t>
      </w:r>
      <w:r w:rsidRPr="00D062B0" w:rsidR="00E8731C">
        <w:rPr>
          <w:rFonts w:asciiTheme="majorHAnsi" w:hAnsiTheme="majorHAnsi" w:cstheme="majorHAnsi"/>
          <w:sz w:val="24"/>
          <w:szCs w:val="24"/>
        </w:rPr>
        <w:t xml:space="preserve">converted accelerated approvals </w:t>
      </w:r>
      <w:r w:rsidRPr="00D062B0" w:rsidR="007C1789">
        <w:rPr>
          <w:rFonts w:asciiTheme="majorHAnsi" w:hAnsiTheme="majorHAnsi" w:cstheme="majorHAnsi"/>
          <w:sz w:val="24"/>
          <w:szCs w:val="24"/>
        </w:rPr>
        <w:t xml:space="preserve">(AA) </w:t>
      </w:r>
      <w:r w:rsidRPr="00D062B0" w:rsidR="00E8731C">
        <w:rPr>
          <w:rFonts w:asciiTheme="majorHAnsi" w:hAnsiTheme="majorHAnsi" w:cstheme="majorHAnsi"/>
          <w:sz w:val="24"/>
          <w:szCs w:val="24"/>
        </w:rPr>
        <w:t>with a BTD to full approval, and 1 th</w:t>
      </w:r>
      <w:r w:rsidRPr="00D062B0" w:rsidR="00E8096C">
        <w:rPr>
          <w:rFonts w:asciiTheme="majorHAnsi" w:hAnsiTheme="majorHAnsi" w:cstheme="majorHAnsi"/>
          <w:sz w:val="24"/>
          <w:szCs w:val="24"/>
        </w:rPr>
        <w:t xml:space="preserve">at received BTD for a different non-NSCLC application. </w:t>
      </w:r>
    </w:p>
    <w:p w:rsidRPr="00D062B0" w:rsidR="005167B1" w:rsidRDefault="005167B1" w14:paraId="4F1C9A53" w14:textId="0C8A06C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062B0">
        <w:rPr>
          <w:rFonts w:asciiTheme="majorHAnsi" w:hAnsiTheme="majorHAnsi" w:cstheme="majorHAnsi"/>
          <w:b/>
          <w:bCs/>
          <w:sz w:val="24"/>
          <w:szCs w:val="24"/>
        </w:rPr>
        <w:t>National Comprehensive Cancer Network (NCCN) Recommendations</w:t>
      </w:r>
    </w:p>
    <w:p w:rsidRPr="00D062B0" w:rsidR="00235CBB" w:rsidRDefault="2AA33589" w14:paraId="0AE4CE79" w14:textId="53B3057F">
      <w:pPr>
        <w:rPr>
          <w:rFonts w:asciiTheme="majorHAnsi" w:hAnsiTheme="majorHAnsi" w:cstheme="majorHAnsi"/>
          <w:sz w:val="24"/>
          <w:szCs w:val="24"/>
        </w:rPr>
      </w:pPr>
      <w:r w:rsidRPr="00D062B0">
        <w:rPr>
          <w:rFonts w:asciiTheme="majorHAnsi" w:hAnsiTheme="majorHAnsi" w:cstheme="majorHAnsi"/>
          <w:sz w:val="24"/>
          <w:szCs w:val="24"/>
        </w:rPr>
        <w:t xml:space="preserve">NCCN’s </w:t>
      </w:r>
      <w:r w:rsidRPr="00D062B0" w:rsidR="77187EA9">
        <w:rPr>
          <w:rFonts w:asciiTheme="majorHAnsi" w:hAnsiTheme="majorHAnsi" w:cstheme="majorHAnsi"/>
          <w:sz w:val="24"/>
          <w:szCs w:val="24"/>
        </w:rPr>
        <w:t xml:space="preserve">clinical </w:t>
      </w:r>
      <w:r w:rsidRPr="00D062B0">
        <w:rPr>
          <w:rFonts w:asciiTheme="majorHAnsi" w:hAnsiTheme="majorHAnsi" w:cstheme="majorHAnsi"/>
          <w:sz w:val="24"/>
          <w:szCs w:val="24"/>
        </w:rPr>
        <w:t xml:space="preserve">guidelines </w:t>
      </w:r>
      <w:r w:rsidRPr="00D062B0" w:rsidR="77187EA9">
        <w:rPr>
          <w:rFonts w:asciiTheme="majorHAnsi" w:hAnsiTheme="majorHAnsi" w:cstheme="majorHAnsi"/>
          <w:sz w:val="24"/>
          <w:szCs w:val="24"/>
        </w:rPr>
        <w:t xml:space="preserve">include evidence-based recommendations for appropriate uses of anti-cancer drugs. These guidelines provide a framework to aid physicians in selecting </w:t>
      </w:r>
      <w:r w:rsidRPr="00D062B0" w:rsidR="269F89A0">
        <w:rPr>
          <w:rFonts w:asciiTheme="majorHAnsi" w:hAnsiTheme="majorHAnsi" w:cstheme="majorHAnsi"/>
          <w:sz w:val="24"/>
          <w:szCs w:val="24"/>
        </w:rPr>
        <w:t>a</w:t>
      </w:r>
      <w:r w:rsidRPr="00D062B0" w:rsidR="77187EA9">
        <w:rPr>
          <w:rFonts w:asciiTheme="majorHAnsi" w:hAnsiTheme="majorHAnsi" w:cstheme="majorHAnsi"/>
          <w:sz w:val="24"/>
          <w:szCs w:val="24"/>
        </w:rPr>
        <w:t xml:space="preserve"> course of treatment for patients with cancer. The category of evidence </w:t>
      </w:r>
      <w:r w:rsidRPr="00D062B0" w:rsidR="30158593">
        <w:rPr>
          <w:rFonts w:asciiTheme="majorHAnsi" w:hAnsiTheme="majorHAnsi" w:cstheme="majorHAnsi"/>
          <w:sz w:val="24"/>
          <w:szCs w:val="24"/>
        </w:rPr>
        <w:t>indicates</w:t>
      </w:r>
      <w:r w:rsidRPr="00D062B0" w:rsidR="77187EA9">
        <w:rPr>
          <w:rFonts w:asciiTheme="majorHAnsi" w:hAnsiTheme="majorHAnsi" w:cstheme="majorHAnsi"/>
          <w:sz w:val="24"/>
          <w:szCs w:val="24"/>
        </w:rPr>
        <w:t xml:space="preserve"> </w:t>
      </w:r>
      <w:r w:rsidRPr="00D062B0" w:rsidR="51E1D2B2">
        <w:rPr>
          <w:rFonts w:asciiTheme="majorHAnsi" w:hAnsiTheme="majorHAnsi" w:cstheme="majorHAnsi"/>
          <w:sz w:val="24"/>
          <w:szCs w:val="24"/>
        </w:rPr>
        <w:t xml:space="preserve">the level of evidence supporting a drug’s use and the level of consensus among NCCN’s panel of experts that </w:t>
      </w:r>
      <w:r w:rsidRPr="00D062B0" w:rsidR="30158593">
        <w:rPr>
          <w:rFonts w:asciiTheme="majorHAnsi" w:hAnsiTheme="majorHAnsi" w:cstheme="majorHAnsi"/>
          <w:sz w:val="24"/>
          <w:szCs w:val="24"/>
        </w:rPr>
        <w:t>its</w:t>
      </w:r>
      <w:r w:rsidRPr="00D062B0" w:rsidR="51E1D2B2">
        <w:rPr>
          <w:rFonts w:asciiTheme="majorHAnsi" w:hAnsiTheme="majorHAnsi" w:cstheme="majorHAnsi"/>
          <w:sz w:val="24"/>
          <w:szCs w:val="24"/>
        </w:rPr>
        <w:t xml:space="preserve"> use is appropriate. Similarly, the category of preference helps to distinguish treatments that are less toxic, based on superior</w:t>
      </w:r>
      <w:r w:rsidRPr="00D062B0" w:rsidR="30158593">
        <w:rPr>
          <w:rFonts w:asciiTheme="majorHAnsi" w:hAnsiTheme="majorHAnsi" w:cstheme="majorHAnsi"/>
          <w:sz w:val="24"/>
          <w:szCs w:val="24"/>
        </w:rPr>
        <w:t xml:space="preserve"> data, and, in some cases, more affordable. These categories provide additional metrics to compare BTD and Never BTD drugs. </w:t>
      </w:r>
      <w:r w:rsidRPr="00D062B0" w:rsidR="6FFF4B2A">
        <w:rPr>
          <w:rFonts w:asciiTheme="majorHAnsi" w:hAnsiTheme="majorHAnsi" w:cstheme="majorHAnsi"/>
          <w:sz w:val="24"/>
          <w:szCs w:val="24"/>
        </w:rPr>
        <w:t xml:space="preserve">We identified the NCCN recommendation that best aligned with each approved NSCLC indication and noted the assigned category of evidence and preference. </w:t>
      </w:r>
    </w:p>
    <w:p w:rsidRPr="00D062B0" w:rsidR="00235CBB" w:rsidP="6E444EF7" w:rsidRDefault="001E41C9" w14:paraId="626254CA" w14:textId="70F67ED0">
      <w:pPr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6E444EF7" w:rsidR="001E41C9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Seven </w:t>
      </w:r>
      <w:r w:rsidRPr="6E444EF7" w:rsidR="00392D9B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AAs </w:t>
      </w:r>
      <w:r w:rsidRPr="6E444EF7" w:rsidR="00AC037F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that </w:t>
      </w:r>
      <w:r w:rsidRPr="6E444EF7" w:rsidR="4F18B746">
        <w:rPr>
          <w:rFonts w:ascii="Calibri Light" w:hAnsi="Calibri Light" w:cs="Calibri Light" w:asciiTheme="majorAscii" w:hAnsiTheme="majorAscii" w:cstheme="majorAscii"/>
          <w:sz w:val="24"/>
          <w:szCs w:val="24"/>
        </w:rPr>
        <w:t>were</w:t>
      </w:r>
      <w:r w:rsidRPr="6E444EF7" w:rsidR="00AC037F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converted to full </w:t>
      </w:r>
      <w:r w:rsidRPr="6E444EF7" w:rsidR="001E41C9">
        <w:rPr>
          <w:rFonts w:ascii="Calibri Light" w:hAnsi="Calibri Light" w:cs="Calibri Light" w:asciiTheme="majorAscii" w:hAnsiTheme="majorAscii" w:cstheme="majorAscii"/>
          <w:sz w:val="24"/>
          <w:szCs w:val="24"/>
        </w:rPr>
        <w:t>approval</w:t>
      </w:r>
      <w:r w:rsidRPr="6E444EF7" w:rsidR="00392D9B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and </w:t>
      </w:r>
      <w:r w:rsidRPr="6E444EF7" w:rsidR="001E41C9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one approval that </w:t>
      </w:r>
      <w:r w:rsidRPr="6E444EF7" w:rsidR="002B00EF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combined </w:t>
      </w:r>
      <w:r w:rsidRPr="6E444EF7" w:rsidR="00AC037F">
        <w:rPr>
          <w:rFonts w:ascii="Calibri Light" w:hAnsi="Calibri Light" w:cs="Calibri Light" w:asciiTheme="majorAscii" w:hAnsiTheme="majorAscii" w:cstheme="majorAscii"/>
          <w:sz w:val="24"/>
          <w:szCs w:val="24"/>
        </w:rPr>
        <w:t>prior approval</w:t>
      </w:r>
      <w:r w:rsidRPr="6E444EF7" w:rsidR="002B00EF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s </w:t>
      </w:r>
      <w:r w:rsidRPr="6E444EF7" w:rsidR="00AC037F">
        <w:rPr>
          <w:rFonts w:ascii="Calibri Light" w:hAnsi="Calibri Light" w:cs="Calibri Light" w:asciiTheme="majorAscii" w:hAnsiTheme="majorAscii" w:cstheme="majorAscii"/>
          <w:sz w:val="24"/>
          <w:szCs w:val="24"/>
        </w:rPr>
        <w:t>were excluded from the recommendations analysis to avoid</w:t>
      </w:r>
      <w:r w:rsidRPr="6E444EF7" w:rsidR="008967C1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</w:t>
      </w:r>
      <w:r w:rsidRPr="6E444EF7" w:rsidR="460410D0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double </w:t>
      </w:r>
      <w:r w:rsidRPr="6E444EF7" w:rsidR="008967C1">
        <w:rPr>
          <w:rFonts w:ascii="Calibri Light" w:hAnsi="Calibri Light" w:cs="Calibri Light" w:asciiTheme="majorAscii" w:hAnsiTheme="majorAscii" w:cstheme="majorAscii"/>
          <w:sz w:val="24"/>
          <w:szCs w:val="24"/>
        </w:rPr>
        <w:t>counting a recommendation for the same indication.</w:t>
      </w:r>
    </w:p>
    <w:p w:rsidRPr="00D062B0" w:rsidR="00E8096C" w:rsidRDefault="00E8096C" w14:paraId="64BC7690" w14:textId="12BB829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062B0">
        <w:rPr>
          <w:rFonts w:asciiTheme="majorHAnsi" w:hAnsiTheme="majorHAnsi" w:cstheme="majorHAnsi"/>
          <w:b/>
          <w:bCs/>
          <w:sz w:val="24"/>
          <w:szCs w:val="24"/>
        </w:rPr>
        <w:t>Outcomes Analysis</w:t>
      </w:r>
    </w:p>
    <w:p w:rsidRPr="00D062B0" w:rsidR="00E8096C" w:rsidP="6E444EF7" w:rsidRDefault="1F87B757" w14:paraId="1F34BA07" w14:textId="43B55470">
      <w:pPr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6E444EF7" w:rsidR="1F87B757">
        <w:rPr>
          <w:rFonts w:ascii="Calibri Light" w:hAnsi="Calibri Light" w:cs="Calibri Light" w:asciiTheme="majorAscii" w:hAnsiTheme="majorAscii" w:cstheme="majorAscii"/>
          <w:sz w:val="24"/>
          <w:szCs w:val="24"/>
        </w:rPr>
        <w:t>To ensure outcomes were comparable across drugs and trials, we included only approvals supported by randomized controlled trials (RCT</w:t>
      </w:r>
      <w:r w:rsidRPr="6E444EF7" w:rsidR="7395F886">
        <w:rPr>
          <w:rFonts w:ascii="Calibri Light" w:hAnsi="Calibri Light" w:cs="Calibri Light" w:asciiTheme="majorAscii" w:hAnsiTheme="majorAscii" w:cstheme="majorAscii"/>
          <w:sz w:val="24"/>
          <w:szCs w:val="24"/>
        </w:rPr>
        <w:t>s</w:t>
      </w:r>
      <w:r w:rsidRPr="6E444EF7" w:rsidR="1F87B757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) with overall survival (OS) and/or progression free survival (PFS) as </w:t>
      </w:r>
      <w:proofErr w:type="spellStart"/>
      <w:r w:rsidRPr="6E444EF7" w:rsidR="05168414">
        <w:rPr>
          <w:rFonts w:ascii="Calibri Light" w:hAnsi="Calibri Light" w:cs="Calibri Light" w:asciiTheme="majorAscii" w:hAnsiTheme="majorAscii" w:cstheme="majorAscii"/>
          <w:sz w:val="24"/>
          <w:szCs w:val="24"/>
        </w:rPr>
        <w:t>pEP</w:t>
      </w:r>
      <w:proofErr w:type="spellEnd"/>
      <w:r w:rsidRPr="6E444EF7" w:rsidR="05168414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</w:t>
      </w:r>
      <w:r w:rsidRPr="6E444EF7" w:rsidR="1F87B757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or </w:t>
      </w:r>
      <w:proofErr w:type="spellStart"/>
      <w:r w:rsidRPr="6E444EF7" w:rsidR="05168414">
        <w:rPr>
          <w:rFonts w:ascii="Calibri Light" w:hAnsi="Calibri Light" w:cs="Calibri Light" w:asciiTheme="majorAscii" w:hAnsiTheme="majorAscii" w:cstheme="majorAscii"/>
          <w:sz w:val="24"/>
          <w:szCs w:val="24"/>
        </w:rPr>
        <w:t>cpEP</w:t>
      </w:r>
      <w:r w:rsidRPr="6E444EF7" w:rsidR="66EA49F2">
        <w:rPr>
          <w:rFonts w:ascii="Calibri Light" w:hAnsi="Calibri Light" w:cs="Calibri Light" w:asciiTheme="majorAscii" w:hAnsiTheme="majorAscii" w:cstheme="majorAscii"/>
          <w:sz w:val="24"/>
          <w:szCs w:val="24"/>
        </w:rPr>
        <w:t>s</w:t>
      </w:r>
      <w:proofErr w:type="spellEnd"/>
      <w:r w:rsidRPr="6E444EF7" w:rsidR="1F87B757">
        <w:rPr>
          <w:rFonts w:ascii="Calibri Light" w:hAnsi="Calibri Light" w:cs="Calibri Light" w:asciiTheme="majorAscii" w:hAnsiTheme="majorAscii" w:cstheme="majorAscii"/>
          <w:sz w:val="24"/>
          <w:szCs w:val="24"/>
        </w:rPr>
        <w:t>.</w:t>
      </w:r>
      <w:r w:rsidRPr="6E444EF7" w:rsidR="2AA33589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We excluded</w:t>
      </w:r>
      <w:r w:rsidRPr="6E444EF7" w:rsidR="1F87B757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</w:t>
      </w:r>
      <w:r w:rsidRPr="6E444EF7" w:rsidR="2AA33589">
        <w:rPr>
          <w:rFonts w:ascii="Calibri Light" w:hAnsi="Calibri Light" w:cs="Calibri Light" w:asciiTheme="majorAscii" w:hAnsiTheme="majorAscii" w:cstheme="majorAscii"/>
          <w:sz w:val="24"/>
          <w:szCs w:val="24"/>
        </w:rPr>
        <w:t>a</w:t>
      </w:r>
      <w:r w:rsidRPr="6E444EF7" w:rsidR="1F87B757">
        <w:rPr>
          <w:rFonts w:ascii="Calibri Light" w:hAnsi="Calibri Light" w:cs="Calibri Light" w:asciiTheme="majorAscii" w:hAnsiTheme="majorAscii" w:cstheme="majorAscii"/>
          <w:sz w:val="24"/>
          <w:szCs w:val="24"/>
        </w:rPr>
        <w:t>pprovals</w:t>
      </w:r>
      <w:r w:rsidRPr="6E444EF7" w:rsidR="76607334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that were</w:t>
      </w:r>
      <w:r w:rsidRPr="6E444EF7" w:rsidR="1F87B757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supported by a non-</w:t>
      </w:r>
      <w:r w:rsidRPr="6E444EF7" w:rsidR="6947A412">
        <w:rPr>
          <w:rFonts w:ascii="Calibri Light" w:hAnsi="Calibri Light" w:cs="Calibri Light" w:asciiTheme="majorAscii" w:hAnsiTheme="majorAscii" w:cstheme="majorAscii"/>
          <w:sz w:val="24"/>
          <w:szCs w:val="24"/>
        </w:rPr>
        <w:t>RCT</w:t>
      </w:r>
      <w:r w:rsidRPr="6E444EF7" w:rsidR="76607334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(n=</w:t>
      </w:r>
      <w:r w:rsidRPr="6E444EF7" w:rsidR="05168414">
        <w:rPr>
          <w:rFonts w:ascii="Calibri Light" w:hAnsi="Calibri Light" w:cs="Calibri Light" w:asciiTheme="majorAscii" w:hAnsiTheme="majorAscii" w:cstheme="majorAscii"/>
          <w:sz w:val="24"/>
          <w:szCs w:val="24"/>
        </w:rPr>
        <w:t>17</w:t>
      </w:r>
      <w:r w:rsidRPr="6E444EF7" w:rsidR="76607334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) or </w:t>
      </w:r>
      <w:r w:rsidRPr="6E444EF7" w:rsidR="1F87B757">
        <w:rPr>
          <w:rFonts w:ascii="Calibri Light" w:hAnsi="Calibri Light" w:cs="Calibri Light" w:asciiTheme="majorAscii" w:hAnsiTheme="majorAscii" w:cstheme="majorAscii"/>
          <w:sz w:val="24"/>
          <w:szCs w:val="24"/>
        </w:rPr>
        <w:t>pooled analysis</w:t>
      </w:r>
      <w:r w:rsidRPr="6E444EF7" w:rsidR="76607334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(n=2</w:t>
      </w:r>
      <w:r w:rsidRPr="6E444EF7" w:rsidR="05168414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), </w:t>
      </w:r>
      <w:r w:rsidRPr="6E444EF7" w:rsidR="001AE221">
        <w:rPr>
          <w:rFonts w:ascii="Calibri Light" w:hAnsi="Calibri Light" w:cs="Calibri Light" w:asciiTheme="majorAscii" w:hAnsiTheme="majorAscii" w:cstheme="majorAscii"/>
          <w:sz w:val="24"/>
          <w:szCs w:val="24"/>
        </w:rPr>
        <w:t>o</w:t>
      </w:r>
      <w:r w:rsidRPr="6E444EF7" w:rsidR="05168414">
        <w:rPr>
          <w:rFonts w:ascii="Calibri Light" w:hAnsi="Calibri Light" w:cs="Calibri Light" w:asciiTheme="majorAscii" w:hAnsiTheme="majorAscii" w:cstheme="majorAscii"/>
          <w:sz w:val="24"/>
          <w:szCs w:val="24"/>
        </w:rPr>
        <w:t>r</w:t>
      </w:r>
      <w:r w:rsidRPr="6E444EF7" w:rsidR="05168414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did not have OS or PFS as a </w:t>
      </w:r>
      <w:proofErr w:type="spellStart"/>
      <w:r w:rsidRPr="6E444EF7" w:rsidR="05168414">
        <w:rPr>
          <w:rFonts w:ascii="Calibri Light" w:hAnsi="Calibri Light" w:cs="Calibri Light" w:asciiTheme="majorAscii" w:hAnsiTheme="majorAscii" w:cstheme="majorAscii"/>
          <w:sz w:val="24"/>
          <w:szCs w:val="24"/>
        </w:rPr>
        <w:t>pEP</w:t>
      </w:r>
      <w:proofErr w:type="spellEnd"/>
      <w:r w:rsidRPr="6E444EF7" w:rsidR="05168414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or </w:t>
      </w:r>
      <w:proofErr w:type="spellStart"/>
      <w:r w:rsidRPr="6E444EF7" w:rsidR="05168414">
        <w:rPr>
          <w:rFonts w:ascii="Calibri Light" w:hAnsi="Calibri Light" w:cs="Calibri Light" w:asciiTheme="majorAscii" w:hAnsiTheme="majorAscii" w:cstheme="majorAscii"/>
          <w:sz w:val="24"/>
          <w:szCs w:val="24"/>
        </w:rPr>
        <w:t>cpEP</w:t>
      </w:r>
      <w:proofErr w:type="spellEnd"/>
      <w:r w:rsidRPr="6E444EF7" w:rsidR="05168414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(n=1)</w:t>
      </w:r>
      <w:r w:rsidRPr="6E444EF7" w:rsidR="2AA33589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as these labels</w:t>
      </w:r>
      <w:r w:rsidRPr="6E444EF7" w:rsidR="76607334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did not report a</w:t>
      </w:r>
      <w:r w:rsidRPr="6E444EF7" w:rsidR="05168414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</w:t>
      </w:r>
      <w:r w:rsidRPr="6E444EF7" w:rsidR="76607334">
        <w:rPr>
          <w:rFonts w:ascii="Calibri Light" w:hAnsi="Calibri Light" w:cs="Calibri Light" w:asciiTheme="majorAscii" w:hAnsiTheme="majorAscii" w:cstheme="majorAscii"/>
          <w:sz w:val="24"/>
          <w:szCs w:val="24"/>
        </w:rPr>
        <w:t>hazard ratio (HR) for OS or PFS</w:t>
      </w:r>
      <w:r w:rsidRPr="6E444EF7" w:rsidR="458DC805">
        <w:rPr>
          <w:rFonts w:ascii="Calibri Light" w:hAnsi="Calibri Light" w:cs="Calibri Light" w:asciiTheme="majorAscii" w:hAnsiTheme="majorAscii" w:cstheme="majorAscii"/>
          <w:sz w:val="24"/>
          <w:szCs w:val="24"/>
        </w:rPr>
        <w:t>, and one appr</w:t>
      </w:r>
      <w:r w:rsidRPr="6E444EF7" w:rsidR="3AEBFF9C">
        <w:rPr>
          <w:rFonts w:ascii="Calibri Light" w:hAnsi="Calibri Light" w:cs="Calibri Light" w:asciiTheme="majorAscii" w:hAnsiTheme="majorAscii" w:cstheme="majorAscii"/>
          <w:sz w:val="24"/>
          <w:szCs w:val="24"/>
        </w:rPr>
        <w:t>oval that combined previously approved indications that did not add any new efficacy data to the label.</w:t>
      </w:r>
    </w:p>
    <w:p w:rsidRPr="00D062B0" w:rsidR="0021785C" w:rsidRDefault="76607334" w14:paraId="6C082F00" w14:textId="4EE8B3AF">
      <w:pPr>
        <w:rPr>
          <w:rFonts w:asciiTheme="majorHAnsi" w:hAnsiTheme="majorHAnsi" w:cstheme="majorHAnsi"/>
          <w:sz w:val="24"/>
          <w:szCs w:val="24"/>
        </w:rPr>
      </w:pPr>
      <w:r w:rsidRPr="5EE1F6A3" w:rsidR="76607334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Outcomes from 33 trials </w:t>
      </w:r>
      <w:r w:rsidRPr="5EE1F6A3" w:rsidR="1CCEB932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supporting the labels for 31 approvals </w:t>
      </w:r>
      <w:r w:rsidRPr="5EE1F6A3" w:rsidR="76607334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were included in the </w:t>
      </w:r>
      <w:r w:rsidRPr="5EE1F6A3" w:rsidR="61A00E68">
        <w:rPr>
          <w:rFonts w:ascii="Calibri Light" w:hAnsi="Calibri Light" w:cs="Calibri Light" w:asciiTheme="majorAscii" w:hAnsiTheme="majorAscii" w:cstheme="majorAscii"/>
          <w:sz w:val="24"/>
          <w:szCs w:val="24"/>
        </w:rPr>
        <w:t>HR</w:t>
      </w:r>
      <w:r w:rsidRPr="5EE1F6A3" w:rsidR="05168414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</w:t>
      </w:r>
      <w:r w:rsidRPr="5EE1F6A3" w:rsidR="76607334">
        <w:rPr>
          <w:rFonts w:ascii="Calibri Light" w:hAnsi="Calibri Light" w:cs="Calibri Light" w:asciiTheme="majorAscii" w:hAnsiTheme="majorAscii" w:cstheme="majorAscii"/>
          <w:sz w:val="24"/>
          <w:szCs w:val="24"/>
        </w:rPr>
        <w:t>analysis.</w:t>
      </w:r>
      <w:r w:rsidRPr="5EE1F6A3" w:rsidR="419973A1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Ten trials reported an HR for OS, </w:t>
      </w:r>
      <w:r w:rsidRPr="5EE1F6A3" w:rsidR="57463BD8">
        <w:rPr>
          <w:rFonts w:ascii="Calibri Light" w:hAnsi="Calibri Light" w:cs="Calibri Light" w:asciiTheme="majorAscii" w:hAnsiTheme="majorAscii" w:cstheme="majorAscii"/>
          <w:sz w:val="24"/>
          <w:szCs w:val="24"/>
        </w:rPr>
        <w:t>6</w:t>
      </w:r>
      <w:r w:rsidRPr="5EE1F6A3" w:rsidR="602A9CC4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reported an HR for OS &amp; PFS, and 1</w:t>
      </w:r>
      <w:r w:rsidRPr="5EE1F6A3" w:rsidR="1A8ED2B4">
        <w:rPr>
          <w:rFonts w:ascii="Calibri Light" w:hAnsi="Calibri Light" w:cs="Calibri Light" w:asciiTheme="majorAscii" w:hAnsiTheme="majorAscii" w:cstheme="majorAscii"/>
          <w:sz w:val="24"/>
          <w:szCs w:val="24"/>
        </w:rPr>
        <w:t>7</w:t>
      </w:r>
      <w:r w:rsidRPr="5EE1F6A3" w:rsidR="602A9CC4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reported an HR for PFS (including 1 trial that reported an HR for DFS).</w:t>
      </w:r>
    </w:p>
    <w:p w:rsidRPr="00D062B0" w:rsidR="005C5F2B" w:rsidRDefault="005C5F2B" w14:paraId="6067617E" w14:textId="625AB0AD">
      <w:pPr>
        <w:rPr>
          <w:rFonts w:asciiTheme="majorHAnsi" w:hAnsiTheme="majorHAnsi" w:cstheme="majorHAnsi"/>
          <w:sz w:val="24"/>
          <w:szCs w:val="24"/>
        </w:rPr>
      </w:pPr>
      <w:r w:rsidRPr="00D062B0">
        <w:rPr>
          <w:rFonts w:asciiTheme="majorHAnsi" w:hAnsiTheme="majorHAnsi" w:cstheme="majorHAnsi"/>
          <w:b/>
          <w:bCs/>
          <w:sz w:val="24"/>
          <w:szCs w:val="24"/>
        </w:rPr>
        <w:t>Supplemental Table 1</w:t>
      </w:r>
      <w:r w:rsidRPr="00D062B0">
        <w:rPr>
          <w:rFonts w:asciiTheme="majorHAnsi" w:hAnsiTheme="majorHAnsi" w:cstheme="majorHAnsi"/>
          <w:sz w:val="24"/>
          <w:szCs w:val="24"/>
        </w:rPr>
        <w:t xml:space="preserve">. </w:t>
      </w:r>
      <w:r w:rsidRPr="00D062B0" w:rsidR="00297F63">
        <w:rPr>
          <w:rFonts w:asciiTheme="majorHAnsi" w:hAnsiTheme="majorHAnsi" w:cstheme="majorHAnsi"/>
          <w:sz w:val="24"/>
          <w:szCs w:val="24"/>
        </w:rPr>
        <w:t xml:space="preserve">FDA </w:t>
      </w:r>
      <w:r w:rsidRPr="00D062B0">
        <w:rPr>
          <w:rFonts w:asciiTheme="majorHAnsi" w:hAnsiTheme="majorHAnsi" w:cstheme="majorHAnsi"/>
          <w:sz w:val="24"/>
          <w:szCs w:val="24"/>
        </w:rPr>
        <w:t>Approvals for Non-Small Cell Lung Cancer, January 2013 – October 2021</w:t>
      </w:r>
    </w:p>
    <w:tbl>
      <w:tblPr>
        <w:tblW w:w="11678" w:type="dxa"/>
        <w:tblInd w:w="-108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1887"/>
        <w:gridCol w:w="1072"/>
        <w:gridCol w:w="1361"/>
        <w:gridCol w:w="1832"/>
        <w:gridCol w:w="669"/>
        <w:gridCol w:w="1283"/>
        <w:gridCol w:w="2210"/>
        <w:gridCol w:w="1364"/>
      </w:tblGrid>
      <w:tr w:rsidRPr="00D062B0" w:rsidR="000E1010" w:rsidTr="4CF6D96B" w14:paraId="64066ECC" w14:textId="77777777">
        <w:trPr>
          <w:trHeight w:val="476"/>
        </w:trPr>
        <w:tc>
          <w:tcPr>
            <w:tcW w:w="1890" w:type="dxa"/>
            <w:shd w:val="clear" w:color="auto" w:fill="D9E2F3" w:themeFill="accent1" w:themeFillTint="33"/>
            <w:vAlign w:val="center"/>
            <w:hideMark/>
          </w:tcPr>
          <w:p w:rsidRPr="00D062B0" w:rsidR="00CE1889" w:rsidP="6C629F52" w:rsidRDefault="32662C3E" w14:paraId="56014347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Drug Name (Agent Name(s))</w:t>
            </w:r>
          </w:p>
        </w:tc>
        <w:tc>
          <w:tcPr>
            <w:tcW w:w="675" w:type="dxa"/>
            <w:shd w:val="clear" w:color="auto" w:fill="D9E2F3" w:themeFill="accent1" w:themeFillTint="33"/>
            <w:vAlign w:val="center"/>
            <w:hideMark/>
          </w:tcPr>
          <w:p w:rsidRPr="00D062B0" w:rsidR="00CE1889" w:rsidP="6C629F52" w:rsidRDefault="1FFFA4EF" w14:paraId="097EEEEF" w14:textId="11682928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Assigned #</w:t>
            </w:r>
          </w:p>
        </w:tc>
        <w:tc>
          <w:tcPr>
            <w:tcW w:w="1379" w:type="dxa"/>
            <w:shd w:val="clear" w:color="auto" w:fill="D9E2F3" w:themeFill="accent1" w:themeFillTint="33"/>
            <w:vAlign w:val="center"/>
            <w:hideMark/>
          </w:tcPr>
          <w:p w:rsidRPr="00D062B0" w:rsidR="00CE1889" w:rsidP="6C629F52" w:rsidRDefault="32662C3E" w14:paraId="65A10F21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Application Number</w:t>
            </w:r>
          </w:p>
        </w:tc>
        <w:tc>
          <w:tcPr>
            <w:tcW w:w="2010" w:type="dxa"/>
            <w:shd w:val="clear" w:color="auto" w:fill="D9E2F3" w:themeFill="accent1" w:themeFillTint="33"/>
            <w:vAlign w:val="center"/>
            <w:hideMark/>
          </w:tcPr>
          <w:p w:rsidRPr="00D062B0" w:rsidR="00CE1889" w:rsidP="6C629F52" w:rsidRDefault="32662C3E" w14:paraId="6ECE49B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AA</w:t>
            </w:r>
          </w:p>
        </w:tc>
        <w:tc>
          <w:tcPr>
            <w:tcW w:w="690" w:type="dxa"/>
            <w:shd w:val="clear" w:color="auto" w:fill="D9E2F3" w:themeFill="accent1" w:themeFillTint="33"/>
            <w:vAlign w:val="center"/>
            <w:hideMark/>
          </w:tcPr>
          <w:p w:rsidRPr="00D062B0" w:rsidR="00CE1889" w:rsidP="6C629F52" w:rsidRDefault="32662C3E" w14:paraId="7AEDE9EF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BTD</w:t>
            </w:r>
          </w:p>
        </w:tc>
        <w:tc>
          <w:tcPr>
            <w:tcW w:w="1337" w:type="dxa"/>
            <w:shd w:val="clear" w:color="auto" w:fill="D9E2F3" w:themeFill="accent1" w:themeFillTint="33"/>
            <w:vAlign w:val="center"/>
            <w:hideMark/>
          </w:tcPr>
          <w:p w:rsidRPr="00D062B0" w:rsidR="00CE1889" w:rsidP="6C629F52" w:rsidRDefault="32662C3E" w14:paraId="14345F8D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Approval Date</w:t>
            </w:r>
          </w:p>
        </w:tc>
        <w:tc>
          <w:tcPr>
            <w:tcW w:w="2397" w:type="dxa"/>
            <w:shd w:val="clear" w:color="auto" w:fill="D9E2F3" w:themeFill="accent1" w:themeFillTint="33"/>
            <w:vAlign w:val="center"/>
            <w:hideMark/>
          </w:tcPr>
          <w:p w:rsidRPr="00D062B0" w:rsidR="00CE1889" w:rsidP="6C629F52" w:rsidRDefault="37CAD0F6" w14:paraId="38426317" w14:textId="2C27DA7E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NCT #</w:t>
            </w:r>
          </w:p>
        </w:tc>
        <w:tc>
          <w:tcPr>
            <w:tcW w:w="1300" w:type="dxa"/>
            <w:shd w:val="clear" w:color="auto" w:fill="D9E2F3" w:themeFill="accent1" w:themeFillTint="33"/>
            <w:vAlign w:val="center"/>
            <w:hideMark/>
          </w:tcPr>
          <w:p w:rsidRPr="00D062B0" w:rsidR="00CE1889" w:rsidP="6C629F52" w:rsidRDefault="32662C3E" w14:paraId="65E02C0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Reason for Exclusion</w:t>
            </w:r>
          </w:p>
        </w:tc>
      </w:tr>
      <w:tr w:rsidRPr="00D062B0" w:rsidR="005C5F2B" w:rsidTr="4CF6D96B" w14:paraId="5822A130" w14:textId="77777777">
        <w:trPr>
          <w:trHeight w:val="269"/>
        </w:trPr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65D568E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Alecensa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alectinib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4726CCEC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3690538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NDA 208434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59E02034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06404868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6B266544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12/11/15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3B07D757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NCT01588028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32662C3E" w14:paraId="36DD0557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Non-RCT</w:t>
            </w:r>
          </w:p>
        </w:tc>
      </w:tr>
      <w:tr w:rsidRPr="00D062B0" w:rsidR="005C5F2B" w:rsidTr="4CF6D96B" w14:paraId="5833945C" w14:textId="77777777">
        <w:trPr>
          <w:trHeight w:val="253"/>
        </w:trPr>
        <w:tc>
          <w:tcPr>
            <w:tcW w:w="1890" w:type="dxa"/>
            <w:vMerge/>
            <w:vAlign w:val="center"/>
            <w:hideMark/>
          </w:tcPr>
          <w:p w:rsidRPr="00D062B0" w:rsidR="00CE1889" w:rsidP="00E50F29" w:rsidRDefault="00CE1889" w14:paraId="438E8C5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Pr="00D062B0" w:rsidR="00CE1889" w:rsidP="00E50F29" w:rsidRDefault="00CE1889" w14:paraId="4EAA167B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Pr="00D062B0" w:rsidR="00CE1889" w:rsidP="00E50F29" w:rsidRDefault="00CE1889" w14:paraId="6E2D4DB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Pr="00D062B0" w:rsidR="00CE1889" w:rsidP="00E50F29" w:rsidRDefault="00CE1889" w14:paraId="5B0B47EF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Pr="00D062B0" w:rsidR="00CE1889" w:rsidP="00E50F29" w:rsidRDefault="00CE1889" w14:paraId="5AD38FBD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Pr="00D062B0" w:rsidR="00CE1889" w:rsidP="00E50F29" w:rsidRDefault="00CE1889" w14:paraId="013E1F6E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4748634D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NCT01801111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32662C3E" w14:paraId="3F165E7C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Non-RCT</w:t>
            </w:r>
          </w:p>
        </w:tc>
      </w:tr>
      <w:tr w:rsidRPr="00D062B0" w:rsidR="005C5F2B" w:rsidTr="4CF6D96B" w14:paraId="7FB3382F" w14:textId="77777777">
        <w:trPr>
          <w:trHeight w:val="481"/>
        </w:trPr>
        <w:tc>
          <w:tcPr>
            <w:tcW w:w="1890" w:type="dxa"/>
            <w:vMerge/>
            <w:vAlign w:val="center"/>
            <w:hideMark/>
          </w:tcPr>
          <w:p w:rsidRPr="00D062B0" w:rsidR="00CE1889" w:rsidP="00E50F29" w:rsidRDefault="00CE1889" w14:paraId="4DCF7B0B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2BB024DF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1F834A9E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NDA 208434 S-3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32662C3E" w14:paraId="0AD24D71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 - Conversion of 1a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40F1AAD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1232C15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11/06/17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402FB691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NCT02075840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017BA69B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125D6488" w14:textId="77777777">
        <w:trPr>
          <w:trHeight w:val="493"/>
        </w:trPr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197F65E7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Alunbrig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brigatinib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4775137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2a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717910E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NDA 208722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32662C3E" w14:paraId="4C894E3F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4A8B9DE1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69349628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4/28/17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21715912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NCT02094573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32662C3E" w14:paraId="1472C788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Non-RCT</w:t>
            </w:r>
          </w:p>
        </w:tc>
      </w:tr>
      <w:tr w:rsidRPr="00D062B0" w:rsidR="005C5F2B" w:rsidTr="4CF6D96B" w14:paraId="2015DB94" w14:textId="77777777">
        <w:trPr>
          <w:trHeight w:val="424"/>
        </w:trPr>
        <w:tc>
          <w:tcPr>
            <w:tcW w:w="1890" w:type="dxa"/>
            <w:vMerge/>
            <w:vAlign w:val="center"/>
            <w:hideMark/>
          </w:tcPr>
          <w:p w:rsidRPr="00D062B0" w:rsidR="00CE1889" w:rsidP="00E50F29" w:rsidRDefault="00CE1889" w14:paraId="23E66AC2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599A548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2b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10AA1797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NDA 208722 S-8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32662C3E" w14:paraId="6857AD1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 - Conversion of 2a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0697E56F" w14:textId="7A339B4A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0C498EE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5/22/20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7CFBAA2D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NCT02737501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5DBC690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2E84E1E2" w14:textId="77777777">
        <w:trPr>
          <w:trHeight w:val="493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019592C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Cyramza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(ramucirumab + docetaxel)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622CF093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7116232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BLA 125477 S-7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00CE1889" w14:paraId="794F55BF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00CE1889" w14:paraId="739984C8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6387EB5C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12/12/14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705D0841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NCT01168973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3C128BAB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657DF25D" w14:textId="77777777">
        <w:trPr>
          <w:trHeight w:val="633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3ADA6EDF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Cyramza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(ramucirumab + erlotinib)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68DC3DB2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6437C9F3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BLA 125477 S-34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00CE1889" w14:paraId="4B4B6BE2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00CE1889" w14:paraId="27769991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0BEE08B3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5/29/20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45D0774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NCT02411448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697C6D67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34DBB91E" w14:textId="77777777">
        <w:trPr>
          <w:trHeight w:val="455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2BC7D3D8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Exkivity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mobocertinib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2C16DB3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03E3927D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NDA 215310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32662C3E" w14:paraId="4C7774E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1DCD14FE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5FAB21E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9/15/21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4340554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NCT02716116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32662C3E" w14:paraId="1614BE78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Non-RCT</w:t>
            </w:r>
          </w:p>
        </w:tc>
      </w:tr>
      <w:tr w:rsidRPr="00D062B0" w:rsidR="005C5F2B" w:rsidTr="4CF6D96B" w14:paraId="05330A64" w14:textId="77777777">
        <w:trPr>
          <w:trHeight w:val="371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6C597E3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Gavreto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pralsetinib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404C581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4BDCBFF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NDA 213721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32662C3E" w14:paraId="6EBDAE3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7DD05581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3C6D2F9F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9/4/20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43C8C70B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NCT03037385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32662C3E" w14:paraId="0888DA8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Non-RCT</w:t>
            </w:r>
          </w:p>
        </w:tc>
      </w:tr>
      <w:tr w:rsidRPr="00D062B0" w:rsidR="005C5F2B" w:rsidTr="4CF6D96B" w14:paraId="1F4348E5" w14:textId="77777777">
        <w:trPr>
          <w:trHeight w:val="362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1222400D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Gilotrif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afatinib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46FFDC28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60ADD587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NDA 201292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00CE1889" w14:paraId="07E58492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00CE1889" w14:paraId="0B1B976E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3C8D07E4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7/12/13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097480C3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NCT00949650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557C5E87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0314CDE0" w14:textId="77777777">
        <w:trPr>
          <w:trHeight w:val="450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7350499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Gilotrif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afatinib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6A23FBDF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018287F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NDA 201292 S-7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00CE1889" w14:paraId="07A5A13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00CE1889" w14:paraId="78264FBC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70CDD0B3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4/15/16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22CC4CC1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NCT01523587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12A946FB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5AA4591F" w14:textId="77777777">
        <w:trPr>
          <w:trHeight w:val="751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502AB0D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Gilotrif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afatinib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10CDFC6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4957AD11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NDA 201292 S-14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00CE1889" w14:paraId="439735E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00CE1889" w14:paraId="1AFA9DE8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1B88845B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01/12/18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5F4A5DF0" w14:textId="661DDF80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NCT00525148, NCT00949650, &amp; NCT01121393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32662C3E" w14:paraId="4302B9F2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Pooled Analysis</w:t>
            </w:r>
          </w:p>
        </w:tc>
      </w:tr>
      <w:tr w:rsidRPr="00D062B0" w:rsidR="005C5F2B" w:rsidTr="4CF6D96B" w14:paraId="4012FC8A" w14:textId="77777777">
        <w:trPr>
          <w:trHeight w:val="517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6DFBDCC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Imfinzi (durvalumab)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72522C1D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557342C1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BLA 761069 S-2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00CE1889" w14:paraId="41D4C772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1AF43862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2623C48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2/16/18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4536EFA4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NCT02125461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679451CC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54AAD105" w14:textId="77777777">
        <w:trPr>
          <w:trHeight w:val="224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336F168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Iressa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(gefitinib)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47BFC4BB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22EB20A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NDA 206995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00CE1889" w14:paraId="3150CE5C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00CE1889" w14:paraId="04096688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77AF3157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7/13/15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1704D0D1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NCT00322452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2ECB9F4B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21FC7ECD" w14:textId="77777777">
        <w:trPr>
          <w:trHeight w:val="2105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38217F5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Keytruda (pembrolizumab + carboplatin + paclitaxel/nab-paclitaxel)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781DF96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30F4C57F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BLA 125514 S-41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00CE1889" w14:paraId="3949691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5051439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5899CB98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10/30/18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1F246FB8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NCT02775435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53DEB617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022E85D5" w14:textId="77777777">
        <w:trPr>
          <w:trHeight w:val="365"/>
        </w:trPr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6E994E4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Keytruda (pembrolizumab + pemetrexed + platinum chemotherapy)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0A5C9811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13a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1D428657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BLA 125514 S-16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32662C3E" w14:paraId="1C2879FF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57DCDC9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4F06719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05/10/17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4541135C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NCT02039674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32662C3E" w14:paraId="6C90984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No PFS/OS</w:t>
            </w:r>
          </w:p>
        </w:tc>
      </w:tr>
      <w:tr w:rsidRPr="00D062B0" w:rsidR="005C5F2B" w:rsidTr="4CF6D96B" w14:paraId="68B2F2AE" w14:textId="77777777">
        <w:trPr>
          <w:trHeight w:val="791"/>
        </w:trPr>
        <w:tc>
          <w:tcPr>
            <w:tcW w:w="1890" w:type="dxa"/>
            <w:vMerge/>
            <w:vAlign w:val="center"/>
            <w:hideMark/>
          </w:tcPr>
          <w:p w:rsidRPr="00D062B0" w:rsidR="00CE1889" w:rsidP="00E50F29" w:rsidRDefault="00CE1889" w14:paraId="4DD0EC1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62FEBCB2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13b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6199F74B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BLA 125514 S-35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32662C3E" w14:paraId="6AB0D109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 - Conversion of 13a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1C50297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4A53F3AD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08/20/18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11B82332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NCT02578680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602AE57E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7803C7D7" w14:textId="77777777">
        <w:trPr>
          <w:trHeight w:val="260"/>
        </w:trPr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3414EA3C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Keytruda (pembrolizumab)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216ABE4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14a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1712E318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BLA 125514 S-5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32662C3E" w14:paraId="4A9ECAC3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48D579C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40AD8017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10/02/15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5B17C00E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NCT01295827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32662C3E" w14:paraId="392FC0C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Non-RCT</w:t>
            </w:r>
          </w:p>
        </w:tc>
      </w:tr>
      <w:tr w:rsidRPr="00D062B0" w:rsidR="005C5F2B" w:rsidTr="4CF6D96B" w14:paraId="2A0310C5" w14:textId="77777777">
        <w:trPr>
          <w:trHeight w:val="440"/>
        </w:trPr>
        <w:tc>
          <w:tcPr>
            <w:tcW w:w="1890" w:type="dxa"/>
            <w:vMerge/>
            <w:vAlign w:val="center"/>
            <w:hideMark/>
          </w:tcPr>
          <w:p w:rsidRPr="00D062B0" w:rsidR="00CE1889" w:rsidP="00E50F29" w:rsidRDefault="00CE1889" w14:paraId="441687BB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2F61D7E4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14b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57A42031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BLA 125514 S-12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32662C3E" w14:paraId="4E73D3E3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 - Conversion of 14a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4C948E5F" w14:textId="3376B679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7A26A35B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10/24/16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3755D9E3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NCT02142738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7394AECE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64D700FC" w14:textId="77777777">
        <w:trPr>
          <w:trHeight w:val="431"/>
        </w:trPr>
        <w:tc>
          <w:tcPr>
            <w:tcW w:w="1890" w:type="dxa"/>
            <w:vMerge/>
            <w:vAlign w:val="center"/>
            <w:hideMark/>
          </w:tcPr>
          <w:p w:rsidRPr="00D062B0" w:rsidR="00CE1889" w:rsidP="00E50F29" w:rsidRDefault="00CE1889" w14:paraId="52A719D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6F969FB2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14c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00796D0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BLA 125514 S-8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32662C3E" w14:paraId="4D582E4F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 - Conversion of 14a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4AF57034" w14:textId="79891EF6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44DE689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10/24/16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235F195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NCT01905657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125BBFB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4EAB0D50" w14:textId="77777777">
        <w:trPr>
          <w:trHeight w:val="422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274DA927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Keytruda (pembrolizumab)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695EFC5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7C03276F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BLA 125514 S-47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00CE1889" w14:paraId="200CD65F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2788B688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42CF45D7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4/11/19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24B7190E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NCT02220894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1F4900A9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49668844" w14:textId="77777777">
        <w:trPr>
          <w:trHeight w:val="441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132A9F91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Libtayo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cemiplimab-rwlc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6538278F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3652876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BLA 761097 S-7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00CE1889" w14:paraId="1720FD7E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67A98F68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6EEF714E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2/22/21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72DAA61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NCT03088540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4922716F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51B568A2" w14:textId="77777777">
        <w:trPr>
          <w:trHeight w:val="314"/>
        </w:trPr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7D86637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Lorbrena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lorlatinib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27A34A2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17a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3E60F71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NDA 210868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32662C3E" w14:paraId="28F2F76E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0C0B0FE8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1F6DDBB3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11/2/18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54922024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NCT01970865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32662C3E" w14:paraId="04E7F52D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Non-RCT</w:t>
            </w:r>
          </w:p>
        </w:tc>
      </w:tr>
      <w:tr w:rsidRPr="00D062B0" w:rsidR="005C5F2B" w:rsidTr="4CF6D96B" w14:paraId="5214C449" w14:textId="77777777">
        <w:trPr>
          <w:trHeight w:val="440"/>
        </w:trPr>
        <w:tc>
          <w:tcPr>
            <w:tcW w:w="1890" w:type="dxa"/>
            <w:vMerge/>
            <w:vAlign w:val="center"/>
            <w:hideMark/>
          </w:tcPr>
          <w:p w:rsidRPr="00D062B0" w:rsidR="00CE1889" w:rsidP="00E50F29" w:rsidRDefault="00CE1889" w14:paraId="377BEBEA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28163A6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17b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77CBB624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NDA 210868 S-4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32662C3E" w14:paraId="5D1787C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 - Conversion of 17a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6AC0AB24" w14:textId="78003A31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7C7279B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3/3/21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4EB4421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NCT03052608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74573EE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663354E1" w14:textId="77777777">
        <w:trPr>
          <w:trHeight w:val="530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01BB1058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Lumakras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sotorasib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006EC20F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341774DF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NDA 214665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32662C3E" w14:paraId="02EB5B1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1A112329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1E7E896B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5/28/21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776A9277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NCT03600883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32662C3E" w14:paraId="4E81D774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Non-RCT</w:t>
            </w:r>
          </w:p>
        </w:tc>
      </w:tr>
      <w:tr w:rsidRPr="00D062B0" w:rsidR="005C5F2B" w:rsidTr="4CF6D96B" w14:paraId="00D377ED" w14:textId="77777777">
        <w:trPr>
          <w:trHeight w:val="493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5A4C307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Mekinist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(trametinib)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37EC9203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09AA40D4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NDA 204114 S-5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00CE1889" w14:paraId="6385C048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1D2E7DFF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1BA4726F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6/22/17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0EC6DB27" w14:textId="4E5F0C21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NCT01336634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32662C3E" w14:paraId="7DD21DF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Non-RCT</w:t>
            </w:r>
          </w:p>
        </w:tc>
      </w:tr>
      <w:tr w:rsidRPr="00D062B0" w:rsidR="005C5F2B" w:rsidTr="4CF6D96B" w14:paraId="6348DE22" w14:textId="77777777">
        <w:trPr>
          <w:trHeight w:val="493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4BAC7CC3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Opdivo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(nivolumab + ipilimumab)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333B317D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00E655E4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BLA 125554 S-80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00CE1889" w14:paraId="1F79B843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1B9EB12B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31FF80E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05/15/20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3200B137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NCT02477826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5F9B48E8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3BD88858" w14:textId="77777777">
        <w:trPr>
          <w:trHeight w:val="493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7D7EAB72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Opdivo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(nivolumab + ipilimumab)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7F84203B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0AD58653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BLA 125554 S-82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00CE1889" w14:paraId="3C8EE09D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504BC54B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05DCBB6C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05/26/20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000EC44D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NCT03215706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518D7BF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5F34D894" w14:textId="77777777">
        <w:trPr>
          <w:trHeight w:val="295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7CF37D7E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Opdivo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(nivolumab)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24224FB3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5358427E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BLA 125527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00CE1889" w14:paraId="7BFBCC03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05CE930B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60EBBB8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03/04/15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4E85FC2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NCT01642004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0527B419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4CE39156" w14:textId="77777777">
        <w:trPr>
          <w:trHeight w:val="320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09659A22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Opdivo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(nivolumab)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19D6C134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5EBE99DE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BLA 125554 S-5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00CE1889" w14:paraId="5121B968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15D2A9DE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4DCB7061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10/09/15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10A3251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NCT01673867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5DD198E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2286E4C2" w14:textId="77777777">
        <w:trPr>
          <w:trHeight w:val="493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514B6BA7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Portrazza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(necitumumab + gemcitabine + cisplatin)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556DD69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71CE081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BLA 125547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00CE1889" w14:paraId="08184A4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00CE1889" w14:paraId="26E607AB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61C0F35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11/24/15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4244A16E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NCT00981058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5DF1DBB7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5C94A75B" w14:textId="77777777">
        <w:trPr>
          <w:trHeight w:val="552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2C02A1D2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Retevmo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selpercatinib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7C06C9BB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2B75FFF9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NDA 213246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32662C3E" w14:paraId="68E9C2CE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6AE34062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2B29F0DB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5/8/20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0309C1C7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NCT03157128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32662C3E" w14:paraId="285B95F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Non-RCT</w:t>
            </w:r>
          </w:p>
        </w:tc>
      </w:tr>
      <w:tr w:rsidRPr="00D062B0" w:rsidR="005C5F2B" w:rsidTr="4CF6D96B" w14:paraId="34D726AB" w14:textId="77777777">
        <w:trPr>
          <w:trHeight w:val="493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4DE5264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Rozlytrek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entrectinib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6AF93712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75C294DD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NDA 212725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00CE1889" w14:paraId="44D5CEB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5967C94C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7DA256C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8/15/19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57E70467" w14:textId="59F867EB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NCT02097810 &amp; NCT02568267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32662C3E" w14:paraId="54A0B89C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Pooled Analysis</w:t>
            </w:r>
          </w:p>
        </w:tc>
      </w:tr>
      <w:tr w:rsidRPr="00D062B0" w:rsidR="005C5F2B" w:rsidTr="4CF6D96B" w14:paraId="34F70287" w14:textId="77777777">
        <w:trPr>
          <w:trHeight w:val="476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3CF33A79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Rybrevant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amivantamab-vmjw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5A171151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420036B4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BLA 761210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32662C3E" w14:paraId="1D3F6EE9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258E9A1E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6ABB309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5/21/21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2A43D378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NCT02609776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32662C3E" w14:paraId="0714686E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Non-RCT</w:t>
            </w:r>
          </w:p>
        </w:tc>
      </w:tr>
      <w:tr w:rsidRPr="00D062B0" w:rsidR="005C5F2B" w:rsidTr="4CF6D96B" w14:paraId="61241900" w14:textId="77777777">
        <w:trPr>
          <w:trHeight w:val="447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0328C239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Tabrecta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capmatinib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4DAFBBA1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69BDEECC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NDA 213591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32662C3E" w14:paraId="367EFAC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40666E2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349C457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5/6/20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6A22307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NCT02414139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32662C3E" w14:paraId="3CAA0239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Non-RCT</w:t>
            </w:r>
          </w:p>
        </w:tc>
      </w:tr>
      <w:tr w:rsidRPr="00D062B0" w:rsidR="005C5F2B" w:rsidTr="4CF6D96B" w14:paraId="272BC9BF" w14:textId="77777777">
        <w:trPr>
          <w:trHeight w:val="476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40DFFC1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Tafinlar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(dabrafenib)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6BD748E2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3D14055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NDA 202806 S-6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00CE1889" w14:paraId="441D51D7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33D97548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38750C4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6/22/17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7D6486FC" w14:textId="3EC2F05C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NCT01336634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32662C3E" w14:paraId="149B5C2C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Non-RCT</w:t>
            </w:r>
          </w:p>
        </w:tc>
      </w:tr>
      <w:tr w:rsidRPr="00D062B0" w:rsidR="005C5F2B" w:rsidTr="4CF6D96B" w14:paraId="3175DD4B" w14:textId="77777777">
        <w:trPr>
          <w:trHeight w:val="260"/>
        </w:trPr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55E75BFC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Tagrisso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osimertinib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27C0A3D9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30a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245A7262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NDA 208065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3CE2D612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653B3A6B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2C3CF87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11/13/15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3A147553" w14:textId="031E8783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NCT01802632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32662C3E" w14:paraId="3DE5BC4E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Non-RCT</w:t>
            </w:r>
          </w:p>
        </w:tc>
      </w:tr>
      <w:tr w:rsidRPr="00D062B0" w:rsidR="005C5F2B" w:rsidTr="4CF6D96B" w14:paraId="785ED216" w14:textId="77777777">
        <w:trPr>
          <w:trHeight w:val="244"/>
        </w:trPr>
        <w:tc>
          <w:tcPr>
            <w:tcW w:w="1890" w:type="dxa"/>
            <w:vMerge/>
            <w:vAlign w:val="center"/>
            <w:hideMark/>
          </w:tcPr>
          <w:p w:rsidRPr="00D062B0" w:rsidR="00CE1889" w:rsidP="00E50F29" w:rsidRDefault="00CE1889" w14:paraId="11B761BD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Pr="00D062B0" w:rsidR="00CE1889" w:rsidP="00E50F29" w:rsidRDefault="00CE1889" w14:paraId="432D3AD2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Pr="00D062B0" w:rsidR="00CE1889" w:rsidP="00E50F29" w:rsidRDefault="00CE1889" w14:paraId="393655BE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Pr="00D062B0" w:rsidR="00CE1889" w:rsidP="00E50F29" w:rsidRDefault="00CE1889" w14:paraId="7484307D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Pr="00D062B0" w:rsidR="00CE1889" w:rsidP="00E50F29" w:rsidRDefault="00CE1889" w14:paraId="0E451CC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Pr="00D062B0" w:rsidR="00CE1889" w:rsidP="00E50F29" w:rsidRDefault="00CE1889" w14:paraId="0C6DD164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6C06ADA9" w14:textId="5358A2FB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NCT02094261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32662C3E" w14:paraId="57411F69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Non-RCT</w:t>
            </w:r>
          </w:p>
        </w:tc>
      </w:tr>
      <w:tr w:rsidRPr="00D062B0" w:rsidR="005C5F2B" w:rsidTr="4CF6D96B" w14:paraId="12802FE0" w14:textId="77777777">
        <w:trPr>
          <w:trHeight w:val="413"/>
        </w:trPr>
        <w:tc>
          <w:tcPr>
            <w:tcW w:w="1890" w:type="dxa"/>
            <w:vMerge/>
            <w:vAlign w:val="center"/>
            <w:hideMark/>
          </w:tcPr>
          <w:p w:rsidRPr="00D062B0" w:rsidR="00CE1889" w:rsidP="00E50F29" w:rsidRDefault="00CE1889" w14:paraId="68AE991D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0D34E8F2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30b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41D9459C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NDA 208065 S-6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32662C3E" w14:paraId="47504644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 - Conversion of 30a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6DA47B50" w14:textId="22C2C434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5A1B9962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3/30/17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6FD81F0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NCT02151981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512BA5B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0627BA79" w14:textId="77777777">
        <w:trPr>
          <w:trHeight w:val="311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5AB95D2B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Tagrisso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osimertinib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14382EB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4A63D74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NDA 208065 S-8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00CE1889" w14:paraId="7346814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72D978DF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1BFEF05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4/18/18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1E56C752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NCT02296125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0229517C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2DDF231C" w14:textId="77777777">
        <w:trPr>
          <w:trHeight w:val="311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3D295ED2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Tagrisso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osimertinib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772764DC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3D5540E3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NDA 208065 S-21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00CE1889" w14:paraId="0AA70CC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45A1C64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6A4023B3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12/18/20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39A673AD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NCT02511106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41B09208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36ADA262" w14:textId="77777777">
        <w:trPr>
          <w:trHeight w:val="303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6452B9B8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Tarceva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(erlotinib)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54ABABCC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58EA96C9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NDA 021743 S-18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00CE1889" w14:paraId="3AA78984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00CE1889" w14:paraId="48536764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42B24A62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05/14/13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4CDC7063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NCT00446225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3FD0573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5C4A249F" w14:textId="77777777">
        <w:trPr>
          <w:trHeight w:val="493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3E3B4A31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Tarceva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(erlotinib)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039A034F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467DA871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NDA 021743 S-25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00CE1889" w14:paraId="5DB3E079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00CE1889" w14:paraId="58B77199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108DED27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10/18/16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2FCF9A3B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32662C3E" w14:paraId="4A5C9197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No New Trial Information - Combined Previously Approved Indications</w:t>
            </w:r>
          </w:p>
        </w:tc>
      </w:tr>
      <w:tr w:rsidRPr="00D062B0" w:rsidR="005C5F2B" w:rsidTr="4CF6D96B" w14:paraId="6C3DEA01" w14:textId="77777777">
        <w:trPr>
          <w:trHeight w:val="493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236BCEA4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Tecentriq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(atezolizumab + </w:t>
            </w:r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bevacizumab + paclitaxel + carboplatin)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79E32C1C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1B2039C4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BLA 761034 S-9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00CE1889" w14:paraId="3E54D6F7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57C7958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1EBF2C3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12/6/18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270EFB5D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NCT02366143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04CDF508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488D2117" w14:textId="77777777">
        <w:trPr>
          <w:trHeight w:val="493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1E4707C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Tecentriq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(atezolizumab + paclitaxel protein-bound + carboplatin)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26010D12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115F277C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BLA 761034 S-21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00CE1889" w14:paraId="0A7A7F84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187A98A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323F5D98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12/3/19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43F64DA9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NCT02367781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5B0E2422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7EFFE002" w14:textId="77777777">
        <w:trPr>
          <w:trHeight w:val="244"/>
        </w:trPr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693B490B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Tecentriq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(atezolizumab)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226E1519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742C1B59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BLA 761041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00CE1889" w14:paraId="5B22192B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462C7FEE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3434AA39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10/18/16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63732199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NCT02008227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52DCE311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72EAEC7D" w14:textId="77777777">
        <w:trPr>
          <w:trHeight w:val="244"/>
        </w:trPr>
        <w:tc>
          <w:tcPr>
            <w:tcW w:w="1890" w:type="dxa"/>
            <w:vMerge/>
            <w:vAlign w:val="center"/>
            <w:hideMark/>
          </w:tcPr>
          <w:p w:rsidRPr="00D062B0" w:rsidR="00CE1889" w:rsidP="00E50F29" w:rsidRDefault="00CE1889" w14:paraId="3941AEF4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Pr="00D062B0" w:rsidR="00CE1889" w:rsidP="00E50F29" w:rsidRDefault="00CE1889" w14:paraId="27E194CB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Pr="00D062B0" w:rsidR="00CE1889" w:rsidP="00E50F29" w:rsidRDefault="00CE1889" w14:paraId="1415F489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Pr="00D062B0" w:rsidR="00CE1889" w:rsidP="00E50F29" w:rsidRDefault="00CE1889" w14:paraId="2952D582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Pr="00D062B0" w:rsidR="00CE1889" w:rsidP="00E50F29" w:rsidRDefault="00CE1889" w14:paraId="69D5965E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Pr="00D062B0" w:rsidR="00CE1889" w:rsidP="00E50F29" w:rsidRDefault="00CE1889" w14:paraId="41F6928D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2B611579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NCT01903993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46818C29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094ABC13" w14:textId="77777777">
        <w:trPr>
          <w:trHeight w:val="494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397F7152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Tecentriq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(atezolizumab)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692B1EA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36438133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BLA 761034 S-27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00CE1889" w14:paraId="56C0528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2B2AC61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22FDE09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5/18/20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009D7C84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NCT02409342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34BE72E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77FE2B98" w14:textId="77777777">
        <w:trPr>
          <w:trHeight w:val="388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131DCDB4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Tepmetko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tepotinib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7969355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54301C9D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NDA 214096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32662C3E" w14:paraId="54C698B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00CE1889" w14:paraId="61DD6A9D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064FE37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2/3/21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41D67C03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NCT02864992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32662C3E" w14:paraId="5C605DDF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Non-RCT</w:t>
            </w:r>
          </w:p>
        </w:tc>
      </w:tr>
      <w:tr w:rsidRPr="00D062B0" w:rsidR="005C5F2B" w:rsidTr="4CF6D96B" w14:paraId="08B5863D" w14:textId="77777777">
        <w:trPr>
          <w:trHeight w:val="210"/>
        </w:trPr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6CDB628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Vitrakvi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larotrectinib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375F95B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68FF114D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NDA 210861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1C479AEE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020F5BC8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2240A76E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11/26/18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2563DB0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NCT02122913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32662C3E" w14:paraId="02D6E25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Non-RCT</w:t>
            </w:r>
          </w:p>
        </w:tc>
      </w:tr>
      <w:tr w:rsidRPr="00D062B0" w:rsidR="005C5F2B" w:rsidTr="4CF6D96B" w14:paraId="0CFDE51E" w14:textId="77777777">
        <w:trPr>
          <w:trHeight w:val="202"/>
        </w:trPr>
        <w:tc>
          <w:tcPr>
            <w:tcW w:w="1890" w:type="dxa"/>
            <w:vMerge/>
            <w:vAlign w:val="center"/>
            <w:hideMark/>
          </w:tcPr>
          <w:p w:rsidRPr="00D062B0" w:rsidR="00CE1889" w:rsidP="00E50F29" w:rsidRDefault="00CE1889" w14:paraId="36EB7DD9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Pr="00D062B0" w:rsidR="00CE1889" w:rsidP="00E50F29" w:rsidRDefault="00CE1889" w14:paraId="0347B456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Pr="00D062B0" w:rsidR="00CE1889" w:rsidP="00E50F29" w:rsidRDefault="00CE1889" w14:paraId="70DDE882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Pr="00D062B0" w:rsidR="00CE1889" w:rsidP="00E50F29" w:rsidRDefault="00CE1889" w14:paraId="0C2DB5F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Pr="00D062B0" w:rsidR="00CE1889" w:rsidP="00E50F29" w:rsidRDefault="00CE1889" w14:paraId="50A9D2EA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Pr="00D062B0" w:rsidR="00CE1889" w:rsidP="00E50F29" w:rsidRDefault="00CE1889" w14:paraId="1E0D3839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7C3294AE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NCT02637687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32662C3E" w14:paraId="3B7EDD5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Non-RCT</w:t>
            </w:r>
          </w:p>
        </w:tc>
      </w:tr>
      <w:tr w:rsidRPr="00D062B0" w:rsidR="005C5F2B" w:rsidTr="4CF6D96B" w14:paraId="40F23CD3" w14:textId="77777777">
        <w:trPr>
          <w:trHeight w:val="278"/>
        </w:trPr>
        <w:tc>
          <w:tcPr>
            <w:tcW w:w="1890" w:type="dxa"/>
            <w:vMerge/>
            <w:vAlign w:val="center"/>
            <w:hideMark/>
          </w:tcPr>
          <w:p w:rsidRPr="00D062B0" w:rsidR="00CE1889" w:rsidP="00E50F29" w:rsidRDefault="00CE1889" w14:paraId="034B5E3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Pr="00D062B0" w:rsidR="00CE1889" w:rsidP="00E50F29" w:rsidRDefault="00CE1889" w14:paraId="7D69D47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Pr="00D062B0" w:rsidR="00CE1889" w:rsidP="00E50F29" w:rsidRDefault="00CE1889" w14:paraId="6008E8CB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Pr="00D062B0" w:rsidR="00CE1889" w:rsidP="00E50F29" w:rsidRDefault="00CE1889" w14:paraId="50D7A590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Pr="00D062B0" w:rsidR="00CE1889" w:rsidP="00E50F29" w:rsidRDefault="00CE1889" w14:paraId="7BF75BC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Pr="00D062B0" w:rsidR="00CE1889" w:rsidP="00E50F29" w:rsidRDefault="00CE1889" w14:paraId="5B88D2A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2B06707E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NCT02576431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32662C3E" w14:paraId="3116561C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Non-RCT</w:t>
            </w:r>
          </w:p>
        </w:tc>
      </w:tr>
      <w:tr w:rsidRPr="00D062B0" w:rsidR="005C5F2B" w:rsidTr="4CF6D96B" w14:paraId="74A2AC77" w14:textId="77777777">
        <w:trPr>
          <w:trHeight w:val="413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28143D8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Vizimpro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(dacomitinib)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2B891379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44BCE1F9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NDA 211288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00CE1889" w14:paraId="1D35DF3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00CE1889" w14:paraId="36C0AE4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18E9975B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9/27/18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54604A2F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NCT01774721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0D0ADBE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7D080574" w14:textId="77777777">
        <w:trPr>
          <w:trHeight w:val="251"/>
        </w:trPr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1FBF4DFD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Xalkori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crizotinib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091FA70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1E5748EE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NDA 202570 S-6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15958B5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 - Conversion of pre-2013 AA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250F108D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4DFAAE70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11/20/13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2502E7E4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NCT00932893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7B86CA33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03E7D67F" w14:textId="77777777">
        <w:trPr>
          <w:trHeight w:val="244"/>
        </w:trPr>
        <w:tc>
          <w:tcPr>
            <w:tcW w:w="1890" w:type="dxa"/>
            <w:vMerge/>
            <w:vAlign w:val="center"/>
            <w:hideMark/>
          </w:tcPr>
          <w:p w:rsidRPr="00D062B0" w:rsidR="00CE1889" w:rsidP="00E50F29" w:rsidRDefault="00CE1889" w14:paraId="37C627F4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Pr="00D062B0" w:rsidR="00CE1889" w:rsidP="00E50F29" w:rsidRDefault="00CE1889" w14:paraId="47F79C5F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Pr="00D062B0" w:rsidR="00CE1889" w:rsidP="00E50F29" w:rsidRDefault="00CE1889" w14:paraId="0136D576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Pr="00D062B0" w:rsidR="00CE1889" w:rsidP="00E50F29" w:rsidRDefault="00CE1889" w14:paraId="2FA7C764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Pr="00D062B0" w:rsidR="00CE1889" w:rsidP="00E50F29" w:rsidRDefault="00CE1889" w14:paraId="529911A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Pr="00D062B0" w:rsidR="00CE1889" w:rsidP="00E50F29" w:rsidRDefault="00CE1889" w14:paraId="55474690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2A6AF37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NCT01154140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640A8D9E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Pr="00D062B0" w:rsidR="005C5F2B" w:rsidTr="4CF6D96B" w14:paraId="45F423F7" w14:textId="77777777">
        <w:trPr>
          <w:trHeight w:val="413"/>
        </w:trPr>
        <w:tc>
          <w:tcPr>
            <w:tcW w:w="18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701C6F6B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Xalkori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crizotinib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0DEB5F4C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19B3B12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NDA 202570 S-16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00CE1889" w14:paraId="1DA067D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2DBC2C79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2702EC7C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3/11/16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3637124F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NCT00585195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32662C3E" w14:paraId="79C6428D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Non-RCT</w:t>
            </w:r>
          </w:p>
        </w:tc>
      </w:tr>
      <w:tr w:rsidRPr="00D062B0" w:rsidR="005C5F2B" w:rsidTr="4CF6D96B" w14:paraId="5B45650B" w14:textId="77777777">
        <w:trPr>
          <w:trHeight w:val="323"/>
        </w:trPr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Pr="00D062B0" w:rsidR="00CE1889" w:rsidP="6C629F52" w:rsidRDefault="32662C3E" w14:paraId="4214A79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Zykadia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ceritinib</w:t>
            </w:r>
            <w:proofErr w:type="spellEnd"/>
            <w:r w:rsidRPr="00D062B0">
              <w:rPr>
                <w:rFonts w:eastAsia="Calibri Light"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2D6E95DD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44a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06780DBD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NDA 205755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32662C3E" w14:paraId="46B3C5F4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79BE079D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0A371A69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4/29/14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7EFCD1BB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NCT01283516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32662C3E" w14:paraId="4406FDD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Non-RCT</w:t>
            </w:r>
          </w:p>
        </w:tc>
      </w:tr>
      <w:tr w:rsidRPr="00D062B0" w:rsidR="005C5F2B" w:rsidTr="4CF6D96B" w14:paraId="4EA33952" w14:textId="77777777">
        <w:trPr>
          <w:trHeight w:val="341"/>
        </w:trPr>
        <w:tc>
          <w:tcPr>
            <w:tcW w:w="1890" w:type="dxa"/>
            <w:vMerge/>
            <w:vAlign w:val="center"/>
            <w:hideMark/>
          </w:tcPr>
          <w:p w:rsidRPr="00D062B0" w:rsidR="00CE1889" w:rsidP="00E50F29" w:rsidRDefault="00CE1889" w14:paraId="1042307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Pr="00D062B0" w:rsidR="00CE1889" w:rsidP="6C629F52" w:rsidRDefault="32662C3E" w14:paraId="5649F40F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44b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Pr="00D062B0" w:rsidR="00CE1889" w:rsidP="6C629F52" w:rsidRDefault="32662C3E" w14:paraId="6E24D171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sz w:val="24"/>
                <w:szCs w:val="24"/>
              </w:rPr>
              <w:t>NDA 205755 S-9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Pr="00D062B0" w:rsidR="00CE1889" w:rsidP="6C629F52" w:rsidRDefault="32662C3E" w14:paraId="1583CEC5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 - Conversion of 44a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Pr="00D062B0" w:rsidR="00CE1889" w:rsidP="6C629F52" w:rsidRDefault="32662C3E" w14:paraId="7CA012A3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Pr="00D062B0" w:rsidR="00CE1889" w:rsidP="6C629F52" w:rsidRDefault="32662C3E" w14:paraId="23F7E476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05/26/17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Pr="00D062B0" w:rsidR="00CE1889" w:rsidP="6C629F52" w:rsidRDefault="32662C3E" w14:paraId="78045669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  <w:r w:rsidRPr="00D062B0">
              <w:rPr>
                <w:rFonts w:eastAsia="Calibri Light" w:asciiTheme="majorHAnsi" w:hAnsiTheme="majorHAnsi" w:cstheme="majorHAnsi"/>
                <w:color w:val="000000" w:themeColor="text1"/>
                <w:sz w:val="24"/>
                <w:szCs w:val="24"/>
              </w:rPr>
              <w:t>NCT01828099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Pr="00D062B0" w:rsidR="00CE1889" w:rsidP="6C629F52" w:rsidRDefault="00CE1889" w14:paraId="5973E84A" w14:textId="77777777">
            <w:pPr>
              <w:spacing w:after="0" w:line="240" w:lineRule="auto"/>
              <w:rPr>
                <w:rFonts w:eastAsia="Calibri Light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Pr="00D062B0" w:rsidR="0034718B" w:rsidRDefault="0034718B" w14:paraId="7AD68A7A" w14:textId="0ABB87E4">
      <w:pPr>
        <w:rPr>
          <w:rFonts w:asciiTheme="majorHAnsi" w:hAnsiTheme="majorHAnsi" w:cstheme="majorHAnsi"/>
          <w:sz w:val="24"/>
          <w:szCs w:val="24"/>
        </w:rPr>
      </w:pPr>
    </w:p>
    <w:p w:rsidRPr="00D062B0" w:rsidR="00445C98" w:rsidRDefault="00445C98" w14:paraId="5758DDC4" w14:textId="1BB25E1C">
      <w:pPr>
        <w:rPr>
          <w:rFonts w:asciiTheme="majorHAnsi" w:hAnsiTheme="majorHAnsi" w:cstheme="majorHAnsi"/>
          <w:sz w:val="24"/>
          <w:szCs w:val="24"/>
        </w:rPr>
      </w:pPr>
    </w:p>
    <w:p w:rsidRPr="00D062B0" w:rsidR="6C629F52" w:rsidP="6C629F52" w:rsidRDefault="6C629F52" w14:paraId="06B04EAC" w14:textId="7B197337">
      <w:pPr>
        <w:rPr>
          <w:rFonts w:asciiTheme="majorHAnsi" w:hAnsiTheme="majorHAnsi" w:cstheme="majorHAnsi"/>
          <w:sz w:val="24"/>
          <w:szCs w:val="24"/>
        </w:rPr>
      </w:pPr>
    </w:p>
    <w:p w:rsidR="00AA5529" w:rsidRDefault="00AA5529" w14:paraId="35FDF474" w14:textId="7777777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AA5529" w:rsidRDefault="00AA5529" w14:paraId="5BA71DD3" w14:textId="7777777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AA5529" w:rsidRDefault="00AA5529" w14:paraId="10A72E91" w14:textId="7777777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AA5529" w:rsidRDefault="00AA5529" w14:paraId="643BC82F" w14:textId="7777777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AA5529" w:rsidRDefault="00AA5529" w14:paraId="763817E1" w14:textId="7777777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Pr="00D062B0" w:rsidR="00D31353" w:rsidRDefault="00D31353" w14:paraId="24D12400" w14:textId="647BA364">
      <w:pPr>
        <w:rPr>
          <w:rFonts w:asciiTheme="majorHAnsi" w:hAnsiTheme="majorHAnsi" w:cstheme="majorHAnsi"/>
          <w:sz w:val="24"/>
          <w:szCs w:val="24"/>
        </w:rPr>
      </w:pPr>
      <w:r w:rsidRPr="00D062B0">
        <w:rPr>
          <w:rFonts w:asciiTheme="majorHAnsi" w:hAnsiTheme="majorHAnsi" w:cstheme="majorHAnsi"/>
          <w:b/>
          <w:bCs/>
          <w:sz w:val="24"/>
          <w:szCs w:val="24"/>
        </w:rPr>
        <w:lastRenderedPageBreak/>
        <w:t>Supplementa</w:t>
      </w:r>
      <w:r w:rsidRPr="00D062B0" w:rsidR="00297F63">
        <w:rPr>
          <w:rFonts w:asciiTheme="majorHAnsi" w:hAnsiTheme="majorHAnsi" w:cstheme="majorHAnsi"/>
          <w:b/>
          <w:bCs/>
          <w:sz w:val="24"/>
          <w:szCs w:val="24"/>
        </w:rPr>
        <w:t>l</w:t>
      </w:r>
      <w:r w:rsidRPr="00D062B0">
        <w:rPr>
          <w:rFonts w:asciiTheme="majorHAnsi" w:hAnsiTheme="majorHAnsi" w:cstheme="majorHAnsi"/>
          <w:b/>
          <w:bCs/>
          <w:sz w:val="24"/>
          <w:szCs w:val="24"/>
        </w:rPr>
        <w:t xml:space="preserve"> Table 2. </w:t>
      </w:r>
      <w:r w:rsidRPr="00D062B0" w:rsidR="5FC4A981">
        <w:rPr>
          <w:rFonts w:asciiTheme="majorHAnsi" w:hAnsiTheme="majorHAnsi" w:cstheme="majorHAnsi"/>
          <w:sz w:val="24"/>
          <w:szCs w:val="24"/>
        </w:rPr>
        <w:t>Corresponding</w:t>
      </w:r>
      <w:r w:rsidRPr="00D062B0" w:rsidR="5FC4A98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062B0" w:rsidR="00297F63">
        <w:rPr>
          <w:rFonts w:asciiTheme="majorHAnsi" w:hAnsiTheme="majorHAnsi" w:cstheme="majorHAnsi"/>
          <w:sz w:val="24"/>
          <w:szCs w:val="24"/>
        </w:rPr>
        <w:t>Trial Details for Randomized Controlled Trials Supporting NSCLC Approvals</w:t>
      </w:r>
      <w:r w:rsidRPr="00D062B0" w:rsidR="097AA57E">
        <w:rPr>
          <w:rFonts w:asciiTheme="majorHAnsi" w:hAnsiTheme="majorHAnsi" w:cstheme="majorHAnsi"/>
          <w:sz w:val="24"/>
          <w:szCs w:val="24"/>
        </w:rPr>
        <w:t xml:space="preserve"> Included in Figure 1</w:t>
      </w:r>
    </w:p>
    <w:tbl>
      <w:tblPr>
        <w:tblStyle w:val="TableGrid"/>
        <w:tblW w:w="11820" w:type="dxa"/>
        <w:tblInd w:w="-117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1072"/>
        <w:gridCol w:w="1587"/>
        <w:gridCol w:w="3420"/>
        <w:gridCol w:w="2201"/>
        <w:gridCol w:w="1785"/>
        <w:gridCol w:w="1755"/>
      </w:tblGrid>
      <w:tr w:rsidRPr="00D062B0" w:rsidR="000E1010" w:rsidTr="4CF6D96B" w14:paraId="317C2CAB" w14:textId="77777777">
        <w:trPr>
          <w:trHeight w:val="234"/>
        </w:trPr>
        <w:tc>
          <w:tcPr>
            <w:tcW w:w="1035" w:type="dxa"/>
            <w:shd w:val="clear" w:color="auto" w:fill="D9E2F3" w:themeFill="accent1" w:themeFillTint="33"/>
            <w:noWrap/>
            <w:hideMark/>
          </w:tcPr>
          <w:p w:rsidRPr="00D062B0" w:rsidR="00CF1C6C" w:rsidP="4CF6D96B" w:rsidRDefault="430ED2A5" w14:paraId="58A01CE9" w14:textId="3AA5D75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Assigned #</w:t>
            </w:r>
            <w:r w:rsidRPr="00D062B0" w:rsidR="5169D7F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D062B0" w:rsidR="5169D7F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Label  Linked</w:t>
            </w:r>
            <w:proofErr w:type="gramEnd"/>
            <w:r w:rsidRPr="00D062B0" w:rsidR="5169D7F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15" w:type="dxa"/>
            <w:shd w:val="clear" w:color="auto" w:fill="D9E2F3" w:themeFill="accent1" w:themeFillTint="33"/>
          </w:tcPr>
          <w:p w:rsidRPr="00D062B0" w:rsidR="00CF1C6C" w:rsidP="000E1010" w:rsidRDefault="00CF1C6C" w14:paraId="62DA274F" w14:textId="642820E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NCT # Identified as Match</w:t>
            </w:r>
          </w:p>
        </w:tc>
        <w:tc>
          <w:tcPr>
            <w:tcW w:w="3420" w:type="dxa"/>
            <w:shd w:val="clear" w:color="auto" w:fill="D9E2F3" w:themeFill="accent1" w:themeFillTint="33"/>
            <w:noWrap/>
            <w:hideMark/>
          </w:tcPr>
          <w:p w:rsidRPr="00D062B0" w:rsidR="00CF1C6C" w:rsidP="4CF6D96B" w:rsidRDefault="36038ECC" w14:paraId="49B3DFB2" w14:textId="66CDB33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Treatment </w:t>
            </w:r>
            <w:r w:rsidRPr="00D062B0" w:rsidR="3494DBA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Comparison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:rsidRPr="00D062B0" w:rsidR="00CF1C6C" w:rsidP="000E1010" w:rsidRDefault="00CF1C6C" w14:paraId="0A087CA2" w14:textId="5EDCDAA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Analysis Population</w:t>
            </w:r>
          </w:p>
        </w:tc>
        <w:tc>
          <w:tcPr>
            <w:tcW w:w="1785" w:type="dxa"/>
            <w:shd w:val="clear" w:color="auto" w:fill="D9E2F3" w:themeFill="accent1" w:themeFillTint="33"/>
            <w:noWrap/>
            <w:hideMark/>
          </w:tcPr>
          <w:p w:rsidRPr="00D062B0" w:rsidR="00CF1C6C" w:rsidP="000E1010" w:rsidRDefault="00CF1C6C" w14:paraId="62A71B3D" w14:textId="7777777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OS HR (95% CI)</w:t>
            </w:r>
          </w:p>
        </w:tc>
        <w:tc>
          <w:tcPr>
            <w:tcW w:w="1755" w:type="dxa"/>
            <w:shd w:val="clear" w:color="auto" w:fill="D9E2F3" w:themeFill="accent1" w:themeFillTint="33"/>
            <w:noWrap/>
            <w:hideMark/>
          </w:tcPr>
          <w:p w:rsidRPr="00D062B0" w:rsidR="00CF1C6C" w:rsidP="000E1010" w:rsidRDefault="00CF1C6C" w14:paraId="3FCCDE62" w14:textId="7777777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PFS HR (95% CI)</w:t>
            </w:r>
          </w:p>
        </w:tc>
      </w:tr>
      <w:tr w:rsidRPr="00D062B0" w:rsidR="00CF1C6C" w:rsidTr="4CF6D96B" w14:paraId="7D07BBF8" w14:textId="77777777">
        <w:trPr>
          <w:trHeight w:val="234"/>
        </w:trPr>
        <w:tc>
          <w:tcPr>
            <w:tcW w:w="1035" w:type="dxa"/>
            <w:noWrap/>
            <w:hideMark/>
          </w:tcPr>
          <w:p w:rsidRPr="00D062B0" w:rsidR="00CF1C6C" w:rsidP="4CF6D96B" w:rsidRDefault="00AA5529" w14:paraId="03CA7883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7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1b</w:t>
              </w:r>
            </w:hyperlink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5E5881F5" w14:textId="728215D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NCT02075840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472E604C" w14:textId="1CF0D64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alectinib</w:t>
            </w:r>
            <w:proofErr w:type="spellEnd"/>
            <w:r w:rsidRPr="00D062B0">
              <w:rPr>
                <w:rFonts w:asciiTheme="majorHAnsi" w:hAnsiTheme="majorHAnsi" w:cstheme="majorHAnsi"/>
                <w:sz w:val="24"/>
                <w:szCs w:val="24"/>
              </w:rPr>
              <w:t xml:space="preserve"> vs. </w:t>
            </w:r>
            <w:proofErr w:type="spellStart"/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crizotinib</w:t>
            </w:r>
            <w:proofErr w:type="spellEnd"/>
          </w:p>
        </w:tc>
        <w:tc>
          <w:tcPr>
            <w:tcW w:w="2610" w:type="dxa"/>
          </w:tcPr>
          <w:p w:rsidRPr="00D062B0" w:rsidR="00CF1C6C" w:rsidP="000E1010" w:rsidRDefault="00CF1C6C" w14:paraId="118860DD" w14:textId="59BE54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All Patients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4F34B491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33FFF286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0.53 (0.38, 0.73)</w:t>
            </w:r>
          </w:p>
        </w:tc>
      </w:tr>
      <w:tr w:rsidRPr="00D062B0" w:rsidR="00CF1C6C" w:rsidTr="4CF6D96B" w14:paraId="48B9E740" w14:textId="77777777">
        <w:trPr>
          <w:trHeight w:val="234"/>
        </w:trPr>
        <w:tc>
          <w:tcPr>
            <w:tcW w:w="1035" w:type="dxa"/>
            <w:noWrap/>
            <w:hideMark/>
          </w:tcPr>
          <w:p w:rsidRPr="00D062B0" w:rsidR="00CF1C6C" w:rsidP="4CF6D96B" w:rsidRDefault="00AA5529" w14:paraId="2CC30943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8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2b</w:t>
              </w:r>
            </w:hyperlink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5A877795" w14:textId="038D3C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NCT02737501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37DF7896" w14:textId="36579F4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brigatinib</w:t>
            </w:r>
            <w:proofErr w:type="spellEnd"/>
            <w:r w:rsidRPr="00D062B0">
              <w:rPr>
                <w:rFonts w:asciiTheme="majorHAnsi" w:hAnsiTheme="majorHAnsi" w:cstheme="majorHAnsi"/>
                <w:sz w:val="24"/>
                <w:szCs w:val="24"/>
              </w:rPr>
              <w:t xml:space="preserve"> vs. </w:t>
            </w:r>
            <w:proofErr w:type="spellStart"/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crizotinib</w:t>
            </w:r>
            <w:proofErr w:type="spellEnd"/>
          </w:p>
        </w:tc>
        <w:tc>
          <w:tcPr>
            <w:tcW w:w="2610" w:type="dxa"/>
          </w:tcPr>
          <w:p w:rsidRPr="00D062B0" w:rsidR="00CF1C6C" w:rsidP="000E1010" w:rsidRDefault="00CF1C6C" w14:paraId="6EE8845F" w14:textId="75AD2B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All Patients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135B19C2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28F7E286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0.49 (0.35, 0.68)</w:t>
            </w:r>
          </w:p>
        </w:tc>
      </w:tr>
      <w:tr w:rsidRPr="00D062B0" w:rsidR="00CF1C6C" w:rsidTr="4CF6D96B" w14:paraId="7258C9D5" w14:textId="77777777">
        <w:trPr>
          <w:trHeight w:val="234"/>
        </w:trPr>
        <w:tc>
          <w:tcPr>
            <w:tcW w:w="1035" w:type="dxa"/>
            <w:noWrap/>
            <w:hideMark/>
          </w:tcPr>
          <w:p w:rsidRPr="00D062B0" w:rsidR="00CF1C6C" w:rsidP="4CF6D96B" w:rsidRDefault="00AA5529" w14:paraId="1EE96169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9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3</w:t>
              </w:r>
            </w:hyperlink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1493964A" w14:textId="5C4EB2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NCT01168973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25CD3E73" w14:textId="51ED38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ramucirumab + chemotherapy vs. chemotherapy</w:t>
            </w:r>
          </w:p>
        </w:tc>
        <w:tc>
          <w:tcPr>
            <w:tcW w:w="2610" w:type="dxa"/>
          </w:tcPr>
          <w:p w:rsidRPr="00D062B0" w:rsidR="00CF1C6C" w:rsidP="000E1010" w:rsidRDefault="00CF1C6C" w14:paraId="27DEC812" w14:textId="0F7761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All Patients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5E05A8A7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0.86 (0.75, 0.98)</w:t>
            </w: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1A240176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062B0" w:rsidR="00CF1C6C" w:rsidTr="4CF6D96B" w14:paraId="4090ADCF" w14:textId="77777777">
        <w:trPr>
          <w:trHeight w:val="234"/>
        </w:trPr>
        <w:tc>
          <w:tcPr>
            <w:tcW w:w="1035" w:type="dxa"/>
            <w:noWrap/>
            <w:hideMark/>
          </w:tcPr>
          <w:p w:rsidRPr="00D062B0" w:rsidR="00CF1C6C" w:rsidP="4CF6D96B" w:rsidRDefault="00AA5529" w14:paraId="5343D289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0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4</w:t>
              </w:r>
            </w:hyperlink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2B4C372B" w14:textId="5223E8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NCT02411448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03478923" w14:textId="4802B7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ramucirumab + erlotinib vs. erlotinib</w:t>
            </w:r>
          </w:p>
        </w:tc>
        <w:tc>
          <w:tcPr>
            <w:tcW w:w="2610" w:type="dxa"/>
          </w:tcPr>
          <w:p w:rsidRPr="00D062B0" w:rsidR="00CF1C6C" w:rsidP="000E1010" w:rsidRDefault="00CF1C6C" w14:paraId="660D3941" w14:textId="71EACE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All Patients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33D4CFFC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063BD616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0.59 (0.46, 0.76)</w:t>
            </w:r>
          </w:p>
        </w:tc>
      </w:tr>
      <w:tr w:rsidRPr="00D062B0" w:rsidR="00CF1C6C" w:rsidTr="4CF6D96B" w14:paraId="2BCF9126" w14:textId="77777777">
        <w:trPr>
          <w:trHeight w:val="234"/>
        </w:trPr>
        <w:tc>
          <w:tcPr>
            <w:tcW w:w="1035" w:type="dxa"/>
            <w:noWrap/>
            <w:hideMark/>
          </w:tcPr>
          <w:p w:rsidRPr="00D062B0" w:rsidR="00CF1C6C" w:rsidP="4CF6D96B" w:rsidRDefault="00AA5529" w14:paraId="0968B14C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1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7</w:t>
              </w:r>
            </w:hyperlink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05044BDF" w14:textId="469A0D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NCT00949650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546A718C" w14:textId="1ABAA2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afatinib</w:t>
            </w:r>
            <w:proofErr w:type="spellEnd"/>
            <w:r w:rsidRPr="00D062B0">
              <w:rPr>
                <w:rFonts w:asciiTheme="majorHAnsi" w:hAnsiTheme="majorHAnsi" w:cstheme="majorHAnsi"/>
                <w:sz w:val="24"/>
                <w:szCs w:val="24"/>
              </w:rPr>
              <w:t xml:space="preserve"> vs. chemotherapy</w:t>
            </w:r>
          </w:p>
        </w:tc>
        <w:tc>
          <w:tcPr>
            <w:tcW w:w="2610" w:type="dxa"/>
          </w:tcPr>
          <w:p w:rsidRPr="00D062B0" w:rsidR="00CF1C6C" w:rsidP="000E1010" w:rsidRDefault="00CF1C6C" w14:paraId="0D280198" w14:textId="580064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All Patients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274E28AF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7C7B9351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0.58 (0.43, 0.78)</w:t>
            </w:r>
          </w:p>
        </w:tc>
      </w:tr>
      <w:tr w:rsidRPr="00D062B0" w:rsidR="00CF1C6C" w:rsidTr="4CF6D96B" w14:paraId="1BB76C30" w14:textId="77777777">
        <w:trPr>
          <w:trHeight w:val="234"/>
        </w:trPr>
        <w:tc>
          <w:tcPr>
            <w:tcW w:w="1035" w:type="dxa"/>
            <w:noWrap/>
            <w:hideMark/>
          </w:tcPr>
          <w:p w:rsidRPr="00D062B0" w:rsidR="00CF1C6C" w:rsidP="4CF6D96B" w:rsidRDefault="00AA5529" w14:paraId="5500290F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2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8</w:t>
              </w:r>
            </w:hyperlink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7C78A53B" w14:textId="1F17D7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NCT01523587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696D14A6" w14:textId="55BE315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afatinib</w:t>
            </w:r>
            <w:proofErr w:type="spellEnd"/>
            <w:r w:rsidRPr="00D062B0">
              <w:rPr>
                <w:rFonts w:asciiTheme="majorHAnsi" w:hAnsiTheme="majorHAnsi" w:cstheme="majorHAnsi"/>
                <w:sz w:val="24"/>
                <w:szCs w:val="24"/>
              </w:rPr>
              <w:t xml:space="preserve"> vs. erlotinib</w:t>
            </w:r>
          </w:p>
        </w:tc>
        <w:tc>
          <w:tcPr>
            <w:tcW w:w="2610" w:type="dxa"/>
          </w:tcPr>
          <w:p w:rsidRPr="00D062B0" w:rsidR="00CF1C6C" w:rsidP="000E1010" w:rsidRDefault="00CF1C6C" w14:paraId="4F1A46ED" w14:textId="2219B3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All Patients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4DABAD84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4E2C7CAA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0.82 (0.68, 0.998)</w:t>
            </w:r>
          </w:p>
        </w:tc>
      </w:tr>
      <w:tr w:rsidRPr="00D062B0" w:rsidR="00CF1C6C" w:rsidTr="4CF6D96B" w14:paraId="31BB9D77" w14:textId="77777777">
        <w:trPr>
          <w:trHeight w:val="234"/>
        </w:trPr>
        <w:tc>
          <w:tcPr>
            <w:tcW w:w="1035" w:type="dxa"/>
            <w:noWrap/>
            <w:hideMark/>
          </w:tcPr>
          <w:p w:rsidRPr="00D062B0" w:rsidR="00CF1C6C" w:rsidP="4CF6D96B" w:rsidRDefault="00AA5529" w14:paraId="66BE2C86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3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10</w:t>
              </w:r>
            </w:hyperlink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622C1E2A" w14:textId="70B866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NCT02125461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79AD3F99" w14:textId="2339242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durvalumab vs. placebo</w:t>
            </w:r>
          </w:p>
        </w:tc>
        <w:tc>
          <w:tcPr>
            <w:tcW w:w="2610" w:type="dxa"/>
          </w:tcPr>
          <w:p w:rsidRPr="00D062B0" w:rsidR="00CF1C6C" w:rsidP="4CF6D96B" w:rsidRDefault="402A4F57" w14:paraId="24A4F671" w14:textId="20BDD0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Pre-specified interim analysis at 371 events</w:t>
            </w:r>
          </w:p>
        </w:tc>
        <w:tc>
          <w:tcPr>
            <w:tcW w:w="1785" w:type="dxa"/>
            <w:noWrap/>
            <w:hideMark/>
          </w:tcPr>
          <w:p w:rsidRPr="00D062B0" w:rsidR="00CF1C6C" w:rsidP="4CF6D96B" w:rsidRDefault="00CF1C6C" w14:paraId="3A82C849" w14:textId="037F24E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464A76C7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0.52 (0.42, 0.65)</w:t>
            </w:r>
          </w:p>
        </w:tc>
      </w:tr>
      <w:tr w:rsidRPr="00D062B0" w:rsidR="00CF1C6C" w:rsidTr="4CF6D96B" w14:paraId="22FAEBA6" w14:textId="77777777">
        <w:trPr>
          <w:trHeight w:val="234"/>
        </w:trPr>
        <w:tc>
          <w:tcPr>
            <w:tcW w:w="1035" w:type="dxa"/>
            <w:noWrap/>
            <w:hideMark/>
          </w:tcPr>
          <w:p w:rsidRPr="00D062B0" w:rsidR="00CF1C6C" w:rsidP="4CF6D96B" w:rsidRDefault="00AA5529" w14:paraId="0594AAA9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4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11</w:t>
              </w:r>
            </w:hyperlink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3C7049C8" w14:textId="6D42FC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NCT00322452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625CCFA8" w14:textId="2BA6E3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gefitinib vs. carboplatin/paclitaxel</w:t>
            </w:r>
          </w:p>
        </w:tc>
        <w:tc>
          <w:tcPr>
            <w:tcW w:w="2610" w:type="dxa"/>
          </w:tcPr>
          <w:p w:rsidRPr="00D062B0" w:rsidR="00CF1C6C" w:rsidP="4CF6D96B" w:rsidRDefault="3494DBA6" w14:paraId="2A8F8AA1" w14:textId="20A96C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 xml:space="preserve">Exploratory subgroup </w:t>
            </w:r>
            <w:r w:rsidRPr="00D062B0" w:rsidR="42DB111A">
              <w:rPr>
                <w:rFonts w:asciiTheme="majorHAnsi" w:hAnsiTheme="majorHAnsi" w:cstheme="majorHAnsi"/>
                <w:sz w:val="24"/>
                <w:szCs w:val="24"/>
              </w:rPr>
              <w:t>analysis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4DF2CD6A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76BF465A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0.54 (0.38, 0.79)</w:t>
            </w:r>
          </w:p>
        </w:tc>
      </w:tr>
      <w:tr w:rsidRPr="00D062B0" w:rsidR="00CF1C6C" w:rsidTr="4CF6D96B" w14:paraId="6D4F961E" w14:textId="77777777">
        <w:trPr>
          <w:trHeight w:val="234"/>
        </w:trPr>
        <w:tc>
          <w:tcPr>
            <w:tcW w:w="1035" w:type="dxa"/>
            <w:noWrap/>
            <w:hideMark/>
          </w:tcPr>
          <w:p w:rsidRPr="00D062B0" w:rsidR="00CF1C6C" w:rsidP="4CF6D96B" w:rsidRDefault="00AA5529" w14:paraId="0F2F0A03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5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12</w:t>
              </w:r>
            </w:hyperlink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5B1C408B" w14:textId="3DF0B1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NCT02775435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4905585D" w14:textId="428DF5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 xml:space="preserve">pembrolizumab + chemotherapy vs. chemotherapy </w:t>
            </w:r>
          </w:p>
        </w:tc>
        <w:tc>
          <w:tcPr>
            <w:tcW w:w="2610" w:type="dxa"/>
          </w:tcPr>
          <w:p w:rsidRPr="00D062B0" w:rsidR="00CF1C6C" w:rsidP="000E1010" w:rsidRDefault="00CF1C6C" w14:paraId="08C1FF03" w14:textId="50A60F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All Patients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5DE85CE6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0.64 (0.49, 0.85)</w:t>
            </w: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3640C197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0.56 (0.45, 0.7)</w:t>
            </w:r>
          </w:p>
        </w:tc>
      </w:tr>
      <w:tr w:rsidRPr="00D062B0" w:rsidR="00CF1C6C" w:rsidTr="4CF6D96B" w14:paraId="1B6F41C6" w14:textId="77777777">
        <w:trPr>
          <w:trHeight w:val="234"/>
        </w:trPr>
        <w:tc>
          <w:tcPr>
            <w:tcW w:w="1035" w:type="dxa"/>
            <w:noWrap/>
            <w:hideMark/>
          </w:tcPr>
          <w:p w:rsidRPr="00D062B0" w:rsidR="00CF1C6C" w:rsidP="4CF6D96B" w:rsidRDefault="00AA5529" w14:paraId="213EFC0E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w:history="1" r:id="rId16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13b</w:t>
              </w:r>
            </w:hyperlink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08B5D022" w14:textId="55D4A1D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NCT02578680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46AC8429" w14:textId="1CF1F0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 xml:space="preserve">pembrolizumab + chemotherapy vs. chemotherapy </w:t>
            </w:r>
          </w:p>
        </w:tc>
        <w:tc>
          <w:tcPr>
            <w:tcW w:w="2610" w:type="dxa"/>
          </w:tcPr>
          <w:p w:rsidRPr="00D062B0" w:rsidR="00CF1C6C" w:rsidP="000E1010" w:rsidRDefault="00CF1C6C" w14:paraId="7BAED583" w14:textId="0DA876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All Patients</w:t>
            </w:r>
          </w:p>
        </w:tc>
        <w:tc>
          <w:tcPr>
            <w:tcW w:w="1785" w:type="dxa"/>
            <w:noWrap/>
            <w:hideMark/>
          </w:tcPr>
          <w:p w:rsidRPr="00D062B0" w:rsidR="00CF1C6C" w:rsidP="4CF6D96B" w:rsidRDefault="3494DBA6" w14:paraId="19408CC2" w14:textId="3F74F6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</w:t>
            </w:r>
            <w:r w:rsidRPr="00D062B0" w:rsidR="75675E3A">
              <w:rPr>
                <w:rFonts w:asciiTheme="majorHAnsi" w:hAnsiTheme="majorHAnsi" w:cstheme="majorHAnsi"/>
                <w:sz w:val="24"/>
                <w:szCs w:val="24"/>
              </w:rPr>
              <w:t>49</w:t>
            </w: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 xml:space="preserve"> (0</w:t>
            </w:r>
            <w:r w:rsidRPr="00D062B0" w:rsidR="4AD6C88E">
              <w:rPr>
                <w:rFonts w:asciiTheme="majorHAnsi" w:hAnsiTheme="majorHAnsi" w:cstheme="majorHAnsi"/>
                <w:sz w:val="24"/>
                <w:szCs w:val="24"/>
              </w:rPr>
              <w:t>.38</w:t>
            </w: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, 0.6</w:t>
            </w:r>
            <w:r w:rsidRPr="00D062B0" w:rsidR="0812E3BC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5C64A087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0.52 (0.43, 0.64)</w:t>
            </w:r>
          </w:p>
        </w:tc>
      </w:tr>
      <w:tr w:rsidRPr="00D062B0" w:rsidR="00CF1C6C" w:rsidTr="4CF6D96B" w14:paraId="7F22EFB6" w14:textId="77777777">
        <w:trPr>
          <w:trHeight w:val="234"/>
        </w:trPr>
        <w:tc>
          <w:tcPr>
            <w:tcW w:w="1035" w:type="dxa"/>
            <w:noWrap/>
            <w:hideMark/>
          </w:tcPr>
          <w:p w:rsidRPr="00D062B0" w:rsidR="00CF1C6C" w:rsidP="4CF6D96B" w:rsidRDefault="00AA5529" w14:paraId="163AFD88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w:history="1" r:id="rId17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14b</w:t>
              </w:r>
            </w:hyperlink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6C794650" w14:textId="59522B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NCT02142738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75B61CAC" w14:textId="333AA9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pembrolizumab vs. chemotherapy</w:t>
            </w:r>
          </w:p>
        </w:tc>
        <w:tc>
          <w:tcPr>
            <w:tcW w:w="2610" w:type="dxa"/>
          </w:tcPr>
          <w:p w:rsidRPr="00D062B0" w:rsidR="00CF1C6C" w:rsidP="000E1010" w:rsidRDefault="00CF1C6C" w14:paraId="434400F6" w14:textId="12E133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All Patients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7801ED07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7CEF3075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0.5 (0.37, 0.68)</w:t>
            </w:r>
          </w:p>
        </w:tc>
      </w:tr>
      <w:tr w:rsidRPr="00D062B0" w:rsidR="00CF1C6C" w:rsidTr="4CF6D96B" w14:paraId="70667EE7" w14:textId="77777777">
        <w:trPr>
          <w:trHeight w:val="234"/>
        </w:trPr>
        <w:tc>
          <w:tcPr>
            <w:tcW w:w="1035" w:type="dxa"/>
            <w:vMerge w:val="restart"/>
            <w:noWrap/>
            <w:hideMark/>
          </w:tcPr>
          <w:p w:rsidRPr="00D062B0" w:rsidR="00CF1C6C" w:rsidP="4CF6D96B" w:rsidRDefault="00AA5529" w14:paraId="04B82CD7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w:history="1" r:id="rId18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14c</w:t>
              </w:r>
            </w:hyperlink>
          </w:p>
          <w:p w:rsidRPr="00D062B0" w:rsidR="00CF1C6C" w:rsidP="000E1010" w:rsidRDefault="00CF1C6C" w14:paraId="7A531904" w14:textId="6FB913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shd w:val="clear" w:color="auto" w:fill="auto"/>
          </w:tcPr>
          <w:p w:rsidRPr="00D062B0" w:rsidR="00CF1C6C" w:rsidP="000E1010" w:rsidRDefault="3494DBA6" w14:paraId="3CBB3ECF" w14:textId="406BB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NCT01905657</w:t>
            </w:r>
          </w:p>
          <w:p w:rsidRPr="00D062B0" w:rsidR="4CF6D96B" w:rsidP="4CF6D96B" w:rsidRDefault="4CF6D96B" w14:paraId="380556F8" w14:textId="5FEFB3C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3D42D327" w14:textId="7BDF33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pembrolizumab 10 mg/kg vs. chemotherapy</w:t>
            </w:r>
          </w:p>
        </w:tc>
        <w:tc>
          <w:tcPr>
            <w:tcW w:w="2610" w:type="dxa"/>
          </w:tcPr>
          <w:p w:rsidRPr="00D062B0" w:rsidR="00CF1C6C" w:rsidP="000E1010" w:rsidRDefault="00CF1C6C" w14:paraId="0496414C" w14:textId="647F41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PD-L1 &gt;= 1%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12F8799C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0.61 (0.49, 0.75)</w:t>
            </w: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615E0EB1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0.79 (0.66, 0.94)</w:t>
            </w:r>
          </w:p>
        </w:tc>
      </w:tr>
      <w:tr w:rsidRPr="00D062B0" w:rsidR="00CF1C6C" w:rsidTr="4CF6D96B" w14:paraId="2B78E64E" w14:textId="77777777">
        <w:trPr>
          <w:trHeight w:val="234"/>
        </w:trPr>
        <w:tc>
          <w:tcPr>
            <w:tcW w:w="1035" w:type="dxa"/>
            <w:vMerge/>
            <w:noWrap/>
            <w:hideMark/>
          </w:tcPr>
          <w:p w:rsidRPr="00D062B0" w:rsidR="00CF1C6C" w:rsidP="000E1010" w:rsidRDefault="00CF1C6C" w14:paraId="271F659F" w14:textId="3C90BE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Pr="00D062B0" w:rsidR="00CF1C6C" w:rsidP="000E1010" w:rsidRDefault="00CF1C6C" w14:paraId="6D146ACD" w14:textId="003103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NCT01905657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49CC164D" w14:textId="08D4F7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pembrolizumab 2 mg/kg vs. chemotherapy</w:t>
            </w:r>
          </w:p>
        </w:tc>
        <w:tc>
          <w:tcPr>
            <w:tcW w:w="2610" w:type="dxa"/>
          </w:tcPr>
          <w:p w:rsidRPr="00D062B0" w:rsidR="00CF1C6C" w:rsidP="000E1010" w:rsidRDefault="00CF1C6C" w14:paraId="1D68885D" w14:textId="0106881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PD-L1 &gt;= 1%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1A2F4EFC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0.71 (0.58, 0.88)</w:t>
            </w: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23F5E5AD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0.88 (0.73, 1.04)</w:t>
            </w:r>
          </w:p>
        </w:tc>
      </w:tr>
      <w:tr w:rsidRPr="00D062B0" w:rsidR="00CF1C6C" w:rsidTr="4CF6D96B" w14:paraId="2E1AC904" w14:textId="77777777">
        <w:trPr>
          <w:trHeight w:val="234"/>
        </w:trPr>
        <w:tc>
          <w:tcPr>
            <w:tcW w:w="1035" w:type="dxa"/>
            <w:noWrap/>
            <w:hideMark/>
          </w:tcPr>
          <w:p w:rsidRPr="00D062B0" w:rsidR="00CF1C6C" w:rsidP="4CF6D96B" w:rsidRDefault="00AA5529" w14:paraId="58280A9D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w:history="1" r:id="rId19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15</w:t>
              </w:r>
            </w:hyperlink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0C32C71D" w14:textId="736C6F1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NCT02220894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15FB27C8" w14:textId="12D839E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pembrolizumab vs. chemotherapy</w:t>
            </w:r>
          </w:p>
        </w:tc>
        <w:tc>
          <w:tcPr>
            <w:tcW w:w="2610" w:type="dxa"/>
          </w:tcPr>
          <w:p w:rsidRPr="00D062B0" w:rsidR="00CF1C6C" w:rsidP="000E1010" w:rsidRDefault="00CF1C6C" w14:paraId="04B9CBFD" w14:textId="729F03A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PD-L1 &gt;= 1%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1784149A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0.81 (0.71, 0.93)</w:t>
            </w: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411718AF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062B0" w:rsidR="00CF1C6C" w:rsidTr="4CF6D96B" w14:paraId="0AC36890" w14:textId="77777777">
        <w:trPr>
          <w:trHeight w:val="234"/>
        </w:trPr>
        <w:tc>
          <w:tcPr>
            <w:tcW w:w="1035" w:type="dxa"/>
            <w:noWrap/>
            <w:hideMark/>
          </w:tcPr>
          <w:p w:rsidRPr="00D062B0" w:rsidR="00CF1C6C" w:rsidP="4CF6D96B" w:rsidRDefault="00AA5529" w14:paraId="549E7751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w:history="1" r:id="rId20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16</w:t>
              </w:r>
            </w:hyperlink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44D1F337" w14:textId="2438AD4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NCT03088540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4A311A6E" w14:textId="4C1B0D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cemiplimab</w:t>
            </w:r>
            <w:proofErr w:type="spellEnd"/>
            <w:r w:rsidRPr="00D062B0">
              <w:rPr>
                <w:rFonts w:asciiTheme="majorHAnsi" w:hAnsiTheme="majorHAnsi" w:cstheme="majorHAnsi"/>
                <w:sz w:val="24"/>
                <w:szCs w:val="24"/>
              </w:rPr>
              <w:t xml:space="preserve"> vs. chemotherapy</w:t>
            </w:r>
          </w:p>
        </w:tc>
        <w:tc>
          <w:tcPr>
            <w:tcW w:w="2610" w:type="dxa"/>
          </w:tcPr>
          <w:p w:rsidRPr="00D062B0" w:rsidR="00CF1C6C" w:rsidP="00D062B0" w:rsidRDefault="3C2A1AC5" w14:paraId="48D83A9A" w14:textId="23D39CA6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All Patients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353100A8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0.68 (0.53, 0.87)</w:t>
            </w: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33F2F590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0.59 (0.49, 0.72)</w:t>
            </w:r>
          </w:p>
        </w:tc>
      </w:tr>
      <w:tr w:rsidRPr="00D062B0" w:rsidR="00CF1C6C" w:rsidTr="4CF6D96B" w14:paraId="165C95BF" w14:textId="77777777">
        <w:trPr>
          <w:trHeight w:val="234"/>
        </w:trPr>
        <w:tc>
          <w:tcPr>
            <w:tcW w:w="1035" w:type="dxa"/>
            <w:noWrap/>
            <w:hideMark/>
          </w:tcPr>
          <w:p w:rsidRPr="00D062B0" w:rsidR="00CF1C6C" w:rsidP="4CF6D96B" w:rsidRDefault="00AA5529" w14:paraId="058F0839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w:history="1" r:id="rId21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17b</w:t>
              </w:r>
            </w:hyperlink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0260AD85" w14:textId="0A309A6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NCT03052608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64B0B610" w14:textId="724955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lorlatinib</w:t>
            </w:r>
            <w:proofErr w:type="spellEnd"/>
            <w:r w:rsidRPr="00D062B0">
              <w:rPr>
                <w:rFonts w:asciiTheme="majorHAnsi" w:hAnsiTheme="majorHAnsi" w:cstheme="majorHAnsi"/>
                <w:sz w:val="24"/>
                <w:szCs w:val="24"/>
              </w:rPr>
              <w:t xml:space="preserve"> vs. </w:t>
            </w:r>
            <w:proofErr w:type="spellStart"/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crizotinib</w:t>
            </w:r>
            <w:proofErr w:type="spellEnd"/>
          </w:p>
        </w:tc>
        <w:tc>
          <w:tcPr>
            <w:tcW w:w="2610" w:type="dxa"/>
          </w:tcPr>
          <w:p w:rsidRPr="00D062B0" w:rsidR="00CF1C6C" w:rsidP="000E1010" w:rsidRDefault="00CF1C6C" w14:paraId="43879D4B" w14:textId="4889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All Patients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07598577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1061E360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0.28 (0.19, 0.41)</w:t>
            </w:r>
          </w:p>
        </w:tc>
      </w:tr>
      <w:tr w:rsidRPr="00D062B0" w:rsidR="00CF1C6C" w:rsidTr="4CF6D96B" w14:paraId="10D8664B" w14:textId="77777777">
        <w:trPr>
          <w:trHeight w:val="234"/>
        </w:trPr>
        <w:tc>
          <w:tcPr>
            <w:tcW w:w="1035" w:type="dxa"/>
            <w:noWrap/>
            <w:hideMark/>
          </w:tcPr>
          <w:p w:rsidRPr="00D062B0" w:rsidR="00CF1C6C" w:rsidP="4CF6D96B" w:rsidRDefault="00AA5529" w14:paraId="78E978E1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w:history="1" r:id="rId22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20</w:t>
              </w:r>
            </w:hyperlink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56BE43B4" w14:textId="05A108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NCT02477826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4D64045F" w14:textId="799B52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nivolumab + ipilimumab vs. chemotherapy</w:t>
            </w:r>
          </w:p>
        </w:tc>
        <w:tc>
          <w:tcPr>
            <w:tcW w:w="2610" w:type="dxa"/>
          </w:tcPr>
          <w:p w:rsidRPr="00D062B0" w:rsidR="00CF1C6C" w:rsidP="000E1010" w:rsidRDefault="00CF1C6C" w14:paraId="5EC559BE" w14:textId="5CB15E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PD-L1 &gt;= 1%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11D8578A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0.79 (0.67, 0.94)</w:t>
            </w: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33A30A8C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062B0" w:rsidR="00CF1C6C" w:rsidTr="4CF6D96B" w14:paraId="4416DD46" w14:textId="77777777">
        <w:trPr>
          <w:trHeight w:val="234"/>
        </w:trPr>
        <w:tc>
          <w:tcPr>
            <w:tcW w:w="1035" w:type="dxa"/>
            <w:noWrap/>
            <w:hideMark/>
          </w:tcPr>
          <w:p w:rsidRPr="00D062B0" w:rsidR="00CF1C6C" w:rsidP="4CF6D96B" w:rsidRDefault="00AA5529" w14:paraId="58D8FF05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w:history="1" r:id="rId23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21</w:t>
              </w:r>
            </w:hyperlink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6721E2D8" w14:textId="0DD522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NCT03215706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4516FE06" w14:textId="5F8AB3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nivolumab + ipilimumab + chemotherapy vs. chemotherapy</w:t>
            </w:r>
          </w:p>
        </w:tc>
        <w:tc>
          <w:tcPr>
            <w:tcW w:w="2610" w:type="dxa"/>
          </w:tcPr>
          <w:p w:rsidRPr="00D062B0" w:rsidR="00CF1C6C" w:rsidP="00D062B0" w:rsidRDefault="2AACF964" w14:paraId="559C1448" w14:textId="5D7595A9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Pre-specified interim analysis at 351 events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35A6ADE7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0.69 (0.55, 0.87)</w:t>
            </w: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566A38EE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062B0" w:rsidR="00CF1C6C" w:rsidTr="4CF6D96B" w14:paraId="30C8F44C" w14:textId="77777777">
        <w:trPr>
          <w:trHeight w:val="234"/>
        </w:trPr>
        <w:tc>
          <w:tcPr>
            <w:tcW w:w="1035" w:type="dxa"/>
            <w:noWrap/>
            <w:hideMark/>
          </w:tcPr>
          <w:p w:rsidRPr="00D062B0" w:rsidR="00CF1C6C" w:rsidP="4CF6D96B" w:rsidRDefault="00AA5529" w14:paraId="3C33A5F7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w:history="1" r:id="rId24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22</w:t>
              </w:r>
            </w:hyperlink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20D4A1DB" w14:textId="448C94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NCT01642004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27EC145C" w14:textId="179095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nivolumab vs. chemotherapy</w:t>
            </w:r>
          </w:p>
        </w:tc>
        <w:tc>
          <w:tcPr>
            <w:tcW w:w="2610" w:type="dxa"/>
          </w:tcPr>
          <w:p w:rsidRPr="00D062B0" w:rsidR="00CF1C6C" w:rsidP="000E1010" w:rsidRDefault="00CF1C6C" w14:paraId="0718F1DA" w14:textId="1E4EFE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Pre-specified interim analysis at 199 events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751BDDC5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0.59 (0.44, 0.79)</w:t>
            </w: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4917CAB9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062B0" w:rsidR="00CF1C6C" w:rsidTr="4CF6D96B" w14:paraId="5CBA06FE" w14:textId="77777777">
        <w:trPr>
          <w:trHeight w:val="234"/>
        </w:trPr>
        <w:tc>
          <w:tcPr>
            <w:tcW w:w="1035" w:type="dxa"/>
            <w:noWrap/>
            <w:hideMark/>
          </w:tcPr>
          <w:p w:rsidRPr="00D062B0" w:rsidR="00CF1C6C" w:rsidP="4CF6D96B" w:rsidRDefault="00AA5529" w14:paraId="2850E054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w:history="1" r:id="rId25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23</w:t>
              </w:r>
            </w:hyperlink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53AA8A96" w14:textId="6016AF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NCT01673867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5433C7CE" w14:textId="5E3934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nivolumab vs. chemotherapy</w:t>
            </w:r>
          </w:p>
        </w:tc>
        <w:tc>
          <w:tcPr>
            <w:tcW w:w="2610" w:type="dxa"/>
          </w:tcPr>
          <w:p w:rsidRPr="00D062B0" w:rsidR="00CF1C6C" w:rsidP="000E1010" w:rsidRDefault="00CF1C6C" w14:paraId="1E147A05" w14:textId="579764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Pre-specified interim analysis at 413 events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46F934DF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0.73 (0.6, 0.89)</w:t>
            </w: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616E3A28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062B0" w:rsidR="00CF1C6C" w:rsidTr="4CF6D96B" w14:paraId="76A98924" w14:textId="77777777">
        <w:trPr>
          <w:trHeight w:val="234"/>
        </w:trPr>
        <w:tc>
          <w:tcPr>
            <w:tcW w:w="1035" w:type="dxa"/>
            <w:noWrap/>
            <w:hideMark/>
          </w:tcPr>
          <w:p w:rsidRPr="00D062B0" w:rsidR="00CF1C6C" w:rsidP="4CF6D96B" w:rsidRDefault="00AA5529" w14:paraId="67AB1EC7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w:history="1" r:id="rId26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24</w:t>
              </w:r>
            </w:hyperlink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69536726" w14:textId="615E33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NCT00981058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68CA3E36" w14:textId="29136D4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necitumumab + chemotherapy vs. chemotherapy</w:t>
            </w:r>
          </w:p>
        </w:tc>
        <w:tc>
          <w:tcPr>
            <w:tcW w:w="2610" w:type="dxa"/>
          </w:tcPr>
          <w:p w:rsidRPr="00D062B0" w:rsidR="00CF1C6C" w:rsidP="000E1010" w:rsidRDefault="00CF1C6C" w14:paraId="51048A70" w14:textId="65E634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All Patients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68BCB665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0.84 (0.74, 0.96)</w:t>
            </w: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2AAE2AB7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062B0" w:rsidR="00CF1C6C" w:rsidTr="4CF6D96B" w14:paraId="768FA033" w14:textId="77777777">
        <w:trPr>
          <w:trHeight w:val="234"/>
        </w:trPr>
        <w:tc>
          <w:tcPr>
            <w:tcW w:w="1035" w:type="dxa"/>
            <w:noWrap/>
            <w:hideMark/>
          </w:tcPr>
          <w:p w:rsidRPr="00D062B0" w:rsidR="00CF1C6C" w:rsidP="4CF6D96B" w:rsidRDefault="00AA5529" w14:paraId="60FF2209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w:history="1" r:id="rId27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30b</w:t>
              </w:r>
            </w:hyperlink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24E3ACC5" w14:textId="75FDA7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NCT02151981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51054298" w14:textId="29E081E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osimertinib</w:t>
            </w:r>
            <w:proofErr w:type="spellEnd"/>
            <w:r w:rsidRPr="00D062B0">
              <w:rPr>
                <w:rFonts w:asciiTheme="majorHAnsi" w:hAnsiTheme="majorHAnsi" w:cstheme="majorHAnsi"/>
                <w:sz w:val="24"/>
                <w:szCs w:val="24"/>
              </w:rPr>
              <w:t xml:space="preserve"> vs. chemotherapy</w:t>
            </w:r>
          </w:p>
        </w:tc>
        <w:tc>
          <w:tcPr>
            <w:tcW w:w="2610" w:type="dxa"/>
          </w:tcPr>
          <w:p w:rsidRPr="00D062B0" w:rsidR="00CF1C6C" w:rsidP="000E1010" w:rsidRDefault="00CF1C6C" w14:paraId="0F81784D" w14:textId="4B7003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All Patients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7C45F130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2242C516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0.3 (0.23, 0.41)</w:t>
            </w:r>
          </w:p>
        </w:tc>
      </w:tr>
      <w:tr w:rsidRPr="00D062B0" w:rsidR="00CF1C6C" w:rsidTr="4CF6D96B" w14:paraId="1F28935E" w14:textId="77777777">
        <w:trPr>
          <w:trHeight w:val="234"/>
        </w:trPr>
        <w:tc>
          <w:tcPr>
            <w:tcW w:w="1035" w:type="dxa"/>
            <w:noWrap/>
            <w:hideMark/>
          </w:tcPr>
          <w:p w:rsidRPr="00D062B0" w:rsidR="00CF1C6C" w:rsidP="4CF6D96B" w:rsidRDefault="00AA5529" w14:paraId="7F01C21B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w:history="1" r:id="rId28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31</w:t>
              </w:r>
            </w:hyperlink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397965CB" w14:textId="1F15D9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NCT02296125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299D1407" w14:textId="026A0CC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osimertinib</w:t>
            </w:r>
            <w:proofErr w:type="spellEnd"/>
            <w:r w:rsidRPr="00D062B0">
              <w:rPr>
                <w:rFonts w:asciiTheme="majorHAnsi" w:hAnsiTheme="majorHAnsi" w:cstheme="majorHAnsi"/>
                <w:sz w:val="24"/>
                <w:szCs w:val="24"/>
              </w:rPr>
              <w:t xml:space="preserve"> vs. gefitinib</w:t>
            </w:r>
          </w:p>
        </w:tc>
        <w:tc>
          <w:tcPr>
            <w:tcW w:w="2610" w:type="dxa"/>
          </w:tcPr>
          <w:p w:rsidRPr="00D062B0" w:rsidR="00CF1C6C" w:rsidP="000E1010" w:rsidRDefault="00CF1C6C" w14:paraId="77B74C5F" w14:textId="235537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All Patients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0F9B60D2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56DE09BE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0.46 (0.37, 0.57)</w:t>
            </w:r>
          </w:p>
        </w:tc>
      </w:tr>
      <w:tr w:rsidRPr="00D062B0" w:rsidR="00CF1C6C" w:rsidTr="4CF6D96B" w14:paraId="56708F57" w14:textId="77777777">
        <w:trPr>
          <w:trHeight w:val="234"/>
        </w:trPr>
        <w:tc>
          <w:tcPr>
            <w:tcW w:w="1035" w:type="dxa"/>
            <w:vMerge w:val="restart"/>
            <w:noWrap/>
            <w:hideMark/>
          </w:tcPr>
          <w:p w:rsidRPr="00D062B0" w:rsidR="00CF1C6C" w:rsidP="4CF6D96B" w:rsidRDefault="00AA5529" w14:paraId="72AA52B7" w14:textId="58113D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w:history="1" r:id="rId29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32</w:t>
              </w:r>
            </w:hyperlink>
          </w:p>
        </w:tc>
        <w:tc>
          <w:tcPr>
            <w:tcW w:w="1215" w:type="dxa"/>
            <w:vMerge w:val="restart"/>
            <w:shd w:val="clear" w:color="auto" w:fill="auto"/>
          </w:tcPr>
          <w:p w:rsidRPr="00D062B0" w:rsidR="3494DBA6" w:rsidP="4CF6D96B" w:rsidRDefault="3494DBA6" w14:paraId="6AA62A50" w14:textId="678F77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NCT02511106</w:t>
            </w:r>
          </w:p>
        </w:tc>
        <w:tc>
          <w:tcPr>
            <w:tcW w:w="3420" w:type="dxa"/>
            <w:vMerge w:val="restart"/>
            <w:noWrap/>
            <w:hideMark/>
          </w:tcPr>
          <w:p w:rsidRPr="00D062B0" w:rsidR="00CF1C6C" w:rsidP="000E1010" w:rsidRDefault="00CF1C6C" w14:paraId="4E1A3CD5" w14:textId="6DFD0A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osimertinib</w:t>
            </w:r>
            <w:proofErr w:type="spellEnd"/>
            <w:r w:rsidRPr="00D062B0">
              <w:rPr>
                <w:rFonts w:asciiTheme="majorHAnsi" w:hAnsiTheme="majorHAnsi" w:cstheme="majorHAnsi"/>
                <w:sz w:val="24"/>
                <w:szCs w:val="24"/>
              </w:rPr>
              <w:t xml:space="preserve"> vs. placebo</w:t>
            </w:r>
          </w:p>
          <w:p w:rsidRPr="00D062B0" w:rsidR="00CF1C6C" w:rsidP="000E1010" w:rsidRDefault="00CF1C6C" w14:paraId="7A029ADA" w14:textId="6A2BF3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Pr="00D062B0" w:rsidR="00CF1C6C" w:rsidP="000E1010" w:rsidRDefault="00CF1C6C" w14:paraId="574D0B50" w14:textId="1732C3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Stage II-IIIA</w:t>
            </w:r>
          </w:p>
        </w:tc>
        <w:tc>
          <w:tcPr>
            <w:tcW w:w="1785" w:type="dxa"/>
            <w:noWrap/>
            <w:hideMark/>
          </w:tcPr>
          <w:p w:rsidRPr="00D062B0" w:rsidR="00CF1C6C" w:rsidP="4CF6D96B" w:rsidRDefault="00CF1C6C" w14:paraId="5E6DB3D6" w14:textId="2AA755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31990564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0.17 (0.12, 0.23)</w:t>
            </w:r>
          </w:p>
        </w:tc>
      </w:tr>
      <w:tr w:rsidRPr="00D062B0" w:rsidR="00CF1C6C" w:rsidTr="4CF6D96B" w14:paraId="74BF697E" w14:textId="77777777">
        <w:trPr>
          <w:trHeight w:val="234"/>
        </w:trPr>
        <w:tc>
          <w:tcPr>
            <w:tcW w:w="1035" w:type="dxa"/>
            <w:vMerge/>
            <w:noWrap/>
            <w:hideMark/>
          </w:tcPr>
          <w:p w:rsidRPr="00D062B0" w:rsidR="00CF1C6C" w:rsidP="000E1010" w:rsidRDefault="00CF1C6C" w14:paraId="3737D76B" w14:textId="74061A3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Pr="00D062B0" w:rsidR="00CF1C6C" w:rsidP="000E1010" w:rsidRDefault="00CF1C6C" w14:paraId="598C4375" w14:textId="1C6FEC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NCT02511106</w:t>
            </w:r>
          </w:p>
        </w:tc>
        <w:tc>
          <w:tcPr>
            <w:tcW w:w="3420" w:type="dxa"/>
            <w:vMerge/>
            <w:noWrap/>
            <w:hideMark/>
          </w:tcPr>
          <w:p w:rsidRPr="00D062B0" w:rsidR="00CF1C6C" w:rsidP="000E1010" w:rsidRDefault="00CF1C6C" w14:paraId="4CA38E9D" w14:textId="737B3A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Pr="00D062B0" w:rsidR="00CF1C6C" w:rsidP="000E1010" w:rsidRDefault="00CF1C6C" w14:paraId="6266F8A6" w14:textId="118C164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Stage IB-IIIA</w:t>
            </w:r>
          </w:p>
        </w:tc>
        <w:tc>
          <w:tcPr>
            <w:tcW w:w="1785" w:type="dxa"/>
            <w:noWrap/>
            <w:hideMark/>
          </w:tcPr>
          <w:p w:rsidRPr="00D062B0" w:rsidR="00CF1C6C" w:rsidP="4CF6D96B" w:rsidRDefault="00CF1C6C" w14:paraId="3AC36E1C" w14:textId="3F3003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7663FBCA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0.2 (0.15, 0.27)</w:t>
            </w:r>
          </w:p>
        </w:tc>
      </w:tr>
      <w:tr w:rsidRPr="00D062B0" w:rsidR="00CF1C6C" w:rsidTr="4CF6D96B" w14:paraId="07C42337" w14:textId="77777777">
        <w:trPr>
          <w:trHeight w:val="234"/>
        </w:trPr>
        <w:tc>
          <w:tcPr>
            <w:tcW w:w="1035" w:type="dxa"/>
            <w:noWrap/>
            <w:hideMark/>
          </w:tcPr>
          <w:p w:rsidRPr="00D062B0" w:rsidR="00CF1C6C" w:rsidP="4CF6D96B" w:rsidRDefault="00AA5529" w14:paraId="6E3F0360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w:history="1" r:id="rId30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33</w:t>
              </w:r>
            </w:hyperlink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1E3E97B4" w14:textId="0CD19AC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NCT00446225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02E3EE85" w14:textId="27A5C9E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erlotinib vs. chemotherapy</w:t>
            </w:r>
          </w:p>
        </w:tc>
        <w:tc>
          <w:tcPr>
            <w:tcW w:w="2610" w:type="dxa"/>
          </w:tcPr>
          <w:p w:rsidRPr="00D062B0" w:rsidR="00CF1C6C" w:rsidP="000E1010" w:rsidRDefault="00CF1C6C" w14:paraId="1877BA5D" w14:textId="464096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All Patients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68F416CF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771BFCF4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0.34 (0.23, 0.49)</w:t>
            </w:r>
          </w:p>
        </w:tc>
      </w:tr>
      <w:tr w:rsidRPr="00D062B0" w:rsidR="00CF1C6C" w:rsidTr="4CF6D96B" w14:paraId="0EA77516" w14:textId="77777777">
        <w:trPr>
          <w:trHeight w:val="234"/>
        </w:trPr>
        <w:tc>
          <w:tcPr>
            <w:tcW w:w="1035" w:type="dxa"/>
            <w:noWrap/>
            <w:hideMark/>
          </w:tcPr>
          <w:p w:rsidRPr="00D062B0" w:rsidR="00CF1C6C" w:rsidP="4CF6D96B" w:rsidRDefault="00AA5529" w14:paraId="0A87B127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w:history="1" r:id="rId31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35</w:t>
              </w:r>
            </w:hyperlink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5FEF6822" w14:textId="602BDD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NCT02366143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59724568" w14:textId="107E7F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atezolizumab + bevacizumab + chemotherapy vs. bevacizumab + chemotherapy</w:t>
            </w:r>
          </w:p>
        </w:tc>
        <w:tc>
          <w:tcPr>
            <w:tcW w:w="2610" w:type="dxa"/>
          </w:tcPr>
          <w:p w:rsidRPr="00D062B0" w:rsidR="00CF1C6C" w:rsidP="4CF6D96B" w:rsidRDefault="3494DBA6" w14:paraId="27F2239B" w14:textId="6DAAE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Patients without EGFR</w:t>
            </w:r>
            <w:r w:rsidRPr="00D062B0" w:rsidR="2514E946">
              <w:rPr>
                <w:rFonts w:asciiTheme="majorHAnsi" w:hAnsiTheme="majorHAnsi" w:cstheme="majorHAnsi"/>
                <w:sz w:val="24"/>
                <w:szCs w:val="24"/>
              </w:rPr>
              <w:t>+</w:t>
            </w: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 xml:space="preserve"> or ALK</w:t>
            </w:r>
            <w:r w:rsidRPr="00D062B0" w:rsidR="1FCFA7E0">
              <w:rPr>
                <w:rFonts w:asciiTheme="majorHAnsi" w:hAnsiTheme="majorHAnsi" w:cstheme="majorHAnsi"/>
                <w:sz w:val="24"/>
                <w:szCs w:val="24"/>
              </w:rPr>
              <w:t>+</w:t>
            </w:r>
            <w:r w:rsidRPr="00D062B0" w:rsidR="325A3E3B">
              <w:rPr>
                <w:rFonts w:asciiTheme="majorHAnsi" w:hAnsiTheme="majorHAnsi" w:cstheme="majorHAnsi"/>
                <w:sz w:val="24"/>
                <w:szCs w:val="24"/>
              </w:rPr>
              <w:t xml:space="preserve"> (ITT-WT)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3F852678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0.78 (0.64, 0.96)</w:t>
            </w: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72219D96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0.71 (0.59, 0.85)</w:t>
            </w:r>
          </w:p>
        </w:tc>
      </w:tr>
      <w:tr w:rsidRPr="00D062B0" w:rsidR="00CF1C6C" w:rsidTr="4CF6D96B" w14:paraId="32E83DB0" w14:textId="77777777">
        <w:trPr>
          <w:trHeight w:val="234"/>
        </w:trPr>
        <w:tc>
          <w:tcPr>
            <w:tcW w:w="1035" w:type="dxa"/>
            <w:noWrap/>
            <w:hideMark/>
          </w:tcPr>
          <w:p w:rsidRPr="00D062B0" w:rsidR="00CF1C6C" w:rsidP="4CF6D96B" w:rsidRDefault="00AA5529" w14:paraId="49438E8E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w:history="1" r:id="rId32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36</w:t>
              </w:r>
            </w:hyperlink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7BFD85B5" w14:textId="0DCFC3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NCT02367781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6FCF6410" w14:textId="0CC1A5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atezolizumab + chemotherapy vs. chemotherapy</w:t>
            </w:r>
          </w:p>
        </w:tc>
        <w:tc>
          <w:tcPr>
            <w:tcW w:w="2610" w:type="dxa"/>
          </w:tcPr>
          <w:p w:rsidRPr="00D062B0" w:rsidR="00CF1C6C" w:rsidP="4CF6D96B" w:rsidRDefault="3494DBA6" w14:paraId="19CA7FAD" w14:textId="4520A6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Patients without EGFR</w:t>
            </w:r>
            <w:r w:rsidRPr="00D062B0" w:rsidR="37490BDF">
              <w:rPr>
                <w:rFonts w:asciiTheme="majorHAnsi" w:hAnsiTheme="majorHAnsi" w:cstheme="majorHAnsi"/>
                <w:sz w:val="24"/>
                <w:szCs w:val="24"/>
              </w:rPr>
              <w:t>+</w:t>
            </w: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 xml:space="preserve"> or ALK+</w:t>
            </w:r>
            <w:r w:rsidRPr="00D062B0" w:rsidR="39FD960B">
              <w:rPr>
                <w:rFonts w:asciiTheme="majorHAnsi" w:hAnsiTheme="majorHAnsi" w:cstheme="majorHAnsi"/>
                <w:sz w:val="24"/>
                <w:szCs w:val="24"/>
              </w:rPr>
              <w:t xml:space="preserve"> (ITT-WT)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37DB2696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0.8 (0.64, 0.99)</w:t>
            </w: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6D6410DF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0.75 (0.63, 0.91)</w:t>
            </w:r>
          </w:p>
        </w:tc>
      </w:tr>
      <w:tr w:rsidRPr="00D062B0" w:rsidR="00CF1C6C" w:rsidTr="4CF6D96B" w14:paraId="47270958" w14:textId="77777777">
        <w:trPr>
          <w:trHeight w:val="476"/>
        </w:trPr>
        <w:tc>
          <w:tcPr>
            <w:tcW w:w="1035" w:type="dxa"/>
            <w:vMerge w:val="restart"/>
            <w:noWrap/>
            <w:hideMark/>
          </w:tcPr>
          <w:p w:rsidRPr="00D062B0" w:rsidR="00CF1C6C" w:rsidP="4CF6D96B" w:rsidRDefault="00AA5529" w14:paraId="12935A63" w14:textId="29D2C1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w:history="1" r:id="rId33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37</w:t>
              </w:r>
            </w:hyperlink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66945C27" w14:textId="7682AD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NCT02008227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24DB8AC7" w14:textId="07E13A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atezolizumab vs. chemotherapy</w:t>
            </w:r>
          </w:p>
        </w:tc>
        <w:tc>
          <w:tcPr>
            <w:tcW w:w="2610" w:type="dxa"/>
          </w:tcPr>
          <w:p w:rsidRPr="00D062B0" w:rsidR="00CF1C6C" w:rsidP="000E1010" w:rsidRDefault="00CF1C6C" w14:paraId="05FD0BFC" w14:textId="78BED3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Primary Analysis Population (ITT-850)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49DD45B7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0.74 (0.63, 0.87)</w:t>
            </w: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48C84C61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062B0" w:rsidR="00CF1C6C" w:rsidTr="4CF6D96B" w14:paraId="38750A4E" w14:textId="77777777">
        <w:trPr>
          <w:trHeight w:val="234"/>
        </w:trPr>
        <w:tc>
          <w:tcPr>
            <w:tcW w:w="1035" w:type="dxa"/>
            <w:vMerge/>
            <w:noWrap/>
            <w:hideMark/>
          </w:tcPr>
          <w:p w:rsidRPr="00D062B0" w:rsidR="00CF1C6C" w:rsidP="000E1010" w:rsidRDefault="00CF1C6C" w14:paraId="3F9E4238" w14:textId="362710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28D1CF44" w14:textId="0E4B5C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NCT01903993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405EDB94" w14:textId="0FFE4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atezolizumab vs. docetaxel</w:t>
            </w:r>
          </w:p>
        </w:tc>
        <w:tc>
          <w:tcPr>
            <w:tcW w:w="2610" w:type="dxa"/>
          </w:tcPr>
          <w:p w:rsidRPr="00D062B0" w:rsidR="00CF1C6C" w:rsidP="00D062B0" w:rsidRDefault="3494DBA6" w14:paraId="506D9211" w14:textId="2C870A4F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All Patients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2161065D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0.69 (0.52, 0.92)</w:t>
            </w: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223DD084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062B0" w:rsidR="00CF1C6C" w:rsidTr="4CF6D96B" w14:paraId="1FE4D374" w14:textId="77777777">
        <w:trPr>
          <w:trHeight w:val="234"/>
        </w:trPr>
        <w:tc>
          <w:tcPr>
            <w:tcW w:w="1035" w:type="dxa"/>
            <w:noWrap/>
            <w:hideMark/>
          </w:tcPr>
          <w:p w:rsidRPr="00D062B0" w:rsidR="00CF1C6C" w:rsidP="4CF6D96B" w:rsidRDefault="00AA5529" w14:paraId="7D192E92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w:history="1" r:id="rId34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38</w:t>
              </w:r>
            </w:hyperlink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0FD155DD" w14:textId="7C339BD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NCT02409342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60D506B5" w14:textId="71D83E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atezolizumab vs. chemotherapy</w:t>
            </w:r>
          </w:p>
        </w:tc>
        <w:tc>
          <w:tcPr>
            <w:tcW w:w="2610" w:type="dxa"/>
          </w:tcPr>
          <w:p w:rsidRPr="00D062B0" w:rsidR="00CF1C6C" w:rsidP="4CF6D96B" w:rsidRDefault="3494DBA6" w14:paraId="15B671CD" w14:textId="29C6EE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PD-L1</w:t>
            </w:r>
            <w:r w:rsidRPr="00D062B0" w:rsidR="346973EE">
              <w:rPr>
                <w:rFonts w:asciiTheme="majorHAnsi" w:hAnsiTheme="majorHAnsi" w:cstheme="majorHAnsi"/>
                <w:sz w:val="24"/>
                <w:szCs w:val="24"/>
              </w:rPr>
              <w:t>-High (</w:t>
            </w: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IC &gt;= 10% or PD-L1 TC &gt;= 50%</w:t>
            </w:r>
            <w:r w:rsidRPr="00D062B0" w:rsidR="10695C99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3111E414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0.59 (0.4, 0.89)</w:t>
            </w: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16679C53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062B0" w:rsidR="00CF1C6C" w:rsidTr="4CF6D96B" w14:paraId="149BF85F" w14:textId="77777777">
        <w:trPr>
          <w:trHeight w:val="234"/>
        </w:trPr>
        <w:tc>
          <w:tcPr>
            <w:tcW w:w="1035" w:type="dxa"/>
            <w:noWrap/>
            <w:hideMark/>
          </w:tcPr>
          <w:p w:rsidRPr="00D062B0" w:rsidR="00CF1C6C" w:rsidP="4CF6D96B" w:rsidRDefault="00AA5529" w14:paraId="2890BE91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w:history="1" r:id="rId35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41</w:t>
              </w:r>
            </w:hyperlink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0367BA72" w14:textId="62EEFE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NCT01774721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68567FF5" w14:textId="79D88B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dacomitinib vs. gefitinib</w:t>
            </w:r>
          </w:p>
        </w:tc>
        <w:tc>
          <w:tcPr>
            <w:tcW w:w="2610" w:type="dxa"/>
          </w:tcPr>
          <w:p w:rsidRPr="00D062B0" w:rsidR="00CF1C6C" w:rsidP="000E1010" w:rsidRDefault="00CF1C6C" w14:paraId="624A975A" w14:textId="57E262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All Patients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61A566D8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216757B1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0.59 (0.47, 0.74)</w:t>
            </w:r>
          </w:p>
        </w:tc>
      </w:tr>
      <w:tr w:rsidRPr="00D062B0" w:rsidR="00CF1C6C" w:rsidTr="4CF6D96B" w14:paraId="2620DF8C" w14:textId="77777777">
        <w:trPr>
          <w:trHeight w:val="234"/>
        </w:trPr>
        <w:tc>
          <w:tcPr>
            <w:tcW w:w="1035" w:type="dxa"/>
            <w:vMerge w:val="restart"/>
            <w:noWrap/>
            <w:hideMark/>
          </w:tcPr>
          <w:p w:rsidRPr="00D062B0" w:rsidR="00CF1C6C" w:rsidP="4CF6D96B" w:rsidRDefault="00AA5529" w14:paraId="3E940A89" w14:textId="59A0F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w:history="1" r:id="rId36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42</w:t>
              </w:r>
            </w:hyperlink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34D5833C" w14:textId="05ACC5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NCT00932893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16F8B270" w14:textId="622B5E8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crizotinib</w:t>
            </w:r>
            <w:proofErr w:type="spellEnd"/>
            <w:r w:rsidRPr="00D062B0">
              <w:rPr>
                <w:rFonts w:asciiTheme="majorHAnsi" w:hAnsiTheme="majorHAnsi" w:cstheme="majorHAnsi"/>
                <w:sz w:val="24"/>
                <w:szCs w:val="24"/>
              </w:rPr>
              <w:t xml:space="preserve"> vs. chemotherapy</w:t>
            </w:r>
          </w:p>
        </w:tc>
        <w:tc>
          <w:tcPr>
            <w:tcW w:w="2610" w:type="dxa"/>
          </w:tcPr>
          <w:p w:rsidRPr="00D062B0" w:rsidR="00CF1C6C" w:rsidP="000E1010" w:rsidRDefault="00CF1C6C" w14:paraId="11C79EF3" w14:textId="22E8B1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All Patients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4AD0090C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29F7E535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0.49 (0.37, 0.64)</w:t>
            </w:r>
          </w:p>
        </w:tc>
      </w:tr>
      <w:tr w:rsidRPr="00D062B0" w:rsidR="00CF1C6C" w:rsidTr="4CF6D96B" w14:paraId="75D9F86F" w14:textId="77777777">
        <w:trPr>
          <w:trHeight w:val="234"/>
        </w:trPr>
        <w:tc>
          <w:tcPr>
            <w:tcW w:w="1035" w:type="dxa"/>
            <w:vMerge/>
            <w:noWrap/>
            <w:hideMark/>
          </w:tcPr>
          <w:p w:rsidRPr="00D062B0" w:rsidR="00CF1C6C" w:rsidP="000E1010" w:rsidRDefault="00CF1C6C" w14:paraId="562CC7AA" w14:textId="11B54F0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7C431189" w14:textId="501C08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NCT01154140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784F3EB3" w14:textId="48FF11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crizotinib</w:t>
            </w:r>
            <w:proofErr w:type="spellEnd"/>
            <w:r w:rsidRPr="00D062B0">
              <w:rPr>
                <w:rFonts w:asciiTheme="majorHAnsi" w:hAnsiTheme="majorHAnsi" w:cstheme="majorHAnsi"/>
                <w:sz w:val="24"/>
                <w:szCs w:val="24"/>
              </w:rPr>
              <w:t xml:space="preserve"> vs. chemotherapy</w:t>
            </w:r>
          </w:p>
        </w:tc>
        <w:tc>
          <w:tcPr>
            <w:tcW w:w="2610" w:type="dxa"/>
          </w:tcPr>
          <w:p w:rsidRPr="00D062B0" w:rsidR="00CF1C6C" w:rsidP="000E1010" w:rsidRDefault="00CF1C6C" w14:paraId="198F0A56" w14:textId="53DDD5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All Patients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1C752BD2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561EC78B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0.45 (0.35, 0.6)</w:t>
            </w:r>
          </w:p>
        </w:tc>
      </w:tr>
      <w:tr w:rsidRPr="00D062B0" w:rsidR="00CF1C6C" w:rsidTr="4CF6D96B" w14:paraId="6138BE1D" w14:textId="77777777">
        <w:trPr>
          <w:trHeight w:val="234"/>
        </w:trPr>
        <w:tc>
          <w:tcPr>
            <w:tcW w:w="1035" w:type="dxa"/>
            <w:noWrap/>
            <w:hideMark/>
          </w:tcPr>
          <w:p w:rsidRPr="00D062B0" w:rsidR="00CF1C6C" w:rsidP="4CF6D96B" w:rsidRDefault="00AA5529" w14:paraId="461CAB77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w:history="1" r:id="rId37">
              <w:r w:rsidRPr="00D062B0" w:rsidR="3494DB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44b</w:t>
              </w:r>
            </w:hyperlink>
          </w:p>
        </w:tc>
        <w:tc>
          <w:tcPr>
            <w:tcW w:w="1215" w:type="dxa"/>
            <w:shd w:val="clear" w:color="auto" w:fill="auto"/>
          </w:tcPr>
          <w:p w:rsidRPr="00D062B0" w:rsidR="00CF1C6C" w:rsidP="000E1010" w:rsidRDefault="00CF1C6C" w14:paraId="7EAD49C7" w14:textId="5E87AB2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NCT01828099</w:t>
            </w:r>
          </w:p>
        </w:tc>
        <w:tc>
          <w:tcPr>
            <w:tcW w:w="3420" w:type="dxa"/>
            <w:noWrap/>
            <w:hideMark/>
          </w:tcPr>
          <w:p w:rsidRPr="00D062B0" w:rsidR="00CF1C6C" w:rsidP="000E1010" w:rsidRDefault="00CF1C6C" w14:paraId="7D5D3342" w14:textId="54DEB4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ceritinib</w:t>
            </w:r>
            <w:proofErr w:type="spellEnd"/>
            <w:r w:rsidRPr="00D062B0">
              <w:rPr>
                <w:rFonts w:asciiTheme="majorHAnsi" w:hAnsiTheme="majorHAnsi" w:cstheme="majorHAnsi"/>
                <w:sz w:val="24"/>
                <w:szCs w:val="24"/>
              </w:rPr>
              <w:t xml:space="preserve"> vs. chemotherapy</w:t>
            </w:r>
          </w:p>
        </w:tc>
        <w:tc>
          <w:tcPr>
            <w:tcW w:w="2610" w:type="dxa"/>
          </w:tcPr>
          <w:p w:rsidRPr="00D062B0" w:rsidR="00CF1C6C" w:rsidP="000E1010" w:rsidRDefault="00CF1C6C" w14:paraId="5C3F55AA" w14:textId="005C56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All Patients</w:t>
            </w:r>
          </w:p>
        </w:tc>
        <w:tc>
          <w:tcPr>
            <w:tcW w:w="1785" w:type="dxa"/>
            <w:noWrap/>
            <w:hideMark/>
          </w:tcPr>
          <w:p w:rsidRPr="00D062B0" w:rsidR="00CF1C6C" w:rsidP="000E1010" w:rsidRDefault="00CF1C6C" w14:paraId="22A8EE88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55" w:type="dxa"/>
            <w:noWrap/>
            <w:hideMark/>
          </w:tcPr>
          <w:p w:rsidRPr="00D062B0" w:rsidR="00CF1C6C" w:rsidP="000E1010" w:rsidRDefault="00CF1C6C" w14:paraId="45D39645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62B0">
              <w:rPr>
                <w:rFonts w:asciiTheme="majorHAnsi" w:hAnsiTheme="majorHAnsi" w:cstheme="majorHAnsi"/>
                <w:sz w:val="24"/>
                <w:szCs w:val="24"/>
              </w:rPr>
              <w:t>0.55 (0.42, 0.73)</w:t>
            </w:r>
          </w:p>
        </w:tc>
      </w:tr>
    </w:tbl>
    <w:p w:rsidRPr="00D062B0" w:rsidR="00445C98" w:rsidRDefault="00445C98" w14:paraId="4FB89DF4" w14:textId="77777777">
      <w:pPr>
        <w:rPr>
          <w:rFonts w:asciiTheme="majorHAnsi" w:hAnsiTheme="majorHAnsi" w:cstheme="majorHAnsi"/>
          <w:sz w:val="24"/>
          <w:szCs w:val="24"/>
        </w:rPr>
      </w:pPr>
    </w:p>
    <w:sectPr w:rsidRPr="00D062B0" w:rsidR="00445C9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1E"/>
    <w:rsid w:val="00025252"/>
    <w:rsid w:val="00055EA6"/>
    <w:rsid w:val="000E1010"/>
    <w:rsid w:val="000F271E"/>
    <w:rsid w:val="001AE221"/>
    <w:rsid w:val="001B117A"/>
    <w:rsid w:val="001E2026"/>
    <w:rsid w:val="001E41C9"/>
    <w:rsid w:val="002031DF"/>
    <w:rsid w:val="0021785C"/>
    <w:rsid w:val="00235CBB"/>
    <w:rsid w:val="00280F9A"/>
    <w:rsid w:val="00297F63"/>
    <w:rsid w:val="002B00EF"/>
    <w:rsid w:val="002B41EE"/>
    <w:rsid w:val="0033515A"/>
    <w:rsid w:val="0034718B"/>
    <w:rsid w:val="003524A3"/>
    <w:rsid w:val="0035743A"/>
    <w:rsid w:val="00381020"/>
    <w:rsid w:val="00392D9B"/>
    <w:rsid w:val="00410C4D"/>
    <w:rsid w:val="004230B1"/>
    <w:rsid w:val="00444B12"/>
    <w:rsid w:val="00445C98"/>
    <w:rsid w:val="00455E60"/>
    <w:rsid w:val="004820BA"/>
    <w:rsid w:val="004822DD"/>
    <w:rsid w:val="00493F90"/>
    <w:rsid w:val="005167B1"/>
    <w:rsid w:val="005278FA"/>
    <w:rsid w:val="00540C0A"/>
    <w:rsid w:val="005C5F2B"/>
    <w:rsid w:val="005D41FB"/>
    <w:rsid w:val="005F0B98"/>
    <w:rsid w:val="00683FC4"/>
    <w:rsid w:val="006A450A"/>
    <w:rsid w:val="006D40A4"/>
    <w:rsid w:val="007377BE"/>
    <w:rsid w:val="0074369F"/>
    <w:rsid w:val="007C1789"/>
    <w:rsid w:val="00831C9C"/>
    <w:rsid w:val="00883DA0"/>
    <w:rsid w:val="008967C1"/>
    <w:rsid w:val="008A72DD"/>
    <w:rsid w:val="008D5FA9"/>
    <w:rsid w:val="008E2275"/>
    <w:rsid w:val="009258C6"/>
    <w:rsid w:val="00A25DB1"/>
    <w:rsid w:val="00A601AB"/>
    <w:rsid w:val="00A7757B"/>
    <w:rsid w:val="00AA5529"/>
    <w:rsid w:val="00AC037F"/>
    <w:rsid w:val="00AD2DCC"/>
    <w:rsid w:val="00AE2A45"/>
    <w:rsid w:val="00B000F3"/>
    <w:rsid w:val="00B8224A"/>
    <w:rsid w:val="00BA4E26"/>
    <w:rsid w:val="00BC7F44"/>
    <w:rsid w:val="00C07C26"/>
    <w:rsid w:val="00CA4256"/>
    <w:rsid w:val="00CA7CF9"/>
    <w:rsid w:val="00CE1889"/>
    <w:rsid w:val="00CE7595"/>
    <w:rsid w:val="00CF1C6C"/>
    <w:rsid w:val="00D062B0"/>
    <w:rsid w:val="00D27ECF"/>
    <w:rsid w:val="00D31353"/>
    <w:rsid w:val="00D34E1B"/>
    <w:rsid w:val="00E59742"/>
    <w:rsid w:val="00E746F1"/>
    <w:rsid w:val="00E8096C"/>
    <w:rsid w:val="00E8731C"/>
    <w:rsid w:val="00EA67DB"/>
    <w:rsid w:val="00ED2431"/>
    <w:rsid w:val="00EE7788"/>
    <w:rsid w:val="00F33F1F"/>
    <w:rsid w:val="00F45A95"/>
    <w:rsid w:val="00F7402D"/>
    <w:rsid w:val="00FA2519"/>
    <w:rsid w:val="00FB582A"/>
    <w:rsid w:val="00FD3DFF"/>
    <w:rsid w:val="00FE75BD"/>
    <w:rsid w:val="0112B7CC"/>
    <w:rsid w:val="0203DC99"/>
    <w:rsid w:val="041D3804"/>
    <w:rsid w:val="05168414"/>
    <w:rsid w:val="0574F37A"/>
    <w:rsid w:val="070CA048"/>
    <w:rsid w:val="0812E3BC"/>
    <w:rsid w:val="097AA57E"/>
    <w:rsid w:val="0B4A2D66"/>
    <w:rsid w:val="0C32D800"/>
    <w:rsid w:val="0C7C904E"/>
    <w:rsid w:val="0C9AF63C"/>
    <w:rsid w:val="0D932B7B"/>
    <w:rsid w:val="0E0FF0BC"/>
    <w:rsid w:val="0F501DB9"/>
    <w:rsid w:val="0FDF40EC"/>
    <w:rsid w:val="1009C2AA"/>
    <w:rsid w:val="10695C99"/>
    <w:rsid w:val="11C752B7"/>
    <w:rsid w:val="13857A7D"/>
    <w:rsid w:val="13A56075"/>
    <w:rsid w:val="13D12F07"/>
    <w:rsid w:val="14DD52AC"/>
    <w:rsid w:val="154130D6"/>
    <w:rsid w:val="1562C9FF"/>
    <w:rsid w:val="16A9C6C5"/>
    <w:rsid w:val="16BE7EA3"/>
    <w:rsid w:val="16C702A6"/>
    <w:rsid w:val="18513389"/>
    <w:rsid w:val="1900E87E"/>
    <w:rsid w:val="1A8ED2B4"/>
    <w:rsid w:val="1AAD4DF1"/>
    <w:rsid w:val="1CCEB932"/>
    <w:rsid w:val="1E3B65DE"/>
    <w:rsid w:val="1F87B757"/>
    <w:rsid w:val="1FCFA7E0"/>
    <w:rsid w:val="1FFFA4EF"/>
    <w:rsid w:val="20098EE6"/>
    <w:rsid w:val="20453094"/>
    <w:rsid w:val="21868D8F"/>
    <w:rsid w:val="22614455"/>
    <w:rsid w:val="24512032"/>
    <w:rsid w:val="2514E946"/>
    <w:rsid w:val="269F89A0"/>
    <w:rsid w:val="27BBBBF5"/>
    <w:rsid w:val="27FDE05A"/>
    <w:rsid w:val="28B0BE2F"/>
    <w:rsid w:val="2AA33589"/>
    <w:rsid w:val="2AACF964"/>
    <w:rsid w:val="2D202673"/>
    <w:rsid w:val="2F62A631"/>
    <w:rsid w:val="30158593"/>
    <w:rsid w:val="325A3E3B"/>
    <w:rsid w:val="32662C3E"/>
    <w:rsid w:val="329C3FC7"/>
    <w:rsid w:val="345FC724"/>
    <w:rsid w:val="346973EE"/>
    <w:rsid w:val="3494DBA6"/>
    <w:rsid w:val="36038ECC"/>
    <w:rsid w:val="360D2BB1"/>
    <w:rsid w:val="373177FB"/>
    <w:rsid w:val="37490BDF"/>
    <w:rsid w:val="37B0A8EF"/>
    <w:rsid w:val="37B8B762"/>
    <w:rsid w:val="37CAD0F6"/>
    <w:rsid w:val="38816101"/>
    <w:rsid w:val="39FD960B"/>
    <w:rsid w:val="3A422B66"/>
    <w:rsid w:val="3AC6E892"/>
    <w:rsid w:val="3AEBFF9C"/>
    <w:rsid w:val="3BEF611E"/>
    <w:rsid w:val="3C2A1AC5"/>
    <w:rsid w:val="3DA7B57E"/>
    <w:rsid w:val="3DF25579"/>
    <w:rsid w:val="3FF6E2CC"/>
    <w:rsid w:val="402A4F57"/>
    <w:rsid w:val="410B57A3"/>
    <w:rsid w:val="419973A1"/>
    <w:rsid w:val="42DB111A"/>
    <w:rsid w:val="430ED2A5"/>
    <w:rsid w:val="4379FEA4"/>
    <w:rsid w:val="458DC805"/>
    <w:rsid w:val="460410D0"/>
    <w:rsid w:val="4632E9DE"/>
    <w:rsid w:val="4797FA01"/>
    <w:rsid w:val="496A8AA0"/>
    <w:rsid w:val="4A6F46CB"/>
    <w:rsid w:val="4AC8D445"/>
    <w:rsid w:val="4AD6C88E"/>
    <w:rsid w:val="4CF6D96B"/>
    <w:rsid w:val="4E398B44"/>
    <w:rsid w:val="4EA3D4A0"/>
    <w:rsid w:val="4F18B746"/>
    <w:rsid w:val="4FE0D500"/>
    <w:rsid w:val="5169D7F2"/>
    <w:rsid w:val="51E1D2B2"/>
    <w:rsid w:val="54A69F1B"/>
    <w:rsid w:val="55350CF3"/>
    <w:rsid w:val="553F25C7"/>
    <w:rsid w:val="57463BD8"/>
    <w:rsid w:val="57DE2731"/>
    <w:rsid w:val="57DF5E3D"/>
    <w:rsid w:val="5C145542"/>
    <w:rsid w:val="5CE3E91A"/>
    <w:rsid w:val="5E8A1593"/>
    <w:rsid w:val="5EB00B2F"/>
    <w:rsid w:val="5EE1F6A3"/>
    <w:rsid w:val="5FBA8ED3"/>
    <w:rsid w:val="5FC4A981"/>
    <w:rsid w:val="602A9CC4"/>
    <w:rsid w:val="61A00E68"/>
    <w:rsid w:val="625888EC"/>
    <w:rsid w:val="626E6958"/>
    <w:rsid w:val="63249B58"/>
    <w:rsid w:val="6362183B"/>
    <w:rsid w:val="655261D3"/>
    <w:rsid w:val="659AAF80"/>
    <w:rsid w:val="66EA49F2"/>
    <w:rsid w:val="66F5B71D"/>
    <w:rsid w:val="670E50B1"/>
    <w:rsid w:val="68C8106F"/>
    <w:rsid w:val="6947A412"/>
    <w:rsid w:val="69F937D5"/>
    <w:rsid w:val="6AF1D98B"/>
    <w:rsid w:val="6B5BAEA0"/>
    <w:rsid w:val="6C629F52"/>
    <w:rsid w:val="6C950CD7"/>
    <w:rsid w:val="6CB20D21"/>
    <w:rsid w:val="6CB8C7A0"/>
    <w:rsid w:val="6D60F080"/>
    <w:rsid w:val="6E444EF7"/>
    <w:rsid w:val="6F0BA9F7"/>
    <w:rsid w:val="6FFF4B2A"/>
    <w:rsid w:val="702BA9C0"/>
    <w:rsid w:val="7304AC55"/>
    <w:rsid w:val="7395F886"/>
    <w:rsid w:val="74CB810C"/>
    <w:rsid w:val="75675E3A"/>
    <w:rsid w:val="76607334"/>
    <w:rsid w:val="77187EA9"/>
    <w:rsid w:val="7771A7D3"/>
    <w:rsid w:val="77FF9DDA"/>
    <w:rsid w:val="781A3CDE"/>
    <w:rsid w:val="783298DB"/>
    <w:rsid w:val="78E71097"/>
    <w:rsid w:val="7A43E105"/>
    <w:rsid w:val="7D59A296"/>
    <w:rsid w:val="7DD4423E"/>
    <w:rsid w:val="7E9850C5"/>
    <w:rsid w:val="7EA4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0C57"/>
  <w15:chartTrackingRefBased/>
  <w15:docId w15:val="{C29F3F68-F8D7-48BB-B9B9-382F1F28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C98"/>
    <w:rPr>
      <w:color w:val="0563C1"/>
      <w:u w:val="single"/>
    </w:rPr>
  </w:style>
  <w:style w:type="table" w:styleId="TableGrid">
    <w:name w:val="Table Grid"/>
    <w:basedOn w:val="TableNormal"/>
    <w:uiPriority w:val="39"/>
    <w:rsid w:val="00445C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5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ccessdata.fda.gov/drugsatfda_docs/label/2018/761069s002lbl.pdf" TargetMode="External" Id="rId13" /><Relationship Type="http://schemas.openxmlformats.org/officeDocument/2006/relationships/hyperlink" Target="https://www.accessdata.fda.gov/drugsatfda_docs/label/2016/125514s008s012lbl.pdf" TargetMode="External" Id="rId18" /><Relationship Type="http://schemas.openxmlformats.org/officeDocument/2006/relationships/hyperlink" Target="https://www.accessdata.fda.gov/drugsatfda_docs/label/2015/125547s000lbl.pdf" TargetMode="External" Id="rId26" /><Relationship Type="http://schemas.openxmlformats.org/officeDocument/2006/relationships/theme" Target="theme/theme1.xml" Id="rId39" /><Relationship Type="http://schemas.openxmlformats.org/officeDocument/2006/relationships/hyperlink" Target="https://www.accessdata.fda.gov/drugsatfda_docs/label/2021/210868s004lbl.pdf" TargetMode="External" Id="rId21" /><Relationship Type="http://schemas.openxmlformats.org/officeDocument/2006/relationships/hyperlink" Target="https://www.accessdata.fda.gov/drugsatfda_docs/label/2020/761034s027lbl.pdf" TargetMode="External" Id="rId34" /><Relationship Type="http://schemas.openxmlformats.org/officeDocument/2006/relationships/hyperlink" Target="https://www.accessdata.fda.gov/drugsatfda_docs/label/2017/208434s003lbl.pdf" TargetMode="External" Id="rId7" /><Relationship Type="http://schemas.openxmlformats.org/officeDocument/2006/relationships/hyperlink" Target="https://www.accessdata.fda.gov/drugsatfda_docs/label/2016/201292s007lbl.pdf" TargetMode="External" Id="rId12" /><Relationship Type="http://schemas.openxmlformats.org/officeDocument/2006/relationships/hyperlink" Target="https://www.accessdata.fda.gov/drugsatfda_docs/label/2016/125514s012lbl.pdf" TargetMode="External" Id="rId17" /><Relationship Type="http://schemas.openxmlformats.org/officeDocument/2006/relationships/hyperlink" Target="https://www.accessdata.fda.gov/drugsatfda_docs/label/2015/125554s005lbl.pdf" TargetMode="External" Id="rId25" /><Relationship Type="http://schemas.openxmlformats.org/officeDocument/2006/relationships/hyperlink" Target="https://www.accessdata.fda.gov/drugsatfda_docs/label/2016/761041s000lbl.pdf" TargetMode="External" Id="rId33" /><Relationship Type="http://schemas.openxmlformats.org/officeDocument/2006/relationships/fontTable" Target="fontTable.xml" Id="rId38" /><Relationship Type="http://schemas.openxmlformats.org/officeDocument/2006/relationships/customXml" Target="../customXml/item2.xml" Id="rId2" /><Relationship Type="http://schemas.openxmlformats.org/officeDocument/2006/relationships/hyperlink" Target="https://www.accessdata.fda.gov/drugsatfda_docs/label/2018/125514s041lbl.pdf" TargetMode="External" Id="rId16" /><Relationship Type="http://schemas.openxmlformats.org/officeDocument/2006/relationships/hyperlink" Target="https://www.accessdata.fda.gov/drugsatfda_docs/label/2021/761097s007lbl.pdf" TargetMode="External" Id="rId20" /><Relationship Type="http://schemas.openxmlformats.org/officeDocument/2006/relationships/hyperlink" Target="https://www.accessdata.fda.gov/drugsatfda_docs/label/2020/208065s021lbl.pdf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accessdata.fda.gov/drugsatfda_docs/label/2013/201292s000lbl.pdf" TargetMode="External" Id="rId11" /><Relationship Type="http://schemas.openxmlformats.org/officeDocument/2006/relationships/hyperlink" Target="https://www.accessdata.fda.gov/drugsatfda_docs/label/2015/125527s000lbl.pdf" TargetMode="External" Id="rId24" /><Relationship Type="http://schemas.openxmlformats.org/officeDocument/2006/relationships/hyperlink" Target="https://www.accessdata.fda.gov/drugsatfda_docs/label/2019/761034s021lbl.pdf" TargetMode="External" Id="rId32" /><Relationship Type="http://schemas.openxmlformats.org/officeDocument/2006/relationships/hyperlink" Target="https://www.accessdata.fda.gov/drugsatfda_docs/label/2017/205755s009lbl.pdf" TargetMode="External" Id="rId37" /><Relationship Type="http://schemas.openxmlformats.org/officeDocument/2006/relationships/settings" Target="settings.xml" Id="rId5" /><Relationship Type="http://schemas.openxmlformats.org/officeDocument/2006/relationships/hyperlink" Target="https://www.accessdata.fda.gov/drugsatfda_docs/label/2018/125514s041lbl.pdf" TargetMode="External" Id="rId15" /><Relationship Type="http://schemas.openxmlformats.org/officeDocument/2006/relationships/hyperlink" Target="https://www.accessdata.fda.gov/drugsatfda_docs/label/2020/125554s082lbl.pdf" TargetMode="External" Id="rId23" /><Relationship Type="http://schemas.openxmlformats.org/officeDocument/2006/relationships/hyperlink" Target="https://www.accessdata.fda.gov/drugsatfda_docs/label/2018/208065s008lbl.pdf" TargetMode="External" Id="rId28" /><Relationship Type="http://schemas.openxmlformats.org/officeDocument/2006/relationships/hyperlink" Target="https://www.accessdata.fda.gov/drugsatfda_docs/label/2013/202570s006lbl.pdf" TargetMode="External" Id="rId36" /><Relationship Type="http://schemas.openxmlformats.org/officeDocument/2006/relationships/hyperlink" Target="https://www.accessdata.fda.gov/drugsatfda_docs/label/2020/125477s034lbl.pdf" TargetMode="External" Id="rId10" /><Relationship Type="http://schemas.openxmlformats.org/officeDocument/2006/relationships/hyperlink" Target="https://www.accessdata.fda.gov/drugsatfda_docs/label/2019/125514s047lbl.pdf" TargetMode="External" Id="rId19" /><Relationship Type="http://schemas.openxmlformats.org/officeDocument/2006/relationships/hyperlink" Target="https://www.accessdata.fda.gov/drugsatfda_docs/label/2018/761034s009lbl.pdf" TargetMode="External" Id="rId31" /><Relationship Type="http://schemas.openxmlformats.org/officeDocument/2006/relationships/styles" Target="styles.xml" Id="rId4" /><Relationship Type="http://schemas.openxmlformats.org/officeDocument/2006/relationships/hyperlink" Target="https://www.accessdata.fda.gov/drugsatfda_docs/label/2014/125477s007lbl.pdf" TargetMode="External" Id="rId9" /><Relationship Type="http://schemas.openxmlformats.org/officeDocument/2006/relationships/hyperlink" Target="https://www.accessdata.fda.gov/drugsatfda_docs/label/2018/206995s003lbl.pdf" TargetMode="External" Id="rId14" /><Relationship Type="http://schemas.openxmlformats.org/officeDocument/2006/relationships/hyperlink" Target="https://www.accessdata.fda.gov/drugsatfda_docs/label/2020/125554s080lbl.pdf" TargetMode="External" Id="rId22" /><Relationship Type="http://schemas.openxmlformats.org/officeDocument/2006/relationships/hyperlink" Target="https://www.accessdata.fda.gov/drugsatfda_docs/label/2017/208065s006lbl.pdf" TargetMode="External" Id="rId27" /><Relationship Type="http://schemas.openxmlformats.org/officeDocument/2006/relationships/hyperlink" Target="https://www.accessdata.fda.gov/drugsatfda_docs/label/2013/021743s018lbl.pdf" TargetMode="External" Id="rId30" /><Relationship Type="http://schemas.openxmlformats.org/officeDocument/2006/relationships/hyperlink" Target="https://www.accessdata.fda.gov/drugsatfda_docs/label/2018/211288s000lbl.pdf" TargetMode="External" Id="rId35" /><Relationship Type="http://schemas.openxmlformats.org/officeDocument/2006/relationships/hyperlink" Target="https://www.accessdata.fda.gov/drugsatfda_docs/label/2020/208772s008lbl.pdf" TargetMode="External" Id="rId8" /><Relationship Type="http://schemas.openxmlformats.org/officeDocument/2006/relationships/customXml" Target="../customXml/item3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a3c08f-f31b-48d0-a31f-7471b67651d1">
      <UserInfo>
        <DisplayName/>
        <AccountId xsi:nil="true"/>
        <AccountType/>
      </UserInfo>
    </SharedWithUsers>
    <MediaLengthInSeconds xmlns="009c8032-9e86-49ed-8e8f-2a7ed1aa98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3AB8DA97A724CB389B74CCC27172A" ma:contentTypeVersion="13" ma:contentTypeDescription="Create a new document." ma:contentTypeScope="" ma:versionID="ba9f8e58fe8349e6c18d7a442a9b8aa7">
  <xsd:schema xmlns:xsd="http://www.w3.org/2001/XMLSchema" xmlns:xs="http://www.w3.org/2001/XMLSchema" xmlns:p="http://schemas.microsoft.com/office/2006/metadata/properties" xmlns:ns2="009c8032-9e86-49ed-8e8f-2a7ed1aa9871" xmlns:ns3="40a3c08f-f31b-48d0-a31f-7471b67651d1" targetNamespace="http://schemas.microsoft.com/office/2006/metadata/properties" ma:root="true" ma:fieldsID="19324a6756ea2012d89b3cd5b61fc3cd" ns2:_="" ns3:_="">
    <xsd:import namespace="009c8032-9e86-49ed-8e8f-2a7ed1aa9871"/>
    <xsd:import namespace="40a3c08f-f31b-48d0-a31f-7471b67651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c8032-9e86-49ed-8e8f-2a7ed1aa9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3c08f-f31b-48d0-a31f-7471b67651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BCD65-ECA0-48FC-8803-585A99B7B62B}">
  <ds:schemaRefs>
    <ds:schemaRef ds:uri="http://schemas.microsoft.com/office/2006/metadata/properties"/>
    <ds:schemaRef ds:uri="http://schemas.microsoft.com/office/infopath/2007/PartnerControls"/>
    <ds:schemaRef ds:uri="40a3c08f-f31b-48d0-a31f-7471b67651d1"/>
    <ds:schemaRef ds:uri="009c8032-9e86-49ed-8e8f-2a7ed1aa9871"/>
  </ds:schemaRefs>
</ds:datastoreItem>
</file>

<file path=customXml/itemProps2.xml><?xml version="1.0" encoding="utf-8"?>
<ds:datastoreItem xmlns:ds="http://schemas.openxmlformats.org/officeDocument/2006/customXml" ds:itemID="{42ED85D8-65CE-41D2-8197-4E78262A9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c8032-9e86-49ed-8e8f-2a7ed1aa9871"/>
    <ds:schemaRef ds:uri="40a3c08f-f31b-48d0-a31f-7471b6765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E71D55-9572-41EA-94A2-687E9F315D1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Collins</dc:creator>
  <cp:keywords/>
  <dc:description/>
  <cp:lastModifiedBy>Grace Collins</cp:lastModifiedBy>
  <cp:revision>9</cp:revision>
  <dcterms:created xsi:type="dcterms:W3CDTF">2021-12-08T20:47:00Z</dcterms:created>
  <dcterms:modified xsi:type="dcterms:W3CDTF">2022-03-25T21:36:29Z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0x01010092B3AB8DA97A724CB389B74CCC27172A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