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E6393" w14:textId="41C6BA9A" w:rsidR="0057464F" w:rsidRPr="0057464F" w:rsidRDefault="00126B8B" w:rsidP="0057464F">
      <w:pPr>
        <w:rPr>
          <w:rFonts w:ascii="Times New Roman" w:hAnsi="Times New Roman" w:cs="Times New Roman"/>
          <w:b/>
          <w:bCs/>
        </w:rPr>
      </w:pPr>
      <w:r>
        <w:rPr>
          <w:rFonts w:ascii="Times New Roman" w:hAnsi="Times New Roman" w:cs="Times New Roman"/>
          <w:b/>
          <w:bCs/>
        </w:rPr>
        <w:t xml:space="preserve">Supplementary Table 4: </w:t>
      </w:r>
      <w:r w:rsidR="0057464F" w:rsidRPr="0057464F">
        <w:rPr>
          <w:rFonts w:ascii="Times New Roman" w:hAnsi="Times New Roman" w:cs="Times New Roman"/>
          <w:b/>
          <w:bCs/>
        </w:rPr>
        <w:t xml:space="preserve">Non-compartmental </w:t>
      </w:r>
      <w:r w:rsidR="006D605D">
        <w:rPr>
          <w:rFonts w:ascii="Times New Roman" w:hAnsi="Times New Roman" w:cs="Times New Roman"/>
          <w:b/>
          <w:bCs/>
        </w:rPr>
        <w:t>PK</w:t>
      </w:r>
      <w:r w:rsidR="0057464F" w:rsidRPr="0057464F">
        <w:rPr>
          <w:rFonts w:ascii="Times New Roman" w:hAnsi="Times New Roman" w:cs="Times New Roman"/>
          <w:b/>
          <w:bCs/>
        </w:rPr>
        <w:t xml:space="preserve"> </w:t>
      </w:r>
      <w:r w:rsidR="008A4010">
        <w:rPr>
          <w:rFonts w:ascii="Times New Roman" w:hAnsi="Times New Roman" w:cs="Times New Roman"/>
          <w:b/>
          <w:bCs/>
        </w:rPr>
        <w:t>a</w:t>
      </w:r>
      <w:r w:rsidR="0057464F" w:rsidRPr="0057464F">
        <w:rPr>
          <w:rFonts w:ascii="Times New Roman" w:hAnsi="Times New Roman" w:cs="Times New Roman"/>
          <w:b/>
          <w:bCs/>
        </w:rPr>
        <w:t>nalysis</w:t>
      </w:r>
      <w:r w:rsidR="00E24CB3">
        <w:rPr>
          <w:rFonts w:ascii="Times New Roman" w:hAnsi="Times New Roman" w:cs="Times New Roman"/>
          <w:b/>
          <w:bCs/>
        </w:rPr>
        <w:t>.</w:t>
      </w:r>
    </w:p>
    <w:p w14:paraId="2A39454A" w14:textId="7223E09A" w:rsidR="0057464F" w:rsidRPr="0057464F" w:rsidRDefault="0057464F" w:rsidP="0057464F">
      <w:pPr>
        <w:rPr>
          <w:rFonts w:ascii="Times New Roman" w:hAnsi="Times New Roman" w:cs="Times New Roman"/>
          <w:b/>
          <w:bCs/>
        </w:rPr>
      </w:pPr>
    </w:p>
    <w:p w14:paraId="4949F300" w14:textId="77777777" w:rsidR="0057464F" w:rsidRPr="0057464F" w:rsidRDefault="0057464F" w:rsidP="0057464F">
      <w:pPr>
        <w:spacing w:after="160" w:line="259" w:lineRule="auto"/>
        <w:rPr>
          <w:rFonts w:ascii="Times New Roman" w:hAnsi="Times New Roman" w:cs="Times New Roman"/>
        </w:rPr>
      </w:pPr>
      <w:r w:rsidRPr="0057464F">
        <w:rPr>
          <w:rFonts w:ascii="Times New Roman" w:hAnsi="Times New Roman" w:cs="Times New Roman"/>
        </w:rPr>
        <w:t xml:space="preserve">Comparison of </w:t>
      </w:r>
      <w:proofErr w:type="spellStart"/>
      <w:r w:rsidRPr="0057464F">
        <w:rPr>
          <w:rFonts w:ascii="Times New Roman" w:hAnsi="Times New Roman" w:cs="Times New Roman"/>
        </w:rPr>
        <w:t>Cmax</w:t>
      </w:r>
      <w:proofErr w:type="spellEnd"/>
      <w:r w:rsidRPr="0057464F">
        <w:rPr>
          <w:rFonts w:ascii="Times New Roman" w:hAnsi="Times New Roman" w:cs="Times New Roman"/>
        </w:rPr>
        <w:t xml:space="preserve"> (mg/kg)</w:t>
      </w:r>
    </w:p>
    <w:tbl>
      <w:tblPr>
        <w:tblStyle w:val="TableGrid"/>
        <w:tblW w:w="0" w:type="auto"/>
        <w:tblInd w:w="360" w:type="dxa"/>
        <w:tblLook w:val="04A0" w:firstRow="1" w:lastRow="0" w:firstColumn="1" w:lastColumn="0" w:noHBand="0" w:noVBand="1"/>
      </w:tblPr>
      <w:tblGrid>
        <w:gridCol w:w="1139"/>
        <w:gridCol w:w="1102"/>
        <w:gridCol w:w="1143"/>
        <w:gridCol w:w="1143"/>
        <w:gridCol w:w="1143"/>
        <w:gridCol w:w="1615"/>
        <w:gridCol w:w="1620"/>
      </w:tblGrid>
      <w:tr w:rsidR="0057464F" w:rsidRPr="0057464F" w14:paraId="11C19889" w14:textId="77777777" w:rsidTr="00E04694">
        <w:tc>
          <w:tcPr>
            <w:tcW w:w="1139" w:type="dxa"/>
          </w:tcPr>
          <w:p w14:paraId="34FC251C"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Group</w:t>
            </w:r>
          </w:p>
        </w:tc>
        <w:tc>
          <w:tcPr>
            <w:tcW w:w="1102" w:type="dxa"/>
          </w:tcPr>
          <w:p w14:paraId="48288268"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n</w:t>
            </w:r>
          </w:p>
        </w:tc>
        <w:tc>
          <w:tcPr>
            <w:tcW w:w="1143" w:type="dxa"/>
          </w:tcPr>
          <w:p w14:paraId="551FA473"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mean</w:t>
            </w:r>
          </w:p>
        </w:tc>
        <w:tc>
          <w:tcPr>
            <w:tcW w:w="1143" w:type="dxa"/>
          </w:tcPr>
          <w:p w14:paraId="39F4B35C"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SD</w:t>
            </w:r>
          </w:p>
        </w:tc>
        <w:tc>
          <w:tcPr>
            <w:tcW w:w="1143" w:type="dxa"/>
          </w:tcPr>
          <w:p w14:paraId="7B919341"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Median</w:t>
            </w:r>
          </w:p>
        </w:tc>
        <w:tc>
          <w:tcPr>
            <w:tcW w:w="1615" w:type="dxa"/>
          </w:tcPr>
          <w:p w14:paraId="1ACB25B8"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Inter-quartile range</w:t>
            </w:r>
          </w:p>
        </w:tc>
        <w:tc>
          <w:tcPr>
            <w:tcW w:w="1620" w:type="dxa"/>
          </w:tcPr>
          <w:p w14:paraId="7E72B61E"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p-value with the Wilcoxon rank sum test</w:t>
            </w:r>
          </w:p>
        </w:tc>
      </w:tr>
      <w:tr w:rsidR="0057464F" w:rsidRPr="0057464F" w14:paraId="016319F5" w14:textId="77777777" w:rsidTr="00E04694">
        <w:tc>
          <w:tcPr>
            <w:tcW w:w="1139" w:type="dxa"/>
          </w:tcPr>
          <w:p w14:paraId="4B056828" w14:textId="2A0DD50D"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2</w:t>
            </w:r>
            <w:r w:rsidR="008248D8">
              <w:rPr>
                <w:rFonts w:ascii="Times New Roman" w:hAnsi="Times New Roman" w:cs="Times New Roman"/>
                <w:sz w:val="18"/>
                <w:szCs w:val="18"/>
              </w:rPr>
              <w:t xml:space="preserve"> </w:t>
            </w:r>
            <w:r w:rsidRPr="00EE7401">
              <w:rPr>
                <w:rFonts w:ascii="Times New Roman" w:hAnsi="Times New Roman" w:cs="Times New Roman"/>
                <w:sz w:val="18"/>
                <w:szCs w:val="18"/>
              </w:rPr>
              <w:t>mg/kg load</w:t>
            </w:r>
          </w:p>
        </w:tc>
        <w:tc>
          <w:tcPr>
            <w:tcW w:w="1102" w:type="dxa"/>
          </w:tcPr>
          <w:p w14:paraId="29799CB3"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18</w:t>
            </w:r>
          </w:p>
        </w:tc>
        <w:tc>
          <w:tcPr>
            <w:tcW w:w="1143" w:type="dxa"/>
          </w:tcPr>
          <w:p w14:paraId="397D5485"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43780.1</w:t>
            </w:r>
          </w:p>
        </w:tc>
        <w:tc>
          <w:tcPr>
            <w:tcW w:w="1143" w:type="dxa"/>
          </w:tcPr>
          <w:p w14:paraId="182055D3"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8658.1</w:t>
            </w:r>
          </w:p>
        </w:tc>
        <w:tc>
          <w:tcPr>
            <w:tcW w:w="1143" w:type="dxa"/>
          </w:tcPr>
          <w:p w14:paraId="2B893B86"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46038.5</w:t>
            </w:r>
          </w:p>
        </w:tc>
        <w:tc>
          <w:tcPr>
            <w:tcW w:w="1615" w:type="dxa"/>
          </w:tcPr>
          <w:p w14:paraId="4ABD3C2D"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37794.0-52477.0</w:t>
            </w:r>
          </w:p>
        </w:tc>
        <w:tc>
          <w:tcPr>
            <w:tcW w:w="1620" w:type="dxa"/>
            <w:vMerge w:val="restart"/>
            <w:vAlign w:val="center"/>
          </w:tcPr>
          <w:p w14:paraId="58BA6289" w14:textId="77777777" w:rsidR="0057464F" w:rsidRPr="00EE7401" w:rsidRDefault="0057464F" w:rsidP="00E04694">
            <w:pPr>
              <w:jc w:val="center"/>
              <w:rPr>
                <w:rFonts w:ascii="Times New Roman" w:eastAsiaTheme="minorEastAsia" w:hAnsi="Times New Roman" w:cs="Times New Roman"/>
                <w:sz w:val="18"/>
                <w:szCs w:val="18"/>
              </w:rPr>
            </w:pPr>
            <w:r w:rsidRPr="00EE7401">
              <w:rPr>
                <w:rFonts w:ascii="Times New Roman" w:eastAsiaTheme="minorEastAsia" w:hAnsi="Times New Roman" w:cs="Times New Roman"/>
                <w:sz w:val="18"/>
                <w:szCs w:val="18"/>
              </w:rPr>
              <w:t>&lt;0.0001</w:t>
            </w:r>
          </w:p>
        </w:tc>
      </w:tr>
      <w:tr w:rsidR="0057464F" w:rsidRPr="0057464F" w14:paraId="7EE82A7C" w14:textId="77777777" w:rsidTr="00E04694">
        <w:tc>
          <w:tcPr>
            <w:tcW w:w="1139" w:type="dxa"/>
          </w:tcPr>
          <w:p w14:paraId="51E78CF7" w14:textId="6FB32804"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4</w:t>
            </w:r>
            <w:r w:rsidR="008248D8">
              <w:rPr>
                <w:rFonts w:ascii="Times New Roman" w:hAnsi="Times New Roman" w:cs="Times New Roman"/>
                <w:sz w:val="18"/>
                <w:szCs w:val="18"/>
              </w:rPr>
              <w:t xml:space="preserve"> </w:t>
            </w:r>
            <w:r w:rsidRPr="00EE7401">
              <w:rPr>
                <w:rFonts w:ascii="Times New Roman" w:hAnsi="Times New Roman" w:cs="Times New Roman"/>
                <w:sz w:val="18"/>
                <w:szCs w:val="18"/>
              </w:rPr>
              <w:t>mg/kg load</w:t>
            </w:r>
          </w:p>
        </w:tc>
        <w:tc>
          <w:tcPr>
            <w:tcW w:w="1102" w:type="dxa"/>
          </w:tcPr>
          <w:p w14:paraId="3B17CC14"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66</w:t>
            </w:r>
          </w:p>
        </w:tc>
        <w:tc>
          <w:tcPr>
            <w:tcW w:w="1143" w:type="dxa"/>
          </w:tcPr>
          <w:p w14:paraId="1AFCF33C"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88039.4</w:t>
            </w:r>
          </w:p>
        </w:tc>
        <w:tc>
          <w:tcPr>
            <w:tcW w:w="1143" w:type="dxa"/>
          </w:tcPr>
          <w:p w14:paraId="750C01B6"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21712.6</w:t>
            </w:r>
          </w:p>
        </w:tc>
        <w:tc>
          <w:tcPr>
            <w:tcW w:w="1143" w:type="dxa"/>
          </w:tcPr>
          <w:p w14:paraId="68AA96CE"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85596.5</w:t>
            </w:r>
          </w:p>
        </w:tc>
        <w:tc>
          <w:tcPr>
            <w:tcW w:w="1615" w:type="dxa"/>
          </w:tcPr>
          <w:p w14:paraId="7368480E"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72405.0-98604.0</w:t>
            </w:r>
          </w:p>
        </w:tc>
        <w:tc>
          <w:tcPr>
            <w:tcW w:w="1620" w:type="dxa"/>
            <w:vMerge/>
          </w:tcPr>
          <w:p w14:paraId="02A13E85" w14:textId="77777777" w:rsidR="0057464F" w:rsidRPr="00EE7401" w:rsidRDefault="0057464F" w:rsidP="00E04694">
            <w:pPr>
              <w:rPr>
                <w:rFonts w:ascii="Times New Roman" w:hAnsi="Times New Roman" w:cs="Times New Roman"/>
                <w:sz w:val="18"/>
                <w:szCs w:val="18"/>
              </w:rPr>
            </w:pPr>
          </w:p>
        </w:tc>
      </w:tr>
    </w:tbl>
    <w:p w14:paraId="2BB2E3C4" w14:textId="77777777" w:rsidR="0057464F" w:rsidRPr="0057464F" w:rsidRDefault="0057464F" w:rsidP="0057464F">
      <w:pPr>
        <w:ind w:left="360"/>
        <w:rPr>
          <w:rFonts w:ascii="Times New Roman" w:hAnsi="Times New Roman" w:cs="Times New Roman"/>
        </w:rPr>
      </w:pPr>
    </w:p>
    <w:p w14:paraId="08D8A568" w14:textId="77777777" w:rsidR="0057464F" w:rsidRPr="0057464F" w:rsidRDefault="0057464F" w:rsidP="0057464F">
      <w:pPr>
        <w:spacing w:after="160" w:line="259" w:lineRule="auto"/>
        <w:rPr>
          <w:rFonts w:ascii="Times New Roman" w:hAnsi="Times New Roman" w:cs="Times New Roman"/>
        </w:rPr>
      </w:pPr>
      <w:r w:rsidRPr="0057464F">
        <w:rPr>
          <w:rFonts w:ascii="Times New Roman" w:hAnsi="Times New Roman" w:cs="Times New Roman"/>
        </w:rPr>
        <w:t>Comparison of half-life T</w:t>
      </w:r>
      <w:r w:rsidRPr="0057464F">
        <w:rPr>
          <w:rFonts w:ascii="Times New Roman" w:hAnsi="Times New Roman" w:cs="Times New Roman"/>
          <w:vertAlign w:val="subscript"/>
        </w:rPr>
        <w:t xml:space="preserve">1/2 </w:t>
      </w:r>
      <w:r w:rsidRPr="0057464F">
        <w:rPr>
          <w:rFonts w:ascii="Times New Roman" w:hAnsi="Times New Roman" w:cs="Times New Roman"/>
        </w:rPr>
        <w:t>(day)</w:t>
      </w:r>
    </w:p>
    <w:tbl>
      <w:tblPr>
        <w:tblStyle w:val="TableGrid"/>
        <w:tblW w:w="0" w:type="auto"/>
        <w:tblInd w:w="360" w:type="dxa"/>
        <w:tblLook w:val="04A0" w:firstRow="1" w:lastRow="0" w:firstColumn="1" w:lastColumn="0" w:noHBand="0" w:noVBand="1"/>
      </w:tblPr>
      <w:tblGrid>
        <w:gridCol w:w="1139"/>
        <w:gridCol w:w="1102"/>
        <w:gridCol w:w="1143"/>
        <w:gridCol w:w="1143"/>
        <w:gridCol w:w="1143"/>
        <w:gridCol w:w="1615"/>
        <w:gridCol w:w="1620"/>
      </w:tblGrid>
      <w:tr w:rsidR="0057464F" w:rsidRPr="0057464F" w14:paraId="208C8EF6" w14:textId="77777777" w:rsidTr="00E04694">
        <w:tc>
          <w:tcPr>
            <w:tcW w:w="1139" w:type="dxa"/>
          </w:tcPr>
          <w:p w14:paraId="7A4E3A07"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Group</w:t>
            </w:r>
          </w:p>
        </w:tc>
        <w:tc>
          <w:tcPr>
            <w:tcW w:w="1102" w:type="dxa"/>
          </w:tcPr>
          <w:p w14:paraId="2615280A"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n</w:t>
            </w:r>
          </w:p>
        </w:tc>
        <w:tc>
          <w:tcPr>
            <w:tcW w:w="1143" w:type="dxa"/>
          </w:tcPr>
          <w:p w14:paraId="14ADC71A"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mean</w:t>
            </w:r>
          </w:p>
        </w:tc>
        <w:tc>
          <w:tcPr>
            <w:tcW w:w="1143" w:type="dxa"/>
          </w:tcPr>
          <w:p w14:paraId="69BBDE26"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SD</w:t>
            </w:r>
          </w:p>
        </w:tc>
        <w:tc>
          <w:tcPr>
            <w:tcW w:w="1143" w:type="dxa"/>
          </w:tcPr>
          <w:p w14:paraId="6746505D"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Median</w:t>
            </w:r>
          </w:p>
        </w:tc>
        <w:tc>
          <w:tcPr>
            <w:tcW w:w="1615" w:type="dxa"/>
          </w:tcPr>
          <w:p w14:paraId="0F85E398"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Inter-quartile range</w:t>
            </w:r>
          </w:p>
        </w:tc>
        <w:tc>
          <w:tcPr>
            <w:tcW w:w="1620" w:type="dxa"/>
          </w:tcPr>
          <w:p w14:paraId="1E78EF99"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p-value with the Wilcoxon rank sum test</w:t>
            </w:r>
          </w:p>
        </w:tc>
      </w:tr>
      <w:tr w:rsidR="0057464F" w:rsidRPr="0057464F" w14:paraId="2B10152C" w14:textId="77777777" w:rsidTr="00E04694">
        <w:tc>
          <w:tcPr>
            <w:tcW w:w="1139" w:type="dxa"/>
          </w:tcPr>
          <w:p w14:paraId="4B5526B1" w14:textId="403C070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2</w:t>
            </w:r>
            <w:r w:rsidR="006D605D">
              <w:rPr>
                <w:rFonts w:ascii="Times New Roman" w:hAnsi="Times New Roman" w:cs="Times New Roman"/>
                <w:sz w:val="18"/>
                <w:szCs w:val="18"/>
              </w:rPr>
              <w:t xml:space="preserve"> </w:t>
            </w:r>
            <w:r w:rsidRPr="00EE7401">
              <w:rPr>
                <w:rFonts w:ascii="Times New Roman" w:hAnsi="Times New Roman" w:cs="Times New Roman"/>
                <w:sz w:val="18"/>
                <w:szCs w:val="18"/>
              </w:rPr>
              <w:t>mg/kg load</w:t>
            </w:r>
          </w:p>
        </w:tc>
        <w:tc>
          <w:tcPr>
            <w:tcW w:w="1102" w:type="dxa"/>
          </w:tcPr>
          <w:p w14:paraId="1CBA3E67"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18</w:t>
            </w:r>
          </w:p>
        </w:tc>
        <w:tc>
          <w:tcPr>
            <w:tcW w:w="1143" w:type="dxa"/>
          </w:tcPr>
          <w:p w14:paraId="2FF8B0B0"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29.9</w:t>
            </w:r>
          </w:p>
        </w:tc>
        <w:tc>
          <w:tcPr>
            <w:tcW w:w="1143" w:type="dxa"/>
          </w:tcPr>
          <w:p w14:paraId="729F1D69"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34.4</w:t>
            </w:r>
          </w:p>
        </w:tc>
        <w:tc>
          <w:tcPr>
            <w:tcW w:w="1143" w:type="dxa"/>
          </w:tcPr>
          <w:p w14:paraId="5D383E4D"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15.9</w:t>
            </w:r>
          </w:p>
        </w:tc>
        <w:tc>
          <w:tcPr>
            <w:tcW w:w="1615" w:type="dxa"/>
          </w:tcPr>
          <w:p w14:paraId="51BB053C"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9.1-30.5</w:t>
            </w:r>
          </w:p>
        </w:tc>
        <w:tc>
          <w:tcPr>
            <w:tcW w:w="1620" w:type="dxa"/>
            <w:vMerge w:val="restart"/>
            <w:vAlign w:val="center"/>
          </w:tcPr>
          <w:p w14:paraId="0EC4B2E8" w14:textId="77777777" w:rsidR="0057464F" w:rsidRPr="00EE7401" w:rsidRDefault="0057464F" w:rsidP="00E04694">
            <w:pPr>
              <w:jc w:val="center"/>
              <w:rPr>
                <w:rFonts w:ascii="Times New Roman" w:eastAsiaTheme="minorEastAsia" w:hAnsi="Times New Roman" w:cs="Times New Roman"/>
                <w:sz w:val="18"/>
                <w:szCs w:val="18"/>
              </w:rPr>
            </w:pPr>
            <w:r w:rsidRPr="00EE7401">
              <w:rPr>
                <w:rFonts w:ascii="Times New Roman" w:eastAsiaTheme="minorEastAsia" w:hAnsi="Times New Roman" w:cs="Times New Roman"/>
                <w:sz w:val="18"/>
                <w:szCs w:val="18"/>
              </w:rPr>
              <w:t>0.7404</w:t>
            </w:r>
          </w:p>
        </w:tc>
      </w:tr>
      <w:tr w:rsidR="0057464F" w:rsidRPr="0057464F" w14:paraId="5D26E165" w14:textId="77777777" w:rsidTr="00E04694">
        <w:tc>
          <w:tcPr>
            <w:tcW w:w="1139" w:type="dxa"/>
          </w:tcPr>
          <w:p w14:paraId="2308F6E1" w14:textId="78732FF4"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4</w:t>
            </w:r>
            <w:r w:rsidR="006D605D">
              <w:rPr>
                <w:rFonts w:ascii="Times New Roman" w:hAnsi="Times New Roman" w:cs="Times New Roman"/>
                <w:sz w:val="18"/>
                <w:szCs w:val="18"/>
              </w:rPr>
              <w:t xml:space="preserve"> </w:t>
            </w:r>
            <w:r w:rsidRPr="00EE7401">
              <w:rPr>
                <w:rFonts w:ascii="Times New Roman" w:hAnsi="Times New Roman" w:cs="Times New Roman"/>
                <w:sz w:val="18"/>
                <w:szCs w:val="18"/>
              </w:rPr>
              <w:t>mg/kg load</w:t>
            </w:r>
          </w:p>
        </w:tc>
        <w:tc>
          <w:tcPr>
            <w:tcW w:w="1102" w:type="dxa"/>
          </w:tcPr>
          <w:p w14:paraId="29F3CA90"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66</w:t>
            </w:r>
          </w:p>
        </w:tc>
        <w:tc>
          <w:tcPr>
            <w:tcW w:w="1143" w:type="dxa"/>
          </w:tcPr>
          <w:p w14:paraId="08AED254"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41.7</w:t>
            </w:r>
          </w:p>
        </w:tc>
        <w:tc>
          <w:tcPr>
            <w:tcW w:w="1143" w:type="dxa"/>
          </w:tcPr>
          <w:p w14:paraId="35C79617"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77.6</w:t>
            </w:r>
          </w:p>
        </w:tc>
        <w:tc>
          <w:tcPr>
            <w:tcW w:w="1143" w:type="dxa"/>
          </w:tcPr>
          <w:p w14:paraId="44D5C553"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18.9</w:t>
            </w:r>
          </w:p>
        </w:tc>
        <w:tc>
          <w:tcPr>
            <w:tcW w:w="1615" w:type="dxa"/>
          </w:tcPr>
          <w:p w14:paraId="57FFDA3E"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10.2-40.8</w:t>
            </w:r>
          </w:p>
        </w:tc>
        <w:tc>
          <w:tcPr>
            <w:tcW w:w="1620" w:type="dxa"/>
            <w:vMerge/>
          </w:tcPr>
          <w:p w14:paraId="0D64553E" w14:textId="77777777" w:rsidR="0057464F" w:rsidRPr="0057464F" w:rsidRDefault="0057464F" w:rsidP="00E04694">
            <w:pPr>
              <w:rPr>
                <w:rFonts w:ascii="Times New Roman" w:hAnsi="Times New Roman" w:cs="Times New Roman"/>
              </w:rPr>
            </w:pPr>
          </w:p>
        </w:tc>
      </w:tr>
    </w:tbl>
    <w:p w14:paraId="37A1D089" w14:textId="77777777" w:rsidR="0057464F" w:rsidRPr="0057464F" w:rsidRDefault="0057464F" w:rsidP="0057464F">
      <w:pPr>
        <w:ind w:left="360"/>
        <w:rPr>
          <w:rFonts w:ascii="Times New Roman" w:hAnsi="Times New Roman" w:cs="Times New Roman"/>
        </w:rPr>
      </w:pPr>
    </w:p>
    <w:p w14:paraId="55C9E060" w14:textId="77777777" w:rsidR="0057464F" w:rsidRPr="0057464F" w:rsidRDefault="0057464F" w:rsidP="0057464F">
      <w:pPr>
        <w:pStyle w:val="ListParagraph"/>
        <w:numPr>
          <w:ilvl w:val="1"/>
          <w:numId w:val="28"/>
        </w:numPr>
        <w:spacing w:after="160" w:line="259" w:lineRule="auto"/>
        <w:rPr>
          <w:rFonts w:ascii="Times New Roman" w:hAnsi="Times New Roman" w:cs="Times New Roman"/>
        </w:rPr>
      </w:pPr>
      <w:r w:rsidRPr="0057464F">
        <w:rPr>
          <w:rFonts w:ascii="Times New Roman" w:hAnsi="Times New Roman" w:cs="Times New Roman"/>
        </w:rPr>
        <w:t>Comparison of AUC</w:t>
      </w:r>
      <w:r w:rsidRPr="0057464F">
        <w:rPr>
          <w:rFonts w:ascii="Times New Roman" w:hAnsi="Times New Roman" w:cs="Times New Roman"/>
          <w:vertAlign w:val="subscript"/>
        </w:rPr>
        <w:t>7</w:t>
      </w:r>
      <w:r w:rsidRPr="0057464F">
        <w:rPr>
          <w:rFonts w:ascii="Times New Roman" w:hAnsi="Times New Roman" w:cs="Times New Roman"/>
        </w:rPr>
        <w:t xml:space="preserve"> (i.e., AUC between day 0 and day 7)</w:t>
      </w:r>
    </w:p>
    <w:tbl>
      <w:tblPr>
        <w:tblStyle w:val="TableGrid"/>
        <w:tblW w:w="0" w:type="auto"/>
        <w:tblInd w:w="360" w:type="dxa"/>
        <w:tblLook w:val="04A0" w:firstRow="1" w:lastRow="0" w:firstColumn="1" w:lastColumn="0" w:noHBand="0" w:noVBand="1"/>
      </w:tblPr>
      <w:tblGrid>
        <w:gridCol w:w="1106"/>
        <w:gridCol w:w="904"/>
        <w:gridCol w:w="1279"/>
        <w:gridCol w:w="1279"/>
        <w:gridCol w:w="1279"/>
        <w:gridCol w:w="1542"/>
        <w:gridCol w:w="1498"/>
      </w:tblGrid>
      <w:tr w:rsidR="0057464F" w:rsidRPr="0057464F" w14:paraId="45ACE208" w14:textId="77777777" w:rsidTr="00EE7401">
        <w:trPr>
          <w:trHeight w:val="71"/>
        </w:trPr>
        <w:tc>
          <w:tcPr>
            <w:tcW w:w="1106" w:type="dxa"/>
          </w:tcPr>
          <w:p w14:paraId="3CB19D17"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Group</w:t>
            </w:r>
          </w:p>
        </w:tc>
        <w:tc>
          <w:tcPr>
            <w:tcW w:w="904" w:type="dxa"/>
          </w:tcPr>
          <w:p w14:paraId="04E44982"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n</w:t>
            </w:r>
          </w:p>
        </w:tc>
        <w:tc>
          <w:tcPr>
            <w:tcW w:w="1279" w:type="dxa"/>
          </w:tcPr>
          <w:p w14:paraId="44E4C503"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mean</w:t>
            </w:r>
          </w:p>
        </w:tc>
        <w:tc>
          <w:tcPr>
            <w:tcW w:w="1279" w:type="dxa"/>
          </w:tcPr>
          <w:p w14:paraId="1766D431"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SD</w:t>
            </w:r>
          </w:p>
        </w:tc>
        <w:tc>
          <w:tcPr>
            <w:tcW w:w="1279" w:type="dxa"/>
          </w:tcPr>
          <w:p w14:paraId="5EE715F2"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Median</w:t>
            </w:r>
          </w:p>
        </w:tc>
        <w:tc>
          <w:tcPr>
            <w:tcW w:w="1542" w:type="dxa"/>
          </w:tcPr>
          <w:p w14:paraId="6241BCF4"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Inter-quartile range</w:t>
            </w:r>
          </w:p>
        </w:tc>
        <w:tc>
          <w:tcPr>
            <w:tcW w:w="1498" w:type="dxa"/>
          </w:tcPr>
          <w:p w14:paraId="0EFAC6E4"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p-value with the Wilcoxon rank sum test</w:t>
            </w:r>
          </w:p>
        </w:tc>
      </w:tr>
      <w:tr w:rsidR="0057464F" w:rsidRPr="0057464F" w14:paraId="2F07219C" w14:textId="77777777" w:rsidTr="0057464F">
        <w:trPr>
          <w:trHeight w:val="634"/>
        </w:trPr>
        <w:tc>
          <w:tcPr>
            <w:tcW w:w="1106" w:type="dxa"/>
          </w:tcPr>
          <w:p w14:paraId="14683882" w14:textId="0127EFE2"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2</w:t>
            </w:r>
            <w:r w:rsidR="006D605D">
              <w:rPr>
                <w:rFonts w:ascii="Times New Roman" w:hAnsi="Times New Roman" w:cs="Times New Roman"/>
                <w:sz w:val="18"/>
                <w:szCs w:val="18"/>
              </w:rPr>
              <w:t xml:space="preserve"> </w:t>
            </w:r>
            <w:r w:rsidRPr="00EE7401">
              <w:rPr>
                <w:rFonts w:ascii="Times New Roman" w:hAnsi="Times New Roman" w:cs="Times New Roman"/>
                <w:sz w:val="18"/>
                <w:szCs w:val="18"/>
              </w:rPr>
              <w:t>mg/kg load</w:t>
            </w:r>
          </w:p>
        </w:tc>
        <w:tc>
          <w:tcPr>
            <w:tcW w:w="904" w:type="dxa"/>
          </w:tcPr>
          <w:p w14:paraId="7D4C8068"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18</w:t>
            </w:r>
          </w:p>
        </w:tc>
        <w:tc>
          <w:tcPr>
            <w:tcW w:w="1279" w:type="dxa"/>
          </w:tcPr>
          <w:p w14:paraId="7AE703EC"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256,861.4</w:t>
            </w:r>
          </w:p>
        </w:tc>
        <w:tc>
          <w:tcPr>
            <w:tcW w:w="1279" w:type="dxa"/>
          </w:tcPr>
          <w:p w14:paraId="0B8E758A"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379,131.1</w:t>
            </w:r>
          </w:p>
        </w:tc>
        <w:tc>
          <w:tcPr>
            <w:tcW w:w="1279" w:type="dxa"/>
          </w:tcPr>
          <w:p w14:paraId="733FEBE6"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165,783.4</w:t>
            </w:r>
          </w:p>
        </w:tc>
        <w:tc>
          <w:tcPr>
            <w:tcW w:w="1542" w:type="dxa"/>
          </w:tcPr>
          <w:p w14:paraId="7649BC4E"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145,188.8-198,572.9</w:t>
            </w:r>
          </w:p>
        </w:tc>
        <w:tc>
          <w:tcPr>
            <w:tcW w:w="1498" w:type="dxa"/>
            <w:vMerge w:val="restart"/>
            <w:vAlign w:val="center"/>
          </w:tcPr>
          <w:p w14:paraId="05C9EFF4" w14:textId="77777777" w:rsidR="0057464F" w:rsidRPr="00EE7401" w:rsidRDefault="0057464F" w:rsidP="00E04694">
            <w:pPr>
              <w:jc w:val="center"/>
              <w:rPr>
                <w:rFonts w:ascii="Times New Roman" w:eastAsiaTheme="minorEastAsia" w:hAnsi="Times New Roman" w:cs="Times New Roman"/>
                <w:sz w:val="18"/>
                <w:szCs w:val="18"/>
              </w:rPr>
            </w:pPr>
            <w:r w:rsidRPr="00EE7401">
              <w:rPr>
                <w:rFonts w:ascii="Times New Roman" w:eastAsiaTheme="minorEastAsia" w:hAnsi="Times New Roman" w:cs="Times New Roman"/>
                <w:sz w:val="18"/>
                <w:szCs w:val="18"/>
              </w:rPr>
              <w:t>&lt;0.0001</w:t>
            </w:r>
          </w:p>
        </w:tc>
      </w:tr>
      <w:tr w:rsidR="0057464F" w:rsidRPr="0057464F" w14:paraId="7B3D49FC" w14:textId="77777777" w:rsidTr="0057464F">
        <w:trPr>
          <w:trHeight w:val="634"/>
        </w:trPr>
        <w:tc>
          <w:tcPr>
            <w:tcW w:w="1106" w:type="dxa"/>
          </w:tcPr>
          <w:p w14:paraId="3FA11977" w14:textId="18645ED2"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4</w:t>
            </w:r>
            <w:r w:rsidR="006D605D">
              <w:rPr>
                <w:rFonts w:ascii="Times New Roman" w:hAnsi="Times New Roman" w:cs="Times New Roman"/>
                <w:sz w:val="18"/>
                <w:szCs w:val="18"/>
              </w:rPr>
              <w:t xml:space="preserve"> </w:t>
            </w:r>
            <w:r w:rsidRPr="00EE7401">
              <w:rPr>
                <w:rFonts w:ascii="Times New Roman" w:hAnsi="Times New Roman" w:cs="Times New Roman"/>
                <w:sz w:val="18"/>
                <w:szCs w:val="18"/>
              </w:rPr>
              <w:t>mg/kg load</w:t>
            </w:r>
          </w:p>
        </w:tc>
        <w:tc>
          <w:tcPr>
            <w:tcW w:w="904" w:type="dxa"/>
          </w:tcPr>
          <w:p w14:paraId="225AC220"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66</w:t>
            </w:r>
          </w:p>
        </w:tc>
        <w:tc>
          <w:tcPr>
            <w:tcW w:w="1279" w:type="dxa"/>
          </w:tcPr>
          <w:p w14:paraId="0ED5FB94"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415,768.4</w:t>
            </w:r>
          </w:p>
        </w:tc>
        <w:tc>
          <w:tcPr>
            <w:tcW w:w="1279" w:type="dxa"/>
          </w:tcPr>
          <w:p w14:paraId="422107D9"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280,598.9</w:t>
            </w:r>
          </w:p>
        </w:tc>
        <w:tc>
          <w:tcPr>
            <w:tcW w:w="1279" w:type="dxa"/>
          </w:tcPr>
          <w:p w14:paraId="0836FAAF"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352,737.2</w:t>
            </w:r>
          </w:p>
        </w:tc>
        <w:tc>
          <w:tcPr>
            <w:tcW w:w="1542" w:type="dxa"/>
          </w:tcPr>
          <w:p w14:paraId="403BBFCD"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289,558.8-451064.8</w:t>
            </w:r>
          </w:p>
        </w:tc>
        <w:tc>
          <w:tcPr>
            <w:tcW w:w="1498" w:type="dxa"/>
            <w:vMerge/>
          </w:tcPr>
          <w:p w14:paraId="4F39E61A" w14:textId="77777777" w:rsidR="0057464F" w:rsidRPr="0057464F" w:rsidRDefault="0057464F" w:rsidP="00E04694">
            <w:pPr>
              <w:rPr>
                <w:rFonts w:ascii="Times New Roman" w:hAnsi="Times New Roman" w:cs="Times New Roman"/>
              </w:rPr>
            </w:pPr>
          </w:p>
        </w:tc>
      </w:tr>
    </w:tbl>
    <w:p w14:paraId="794C40E1" w14:textId="77777777" w:rsidR="0057464F" w:rsidRPr="0057464F" w:rsidRDefault="0057464F" w:rsidP="0057464F">
      <w:pPr>
        <w:ind w:left="360"/>
        <w:rPr>
          <w:rFonts w:ascii="Times New Roman" w:hAnsi="Times New Roman" w:cs="Times New Roman"/>
        </w:rPr>
      </w:pPr>
    </w:p>
    <w:p w14:paraId="7D61ED26" w14:textId="77777777" w:rsidR="0057464F" w:rsidRPr="0057464F" w:rsidRDefault="0057464F" w:rsidP="0057464F">
      <w:pPr>
        <w:spacing w:after="160" w:line="259" w:lineRule="auto"/>
        <w:rPr>
          <w:rFonts w:ascii="Times New Roman" w:hAnsi="Times New Roman" w:cs="Times New Roman"/>
        </w:rPr>
      </w:pPr>
      <w:r w:rsidRPr="0057464F">
        <w:rPr>
          <w:rFonts w:ascii="Times New Roman" w:hAnsi="Times New Roman" w:cs="Times New Roman"/>
        </w:rPr>
        <w:t>Comparison of AUC</w:t>
      </w:r>
      <w:r w:rsidRPr="0057464F">
        <w:rPr>
          <w:rFonts w:ascii="Times New Roman" w:hAnsi="Times New Roman" w:cs="Times New Roman"/>
          <w:vertAlign w:val="subscript"/>
        </w:rPr>
        <w:t>14</w:t>
      </w:r>
      <w:r w:rsidRPr="0057464F">
        <w:rPr>
          <w:rFonts w:ascii="Times New Roman" w:hAnsi="Times New Roman" w:cs="Times New Roman"/>
        </w:rPr>
        <w:t xml:space="preserve"> (i.e., AUC between day 0 and day 14)</w:t>
      </w:r>
    </w:p>
    <w:tbl>
      <w:tblPr>
        <w:tblStyle w:val="TableGrid"/>
        <w:tblW w:w="0" w:type="auto"/>
        <w:tblInd w:w="360" w:type="dxa"/>
        <w:tblLook w:val="04A0" w:firstRow="1" w:lastRow="0" w:firstColumn="1" w:lastColumn="0" w:noHBand="0" w:noVBand="1"/>
      </w:tblPr>
      <w:tblGrid>
        <w:gridCol w:w="1071"/>
        <w:gridCol w:w="837"/>
        <w:gridCol w:w="1272"/>
        <w:gridCol w:w="1467"/>
        <w:gridCol w:w="1272"/>
        <w:gridCol w:w="1523"/>
        <w:gridCol w:w="1435"/>
      </w:tblGrid>
      <w:tr w:rsidR="0057464F" w:rsidRPr="0057464F" w14:paraId="65873554" w14:textId="77777777" w:rsidTr="00EE7401">
        <w:trPr>
          <w:trHeight w:val="71"/>
        </w:trPr>
        <w:tc>
          <w:tcPr>
            <w:tcW w:w="1071" w:type="dxa"/>
          </w:tcPr>
          <w:p w14:paraId="30D3BCEC"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Group</w:t>
            </w:r>
          </w:p>
        </w:tc>
        <w:tc>
          <w:tcPr>
            <w:tcW w:w="837" w:type="dxa"/>
          </w:tcPr>
          <w:p w14:paraId="460375C9"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n</w:t>
            </w:r>
          </w:p>
        </w:tc>
        <w:tc>
          <w:tcPr>
            <w:tcW w:w="1272" w:type="dxa"/>
          </w:tcPr>
          <w:p w14:paraId="0DCA87E0"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mean</w:t>
            </w:r>
          </w:p>
        </w:tc>
        <w:tc>
          <w:tcPr>
            <w:tcW w:w="1467" w:type="dxa"/>
          </w:tcPr>
          <w:p w14:paraId="2DCB4669"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SD</w:t>
            </w:r>
          </w:p>
        </w:tc>
        <w:tc>
          <w:tcPr>
            <w:tcW w:w="1272" w:type="dxa"/>
          </w:tcPr>
          <w:p w14:paraId="6A590029"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Median</w:t>
            </w:r>
          </w:p>
        </w:tc>
        <w:tc>
          <w:tcPr>
            <w:tcW w:w="1523" w:type="dxa"/>
          </w:tcPr>
          <w:p w14:paraId="736812D0"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Inter-quartile range</w:t>
            </w:r>
          </w:p>
        </w:tc>
        <w:tc>
          <w:tcPr>
            <w:tcW w:w="1435" w:type="dxa"/>
          </w:tcPr>
          <w:p w14:paraId="7AA6A14E"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p-value with the Wilcoxon rank sum test</w:t>
            </w:r>
          </w:p>
        </w:tc>
      </w:tr>
      <w:tr w:rsidR="0057464F" w:rsidRPr="0057464F" w14:paraId="15B45869" w14:textId="77777777" w:rsidTr="0057464F">
        <w:trPr>
          <w:trHeight w:val="645"/>
        </w:trPr>
        <w:tc>
          <w:tcPr>
            <w:tcW w:w="1071" w:type="dxa"/>
          </w:tcPr>
          <w:p w14:paraId="0F15CB6F" w14:textId="6F0FECBB"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2</w:t>
            </w:r>
            <w:r w:rsidR="006D605D">
              <w:rPr>
                <w:rFonts w:ascii="Times New Roman" w:hAnsi="Times New Roman" w:cs="Times New Roman"/>
                <w:sz w:val="18"/>
                <w:szCs w:val="18"/>
              </w:rPr>
              <w:t xml:space="preserve"> </w:t>
            </w:r>
            <w:r w:rsidRPr="00EE7401">
              <w:rPr>
                <w:rFonts w:ascii="Times New Roman" w:hAnsi="Times New Roman" w:cs="Times New Roman"/>
                <w:sz w:val="18"/>
                <w:szCs w:val="18"/>
              </w:rPr>
              <w:t>mg/kg load</w:t>
            </w:r>
          </w:p>
        </w:tc>
        <w:tc>
          <w:tcPr>
            <w:tcW w:w="837" w:type="dxa"/>
          </w:tcPr>
          <w:p w14:paraId="522A14B9"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18</w:t>
            </w:r>
          </w:p>
        </w:tc>
        <w:tc>
          <w:tcPr>
            <w:tcW w:w="1272" w:type="dxa"/>
          </w:tcPr>
          <w:p w14:paraId="3369EE46"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609,877.1</w:t>
            </w:r>
          </w:p>
        </w:tc>
        <w:tc>
          <w:tcPr>
            <w:tcW w:w="1467" w:type="dxa"/>
          </w:tcPr>
          <w:p w14:paraId="01E6D0F2"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1,509,257.8</w:t>
            </w:r>
          </w:p>
        </w:tc>
        <w:tc>
          <w:tcPr>
            <w:tcW w:w="1272" w:type="dxa"/>
          </w:tcPr>
          <w:p w14:paraId="0EEA7B68"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252,708.2</w:t>
            </w:r>
          </w:p>
        </w:tc>
        <w:tc>
          <w:tcPr>
            <w:tcW w:w="1523" w:type="dxa"/>
          </w:tcPr>
          <w:p w14:paraId="548CEDB2"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216,227.5-303,371.4</w:t>
            </w:r>
          </w:p>
        </w:tc>
        <w:tc>
          <w:tcPr>
            <w:tcW w:w="1435" w:type="dxa"/>
            <w:vMerge w:val="restart"/>
            <w:vAlign w:val="center"/>
          </w:tcPr>
          <w:p w14:paraId="3D8796E3" w14:textId="77777777" w:rsidR="0057464F" w:rsidRPr="00EE7401" w:rsidRDefault="0057464F" w:rsidP="00E04694">
            <w:pPr>
              <w:jc w:val="center"/>
              <w:rPr>
                <w:rFonts w:ascii="Times New Roman" w:eastAsiaTheme="minorEastAsia" w:hAnsi="Times New Roman" w:cs="Times New Roman"/>
                <w:sz w:val="18"/>
                <w:szCs w:val="18"/>
              </w:rPr>
            </w:pPr>
            <w:r w:rsidRPr="00EE7401">
              <w:rPr>
                <w:rFonts w:ascii="Times New Roman" w:eastAsiaTheme="minorEastAsia" w:hAnsi="Times New Roman" w:cs="Times New Roman"/>
                <w:sz w:val="18"/>
                <w:szCs w:val="18"/>
              </w:rPr>
              <w:t>&lt;0.0001</w:t>
            </w:r>
          </w:p>
        </w:tc>
      </w:tr>
      <w:tr w:rsidR="0057464F" w:rsidRPr="0057464F" w14:paraId="5899F3FE" w14:textId="77777777" w:rsidTr="0057464F">
        <w:trPr>
          <w:trHeight w:val="645"/>
        </w:trPr>
        <w:tc>
          <w:tcPr>
            <w:tcW w:w="1071" w:type="dxa"/>
          </w:tcPr>
          <w:p w14:paraId="42B074BC" w14:textId="13D1018F"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4</w:t>
            </w:r>
            <w:r w:rsidR="006D605D">
              <w:rPr>
                <w:rFonts w:ascii="Times New Roman" w:hAnsi="Times New Roman" w:cs="Times New Roman"/>
                <w:sz w:val="18"/>
                <w:szCs w:val="18"/>
              </w:rPr>
              <w:t xml:space="preserve"> </w:t>
            </w:r>
            <w:r w:rsidRPr="00EE7401">
              <w:rPr>
                <w:rFonts w:ascii="Times New Roman" w:hAnsi="Times New Roman" w:cs="Times New Roman"/>
                <w:sz w:val="18"/>
                <w:szCs w:val="18"/>
              </w:rPr>
              <w:t>mg/kg load</w:t>
            </w:r>
          </w:p>
        </w:tc>
        <w:tc>
          <w:tcPr>
            <w:tcW w:w="837" w:type="dxa"/>
          </w:tcPr>
          <w:p w14:paraId="067B19CE"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66</w:t>
            </w:r>
          </w:p>
        </w:tc>
        <w:tc>
          <w:tcPr>
            <w:tcW w:w="1272" w:type="dxa"/>
          </w:tcPr>
          <w:p w14:paraId="3B99AE95"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781,701.6</w:t>
            </w:r>
          </w:p>
        </w:tc>
        <w:tc>
          <w:tcPr>
            <w:tcW w:w="1467" w:type="dxa"/>
          </w:tcPr>
          <w:p w14:paraId="11CB4D31"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1,019,317.2</w:t>
            </w:r>
          </w:p>
        </w:tc>
        <w:tc>
          <w:tcPr>
            <w:tcW w:w="1272" w:type="dxa"/>
          </w:tcPr>
          <w:p w14:paraId="3F5D1A15"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518,470.0</w:t>
            </w:r>
          </w:p>
        </w:tc>
        <w:tc>
          <w:tcPr>
            <w:tcW w:w="1523" w:type="dxa"/>
          </w:tcPr>
          <w:p w14:paraId="71BE63D4"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433,940.2-686,735.2</w:t>
            </w:r>
          </w:p>
        </w:tc>
        <w:tc>
          <w:tcPr>
            <w:tcW w:w="1435" w:type="dxa"/>
            <w:vMerge/>
          </w:tcPr>
          <w:p w14:paraId="3008B1CE" w14:textId="77777777" w:rsidR="0057464F" w:rsidRPr="0057464F" w:rsidRDefault="0057464F" w:rsidP="00E04694">
            <w:pPr>
              <w:rPr>
                <w:rFonts w:ascii="Times New Roman" w:hAnsi="Times New Roman" w:cs="Times New Roman"/>
              </w:rPr>
            </w:pPr>
          </w:p>
        </w:tc>
      </w:tr>
    </w:tbl>
    <w:p w14:paraId="25322E0B" w14:textId="77777777" w:rsidR="0057464F" w:rsidRPr="0057464F" w:rsidRDefault="0057464F" w:rsidP="0057464F">
      <w:pPr>
        <w:ind w:left="360"/>
        <w:rPr>
          <w:rFonts w:ascii="Times New Roman" w:hAnsi="Times New Roman" w:cs="Times New Roman"/>
        </w:rPr>
      </w:pPr>
    </w:p>
    <w:p w14:paraId="24DB9021" w14:textId="77777777" w:rsidR="0057464F" w:rsidRPr="0057464F" w:rsidRDefault="0057464F" w:rsidP="0057464F">
      <w:pPr>
        <w:spacing w:after="160" w:line="259" w:lineRule="auto"/>
        <w:rPr>
          <w:rFonts w:ascii="Times New Roman" w:hAnsi="Times New Roman" w:cs="Times New Roman"/>
        </w:rPr>
      </w:pPr>
      <w:r w:rsidRPr="0057464F">
        <w:rPr>
          <w:rFonts w:ascii="Times New Roman" w:hAnsi="Times New Roman" w:cs="Times New Roman"/>
        </w:rPr>
        <w:t>Comparison of AUC</w:t>
      </w:r>
      <w:r w:rsidRPr="0057464F">
        <w:rPr>
          <w:rFonts w:ascii="Times New Roman" w:hAnsi="Times New Roman" w:cs="Times New Roman"/>
          <w:vertAlign w:val="subscript"/>
        </w:rPr>
        <w:t>21</w:t>
      </w:r>
      <w:r w:rsidRPr="0057464F">
        <w:rPr>
          <w:rFonts w:ascii="Times New Roman" w:hAnsi="Times New Roman" w:cs="Times New Roman"/>
        </w:rPr>
        <w:t xml:space="preserve"> (i.e., AUC between day 0 and day 21)</w:t>
      </w:r>
    </w:p>
    <w:tbl>
      <w:tblPr>
        <w:tblStyle w:val="TableGrid"/>
        <w:tblW w:w="0" w:type="auto"/>
        <w:tblInd w:w="360" w:type="dxa"/>
        <w:tblLook w:val="04A0" w:firstRow="1" w:lastRow="0" w:firstColumn="1" w:lastColumn="0" w:noHBand="0" w:noVBand="1"/>
      </w:tblPr>
      <w:tblGrid>
        <w:gridCol w:w="1055"/>
        <w:gridCol w:w="816"/>
        <w:gridCol w:w="1453"/>
        <w:gridCol w:w="1453"/>
        <w:gridCol w:w="1260"/>
        <w:gridCol w:w="1501"/>
        <w:gridCol w:w="1409"/>
      </w:tblGrid>
      <w:tr w:rsidR="0057464F" w:rsidRPr="0057464F" w14:paraId="4E1D1F5F" w14:textId="77777777" w:rsidTr="00EE7401">
        <w:trPr>
          <w:trHeight w:val="71"/>
        </w:trPr>
        <w:tc>
          <w:tcPr>
            <w:tcW w:w="1055" w:type="dxa"/>
          </w:tcPr>
          <w:p w14:paraId="163500DB"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Group</w:t>
            </w:r>
          </w:p>
        </w:tc>
        <w:tc>
          <w:tcPr>
            <w:tcW w:w="816" w:type="dxa"/>
          </w:tcPr>
          <w:p w14:paraId="0A6E9440"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n</w:t>
            </w:r>
          </w:p>
        </w:tc>
        <w:tc>
          <w:tcPr>
            <w:tcW w:w="1453" w:type="dxa"/>
          </w:tcPr>
          <w:p w14:paraId="4F3A01B0"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mean</w:t>
            </w:r>
          </w:p>
        </w:tc>
        <w:tc>
          <w:tcPr>
            <w:tcW w:w="1453" w:type="dxa"/>
          </w:tcPr>
          <w:p w14:paraId="7F5F9DBE"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SD</w:t>
            </w:r>
          </w:p>
        </w:tc>
        <w:tc>
          <w:tcPr>
            <w:tcW w:w="1260" w:type="dxa"/>
          </w:tcPr>
          <w:p w14:paraId="123375F1"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Median</w:t>
            </w:r>
          </w:p>
        </w:tc>
        <w:tc>
          <w:tcPr>
            <w:tcW w:w="1501" w:type="dxa"/>
          </w:tcPr>
          <w:p w14:paraId="5B405206"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Inter-quartile range</w:t>
            </w:r>
          </w:p>
        </w:tc>
        <w:tc>
          <w:tcPr>
            <w:tcW w:w="1409" w:type="dxa"/>
          </w:tcPr>
          <w:p w14:paraId="4D97A837"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p-value with the Wilcoxon rank sum test</w:t>
            </w:r>
          </w:p>
        </w:tc>
      </w:tr>
      <w:tr w:rsidR="0057464F" w:rsidRPr="0057464F" w14:paraId="1A4B4373" w14:textId="77777777" w:rsidTr="0057464F">
        <w:trPr>
          <w:trHeight w:val="652"/>
        </w:trPr>
        <w:tc>
          <w:tcPr>
            <w:tcW w:w="1055" w:type="dxa"/>
          </w:tcPr>
          <w:p w14:paraId="4E494DBC" w14:textId="22DB51CC"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2</w:t>
            </w:r>
            <w:r w:rsidR="006D605D">
              <w:rPr>
                <w:rFonts w:ascii="Times New Roman" w:hAnsi="Times New Roman" w:cs="Times New Roman"/>
                <w:sz w:val="18"/>
                <w:szCs w:val="18"/>
              </w:rPr>
              <w:t xml:space="preserve"> </w:t>
            </w:r>
            <w:r w:rsidRPr="00EE7401">
              <w:rPr>
                <w:rFonts w:ascii="Times New Roman" w:hAnsi="Times New Roman" w:cs="Times New Roman"/>
                <w:sz w:val="18"/>
                <w:szCs w:val="18"/>
              </w:rPr>
              <w:t>mg/kg load</w:t>
            </w:r>
          </w:p>
        </w:tc>
        <w:tc>
          <w:tcPr>
            <w:tcW w:w="816" w:type="dxa"/>
          </w:tcPr>
          <w:p w14:paraId="6D381769"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18</w:t>
            </w:r>
          </w:p>
        </w:tc>
        <w:tc>
          <w:tcPr>
            <w:tcW w:w="1453" w:type="dxa"/>
            <w:tcBorders>
              <w:top w:val="nil"/>
              <w:left w:val="single" w:sz="2" w:space="0" w:color="000000"/>
              <w:bottom w:val="single" w:sz="6" w:space="0" w:color="000000"/>
              <w:right w:val="nil"/>
            </w:tcBorders>
            <w:shd w:val="clear" w:color="auto" w:fill="FFFFFF"/>
          </w:tcPr>
          <w:p w14:paraId="1BE7097D"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1,147,762.8</w:t>
            </w:r>
          </w:p>
        </w:tc>
        <w:tc>
          <w:tcPr>
            <w:tcW w:w="1453" w:type="dxa"/>
            <w:tcBorders>
              <w:top w:val="nil"/>
              <w:left w:val="single" w:sz="2" w:space="0" w:color="000000"/>
              <w:bottom w:val="single" w:sz="6" w:space="0" w:color="000000"/>
              <w:right w:val="nil"/>
            </w:tcBorders>
            <w:shd w:val="clear" w:color="auto" w:fill="FFFFFF"/>
          </w:tcPr>
          <w:p w14:paraId="0963BB15"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3,370,433.7</w:t>
            </w:r>
          </w:p>
        </w:tc>
        <w:tc>
          <w:tcPr>
            <w:tcW w:w="1260" w:type="dxa"/>
            <w:tcBorders>
              <w:top w:val="nil"/>
              <w:left w:val="single" w:sz="2" w:space="0" w:color="000000"/>
              <w:bottom w:val="single" w:sz="6" w:space="0" w:color="000000"/>
              <w:right w:val="nil"/>
            </w:tcBorders>
            <w:shd w:val="clear" w:color="auto" w:fill="FFFFFF"/>
          </w:tcPr>
          <w:p w14:paraId="520CD0B8"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376,703.1</w:t>
            </w:r>
          </w:p>
        </w:tc>
        <w:tc>
          <w:tcPr>
            <w:tcW w:w="1501" w:type="dxa"/>
            <w:tcBorders>
              <w:top w:val="nil"/>
              <w:left w:val="single" w:sz="2" w:space="0" w:color="000000"/>
              <w:bottom w:val="single" w:sz="6" w:space="0" w:color="000000"/>
              <w:right w:val="nil"/>
            </w:tcBorders>
            <w:shd w:val="clear" w:color="auto" w:fill="FFFFFF"/>
          </w:tcPr>
          <w:p w14:paraId="50B0169B"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274,347.1-428,180.2</w:t>
            </w:r>
          </w:p>
        </w:tc>
        <w:tc>
          <w:tcPr>
            <w:tcW w:w="1409" w:type="dxa"/>
            <w:vMerge w:val="restart"/>
            <w:vAlign w:val="center"/>
          </w:tcPr>
          <w:p w14:paraId="0E602A81" w14:textId="77777777" w:rsidR="0057464F" w:rsidRPr="00EE7401" w:rsidRDefault="0057464F" w:rsidP="00E04694">
            <w:pPr>
              <w:jc w:val="center"/>
              <w:rPr>
                <w:rFonts w:ascii="Times New Roman" w:eastAsiaTheme="minorEastAsia" w:hAnsi="Times New Roman" w:cs="Times New Roman"/>
                <w:sz w:val="18"/>
                <w:szCs w:val="18"/>
              </w:rPr>
            </w:pPr>
            <w:r w:rsidRPr="00EE7401">
              <w:rPr>
                <w:rFonts w:ascii="Times New Roman" w:eastAsiaTheme="minorEastAsia" w:hAnsi="Times New Roman" w:cs="Times New Roman"/>
                <w:sz w:val="18"/>
                <w:szCs w:val="18"/>
              </w:rPr>
              <w:t>&lt;0.0001</w:t>
            </w:r>
          </w:p>
        </w:tc>
      </w:tr>
      <w:tr w:rsidR="0057464F" w:rsidRPr="0057464F" w14:paraId="1DFA57BE" w14:textId="77777777" w:rsidTr="0057464F">
        <w:trPr>
          <w:trHeight w:val="667"/>
        </w:trPr>
        <w:tc>
          <w:tcPr>
            <w:tcW w:w="1055" w:type="dxa"/>
          </w:tcPr>
          <w:p w14:paraId="5467492D" w14:textId="2265E4A2"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4</w:t>
            </w:r>
            <w:r w:rsidR="006D605D">
              <w:rPr>
                <w:rFonts w:ascii="Times New Roman" w:hAnsi="Times New Roman" w:cs="Times New Roman"/>
                <w:sz w:val="18"/>
                <w:szCs w:val="18"/>
              </w:rPr>
              <w:t xml:space="preserve"> </w:t>
            </w:r>
            <w:r w:rsidRPr="00EE7401">
              <w:rPr>
                <w:rFonts w:ascii="Times New Roman" w:hAnsi="Times New Roman" w:cs="Times New Roman"/>
                <w:sz w:val="18"/>
                <w:szCs w:val="18"/>
              </w:rPr>
              <w:t>mg/kg load</w:t>
            </w:r>
          </w:p>
        </w:tc>
        <w:tc>
          <w:tcPr>
            <w:tcW w:w="816" w:type="dxa"/>
          </w:tcPr>
          <w:p w14:paraId="196F183E"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66</w:t>
            </w:r>
          </w:p>
        </w:tc>
        <w:tc>
          <w:tcPr>
            <w:tcW w:w="1453" w:type="dxa"/>
            <w:tcBorders>
              <w:top w:val="nil"/>
              <w:left w:val="single" w:sz="2" w:space="0" w:color="000000"/>
              <w:bottom w:val="single" w:sz="6" w:space="0" w:color="000000"/>
              <w:right w:val="nil"/>
            </w:tcBorders>
            <w:shd w:val="clear" w:color="auto" w:fill="FFFFFF"/>
          </w:tcPr>
          <w:p w14:paraId="5601D4A5"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1,209,421.7</w:t>
            </w:r>
          </w:p>
        </w:tc>
        <w:tc>
          <w:tcPr>
            <w:tcW w:w="1453" w:type="dxa"/>
            <w:tcBorders>
              <w:top w:val="nil"/>
              <w:left w:val="single" w:sz="2" w:space="0" w:color="000000"/>
              <w:bottom w:val="single" w:sz="6" w:space="0" w:color="000000"/>
              <w:right w:val="nil"/>
            </w:tcBorders>
            <w:shd w:val="clear" w:color="auto" w:fill="FFFFFF"/>
          </w:tcPr>
          <w:p w14:paraId="1F479AC8"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2,179,332.4</w:t>
            </w:r>
          </w:p>
        </w:tc>
        <w:tc>
          <w:tcPr>
            <w:tcW w:w="1260" w:type="dxa"/>
            <w:tcBorders>
              <w:top w:val="nil"/>
              <w:left w:val="single" w:sz="2" w:space="0" w:color="000000"/>
              <w:bottom w:val="single" w:sz="6" w:space="0" w:color="000000"/>
              <w:right w:val="nil"/>
            </w:tcBorders>
            <w:shd w:val="clear" w:color="auto" w:fill="FFFFFF"/>
          </w:tcPr>
          <w:p w14:paraId="1909A028"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700,160.3</w:t>
            </w:r>
          </w:p>
        </w:tc>
        <w:tc>
          <w:tcPr>
            <w:tcW w:w="1501" w:type="dxa"/>
            <w:tcBorders>
              <w:top w:val="nil"/>
              <w:left w:val="single" w:sz="2" w:space="0" w:color="000000"/>
              <w:bottom w:val="single" w:sz="6" w:space="0" w:color="000000"/>
              <w:right w:val="nil"/>
            </w:tcBorders>
            <w:shd w:val="clear" w:color="auto" w:fill="FFFFFF"/>
          </w:tcPr>
          <w:p w14:paraId="2151EC89"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532,696.3-878,095.3</w:t>
            </w:r>
          </w:p>
        </w:tc>
        <w:tc>
          <w:tcPr>
            <w:tcW w:w="1409" w:type="dxa"/>
            <w:vMerge/>
          </w:tcPr>
          <w:p w14:paraId="5EEBFA9E" w14:textId="77777777" w:rsidR="0057464F" w:rsidRPr="0057464F" w:rsidRDefault="0057464F" w:rsidP="00E04694">
            <w:pPr>
              <w:rPr>
                <w:rFonts w:ascii="Times New Roman" w:hAnsi="Times New Roman" w:cs="Times New Roman"/>
              </w:rPr>
            </w:pPr>
          </w:p>
        </w:tc>
      </w:tr>
    </w:tbl>
    <w:p w14:paraId="2804CD6C" w14:textId="77777777" w:rsidR="0057464F" w:rsidRPr="0057464F" w:rsidRDefault="0057464F" w:rsidP="0057464F">
      <w:pPr>
        <w:ind w:left="360"/>
        <w:rPr>
          <w:rFonts w:ascii="Times New Roman" w:hAnsi="Times New Roman" w:cs="Times New Roman"/>
        </w:rPr>
      </w:pPr>
    </w:p>
    <w:p w14:paraId="5B4960F4" w14:textId="77777777" w:rsidR="0057464F" w:rsidRPr="0057464F" w:rsidRDefault="0057464F" w:rsidP="0057464F">
      <w:pPr>
        <w:spacing w:after="160" w:line="259" w:lineRule="auto"/>
        <w:rPr>
          <w:rFonts w:ascii="Times New Roman" w:hAnsi="Times New Roman" w:cs="Times New Roman"/>
        </w:rPr>
      </w:pPr>
      <w:r w:rsidRPr="0057464F">
        <w:rPr>
          <w:rFonts w:ascii="Times New Roman" w:hAnsi="Times New Roman" w:cs="Times New Roman"/>
        </w:rPr>
        <w:t>Comparison of AUC</w:t>
      </w:r>
      <w:r w:rsidRPr="0057464F">
        <w:rPr>
          <w:rFonts w:ascii="Times New Roman" w:hAnsi="Times New Roman" w:cs="Times New Roman"/>
          <w:vertAlign w:val="subscript"/>
        </w:rPr>
        <w:t>28</w:t>
      </w:r>
      <w:r w:rsidRPr="0057464F">
        <w:rPr>
          <w:rFonts w:ascii="Times New Roman" w:hAnsi="Times New Roman" w:cs="Times New Roman"/>
        </w:rPr>
        <w:t xml:space="preserve"> (i.e., AUC between day 0 and day 28)</w:t>
      </w:r>
    </w:p>
    <w:tbl>
      <w:tblPr>
        <w:tblStyle w:val="TableGrid"/>
        <w:tblW w:w="0" w:type="auto"/>
        <w:tblInd w:w="360" w:type="dxa"/>
        <w:tblLook w:val="04A0" w:firstRow="1" w:lastRow="0" w:firstColumn="1" w:lastColumn="0" w:noHBand="0" w:noVBand="1"/>
      </w:tblPr>
      <w:tblGrid>
        <w:gridCol w:w="1045"/>
        <w:gridCol w:w="775"/>
        <w:gridCol w:w="1469"/>
        <w:gridCol w:w="1469"/>
        <w:gridCol w:w="1274"/>
        <w:gridCol w:w="1486"/>
        <w:gridCol w:w="1379"/>
      </w:tblGrid>
      <w:tr w:rsidR="0057464F" w:rsidRPr="0057464F" w14:paraId="558827EF" w14:textId="77777777" w:rsidTr="00EE7401">
        <w:trPr>
          <w:trHeight w:val="71"/>
        </w:trPr>
        <w:tc>
          <w:tcPr>
            <w:tcW w:w="1045" w:type="dxa"/>
          </w:tcPr>
          <w:p w14:paraId="29195DBD"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lastRenderedPageBreak/>
              <w:t>Group</w:t>
            </w:r>
          </w:p>
        </w:tc>
        <w:tc>
          <w:tcPr>
            <w:tcW w:w="775" w:type="dxa"/>
          </w:tcPr>
          <w:p w14:paraId="4D2DE11E"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n</w:t>
            </w:r>
          </w:p>
        </w:tc>
        <w:tc>
          <w:tcPr>
            <w:tcW w:w="1469" w:type="dxa"/>
          </w:tcPr>
          <w:p w14:paraId="74222458"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mean</w:t>
            </w:r>
          </w:p>
        </w:tc>
        <w:tc>
          <w:tcPr>
            <w:tcW w:w="1469" w:type="dxa"/>
          </w:tcPr>
          <w:p w14:paraId="5CD94C1D"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SD</w:t>
            </w:r>
          </w:p>
        </w:tc>
        <w:tc>
          <w:tcPr>
            <w:tcW w:w="1274" w:type="dxa"/>
          </w:tcPr>
          <w:p w14:paraId="1749D007"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Median</w:t>
            </w:r>
          </w:p>
        </w:tc>
        <w:tc>
          <w:tcPr>
            <w:tcW w:w="1486" w:type="dxa"/>
          </w:tcPr>
          <w:p w14:paraId="05BE47B5"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Inter-quartile range</w:t>
            </w:r>
          </w:p>
        </w:tc>
        <w:tc>
          <w:tcPr>
            <w:tcW w:w="1379" w:type="dxa"/>
          </w:tcPr>
          <w:p w14:paraId="6FD18FD7" w14:textId="77777777" w:rsidR="0057464F" w:rsidRPr="00EE7401" w:rsidRDefault="0057464F" w:rsidP="0057464F">
            <w:pPr>
              <w:jc w:val="center"/>
              <w:rPr>
                <w:rFonts w:ascii="Times New Roman" w:hAnsi="Times New Roman" w:cs="Times New Roman"/>
                <w:b/>
                <w:bCs/>
                <w:sz w:val="20"/>
                <w:szCs w:val="20"/>
              </w:rPr>
            </w:pPr>
            <w:r w:rsidRPr="00EE7401">
              <w:rPr>
                <w:rFonts w:ascii="Times New Roman" w:hAnsi="Times New Roman" w:cs="Times New Roman"/>
                <w:b/>
                <w:bCs/>
                <w:sz w:val="20"/>
                <w:szCs w:val="20"/>
              </w:rPr>
              <w:t>p-value with the Wilcoxon rank sum test</w:t>
            </w:r>
          </w:p>
        </w:tc>
      </w:tr>
      <w:tr w:rsidR="0057464F" w:rsidRPr="0057464F" w14:paraId="111B7593" w14:textId="77777777" w:rsidTr="0057464F">
        <w:trPr>
          <w:trHeight w:val="624"/>
        </w:trPr>
        <w:tc>
          <w:tcPr>
            <w:tcW w:w="1045" w:type="dxa"/>
          </w:tcPr>
          <w:p w14:paraId="6370ED57" w14:textId="50D4E630"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2</w:t>
            </w:r>
            <w:r w:rsidR="006D605D">
              <w:rPr>
                <w:rFonts w:ascii="Times New Roman" w:hAnsi="Times New Roman" w:cs="Times New Roman"/>
                <w:sz w:val="18"/>
                <w:szCs w:val="18"/>
              </w:rPr>
              <w:t xml:space="preserve"> </w:t>
            </w:r>
            <w:r w:rsidRPr="00EE7401">
              <w:rPr>
                <w:rFonts w:ascii="Times New Roman" w:hAnsi="Times New Roman" w:cs="Times New Roman"/>
                <w:sz w:val="18"/>
                <w:szCs w:val="18"/>
              </w:rPr>
              <w:t>mg/kg load</w:t>
            </w:r>
          </w:p>
        </w:tc>
        <w:tc>
          <w:tcPr>
            <w:tcW w:w="775" w:type="dxa"/>
          </w:tcPr>
          <w:p w14:paraId="7E4E038F"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18</w:t>
            </w:r>
          </w:p>
        </w:tc>
        <w:tc>
          <w:tcPr>
            <w:tcW w:w="1469" w:type="dxa"/>
            <w:tcBorders>
              <w:top w:val="nil"/>
              <w:left w:val="single" w:sz="2" w:space="0" w:color="000000"/>
              <w:bottom w:val="single" w:sz="6" w:space="0" w:color="000000"/>
              <w:right w:val="nil"/>
            </w:tcBorders>
            <w:shd w:val="clear" w:color="auto" w:fill="FFFFFF"/>
          </w:tcPr>
          <w:p w14:paraId="11EB86CE"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1,852,301.6</w:t>
            </w:r>
          </w:p>
        </w:tc>
        <w:tc>
          <w:tcPr>
            <w:tcW w:w="1469" w:type="dxa"/>
            <w:tcBorders>
              <w:top w:val="nil"/>
              <w:left w:val="single" w:sz="2" w:space="0" w:color="000000"/>
              <w:bottom w:val="single" w:sz="6" w:space="0" w:color="000000"/>
              <w:right w:val="nil"/>
            </w:tcBorders>
            <w:shd w:val="clear" w:color="auto" w:fill="FFFFFF"/>
          </w:tcPr>
          <w:p w14:paraId="139F3813"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5,966,860.8</w:t>
            </w:r>
          </w:p>
        </w:tc>
        <w:tc>
          <w:tcPr>
            <w:tcW w:w="1274" w:type="dxa"/>
            <w:tcBorders>
              <w:top w:val="nil"/>
              <w:left w:val="single" w:sz="2" w:space="0" w:color="000000"/>
              <w:bottom w:val="single" w:sz="6" w:space="0" w:color="000000"/>
              <w:right w:val="nil"/>
            </w:tcBorders>
            <w:shd w:val="clear" w:color="auto" w:fill="FFFFFF"/>
          </w:tcPr>
          <w:p w14:paraId="5E36DCF5"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442,876.8</w:t>
            </w:r>
          </w:p>
        </w:tc>
        <w:tc>
          <w:tcPr>
            <w:tcW w:w="1486" w:type="dxa"/>
            <w:tcBorders>
              <w:top w:val="nil"/>
              <w:left w:val="single" w:sz="2" w:space="0" w:color="000000"/>
              <w:bottom w:val="single" w:sz="6" w:space="0" w:color="000000"/>
              <w:right w:val="nil"/>
            </w:tcBorders>
            <w:shd w:val="clear" w:color="auto" w:fill="FFFFFF"/>
          </w:tcPr>
          <w:p w14:paraId="79C79BB6"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346,381.6-564,013.9</w:t>
            </w:r>
          </w:p>
        </w:tc>
        <w:tc>
          <w:tcPr>
            <w:tcW w:w="1379" w:type="dxa"/>
            <w:vMerge w:val="restart"/>
            <w:vAlign w:val="center"/>
          </w:tcPr>
          <w:p w14:paraId="79AD86DB" w14:textId="77777777" w:rsidR="0057464F" w:rsidRPr="00EE7401" w:rsidRDefault="0057464F" w:rsidP="00E04694">
            <w:pPr>
              <w:jc w:val="center"/>
              <w:rPr>
                <w:rFonts w:ascii="Times New Roman" w:eastAsiaTheme="minorEastAsia" w:hAnsi="Times New Roman" w:cs="Times New Roman"/>
                <w:sz w:val="18"/>
                <w:szCs w:val="18"/>
              </w:rPr>
            </w:pPr>
            <w:r w:rsidRPr="00EE7401">
              <w:rPr>
                <w:rFonts w:ascii="Times New Roman" w:eastAsiaTheme="minorEastAsia" w:hAnsi="Times New Roman" w:cs="Times New Roman"/>
                <w:sz w:val="18"/>
                <w:szCs w:val="18"/>
              </w:rPr>
              <w:t>&lt;0.0001</w:t>
            </w:r>
          </w:p>
        </w:tc>
      </w:tr>
      <w:tr w:rsidR="0057464F" w:rsidRPr="0057464F" w14:paraId="45A33E7B" w14:textId="77777777" w:rsidTr="0057464F">
        <w:trPr>
          <w:trHeight w:val="638"/>
        </w:trPr>
        <w:tc>
          <w:tcPr>
            <w:tcW w:w="1045" w:type="dxa"/>
          </w:tcPr>
          <w:p w14:paraId="657A3F2C" w14:textId="2CB28B0A"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4</w:t>
            </w:r>
            <w:r w:rsidR="006D605D">
              <w:rPr>
                <w:rFonts w:ascii="Times New Roman" w:hAnsi="Times New Roman" w:cs="Times New Roman"/>
                <w:sz w:val="18"/>
                <w:szCs w:val="18"/>
              </w:rPr>
              <w:t xml:space="preserve"> </w:t>
            </w:r>
            <w:r w:rsidRPr="00EE7401">
              <w:rPr>
                <w:rFonts w:ascii="Times New Roman" w:hAnsi="Times New Roman" w:cs="Times New Roman"/>
                <w:sz w:val="18"/>
                <w:szCs w:val="18"/>
              </w:rPr>
              <w:t>mg/kg load</w:t>
            </w:r>
          </w:p>
        </w:tc>
        <w:tc>
          <w:tcPr>
            <w:tcW w:w="775" w:type="dxa"/>
          </w:tcPr>
          <w:p w14:paraId="1DD672B9" w14:textId="77777777" w:rsidR="0057464F" w:rsidRPr="00EE7401" w:rsidRDefault="0057464F" w:rsidP="00E04694">
            <w:pPr>
              <w:rPr>
                <w:rFonts w:ascii="Times New Roman" w:hAnsi="Times New Roman" w:cs="Times New Roman"/>
                <w:sz w:val="18"/>
                <w:szCs w:val="18"/>
              </w:rPr>
            </w:pPr>
            <w:r w:rsidRPr="00EE7401">
              <w:rPr>
                <w:rFonts w:ascii="Times New Roman" w:hAnsi="Times New Roman" w:cs="Times New Roman"/>
                <w:sz w:val="18"/>
                <w:szCs w:val="18"/>
              </w:rPr>
              <w:t>66</w:t>
            </w:r>
          </w:p>
        </w:tc>
        <w:tc>
          <w:tcPr>
            <w:tcW w:w="1469" w:type="dxa"/>
            <w:tcBorders>
              <w:top w:val="nil"/>
              <w:left w:val="single" w:sz="2" w:space="0" w:color="000000"/>
              <w:bottom w:val="single" w:sz="6" w:space="0" w:color="000000"/>
              <w:right w:val="nil"/>
            </w:tcBorders>
            <w:shd w:val="clear" w:color="auto" w:fill="FFFFFF"/>
          </w:tcPr>
          <w:p w14:paraId="46FBE0B9"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1,719,809.7</w:t>
            </w:r>
          </w:p>
        </w:tc>
        <w:tc>
          <w:tcPr>
            <w:tcW w:w="1469" w:type="dxa"/>
            <w:tcBorders>
              <w:top w:val="nil"/>
              <w:left w:val="single" w:sz="2" w:space="0" w:color="000000"/>
              <w:bottom w:val="single" w:sz="6" w:space="0" w:color="000000"/>
              <w:right w:val="nil"/>
            </w:tcBorders>
            <w:shd w:val="clear" w:color="auto" w:fill="FFFFFF"/>
          </w:tcPr>
          <w:p w14:paraId="47E8F7EB"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3,767,384.7</w:t>
            </w:r>
          </w:p>
        </w:tc>
        <w:tc>
          <w:tcPr>
            <w:tcW w:w="1274" w:type="dxa"/>
            <w:tcBorders>
              <w:top w:val="nil"/>
              <w:left w:val="single" w:sz="2" w:space="0" w:color="000000"/>
              <w:bottom w:val="single" w:sz="6" w:space="0" w:color="000000"/>
              <w:right w:val="nil"/>
            </w:tcBorders>
            <w:shd w:val="clear" w:color="auto" w:fill="FFFFFF"/>
          </w:tcPr>
          <w:p w14:paraId="4F7BBCA0"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850,032.7</w:t>
            </w:r>
          </w:p>
        </w:tc>
        <w:tc>
          <w:tcPr>
            <w:tcW w:w="1486" w:type="dxa"/>
            <w:tcBorders>
              <w:top w:val="nil"/>
              <w:left w:val="single" w:sz="2" w:space="0" w:color="000000"/>
              <w:bottom w:val="single" w:sz="6" w:space="0" w:color="000000"/>
              <w:right w:val="nil"/>
            </w:tcBorders>
            <w:shd w:val="clear" w:color="auto" w:fill="FFFFFF"/>
          </w:tcPr>
          <w:p w14:paraId="59002030" w14:textId="77777777" w:rsidR="0057464F" w:rsidRPr="00EE7401" w:rsidRDefault="0057464F" w:rsidP="00E04694">
            <w:pPr>
              <w:keepNext/>
              <w:adjustRightInd w:val="0"/>
              <w:spacing w:before="60" w:after="60"/>
              <w:jc w:val="right"/>
              <w:rPr>
                <w:rFonts w:ascii="Times New Roman" w:hAnsi="Times New Roman" w:cs="Times New Roman"/>
                <w:color w:val="000000"/>
                <w:sz w:val="18"/>
                <w:szCs w:val="18"/>
              </w:rPr>
            </w:pPr>
            <w:r w:rsidRPr="00EE7401">
              <w:rPr>
                <w:rFonts w:ascii="Times New Roman" w:hAnsi="Times New Roman" w:cs="Times New Roman"/>
                <w:color w:val="000000"/>
                <w:sz w:val="18"/>
                <w:szCs w:val="18"/>
              </w:rPr>
              <w:t>610,447.4-1,053,289.9</w:t>
            </w:r>
          </w:p>
        </w:tc>
        <w:tc>
          <w:tcPr>
            <w:tcW w:w="1379" w:type="dxa"/>
            <w:vMerge/>
          </w:tcPr>
          <w:p w14:paraId="74DFB803" w14:textId="77777777" w:rsidR="0057464F" w:rsidRPr="0057464F" w:rsidRDefault="0057464F" w:rsidP="00E04694">
            <w:pPr>
              <w:rPr>
                <w:rFonts w:ascii="Times New Roman" w:hAnsi="Times New Roman" w:cs="Times New Roman"/>
              </w:rPr>
            </w:pPr>
          </w:p>
        </w:tc>
      </w:tr>
    </w:tbl>
    <w:p w14:paraId="22A0C409" w14:textId="77777777" w:rsidR="0057464F" w:rsidRPr="0057464F" w:rsidRDefault="0057464F" w:rsidP="0057464F">
      <w:pPr>
        <w:ind w:left="360"/>
        <w:rPr>
          <w:rFonts w:ascii="Times New Roman" w:hAnsi="Times New Roman" w:cs="Times New Roman"/>
        </w:rPr>
      </w:pPr>
    </w:p>
    <w:p w14:paraId="0C8D4E76" w14:textId="77777777" w:rsidR="0057464F" w:rsidRPr="0057464F" w:rsidRDefault="0057464F" w:rsidP="00EE7401">
      <w:pPr>
        <w:rPr>
          <w:rFonts w:ascii="Times New Roman" w:hAnsi="Times New Roman" w:cs="Times New Roman"/>
        </w:rPr>
      </w:pPr>
      <w:r w:rsidRPr="0057464F">
        <w:rPr>
          <w:rFonts w:ascii="Times New Roman" w:hAnsi="Times New Roman" w:cs="Times New Roman"/>
        </w:rPr>
        <w:t>For all the above parameters, mean value is not reliable as it could be affected by outliers. Median and interquartile range are more reliable, and the tests were based on them.</w:t>
      </w:r>
    </w:p>
    <w:p w14:paraId="4C4CD0AD" w14:textId="2ED54ADD" w:rsidR="00506F2F" w:rsidRDefault="00506F2F">
      <w:pPr>
        <w:rPr>
          <w:rFonts w:ascii="Times New Roman" w:hAnsi="Times New Roman" w:cs="Times New Roman"/>
        </w:rPr>
      </w:pPr>
    </w:p>
    <w:sectPr w:rsidR="00506F2F" w:rsidSect="00C7700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FE292" w14:textId="77777777" w:rsidR="00165C72" w:rsidRDefault="00165C72" w:rsidP="00802799">
      <w:r>
        <w:separator/>
      </w:r>
    </w:p>
  </w:endnote>
  <w:endnote w:type="continuationSeparator" w:id="0">
    <w:p w14:paraId="5A73E9CA" w14:textId="77777777" w:rsidR="00165C72" w:rsidRDefault="00165C72" w:rsidP="0080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7594A" w14:textId="77777777" w:rsidR="00165C72" w:rsidRDefault="00165C72" w:rsidP="00802799">
      <w:r>
        <w:separator/>
      </w:r>
    </w:p>
  </w:footnote>
  <w:footnote w:type="continuationSeparator" w:id="0">
    <w:p w14:paraId="1D5AC332" w14:textId="77777777" w:rsidR="00165C72" w:rsidRDefault="00165C72" w:rsidP="0080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1C7D" w14:textId="0B5D08B6" w:rsidR="00802799" w:rsidRPr="00683D7E" w:rsidRDefault="00683D7E" w:rsidP="00683D7E">
    <w:pPr>
      <w:rPr>
        <w:rFonts w:ascii="Times New Roman" w:eastAsia="Times New Roman" w:hAnsi="Times New Roman" w:cs="Times New Roman"/>
        <w:sz w:val="18"/>
        <w:szCs w:val="18"/>
      </w:rPr>
    </w:pPr>
    <w:r w:rsidRPr="00D66C55">
      <w:rPr>
        <w:rFonts w:ascii="Times New Roman" w:eastAsia="Times New Roman" w:hAnsi="Times New Roman" w:cs="Times New Roman"/>
        <w:color w:val="000000"/>
        <w:sz w:val="18"/>
        <w:szCs w:val="18"/>
        <w:shd w:val="clear" w:color="auto" w:fill="FFFFFF"/>
      </w:rPr>
      <w:t>Phase IB study of</w:t>
    </w:r>
    <w:r>
      <w:rPr>
        <w:rFonts w:ascii="Times New Roman" w:eastAsia="Times New Roman" w:hAnsi="Times New Roman" w:cs="Times New Roman"/>
        <w:color w:val="000000"/>
        <w:sz w:val="18"/>
        <w:szCs w:val="18"/>
        <w:shd w:val="clear" w:color="auto" w:fill="FFFFFF"/>
      </w:rPr>
      <w:t xml:space="preserve"> </w:t>
    </w:r>
    <w:proofErr w:type="spellStart"/>
    <w:r w:rsidRPr="005F485A">
      <w:rPr>
        <w:rFonts w:ascii="Times New Roman" w:eastAsia="Times New Roman" w:hAnsi="Times New Roman" w:cs="Times New Roman"/>
        <w:color w:val="000000"/>
        <w:sz w:val="18"/>
        <w:szCs w:val="18"/>
        <w:shd w:val="clear" w:color="auto" w:fill="FFFFFF"/>
      </w:rPr>
      <w:t>rpt</w:t>
    </w:r>
    <w:proofErr w:type="spellEnd"/>
    <w:r w:rsidRPr="005F485A">
      <w:rPr>
        <w:rFonts w:ascii="Times New Roman" w:eastAsia="Times New Roman" w:hAnsi="Times New Roman" w:cs="Times New Roman"/>
        <w:color w:val="000000"/>
        <w:sz w:val="18"/>
        <w:szCs w:val="18"/>
        <w:shd w:val="clear" w:color="auto" w:fill="FFFFFF"/>
      </w:rPr>
      <w:t xml:space="preserve"> dose </w:t>
    </w:r>
    <w:r w:rsidRPr="00D66C55">
      <w:rPr>
        <w:rFonts w:ascii="Times New Roman" w:eastAsia="Times New Roman" w:hAnsi="Times New Roman" w:cs="Times New Roman"/>
        <w:color w:val="000000"/>
        <w:sz w:val="18"/>
        <w:szCs w:val="18"/>
        <w:shd w:val="clear" w:color="auto" w:fill="FFFFFF"/>
      </w:rPr>
      <w:t>TRX518 singly and in combination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74D8"/>
    <w:multiLevelType w:val="hybridMultilevel"/>
    <w:tmpl w:val="98C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63E9"/>
    <w:multiLevelType w:val="hybridMultilevel"/>
    <w:tmpl w:val="6ECE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10F13"/>
    <w:multiLevelType w:val="hybridMultilevel"/>
    <w:tmpl w:val="DF00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D5A12"/>
    <w:multiLevelType w:val="hybridMultilevel"/>
    <w:tmpl w:val="5FF4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E2FE2"/>
    <w:multiLevelType w:val="hybridMultilevel"/>
    <w:tmpl w:val="6AD4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A279C"/>
    <w:multiLevelType w:val="hybridMultilevel"/>
    <w:tmpl w:val="9870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7297C"/>
    <w:multiLevelType w:val="hybridMultilevel"/>
    <w:tmpl w:val="4994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A6750"/>
    <w:multiLevelType w:val="hybridMultilevel"/>
    <w:tmpl w:val="4724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73136"/>
    <w:multiLevelType w:val="hybridMultilevel"/>
    <w:tmpl w:val="2BE2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622C7"/>
    <w:multiLevelType w:val="hybridMultilevel"/>
    <w:tmpl w:val="43A0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D3EB4"/>
    <w:multiLevelType w:val="hybridMultilevel"/>
    <w:tmpl w:val="A136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92C94"/>
    <w:multiLevelType w:val="hybridMultilevel"/>
    <w:tmpl w:val="D630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C6B94"/>
    <w:multiLevelType w:val="multilevel"/>
    <w:tmpl w:val="573638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1A35E4"/>
    <w:multiLevelType w:val="hybridMultilevel"/>
    <w:tmpl w:val="F944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842B3"/>
    <w:multiLevelType w:val="hybridMultilevel"/>
    <w:tmpl w:val="3A82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F2C5C"/>
    <w:multiLevelType w:val="hybridMultilevel"/>
    <w:tmpl w:val="0D9E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C5B64"/>
    <w:multiLevelType w:val="hybridMultilevel"/>
    <w:tmpl w:val="CF0E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72CB4"/>
    <w:multiLevelType w:val="hybridMultilevel"/>
    <w:tmpl w:val="AC0C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91710"/>
    <w:multiLevelType w:val="hybridMultilevel"/>
    <w:tmpl w:val="D65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94A9A"/>
    <w:multiLevelType w:val="hybridMultilevel"/>
    <w:tmpl w:val="66A4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56959"/>
    <w:multiLevelType w:val="hybridMultilevel"/>
    <w:tmpl w:val="88D0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52C99"/>
    <w:multiLevelType w:val="hybridMultilevel"/>
    <w:tmpl w:val="4BF4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91166"/>
    <w:multiLevelType w:val="hybridMultilevel"/>
    <w:tmpl w:val="3B36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257DB"/>
    <w:multiLevelType w:val="hybridMultilevel"/>
    <w:tmpl w:val="52A4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C685C"/>
    <w:multiLevelType w:val="hybridMultilevel"/>
    <w:tmpl w:val="B602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375DA"/>
    <w:multiLevelType w:val="hybridMultilevel"/>
    <w:tmpl w:val="66C4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A4FBF"/>
    <w:multiLevelType w:val="hybridMultilevel"/>
    <w:tmpl w:val="C678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3378F"/>
    <w:multiLevelType w:val="hybridMultilevel"/>
    <w:tmpl w:val="F2FA2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5"/>
  </w:num>
  <w:num w:numId="4">
    <w:abstractNumId w:val="20"/>
  </w:num>
  <w:num w:numId="5">
    <w:abstractNumId w:val="1"/>
  </w:num>
  <w:num w:numId="6">
    <w:abstractNumId w:val="21"/>
  </w:num>
  <w:num w:numId="7">
    <w:abstractNumId w:val="15"/>
  </w:num>
  <w:num w:numId="8">
    <w:abstractNumId w:val="16"/>
  </w:num>
  <w:num w:numId="9">
    <w:abstractNumId w:val="0"/>
  </w:num>
  <w:num w:numId="10">
    <w:abstractNumId w:val="5"/>
  </w:num>
  <w:num w:numId="11">
    <w:abstractNumId w:val="11"/>
  </w:num>
  <w:num w:numId="12">
    <w:abstractNumId w:val="6"/>
  </w:num>
  <w:num w:numId="13">
    <w:abstractNumId w:val="8"/>
  </w:num>
  <w:num w:numId="14">
    <w:abstractNumId w:val="26"/>
  </w:num>
  <w:num w:numId="15">
    <w:abstractNumId w:val="9"/>
  </w:num>
  <w:num w:numId="16">
    <w:abstractNumId w:val="18"/>
  </w:num>
  <w:num w:numId="17">
    <w:abstractNumId w:val="22"/>
  </w:num>
  <w:num w:numId="18">
    <w:abstractNumId w:val="7"/>
  </w:num>
  <w:num w:numId="19">
    <w:abstractNumId w:val="2"/>
  </w:num>
  <w:num w:numId="20">
    <w:abstractNumId w:val="24"/>
  </w:num>
  <w:num w:numId="21">
    <w:abstractNumId w:val="23"/>
  </w:num>
  <w:num w:numId="22">
    <w:abstractNumId w:val="17"/>
  </w:num>
  <w:num w:numId="23">
    <w:abstractNumId w:val="27"/>
  </w:num>
  <w:num w:numId="24">
    <w:abstractNumId w:val="10"/>
  </w:num>
  <w:num w:numId="25">
    <w:abstractNumId w:val="13"/>
  </w:num>
  <w:num w:numId="26">
    <w:abstractNumId w:val="19"/>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0E"/>
    <w:rsid w:val="000100F3"/>
    <w:rsid w:val="00016C5F"/>
    <w:rsid w:val="00047E64"/>
    <w:rsid w:val="00091137"/>
    <w:rsid w:val="000C3F40"/>
    <w:rsid w:val="000D4976"/>
    <w:rsid w:val="000D5B06"/>
    <w:rsid w:val="00112792"/>
    <w:rsid w:val="00126B8B"/>
    <w:rsid w:val="00146A0D"/>
    <w:rsid w:val="00146DFD"/>
    <w:rsid w:val="0015047B"/>
    <w:rsid w:val="001626F4"/>
    <w:rsid w:val="0016285D"/>
    <w:rsid w:val="00165C72"/>
    <w:rsid w:val="00187711"/>
    <w:rsid w:val="001C2863"/>
    <w:rsid w:val="001C6F88"/>
    <w:rsid w:val="001C7DED"/>
    <w:rsid w:val="001D1E81"/>
    <w:rsid w:val="001D29F3"/>
    <w:rsid w:val="002058F4"/>
    <w:rsid w:val="00226179"/>
    <w:rsid w:val="00231E3E"/>
    <w:rsid w:val="00284504"/>
    <w:rsid w:val="002857A6"/>
    <w:rsid w:val="002A0FA6"/>
    <w:rsid w:val="002B05DB"/>
    <w:rsid w:val="002B06C5"/>
    <w:rsid w:val="002D4EE4"/>
    <w:rsid w:val="00317EF4"/>
    <w:rsid w:val="003338E2"/>
    <w:rsid w:val="00335735"/>
    <w:rsid w:val="00342CBA"/>
    <w:rsid w:val="0035293E"/>
    <w:rsid w:val="003557CB"/>
    <w:rsid w:val="00355FC7"/>
    <w:rsid w:val="0037409C"/>
    <w:rsid w:val="003A188A"/>
    <w:rsid w:val="003A3B10"/>
    <w:rsid w:val="003E2D8B"/>
    <w:rsid w:val="003E5587"/>
    <w:rsid w:val="00407543"/>
    <w:rsid w:val="00415F12"/>
    <w:rsid w:val="0041767D"/>
    <w:rsid w:val="004379A6"/>
    <w:rsid w:val="0044291D"/>
    <w:rsid w:val="004520DE"/>
    <w:rsid w:val="00472439"/>
    <w:rsid w:val="00474D11"/>
    <w:rsid w:val="004A4703"/>
    <w:rsid w:val="004A6DEE"/>
    <w:rsid w:val="004B1C73"/>
    <w:rsid w:val="004C567A"/>
    <w:rsid w:val="004D6CB9"/>
    <w:rsid w:val="00506F2F"/>
    <w:rsid w:val="00507EA0"/>
    <w:rsid w:val="00533CE6"/>
    <w:rsid w:val="005545F0"/>
    <w:rsid w:val="00561F6F"/>
    <w:rsid w:val="00563728"/>
    <w:rsid w:val="0057464F"/>
    <w:rsid w:val="005855F6"/>
    <w:rsid w:val="005B448A"/>
    <w:rsid w:val="005C376A"/>
    <w:rsid w:val="005E7021"/>
    <w:rsid w:val="00606177"/>
    <w:rsid w:val="006061AA"/>
    <w:rsid w:val="00607A98"/>
    <w:rsid w:val="00611F51"/>
    <w:rsid w:val="00617A1A"/>
    <w:rsid w:val="00632975"/>
    <w:rsid w:val="00683D7E"/>
    <w:rsid w:val="006B15C3"/>
    <w:rsid w:val="006B3171"/>
    <w:rsid w:val="006D605D"/>
    <w:rsid w:val="006E28AB"/>
    <w:rsid w:val="006E3772"/>
    <w:rsid w:val="006F3229"/>
    <w:rsid w:val="0072230B"/>
    <w:rsid w:val="0074610E"/>
    <w:rsid w:val="0075135D"/>
    <w:rsid w:val="007A264F"/>
    <w:rsid w:val="007D4CAA"/>
    <w:rsid w:val="00802799"/>
    <w:rsid w:val="00822D4B"/>
    <w:rsid w:val="008248D8"/>
    <w:rsid w:val="008434E3"/>
    <w:rsid w:val="00845740"/>
    <w:rsid w:val="0086134A"/>
    <w:rsid w:val="00865197"/>
    <w:rsid w:val="00866196"/>
    <w:rsid w:val="00875F00"/>
    <w:rsid w:val="008765BC"/>
    <w:rsid w:val="008A4010"/>
    <w:rsid w:val="008A4ED5"/>
    <w:rsid w:val="008B31CB"/>
    <w:rsid w:val="008C7BF5"/>
    <w:rsid w:val="008F1A26"/>
    <w:rsid w:val="008F3F14"/>
    <w:rsid w:val="00900ED2"/>
    <w:rsid w:val="00913C24"/>
    <w:rsid w:val="009246F4"/>
    <w:rsid w:val="009902F0"/>
    <w:rsid w:val="0099259A"/>
    <w:rsid w:val="009B26B6"/>
    <w:rsid w:val="009B2C84"/>
    <w:rsid w:val="009D0ACC"/>
    <w:rsid w:val="009D5654"/>
    <w:rsid w:val="009E4DC9"/>
    <w:rsid w:val="00A64E6E"/>
    <w:rsid w:val="00A70D4A"/>
    <w:rsid w:val="00A75A61"/>
    <w:rsid w:val="00AC091E"/>
    <w:rsid w:val="00B01AAE"/>
    <w:rsid w:val="00B07055"/>
    <w:rsid w:val="00B163D7"/>
    <w:rsid w:val="00B40AA3"/>
    <w:rsid w:val="00BA3C94"/>
    <w:rsid w:val="00BA6731"/>
    <w:rsid w:val="00BE4837"/>
    <w:rsid w:val="00C17074"/>
    <w:rsid w:val="00C449CD"/>
    <w:rsid w:val="00C7700E"/>
    <w:rsid w:val="00C915A0"/>
    <w:rsid w:val="00C948E3"/>
    <w:rsid w:val="00CC03D6"/>
    <w:rsid w:val="00CC2511"/>
    <w:rsid w:val="00CD6186"/>
    <w:rsid w:val="00CE75C7"/>
    <w:rsid w:val="00CF30BA"/>
    <w:rsid w:val="00CF766E"/>
    <w:rsid w:val="00D25CFB"/>
    <w:rsid w:val="00D35E6D"/>
    <w:rsid w:val="00D41D2D"/>
    <w:rsid w:val="00D75609"/>
    <w:rsid w:val="00E13699"/>
    <w:rsid w:val="00E24CB3"/>
    <w:rsid w:val="00E95557"/>
    <w:rsid w:val="00EB47E0"/>
    <w:rsid w:val="00EE4C64"/>
    <w:rsid w:val="00EE7401"/>
    <w:rsid w:val="00EF41EB"/>
    <w:rsid w:val="00F22DAD"/>
    <w:rsid w:val="00F573F9"/>
    <w:rsid w:val="00F77E32"/>
    <w:rsid w:val="00F91ED8"/>
    <w:rsid w:val="00F9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8F47"/>
  <w15:chartTrackingRefBased/>
  <w15:docId w15:val="{C5C9CB4D-3558-5A41-A522-446CB61B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00E"/>
    <w:pPr>
      <w:ind w:left="720"/>
      <w:contextualSpacing/>
    </w:pPr>
  </w:style>
  <w:style w:type="paragraph" w:styleId="Revision">
    <w:name w:val="Revision"/>
    <w:hidden/>
    <w:uiPriority w:val="99"/>
    <w:semiHidden/>
    <w:rsid w:val="00506F2F"/>
  </w:style>
  <w:style w:type="paragraph" w:styleId="Header">
    <w:name w:val="header"/>
    <w:basedOn w:val="Normal"/>
    <w:link w:val="HeaderChar"/>
    <w:uiPriority w:val="99"/>
    <w:unhideWhenUsed/>
    <w:rsid w:val="00802799"/>
    <w:pPr>
      <w:tabs>
        <w:tab w:val="center" w:pos="4680"/>
        <w:tab w:val="right" w:pos="9360"/>
      </w:tabs>
    </w:pPr>
  </w:style>
  <w:style w:type="character" w:customStyle="1" w:styleId="HeaderChar">
    <w:name w:val="Header Char"/>
    <w:basedOn w:val="DefaultParagraphFont"/>
    <w:link w:val="Header"/>
    <w:uiPriority w:val="99"/>
    <w:rsid w:val="00802799"/>
  </w:style>
  <w:style w:type="paragraph" w:styleId="Footer">
    <w:name w:val="footer"/>
    <w:basedOn w:val="Normal"/>
    <w:link w:val="FooterChar"/>
    <w:uiPriority w:val="99"/>
    <w:unhideWhenUsed/>
    <w:rsid w:val="00802799"/>
    <w:pPr>
      <w:tabs>
        <w:tab w:val="center" w:pos="4680"/>
        <w:tab w:val="right" w:pos="9360"/>
      </w:tabs>
    </w:pPr>
  </w:style>
  <w:style w:type="character" w:customStyle="1" w:styleId="FooterChar">
    <w:name w:val="Footer Char"/>
    <w:basedOn w:val="DefaultParagraphFont"/>
    <w:link w:val="Footer"/>
    <w:uiPriority w:val="99"/>
    <w:rsid w:val="0080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0381">
      <w:bodyDiv w:val="1"/>
      <w:marLeft w:val="0"/>
      <w:marRight w:val="0"/>
      <w:marTop w:val="0"/>
      <w:marBottom w:val="0"/>
      <w:divBdr>
        <w:top w:val="none" w:sz="0" w:space="0" w:color="auto"/>
        <w:left w:val="none" w:sz="0" w:space="0" w:color="auto"/>
        <w:bottom w:val="none" w:sz="0" w:space="0" w:color="auto"/>
        <w:right w:val="none" w:sz="0" w:space="0" w:color="auto"/>
      </w:divBdr>
    </w:div>
    <w:div w:id="172958859">
      <w:bodyDiv w:val="1"/>
      <w:marLeft w:val="0"/>
      <w:marRight w:val="0"/>
      <w:marTop w:val="0"/>
      <w:marBottom w:val="0"/>
      <w:divBdr>
        <w:top w:val="none" w:sz="0" w:space="0" w:color="auto"/>
        <w:left w:val="none" w:sz="0" w:space="0" w:color="auto"/>
        <w:bottom w:val="none" w:sz="0" w:space="0" w:color="auto"/>
        <w:right w:val="none" w:sz="0" w:space="0" w:color="auto"/>
      </w:divBdr>
    </w:div>
    <w:div w:id="366104107">
      <w:bodyDiv w:val="1"/>
      <w:marLeft w:val="0"/>
      <w:marRight w:val="0"/>
      <w:marTop w:val="0"/>
      <w:marBottom w:val="0"/>
      <w:divBdr>
        <w:top w:val="none" w:sz="0" w:space="0" w:color="auto"/>
        <w:left w:val="none" w:sz="0" w:space="0" w:color="auto"/>
        <w:bottom w:val="none" w:sz="0" w:space="0" w:color="auto"/>
        <w:right w:val="none" w:sz="0" w:space="0" w:color="auto"/>
      </w:divBdr>
    </w:div>
    <w:div w:id="626162292">
      <w:bodyDiv w:val="1"/>
      <w:marLeft w:val="0"/>
      <w:marRight w:val="0"/>
      <w:marTop w:val="0"/>
      <w:marBottom w:val="0"/>
      <w:divBdr>
        <w:top w:val="none" w:sz="0" w:space="0" w:color="auto"/>
        <w:left w:val="none" w:sz="0" w:space="0" w:color="auto"/>
        <w:bottom w:val="none" w:sz="0" w:space="0" w:color="auto"/>
        <w:right w:val="none" w:sz="0" w:space="0" w:color="auto"/>
      </w:divBdr>
    </w:div>
    <w:div w:id="657925123">
      <w:bodyDiv w:val="1"/>
      <w:marLeft w:val="0"/>
      <w:marRight w:val="0"/>
      <w:marTop w:val="0"/>
      <w:marBottom w:val="0"/>
      <w:divBdr>
        <w:top w:val="none" w:sz="0" w:space="0" w:color="auto"/>
        <w:left w:val="none" w:sz="0" w:space="0" w:color="auto"/>
        <w:bottom w:val="none" w:sz="0" w:space="0" w:color="auto"/>
        <w:right w:val="none" w:sz="0" w:space="0" w:color="auto"/>
      </w:divBdr>
    </w:div>
    <w:div w:id="680670075">
      <w:bodyDiv w:val="1"/>
      <w:marLeft w:val="0"/>
      <w:marRight w:val="0"/>
      <w:marTop w:val="0"/>
      <w:marBottom w:val="0"/>
      <w:divBdr>
        <w:top w:val="none" w:sz="0" w:space="0" w:color="auto"/>
        <w:left w:val="none" w:sz="0" w:space="0" w:color="auto"/>
        <w:bottom w:val="none" w:sz="0" w:space="0" w:color="auto"/>
        <w:right w:val="none" w:sz="0" w:space="0" w:color="auto"/>
      </w:divBdr>
    </w:div>
    <w:div w:id="1254898686">
      <w:bodyDiv w:val="1"/>
      <w:marLeft w:val="0"/>
      <w:marRight w:val="0"/>
      <w:marTop w:val="0"/>
      <w:marBottom w:val="0"/>
      <w:divBdr>
        <w:top w:val="none" w:sz="0" w:space="0" w:color="auto"/>
        <w:left w:val="none" w:sz="0" w:space="0" w:color="auto"/>
        <w:bottom w:val="none" w:sz="0" w:space="0" w:color="auto"/>
        <w:right w:val="none" w:sz="0" w:space="0" w:color="auto"/>
      </w:divBdr>
    </w:div>
    <w:div w:id="1349066048">
      <w:bodyDiv w:val="1"/>
      <w:marLeft w:val="0"/>
      <w:marRight w:val="0"/>
      <w:marTop w:val="0"/>
      <w:marBottom w:val="0"/>
      <w:divBdr>
        <w:top w:val="none" w:sz="0" w:space="0" w:color="auto"/>
        <w:left w:val="none" w:sz="0" w:space="0" w:color="auto"/>
        <w:bottom w:val="none" w:sz="0" w:space="0" w:color="auto"/>
        <w:right w:val="none" w:sz="0" w:space="0" w:color="auto"/>
      </w:divBdr>
    </w:div>
    <w:div w:id="1494643661">
      <w:bodyDiv w:val="1"/>
      <w:marLeft w:val="0"/>
      <w:marRight w:val="0"/>
      <w:marTop w:val="0"/>
      <w:marBottom w:val="0"/>
      <w:divBdr>
        <w:top w:val="none" w:sz="0" w:space="0" w:color="auto"/>
        <w:left w:val="none" w:sz="0" w:space="0" w:color="auto"/>
        <w:bottom w:val="none" w:sz="0" w:space="0" w:color="auto"/>
        <w:right w:val="none" w:sz="0" w:space="0" w:color="auto"/>
      </w:divBdr>
    </w:div>
    <w:div w:id="1505589993">
      <w:bodyDiv w:val="1"/>
      <w:marLeft w:val="0"/>
      <w:marRight w:val="0"/>
      <w:marTop w:val="0"/>
      <w:marBottom w:val="0"/>
      <w:divBdr>
        <w:top w:val="none" w:sz="0" w:space="0" w:color="auto"/>
        <w:left w:val="none" w:sz="0" w:space="0" w:color="auto"/>
        <w:bottom w:val="none" w:sz="0" w:space="0" w:color="auto"/>
        <w:right w:val="none" w:sz="0" w:space="0" w:color="auto"/>
      </w:divBdr>
    </w:div>
    <w:div w:id="1639915502">
      <w:bodyDiv w:val="1"/>
      <w:marLeft w:val="0"/>
      <w:marRight w:val="0"/>
      <w:marTop w:val="0"/>
      <w:marBottom w:val="0"/>
      <w:divBdr>
        <w:top w:val="none" w:sz="0" w:space="0" w:color="auto"/>
        <w:left w:val="none" w:sz="0" w:space="0" w:color="auto"/>
        <w:bottom w:val="none" w:sz="0" w:space="0" w:color="auto"/>
        <w:right w:val="none" w:sz="0" w:space="0" w:color="auto"/>
      </w:divBdr>
    </w:div>
    <w:div w:id="16904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36F97-DB48-C244-B583-CD63C5A2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Davar, Diwakar</dc:creator>
  <cp:keywords/>
  <dc:description/>
  <cp:lastModifiedBy>Knab, Kate</cp:lastModifiedBy>
  <cp:revision>2</cp:revision>
  <dcterms:created xsi:type="dcterms:W3CDTF">2022-04-26T19:29:00Z</dcterms:created>
  <dcterms:modified xsi:type="dcterms:W3CDTF">2022-04-26T19:29:00Z</dcterms:modified>
</cp:coreProperties>
</file>