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8FC8F" w14:textId="43868743" w:rsidR="006061AA" w:rsidRDefault="006061AA" w:rsidP="006061AA">
      <w:pPr>
        <w:rPr>
          <w:rFonts w:ascii="Times New Roman" w:hAnsi="Times New Roman" w:cs="Times New Roman"/>
          <w:b/>
          <w:bCs/>
        </w:rPr>
      </w:pPr>
      <w:r w:rsidRPr="00434240">
        <w:rPr>
          <w:rFonts w:ascii="Times New Roman" w:hAnsi="Times New Roman" w:cs="Times New Roman"/>
          <w:b/>
          <w:bCs/>
        </w:rPr>
        <w:t xml:space="preserve">Supplementary Figure 2: Immune pharmacodynamic effects of TRX518 </w:t>
      </w:r>
      <w:r w:rsidR="00900ED2" w:rsidRPr="00900ED2">
        <w:rPr>
          <w:rFonts w:ascii="Times New Roman" w:hAnsi="Times New Roman" w:cs="Times New Roman"/>
          <w:b/>
          <w:bCs/>
        </w:rPr>
        <w:t xml:space="preserve">as monotherapy </w:t>
      </w:r>
      <w:r w:rsidR="004379A6" w:rsidRPr="004379A6">
        <w:rPr>
          <w:rFonts w:ascii="Times New Roman" w:hAnsi="Times New Roman" w:cs="Times New Roman"/>
          <w:b/>
          <w:bCs/>
        </w:rPr>
        <w:t xml:space="preserve">and in combination </w:t>
      </w:r>
      <w:r w:rsidRPr="00434240">
        <w:rPr>
          <w:rFonts w:ascii="Times New Roman" w:hAnsi="Times New Roman" w:cs="Times New Roman"/>
          <w:b/>
          <w:bCs/>
        </w:rPr>
        <w:t xml:space="preserve">with gemcitabine or PD-1 blockade in </w:t>
      </w:r>
      <w:r>
        <w:rPr>
          <w:rFonts w:ascii="Times New Roman" w:hAnsi="Times New Roman" w:cs="Times New Roman"/>
          <w:b/>
          <w:bCs/>
        </w:rPr>
        <w:t>peripheral blood (related to Fig. 3)</w:t>
      </w:r>
      <w:r w:rsidRPr="00434240">
        <w:rPr>
          <w:rFonts w:ascii="Times New Roman" w:hAnsi="Times New Roman" w:cs="Times New Roman"/>
          <w:b/>
          <w:bCs/>
        </w:rPr>
        <w:t>.</w:t>
      </w:r>
    </w:p>
    <w:p w14:paraId="185DC900" w14:textId="77777777" w:rsidR="006061AA" w:rsidRDefault="006061AA" w:rsidP="006061A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EB82393" wp14:editId="0939A9DA">
            <wp:extent cx="5449824" cy="62179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9" b="5971"/>
                    <a:stretch/>
                  </pic:blipFill>
                  <pic:spPr bwMode="auto">
                    <a:xfrm>
                      <a:off x="0" y="0"/>
                      <a:ext cx="5449824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F0519" w14:textId="77777777" w:rsidR="009E4DC9" w:rsidRDefault="009E4DC9" w:rsidP="009E4DC9">
      <w:pPr>
        <w:pBdr>
          <w:bottom w:val="single" w:sz="4" w:space="1" w:color="000000"/>
        </w:pBd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ED13A1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2</w:t>
      </w:r>
      <w:r w:rsidRPr="00ED13A1">
        <w:rPr>
          <w:rFonts w:ascii="Times New Roman" w:hAnsi="Times New Roman" w:cs="Times New Roman"/>
          <w:b/>
          <w:bCs/>
        </w:rPr>
        <w:t xml:space="preserve"> │</w:t>
      </w:r>
      <w:r w:rsidRPr="000656B6">
        <w:rPr>
          <w:rFonts w:ascii="Times New Roman" w:hAnsi="Times New Roman" w:cs="Times New Roman"/>
          <w:b/>
          <w:bCs/>
        </w:rPr>
        <w:t xml:space="preserve"> </w:t>
      </w:r>
      <w:r w:rsidRPr="00434240">
        <w:rPr>
          <w:rFonts w:ascii="Times New Roman" w:hAnsi="Times New Roman" w:cs="Times New Roman"/>
          <w:b/>
          <w:bCs/>
        </w:rPr>
        <w:t xml:space="preserve">Immune pharmacodynamic effects of TRX518 alone and in combination with gemcitabine or PD-1 blockade in </w:t>
      </w:r>
      <w:r>
        <w:rPr>
          <w:rFonts w:ascii="Times New Roman" w:hAnsi="Times New Roman" w:cs="Times New Roman"/>
          <w:b/>
          <w:bCs/>
        </w:rPr>
        <w:t>peripheral blood (related to Fig. 3).</w:t>
      </w:r>
    </w:p>
    <w:p w14:paraId="0E9364E7" w14:textId="77777777" w:rsidR="009E4DC9" w:rsidRDefault="009E4DC9" w:rsidP="009E4DC9">
      <w:pPr>
        <w:pBdr>
          <w:bottom w:val="single" w:sz="4" w:space="1" w:color="000000"/>
        </w:pBd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417B9F">
        <w:rPr>
          <w:rFonts w:ascii="Times New Roman" w:hAnsi="Times New Roman" w:cs="Times New Roman"/>
          <w:b/>
          <w:bCs/>
        </w:rPr>
        <w:t>(A)</w:t>
      </w:r>
      <w:r w:rsidRPr="00417B9F">
        <w:rPr>
          <w:rFonts w:ascii="Times New Roman" w:hAnsi="Times New Roman" w:cs="Times New Roman"/>
        </w:rPr>
        <w:t xml:space="preserve"> Fold changes at the indicated time points after treatment relative to baseline of the indicated subsets of circulating Tregs by flow cytometry in individual patients (n=17: 1 NE, 11 SD, and 5 PD) treated with TRX518 monotherapy in Part A+B with 4mg/kg loading dose as in Fig. 3A. </w:t>
      </w:r>
      <w:r w:rsidRPr="00417B9F">
        <w:rPr>
          <w:rFonts w:ascii="Times New Roman" w:hAnsi="Times New Roman" w:cs="Times New Roman"/>
          <w:b/>
          <w:bCs/>
        </w:rPr>
        <w:t>(B)</w:t>
      </w:r>
      <w:r w:rsidRPr="00417B9F">
        <w:rPr>
          <w:rFonts w:ascii="Times New Roman" w:hAnsi="Times New Roman" w:cs="Times New Roman"/>
        </w:rPr>
        <w:t xml:space="preserve"> Fold changes in Ki67 expression in circulating CD8+ T cells and total Foxp3+CD4+CD3+ Tregs by flow cytometry at all assessed time points relative to baseline in 30 evaluable patients treated in Part C with TRX518+gemcitabine as in Fig. 3B. </w:t>
      </w:r>
      <w:r w:rsidRPr="00417B9F">
        <w:rPr>
          <w:rFonts w:ascii="Times New Roman" w:hAnsi="Times New Roman" w:cs="Times New Roman"/>
          <w:b/>
          <w:bCs/>
        </w:rPr>
        <w:t>(C)</w:t>
      </w:r>
      <w:r w:rsidRPr="00417B9F">
        <w:rPr>
          <w:rFonts w:ascii="Times New Roman" w:hAnsi="Times New Roman" w:cs="Times New Roman"/>
        </w:rPr>
        <w:t xml:space="preserve"> Fold changes </w:t>
      </w:r>
      <w:r w:rsidRPr="00417B9F">
        <w:rPr>
          <w:rFonts w:ascii="Times New Roman" w:hAnsi="Times New Roman" w:cs="Times New Roman"/>
        </w:rPr>
        <w:lastRenderedPageBreak/>
        <w:t>in Ki67 expression in circulating CD8+ T cells and total Foxp3+CD4+CD3+ Tregs by flow cytometry at the indicated time points relative to baseline in 4 evaluable patients treated in Part D+E with TRX518+anti-PD-1 as in Fig. 3C.</w:t>
      </w:r>
      <w:r w:rsidRPr="00417B9F">
        <w:rPr>
          <w:rFonts w:ascii="Times New Roman" w:hAnsi="Times New Roman" w:cs="Times New Roman"/>
          <w:b/>
          <w:bCs/>
        </w:rPr>
        <w:t xml:space="preserve"> (D) </w:t>
      </w:r>
      <w:r w:rsidRPr="00417B9F">
        <w:rPr>
          <w:rFonts w:ascii="Times New Roman" w:hAnsi="Times New Roman" w:cs="Times New Roman"/>
        </w:rPr>
        <w:t xml:space="preserve">Percent of circulating CD4+Foxp3- and CD8+ T cells expressing an effector memory (EM) phenotype (CCR7-CD45RA-) at baseline and the indicated time points after treatment with TRX518+anti-PD-1 by flow cytometry in 4 evaluable patients treated in Part D+E as in </w:t>
      </w:r>
      <w:r w:rsidRPr="00417B9F">
        <w:rPr>
          <w:rFonts w:ascii="Times New Roman" w:hAnsi="Times New Roman" w:cs="Times New Roman"/>
          <w:b/>
          <w:bCs/>
        </w:rPr>
        <w:t>Fig. 3C.</w:t>
      </w:r>
    </w:p>
    <w:p w14:paraId="71B96508" w14:textId="16855750" w:rsidR="00683D7E" w:rsidRDefault="00683D7E" w:rsidP="006061AA">
      <w:pPr>
        <w:rPr>
          <w:rFonts w:ascii="Times New Roman" w:hAnsi="Times New Roman" w:cs="Times New Roman"/>
          <w:b/>
          <w:bCs/>
        </w:rPr>
      </w:pPr>
    </w:p>
    <w:sectPr w:rsidR="00683D7E" w:rsidSect="00C7700E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59888" w14:textId="77777777" w:rsidR="004C5D3B" w:rsidRDefault="004C5D3B" w:rsidP="00802799">
      <w:r>
        <w:separator/>
      </w:r>
    </w:p>
  </w:endnote>
  <w:endnote w:type="continuationSeparator" w:id="0">
    <w:p w14:paraId="7BC0FF19" w14:textId="77777777" w:rsidR="004C5D3B" w:rsidRDefault="004C5D3B" w:rsidP="00802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6094B" w14:textId="77777777" w:rsidR="004C5D3B" w:rsidRDefault="004C5D3B" w:rsidP="00802799">
      <w:r>
        <w:separator/>
      </w:r>
    </w:p>
  </w:footnote>
  <w:footnote w:type="continuationSeparator" w:id="0">
    <w:p w14:paraId="31C1B653" w14:textId="77777777" w:rsidR="004C5D3B" w:rsidRDefault="004C5D3B" w:rsidP="00802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B1C7D" w14:textId="0B5D08B6" w:rsidR="00802799" w:rsidRPr="00683D7E" w:rsidRDefault="00683D7E" w:rsidP="00683D7E">
    <w:pPr>
      <w:rPr>
        <w:rFonts w:ascii="Times New Roman" w:eastAsia="Times New Roman" w:hAnsi="Times New Roman" w:cs="Times New Roman"/>
        <w:sz w:val="18"/>
        <w:szCs w:val="18"/>
      </w:rPr>
    </w:pPr>
    <w:r w:rsidRPr="00D66C55">
      <w:rPr>
        <w:rFonts w:ascii="Times New Roman" w:eastAsia="Times New Roman" w:hAnsi="Times New Roman" w:cs="Times New Roman"/>
        <w:color w:val="000000"/>
        <w:sz w:val="18"/>
        <w:szCs w:val="18"/>
        <w:shd w:val="clear" w:color="auto" w:fill="FFFFFF"/>
      </w:rPr>
      <w:t>Phase IB study of</w:t>
    </w:r>
    <w:r>
      <w:rPr>
        <w:rFonts w:ascii="Times New Roman" w:eastAsia="Times New Roman" w:hAnsi="Times New Roman" w:cs="Times New Roman"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5F485A">
      <w:rPr>
        <w:rFonts w:ascii="Times New Roman" w:eastAsia="Times New Roman" w:hAnsi="Times New Roman" w:cs="Times New Roman"/>
        <w:color w:val="000000"/>
        <w:sz w:val="18"/>
        <w:szCs w:val="18"/>
        <w:shd w:val="clear" w:color="auto" w:fill="FFFFFF"/>
      </w:rPr>
      <w:t>rpt</w:t>
    </w:r>
    <w:proofErr w:type="spellEnd"/>
    <w:r w:rsidRPr="005F485A">
      <w:rPr>
        <w:rFonts w:ascii="Times New Roman" w:eastAsia="Times New Roman" w:hAnsi="Times New Roman" w:cs="Times New Roman"/>
        <w:color w:val="000000"/>
        <w:sz w:val="18"/>
        <w:szCs w:val="18"/>
        <w:shd w:val="clear" w:color="auto" w:fill="FFFFFF"/>
      </w:rPr>
      <w:t xml:space="preserve"> dose </w:t>
    </w:r>
    <w:r w:rsidRPr="00D66C55">
      <w:rPr>
        <w:rFonts w:ascii="Times New Roman" w:eastAsia="Times New Roman" w:hAnsi="Times New Roman" w:cs="Times New Roman"/>
        <w:color w:val="000000"/>
        <w:sz w:val="18"/>
        <w:szCs w:val="18"/>
        <w:shd w:val="clear" w:color="auto" w:fill="FFFFFF"/>
      </w:rPr>
      <w:t>TRX518 singly and in combination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C74D8"/>
    <w:multiLevelType w:val="hybridMultilevel"/>
    <w:tmpl w:val="98CC3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E63E9"/>
    <w:multiLevelType w:val="hybridMultilevel"/>
    <w:tmpl w:val="6ECE6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10F13"/>
    <w:multiLevelType w:val="hybridMultilevel"/>
    <w:tmpl w:val="DF008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5A12"/>
    <w:multiLevelType w:val="hybridMultilevel"/>
    <w:tmpl w:val="5FF49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E2FE2"/>
    <w:multiLevelType w:val="hybridMultilevel"/>
    <w:tmpl w:val="6AD4E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A279C"/>
    <w:multiLevelType w:val="hybridMultilevel"/>
    <w:tmpl w:val="98707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7297C"/>
    <w:multiLevelType w:val="hybridMultilevel"/>
    <w:tmpl w:val="49943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A6750"/>
    <w:multiLevelType w:val="hybridMultilevel"/>
    <w:tmpl w:val="47249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73136"/>
    <w:multiLevelType w:val="hybridMultilevel"/>
    <w:tmpl w:val="2BE2E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622C7"/>
    <w:multiLevelType w:val="hybridMultilevel"/>
    <w:tmpl w:val="43A0B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D3EB4"/>
    <w:multiLevelType w:val="hybridMultilevel"/>
    <w:tmpl w:val="A1362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92C94"/>
    <w:multiLevelType w:val="hybridMultilevel"/>
    <w:tmpl w:val="D6309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C6B94"/>
    <w:multiLevelType w:val="multilevel"/>
    <w:tmpl w:val="573638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1A35E4"/>
    <w:multiLevelType w:val="hybridMultilevel"/>
    <w:tmpl w:val="F9445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842B3"/>
    <w:multiLevelType w:val="hybridMultilevel"/>
    <w:tmpl w:val="3A820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F2C5C"/>
    <w:multiLevelType w:val="hybridMultilevel"/>
    <w:tmpl w:val="0D9EB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C5B64"/>
    <w:multiLevelType w:val="hybridMultilevel"/>
    <w:tmpl w:val="CF0EC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72CB4"/>
    <w:multiLevelType w:val="hybridMultilevel"/>
    <w:tmpl w:val="AC0CC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91710"/>
    <w:multiLevelType w:val="hybridMultilevel"/>
    <w:tmpl w:val="D652A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B94A9A"/>
    <w:multiLevelType w:val="hybridMultilevel"/>
    <w:tmpl w:val="66A41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56959"/>
    <w:multiLevelType w:val="hybridMultilevel"/>
    <w:tmpl w:val="88D00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52C99"/>
    <w:multiLevelType w:val="hybridMultilevel"/>
    <w:tmpl w:val="4BF44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91166"/>
    <w:multiLevelType w:val="hybridMultilevel"/>
    <w:tmpl w:val="3B36F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257DB"/>
    <w:multiLevelType w:val="hybridMultilevel"/>
    <w:tmpl w:val="52A4D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C685C"/>
    <w:multiLevelType w:val="hybridMultilevel"/>
    <w:tmpl w:val="B6020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8375DA"/>
    <w:multiLevelType w:val="hybridMultilevel"/>
    <w:tmpl w:val="66C4D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8A4FBF"/>
    <w:multiLevelType w:val="hybridMultilevel"/>
    <w:tmpl w:val="C678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3378F"/>
    <w:multiLevelType w:val="hybridMultilevel"/>
    <w:tmpl w:val="F2FA2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5"/>
  </w:num>
  <w:num w:numId="4">
    <w:abstractNumId w:val="20"/>
  </w:num>
  <w:num w:numId="5">
    <w:abstractNumId w:val="1"/>
  </w:num>
  <w:num w:numId="6">
    <w:abstractNumId w:val="21"/>
  </w:num>
  <w:num w:numId="7">
    <w:abstractNumId w:val="15"/>
  </w:num>
  <w:num w:numId="8">
    <w:abstractNumId w:val="16"/>
  </w:num>
  <w:num w:numId="9">
    <w:abstractNumId w:val="0"/>
  </w:num>
  <w:num w:numId="10">
    <w:abstractNumId w:val="5"/>
  </w:num>
  <w:num w:numId="11">
    <w:abstractNumId w:val="11"/>
  </w:num>
  <w:num w:numId="12">
    <w:abstractNumId w:val="6"/>
  </w:num>
  <w:num w:numId="13">
    <w:abstractNumId w:val="8"/>
  </w:num>
  <w:num w:numId="14">
    <w:abstractNumId w:val="26"/>
  </w:num>
  <w:num w:numId="15">
    <w:abstractNumId w:val="9"/>
  </w:num>
  <w:num w:numId="16">
    <w:abstractNumId w:val="18"/>
  </w:num>
  <w:num w:numId="17">
    <w:abstractNumId w:val="22"/>
  </w:num>
  <w:num w:numId="18">
    <w:abstractNumId w:val="7"/>
  </w:num>
  <w:num w:numId="19">
    <w:abstractNumId w:val="2"/>
  </w:num>
  <w:num w:numId="20">
    <w:abstractNumId w:val="24"/>
  </w:num>
  <w:num w:numId="21">
    <w:abstractNumId w:val="23"/>
  </w:num>
  <w:num w:numId="22">
    <w:abstractNumId w:val="17"/>
  </w:num>
  <w:num w:numId="23">
    <w:abstractNumId w:val="27"/>
  </w:num>
  <w:num w:numId="24">
    <w:abstractNumId w:val="10"/>
  </w:num>
  <w:num w:numId="25">
    <w:abstractNumId w:val="13"/>
  </w:num>
  <w:num w:numId="26">
    <w:abstractNumId w:val="19"/>
  </w:num>
  <w:num w:numId="27">
    <w:abstractNumId w:val="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00E"/>
    <w:rsid w:val="000100F3"/>
    <w:rsid w:val="00016C5F"/>
    <w:rsid w:val="00047E64"/>
    <w:rsid w:val="00091137"/>
    <w:rsid w:val="000C3F40"/>
    <w:rsid w:val="000D4976"/>
    <w:rsid w:val="000D5B06"/>
    <w:rsid w:val="00112792"/>
    <w:rsid w:val="00126B8B"/>
    <w:rsid w:val="00146A0D"/>
    <w:rsid w:val="00146DFD"/>
    <w:rsid w:val="0015047B"/>
    <w:rsid w:val="001626F4"/>
    <w:rsid w:val="0016285D"/>
    <w:rsid w:val="00187711"/>
    <w:rsid w:val="001C2863"/>
    <w:rsid w:val="001C6F88"/>
    <w:rsid w:val="001C7DED"/>
    <w:rsid w:val="001D1E81"/>
    <w:rsid w:val="001D29F3"/>
    <w:rsid w:val="002058F4"/>
    <w:rsid w:val="00226179"/>
    <w:rsid w:val="00231E3E"/>
    <w:rsid w:val="00284504"/>
    <w:rsid w:val="002857A6"/>
    <w:rsid w:val="002A0FA6"/>
    <w:rsid w:val="002B05DB"/>
    <w:rsid w:val="002B06C5"/>
    <w:rsid w:val="002D4EE4"/>
    <w:rsid w:val="00317EF4"/>
    <w:rsid w:val="003338E2"/>
    <w:rsid w:val="00335735"/>
    <w:rsid w:val="00342CBA"/>
    <w:rsid w:val="0035293E"/>
    <w:rsid w:val="003557CB"/>
    <w:rsid w:val="00355FC7"/>
    <w:rsid w:val="0037409C"/>
    <w:rsid w:val="003A188A"/>
    <w:rsid w:val="003A3B10"/>
    <w:rsid w:val="003E2D8B"/>
    <w:rsid w:val="003E5587"/>
    <w:rsid w:val="00407543"/>
    <w:rsid w:val="00415F12"/>
    <w:rsid w:val="0041767D"/>
    <w:rsid w:val="004379A6"/>
    <w:rsid w:val="0044291D"/>
    <w:rsid w:val="004520DE"/>
    <w:rsid w:val="00472439"/>
    <w:rsid w:val="00474D11"/>
    <w:rsid w:val="004A4703"/>
    <w:rsid w:val="004A6DEE"/>
    <w:rsid w:val="004B1C73"/>
    <w:rsid w:val="004C567A"/>
    <w:rsid w:val="004C5D3B"/>
    <w:rsid w:val="004D6CB9"/>
    <w:rsid w:val="00506F2F"/>
    <w:rsid w:val="00507EA0"/>
    <w:rsid w:val="00533CE6"/>
    <w:rsid w:val="005545F0"/>
    <w:rsid w:val="00561F6F"/>
    <w:rsid w:val="00563728"/>
    <w:rsid w:val="0057464F"/>
    <w:rsid w:val="005855F6"/>
    <w:rsid w:val="005B448A"/>
    <w:rsid w:val="005C376A"/>
    <w:rsid w:val="005E7021"/>
    <w:rsid w:val="00606177"/>
    <w:rsid w:val="006061AA"/>
    <w:rsid w:val="00607A98"/>
    <w:rsid w:val="00611F51"/>
    <w:rsid w:val="00617A1A"/>
    <w:rsid w:val="00632975"/>
    <w:rsid w:val="00683D7E"/>
    <w:rsid w:val="006B15C3"/>
    <w:rsid w:val="006B3171"/>
    <w:rsid w:val="006D605D"/>
    <w:rsid w:val="006E28AB"/>
    <w:rsid w:val="006E3772"/>
    <w:rsid w:val="006F3229"/>
    <w:rsid w:val="0072230B"/>
    <w:rsid w:val="0074610E"/>
    <w:rsid w:val="0075135D"/>
    <w:rsid w:val="007A264F"/>
    <w:rsid w:val="007D4CAA"/>
    <w:rsid w:val="00802799"/>
    <w:rsid w:val="00822D4B"/>
    <w:rsid w:val="008248D8"/>
    <w:rsid w:val="008434E3"/>
    <w:rsid w:val="00845740"/>
    <w:rsid w:val="0086134A"/>
    <w:rsid w:val="00865197"/>
    <w:rsid w:val="00866196"/>
    <w:rsid w:val="00875F00"/>
    <w:rsid w:val="008765BC"/>
    <w:rsid w:val="008A4010"/>
    <w:rsid w:val="008A4ED5"/>
    <w:rsid w:val="008B31CB"/>
    <w:rsid w:val="008C7BF5"/>
    <w:rsid w:val="008F1A26"/>
    <w:rsid w:val="008F3F14"/>
    <w:rsid w:val="00900ED2"/>
    <w:rsid w:val="00913C24"/>
    <w:rsid w:val="009246F4"/>
    <w:rsid w:val="0099259A"/>
    <w:rsid w:val="009B26B6"/>
    <w:rsid w:val="009B2C84"/>
    <w:rsid w:val="009D0ACC"/>
    <w:rsid w:val="009D5654"/>
    <w:rsid w:val="009E4DC9"/>
    <w:rsid w:val="00A64E6E"/>
    <w:rsid w:val="00A70D4A"/>
    <w:rsid w:val="00A75A61"/>
    <w:rsid w:val="00AC091E"/>
    <w:rsid w:val="00B01AAE"/>
    <w:rsid w:val="00B07055"/>
    <w:rsid w:val="00B163D7"/>
    <w:rsid w:val="00B40AA3"/>
    <w:rsid w:val="00BA3C94"/>
    <w:rsid w:val="00BA6731"/>
    <w:rsid w:val="00BE4837"/>
    <w:rsid w:val="00C17074"/>
    <w:rsid w:val="00C449CD"/>
    <w:rsid w:val="00C7700E"/>
    <w:rsid w:val="00C915A0"/>
    <w:rsid w:val="00C919E6"/>
    <w:rsid w:val="00C948E3"/>
    <w:rsid w:val="00CC03D6"/>
    <w:rsid w:val="00CC2511"/>
    <w:rsid w:val="00CD6186"/>
    <w:rsid w:val="00CE75C7"/>
    <w:rsid w:val="00CF30BA"/>
    <w:rsid w:val="00CF766E"/>
    <w:rsid w:val="00D25CFB"/>
    <w:rsid w:val="00D35E6D"/>
    <w:rsid w:val="00D41D2D"/>
    <w:rsid w:val="00D75609"/>
    <w:rsid w:val="00E13699"/>
    <w:rsid w:val="00E24CB3"/>
    <w:rsid w:val="00E95557"/>
    <w:rsid w:val="00EB47E0"/>
    <w:rsid w:val="00EE4C64"/>
    <w:rsid w:val="00EE7401"/>
    <w:rsid w:val="00EF41EB"/>
    <w:rsid w:val="00F22DAD"/>
    <w:rsid w:val="00F573F9"/>
    <w:rsid w:val="00F77E32"/>
    <w:rsid w:val="00F91ED8"/>
    <w:rsid w:val="00F9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D8F47"/>
  <w15:chartTrackingRefBased/>
  <w15:docId w15:val="{C5C9CB4D-3558-5A41-A522-446CB61B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7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700E"/>
    <w:pPr>
      <w:ind w:left="720"/>
      <w:contextualSpacing/>
    </w:pPr>
  </w:style>
  <w:style w:type="paragraph" w:styleId="Revision">
    <w:name w:val="Revision"/>
    <w:hidden/>
    <w:uiPriority w:val="99"/>
    <w:semiHidden/>
    <w:rsid w:val="00506F2F"/>
  </w:style>
  <w:style w:type="paragraph" w:styleId="Header">
    <w:name w:val="header"/>
    <w:basedOn w:val="Normal"/>
    <w:link w:val="HeaderChar"/>
    <w:uiPriority w:val="99"/>
    <w:unhideWhenUsed/>
    <w:rsid w:val="008027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799"/>
  </w:style>
  <w:style w:type="paragraph" w:styleId="Footer">
    <w:name w:val="footer"/>
    <w:basedOn w:val="Normal"/>
    <w:link w:val="FooterChar"/>
    <w:uiPriority w:val="99"/>
    <w:unhideWhenUsed/>
    <w:rsid w:val="008027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436F97-DB48-C244-B583-CD63C5A2C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Davar, Diwakar</dc:creator>
  <cp:keywords/>
  <dc:description/>
  <cp:lastModifiedBy>Knab, Kate</cp:lastModifiedBy>
  <cp:revision>2</cp:revision>
  <dcterms:created xsi:type="dcterms:W3CDTF">2022-04-26T19:26:00Z</dcterms:created>
  <dcterms:modified xsi:type="dcterms:W3CDTF">2022-04-26T19:26:00Z</dcterms:modified>
</cp:coreProperties>
</file>