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A2DA" w14:textId="77777777" w:rsidR="007306F1" w:rsidRPr="008F1D31" w:rsidRDefault="007306F1" w:rsidP="007306F1">
      <w:pPr>
        <w:rPr>
          <w:rFonts w:ascii="Arial" w:hAnsi="Arial" w:cs="Arial"/>
          <w:sz w:val="24"/>
          <w:szCs w:val="24"/>
        </w:rPr>
      </w:pPr>
      <w:r w:rsidRPr="009F75F3">
        <w:rPr>
          <w:rFonts w:ascii="Arial" w:eastAsiaTheme="minorEastAsia" w:hAnsi="Arial" w:cs="Arial"/>
          <w:b/>
          <w:bCs/>
          <w:kern w:val="24"/>
          <w:sz w:val="24"/>
          <w:szCs w:val="24"/>
        </w:rPr>
        <w:t>Figure S5 Legend</w:t>
      </w:r>
      <w:r w:rsidRPr="009F75F3">
        <w:rPr>
          <w:rFonts w:ascii="Arial" w:eastAsiaTheme="minorEastAsia" w:hAnsi="Arial" w:cs="Arial"/>
          <w:kern w:val="24"/>
          <w:sz w:val="24"/>
          <w:szCs w:val="24"/>
        </w:rPr>
        <w:t xml:space="preserve">: 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Kaplan Meier curve demonstrating progression free survival for patients treated with </w:t>
      </w:r>
      <w:proofErr w:type="spellStart"/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vopratelimab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(A)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or </w:t>
      </w:r>
      <w:proofErr w:type="spellStart"/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vopratelimab</w:t>
      </w:r>
      <w:proofErr w:type="spellEnd"/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 combination with nivolumab (B)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Kaplan Meier curve demonstrating overall survival for patients treated with </w:t>
      </w:r>
      <w:proofErr w:type="spellStart"/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vopratelimab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(C)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or </w:t>
      </w:r>
      <w:proofErr w:type="spellStart"/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vopratelimab</w:t>
      </w:r>
      <w:proofErr w:type="spellEnd"/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 combination with nivolumab (D). Gastric (solid yellow line)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;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NSCLC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non-small cell lung cancer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(dotted yellow line)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;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TNBC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triple negative breast cancer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(solid blue line)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;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HNSCC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head and neck </w:t>
      </w:r>
      <w:r w:rsidRPr="008F1D31">
        <w:rPr>
          <w:rFonts w:ascii="Arial" w:hAnsi="Arial" w:cs="Arial"/>
          <w:sz w:val="24"/>
          <w:szCs w:val="24"/>
        </w:rPr>
        <w:t>squamous cell carcinoma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(solid purple line)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;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Other (dotted black line)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; 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All tumor types (solid gray line).   Data cut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date</w:t>
      </w:r>
      <w:r w:rsidRPr="008F1D31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: July 22, 2020.</w:t>
      </w:r>
    </w:p>
    <w:p w14:paraId="11D0B1C6" w14:textId="0A741F2F" w:rsidR="007306F1" w:rsidRPr="007306F1" w:rsidRDefault="007306F1" w:rsidP="007306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F75F3">
        <w:rPr>
          <w:rFonts w:ascii="Arial" w:eastAsiaTheme="minorEastAsia" w:hAnsi="Arial" w:cs="Arial"/>
          <w:b/>
          <w:bCs/>
          <w:kern w:val="24"/>
          <w:sz w:val="24"/>
          <w:szCs w:val="24"/>
        </w:rPr>
        <w:t>Figure S5</w:t>
      </w:r>
      <w:r w:rsidRPr="008F1D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. Progression Free and Overall Survival by Tumor Type and Treatment</w:t>
      </w:r>
    </w:p>
    <w:p w14:paraId="0DCB7659" w14:textId="23DD005A" w:rsidR="004C6506" w:rsidRDefault="007306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40B89F" wp14:editId="00919B9B">
            <wp:simplePos x="0" y="0"/>
            <wp:positionH relativeFrom="column">
              <wp:posOffset>-320675</wp:posOffset>
            </wp:positionH>
            <wp:positionV relativeFrom="page">
              <wp:posOffset>2877001</wp:posOffset>
            </wp:positionV>
            <wp:extent cx="6348730" cy="3401060"/>
            <wp:effectExtent l="0" t="0" r="0" b="889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73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F1"/>
    <w:rsid w:val="004C6506"/>
    <w:rsid w:val="007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6284"/>
  <w15:chartTrackingRefBased/>
  <w15:docId w15:val="{8BDEFE19-59B7-422D-AADB-BB2F0CE2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2022-03-14T14:26:00Z</dcterms:created>
  <dcterms:modified xsi:type="dcterms:W3CDTF">2022-03-14T14:27:00Z</dcterms:modified>
</cp:coreProperties>
</file>