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888FD" w14:textId="77777777" w:rsidR="00791751" w:rsidRPr="00791751" w:rsidRDefault="00791751" w:rsidP="00791751">
      <w:pPr>
        <w:spacing w:after="200" w:line="360" w:lineRule="auto"/>
        <w:rPr>
          <w:rFonts w:ascii="Arial" w:eastAsia="Calibri" w:hAnsi="Arial" w:cs="Calibri"/>
          <w:b/>
          <w:bCs/>
        </w:rPr>
      </w:pPr>
      <w:r w:rsidRPr="00791751">
        <w:rPr>
          <w:rFonts w:ascii="Arial" w:eastAsia="Calibri" w:hAnsi="Arial" w:cs="Calibri"/>
          <w:b/>
          <w:bCs/>
        </w:rPr>
        <w:t xml:space="preserve">Supplementary Figure S2. </w:t>
      </w:r>
    </w:p>
    <w:p w14:paraId="5F5C357D" w14:textId="77777777" w:rsidR="00791751" w:rsidRPr="00791751" w:rsidRDefault="00791751" w:rsidP="00791751">
      <w:pPr>
        <w:spacing w:after="200" w:line="360" w:lineRule="auto"/>
        <w:rPr>
          <w:rFonts w:ascii="Arial" w:eastAsia="Calibri" w:hAnsi="Arial" w:cs="Calibri"/>
          <w:b/>
          <w:bCs/>
        </w:rPr>
      </w:pPr>
      <w:r w:rsidRPr="00791751">
        <w:rPr>
          <w:rFonts w:ascii="Arial" w:eastAsia="Calibri" w:hAnsi="Arial" w:cs="Calibri"/>
        </w:rPr>
        <w:t>Forest plot of TTD of the SF-36 health domains in patients with stage II–IIIA disease. The TTD analysis used clinically meaningful differences defined in the 2</w:t>
      </w:r>
      <w:r w:rsidRPr="00791751">
        <w:rPr>
          <w:rFonts w:ascii="Arial" w:eastAsia="Calibri" w:hAnsi="Arial" w:cs="Calibri"/>
          <w:vertAlign w:val="superscript"/>
        </w:rPr>
        <w:t>nd</w:t>
      </w:r>
      <w:r w:rsidRPr="00791751">
        <w:rPr>
          <w:rFonts w:ascii="Arial" w:eastAsia="Calibri" w:hAnsi="Arial" w:cs="Calibri"/>
        </w:rPr>
        <w:t xml:space="preserve"> edition of the SF-36 scoring manual </w:t>
      </w:r>
      <w:r w:rsidRPr="00791751">
        <w:rPr>
          <w:rFonts w:ascii="Arial" w:eastAsia="Calibri" w:hAnsi="Arial" w:cs="Calibri"/>
        </w:rPr>
        <w:fldChar w:fldCharType="begin"/>
      </w:r>
      <w:r w:rsidRPr="00791751">
        <w:rPr>
          <w:rFonts w:ascii="Arial" w:eastAsia="Calibri" w:hAnsi="Arial" w:cs="Calibri"/>
        </w:rPr>
        <w:instrText xml:space="preserve"> ADDIN EN.CITE &lt;EndNote&gt;&lt;Cite&gt;&lt;Author&gt;Ware&lt;/Author&gt;&lt;Year&gt;2002&lt;/Year&gt;&lt;RecNum&gt;31&lt;/RecNum&gt;&lt;DisplayText&gt;(32)&lt;/DisplayText&gt;&lt;record&gt;&lt;rec-number&gt;31&lt;/rec-number&gt;&lt;foreign-keys&gt;&lt;key app="EN" db-id="fpzxtfvxcstw5wesrz6xr5pdre5s2rxf9vvf" timestamp="1640348332"&gt;31&lt;/key&gt;&lt;/foreign-keys&gt;&lt;ref-type name="Book"&gt;6&lt;/ref-type&gt;&lt;contributors&gt;&lt;authors&gt;&lt;author&gt;Ware, R.&lt;/author&gt;&lt;/authors&gt;&lt;/contributors&gt;&lt;titles&gt;&lt;title&gt;User’s manual for SF-36v2 health survey (2nd ed)&lt;/title&gt;&lt;/titles&gt;&lt;section&gt;81-84&lt;/section&gt;&lt;dates&gt;&lt;year&gt;2002&lt;/year&gt;&lt;/dates&gt;&lt;pub-location&gt;Lincoln&lt;/pub-location&gt;&lt;publisher&gt;Quality Metric Inc.,&lt;/publisher&gt;&lt;urls&gt;&lt;/urls&gt;&lt;/record&gt;&lt;/Cite&gt;&lt;/EndNote&gt;</w:instrText>
      </w:r>
      <w:r w:rsidRPr="00791751">
        <w:rPr>
          <w:rFonts w:ascii="Arial" w:eastAsia="Calibri" w:hAnsi="Arial" w:cs="Calibri"/>
        </w:rPr>
        <w:fldChar w:fldCharType="separate"/>
      </w:r>
      <w:r w:rsidRPr="00791751">
        <w:rPr>
          <w:rFonts w:ascii="Arial" w:eastAsia="Calibri" w:hAnsi="Arial" w:cs="Calibri"/>
          <w:noProof/>
        </w:rPr>
        <w:t>(32)</w:t>
      </w:r>
      <w:r w:rsidRPr="00791751">
        <w:rPr>
          <w:rFonts w:ascii="Arial" w:eastAsia="Calibri" w:hAnsi="Arial" w:cs="Calibri"/>
        </w:rPr>
        <w:fldChar w:fldCharType="end"/>
      </w:r>
      <w:r w:rsidRPr="00791751">
        <w:rPr>
          <w:rFonts w:ascii="Arial" w:eastAsia="Calibri" w:hAnsi="Arial" w:cs="Calibri"/>
        </w:rPr>
        <w:t xml:space="preserve"> and was </w:t>
      </w:r>
      <w:r w:rsidRPr="00791751">
        <w:rPr>
          <w:rFonts w:ascii="Arial" w:eastAsia="Calibri" w:hAnsi="Arial" w:cs="Calibri"/>
          <w:lang w:val="en-US"/>
        </w:rPr>
        <w:t>performed using a log rank test stratified by stage (IB vs. II vs. IIIA), race (Asian vs. non-Asian) and mutation type (Ex19del vs. L858R)</w:t>
      </w:r>
      <w:r w:rsidRPr="00791751">
        <w:rPr>
          <w:rFonts w:ascii="Arial" w:eastAsia="Calibri" w:hAnsi="Arial" w:cs="Calibri"/>
        </w:rPr>
        <w:t xml:space="preserve">. HRs and corresponding 95% CIs are shown for each health domain along with the number of events (n) in the overall population (N). A HR &lt;1 </w:t>
      </w:r>
      <w:proofErr w:type="spellStart"/>
      <w:r w:rsidRPr="00791751">
        <w:rPr>
          <w:rFonts w:ascii="Arial" w:eastAsia="Calibri" w:hAnsi="Arial" w:cs="Calibri"/>
        </w:rPr>
        <w:t>favors</w:t>
      </w:r>
      <w:proofErr w:type="spellEnd"/>
      <w:r w:rsidRPr="00791751">
        <w:rPr>
          <w:rFonts w:ascii="Arial" w:eastAsia="Calibri" w:hAnsi="Arial" w:cs="Calibri"/>
        </w:rPr>
        <w:t xml:space="preserve"> </w:t>
      </w:r>
      <w:proofErr w:type="spellStart"/>
      <w:r w:rsidRPr="00791751">
        <w:rPr>
          <w:rFonts w:ascii="Arial" w:eastAsia="Calibri" w:hAnsi="Arial" w:cs="Calibri"/>
        </w:rPr>
        <w:t>osimertinib</w:t>
      </w:r>
      <w:proofErr w:type="spellEnd"/>
      <w:r w:rsidRPr="00791751">
        <w:rPr>
          <w:rFonts w:ascii="Arial" w:eastAsia="Calibri" w:hAnsi="Arial" w:cs="Calibri"/>
        </w:rPr>
        <w:t xml:space="preserve"> treatment. Calculated using the Kaplan Maier method.</w:t>
      </w:r>
      <w:r w:rsidRPr="00791751">
        <w:rPr>
          <w:rFonts w:ascii="Arial" w:eastAsia="Calibri" w:hAnsi="Arial" w:cs="Calibri"/>
          <w:lang w:val="en-US"/>
        </w:rPr>
        <w:t xml:space="preserve"> CI, confidence interval; </w:t>
      </w:r>
      <w:r w:rsidRPr="00791751">
        <w:rPr>
          <w:rFonts w:ascii="Arial" w:eastAsia="Calibri" w:hAnsi="Arial" w:cs="Calibri"/>
        </w:rPr>
        <w:t>SF-36, Short Form-36 health survey; TTD, time to deterioration.</w:t>
      </w:r>
    </w:p>
    <w:p w14:paraId="6F7CE59B" w14:textId="77777777" w:rsidR="00791751" w:rsidRPr="00791751" w:rsidRDefault="00791751" w:rsidP="00791751">
      <w:pPr>
        <w:spacing w:after="200" w:line="360" w:lineRule="auto"/>
        <w:rPr>
          <w:rFonts w:ascii="Arial" w:eastAsia="Calibri" w:hAnsi="Arial" w:cs="Calibri"/>
          <w:sz w:val="20"/>
          <w:szCs w:val="20"/>
        </w:rPr>
      </w:pPr>
      <w:r w:rsidRPr="00791751">
        <w:rPr>
          <w:rFonts w:ascii="Arial" w:eastAsia="Calibri" w:hAnsi="Arial" w:cs="Calibri"/>
          <w:noProof/>
          <w:sz w:val="20"/>
          <w:szCs w:val="20"/>
        </w:rPr>
        <w:drawing>
          <wp:inline distT="0" distB="0" distL="0" distR="0" wp14:anchorId="3B11F9AB" wp14:editId="3BA3EAC4">
            <wp:extent cx="6305550" cy="2442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0475" cy="245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4209B" w14:textId="4AE37E33" w:rsidR="00B7270F" w:rsidRDefault="00B7270F" w:rsidP="00791751">
      <w:pPr>
        <w:spacing w:after="200" w:line="360" w:lineRule="auto"/>
        <w:rPr>
          <w:rFonts w:ascii="Arial" w:eastAsia="Calibri" w:hAnsi="Arial" w:cs="Calibri"/>
          <w:sz w:val="20"/>
          <w:szCs w:val="20"/>
          <w:lang w:val="en-US"/>
        </w:rPr>
      </w:pPr>
    </w:p>
    <w:sectPr w:rsidR="00B7270F" w:rsidSect="0039165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EB74D" w14:textId="77777777" w:rsidR="00CB5EE8" w:rsidRDefault="00CB5EE8" w:rsidP="00791751">
      <w:pPr>
        <w:spacing w:after="0" w:line="240" w:lineRule="auto"/>
      </w:pPr>
      <w:r>
        <w:separator/>
      </w:r>
    </w:p>
  </w:endnote>
  <w:endnote w:type="continuationSeparator" w:id="0">
    <w:p w14:paraId="0076D110" w14:textId="77777777" w:rsidR="00CB5EE8" w:rsidRDefault="00CB5EE8" w:rsidP="0079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C72ED" w14:textId="77777777" w:rsidR="00CB5EE8" w:rsidRDefault="00CB5EE8" w:rsidP="00791751">
      <w:pPr>
        <w:spacing w:after="0" w:line="240" w:lineRule="auto"/>
      </w:pPr>
      <w:r>
        <w:separator/>
      </w:r>
    </w:p>
  </w:footnote>
  <w:footnote w:type="continuationSeparator" w:id="0">
    <w:p w14:paraId="4C6F86ED" w14:textId="77777777" w:rsidR="00CB5EE8" w:rsidRDefault="00CB5EE8" w:rsidP="00791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51"/>
    <w:rsid w:val="001B4850"/>
    <w:rsid w:val="001E60F7"/>
    <w:rsid w:val="00200C4F"/>
    <w:rsid w:val="00391651"/>
    <w:rsid w:val="004D1A53"/>
    <w:rsid w:val="0066108A"/>
    <w:rsid w:val="006C5940"/>
    <w:rsid w:val="00791751"/>
    <w:rsid w:val="00927B48"/>
    <w:rsid w:val="009667F1"/>
    <w:rsid w:val="00B21E6E"/>
    <w:rsid w:val="00B7270F"/>
    <w:rsid w:val="00B92852"/>
    <w:rsid w:val="00BF7F6C"/>
    <w:rsid w:val="00CB5EE8"/>
    <w:rsid w:val="00CC3DA9"/>
    <w:rsid w:val="00D64865"/>
    <w:rsid w:val="00DA4D31"/>
    <w:rsid w:val="00DD4D6E"/>
    <w:rsid w:val="00E21B25"/>
    <w:rsid w:val="00EC0445"/>
    <w:rsid w:val="00F6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09D58"/>
  <w15:chartTrackingRefBased/>
  <w15:docId w15:val="{FB6A584F-FDE1-4D75-B2B6-FF82D37F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9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9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91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dc:description/>
  <cp:lastModifiedBy>Knab, Kate</cp:lastModifiedBy>
  <cp:revision>2</cp:revision>
  <dcterms:created xsi:type="dcterms:W3CDTF">2022-01-05T15:07:00Z</dcterms:created>
  <dcterms:modified xsi:type="dcterms:W3CDTF">2022-01-05T15:07:00Z</dcterms:modified>
</cp:coreProperties>
</file>