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Light1"/>
        <w:tblpPr w:leftFromText="180" w:rightFromText="180" w:vertAnchor="page" w:horzAnchor="margin" w:tblpY="1493"/>
        <w:tblW w:w="4971" w:type="pct"/>
        <w:tblLook w:val="0000" w:firstRow="0" w:lastRow="0" w:firstColumn="0" w:lastColumn="0" w:noHBand="0" w:noVBand="0"/>
      </w:tblPr>
      <w:tblGrid>
        <w:gridCol w:w="6713"/>
        <w:gridCol w:w="2593"/>
      </w:tblGrid>
      <w:tr w:rsidR="00D16F09" w:rsidRPr="002750CD" w14:paraId="04E35F42" w14:textId="77777777" w:rsidTr="007F6E1F">
        <w:trPr>
          <w:trHeight w:hRule="exact" w:val="277"/>
        </w:trPr>
        <w:tc>
          <w:tcPr>
            <w:tcW w:w="5000" w:type="pct"/>
            <w:gridSpan w:val="2"/>
            <w:tcBorders>
              <w:top w:val="nil"/>
              <w:left w:val="nil"/>
              <w:right w:val="nil"/>
            </w:tcBorders>
          </w:tcPr>
          <w:p w14:paraId="0EE511AA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b/>
                <w:bCs/>
                <w:i/>
                <w:color w:val="000000"/>
                <w:lang w:eastAsia="zh-CN"/>
              </w:rPr>
              <w:t>Table S4</w:t>
            </w:r>
            <w:r w:rsidRPr="002750CD">
              <w:rPr>
                <w:rFonts w:ascii="Arial" w:eastAsia="Calibri" w:hAnsi="Arial" w:cs="Arial"/>
                <w:b/>
                <w:bCs/>
                <w:iCs/>
                <w:color w:val="000000"/>
                <w:lang w:eastAsia="zh-CN"/>
              </w:rPr>
              <w:t>. Any Grade 2 or Higher Adverse Events Occurring After Initiating Sulindac (n=50)</w:t>
            </w:r>
          </w:p>
        </w:tc>
      </w:tr>
      <w:tr w:rsidR="00D16F09" w:rsidRPr="002750CD" w14:paraId="1989DC5C" w14:textId="77777777" w:rsidTr="007F6E1F">
        <w:trPr>
          <w:trHeight w:hRule="exact" w:val="275"/>
        </w:trPr>
        <w:tc>
          <w:tcPr>
            <w:tcW w:w="3607" w:type="pct"/>
          </w:tcPr>
          <w:p w14:paraId="21CA18CE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  <w:t>Toxicity category</w:t>
            </w:r>
            <w:r w:rsidRPr="002750CD">
              <w:rPr>
                <w:rFonts w:ascii="Arial" w:eastAsia="Calibri" w:hAnsi="Arial" w:cs="Arial"/>
                <w:b/>
                <w:bCs/>
                <w:color w:val="000000"/>
                <w:vertAlign w:val="superscript"/>
                <w:lang w:eastAsia="zh-CN"/>
              </w:rPr>
              <w:t>1</w:t>
            </w:r>
          </w:p>
        </w:tc>
        <w:tc>
          <w:tcPr>
            <w:tcW w:w="1393" w:type="pct"/>
          </w:tcPr>
          <w:p w14:paraId="612668A8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D16F09" w:rsidRPr="002750CD" w14:paraId="46F1E274" w14:textId="77777777" w:rsidTr="007F6E1F">
        <w:trPr>
          <w:trHeight w:hRule="exact" w:val="275"/>
        </w:trPr>
        <w:tc>
          <w:tcPr>
            <w:tcW w:w="3607" w:type="pct"/>
          </w:tcPr>
          <w:p w14:paraId="58D77B67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</w:pPr>
          </w:p>
        </w:tc>
        <w:tc>
          <w:tcPr>
            <w:tcW w:w="1393" w:type="pct"/>
          </w:tcPr>
          <w:p w14:paraId="5DA61148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b/>
                <w:bCs/>
                <w:color w:val="000000"/>
                <w:lang w:eastAsia="zh-CN"/>
              </w:rPr>
            </w:pPr>
          </w:p>
        </w:tc>
      </w:tr>
      <w:tr w:rsidR="00D16F09" w:rsidRPr="002750CD" w14:paraId="5ACF87D3" w14:textId="77777777" w:rsidTr="007F6E1F">
        <w:trPr>
          <w:trHeight w:val="289"/>
        </w:trPr>
        <w:tc>
          <w:tcPr>
            <w:tcW w:w="3607" w:type="pct"/>
          </w:tcPr>
          <w:p w14:paraId="48895A2D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Cardiac disorder</w:t>
            </w:r>
          </w:p>
        </w:tc>
        <w:tc>
          <w:tcPr>
            <w:tcW w:w="1393" w:type="pct"/>
          </w:tcPr>
          <w:p w14:paraId="5855489D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1 (1.89%)</w:t>
            </w:r>
          </w:p>
        </w:tc>
      </w:tr>
      <w:tr w:rsidR="00D16F09" w:rsidRPr="002750CD" w14:paraId="619D8522" w14:textId="77777777" w:rsidTr="007F6E1F">
        <w:trPr>
          <w:trHeight w:val="306"/>
        </w:trPr>
        <w:tc>
          <w:tcPr>
            <w:tcW w:w="3607" w:type="pct"/>
          </w:tcPr>
          <w:p w14:paraId="669A8CDB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Gastrointestinal disorders**</w:t>
            </w:r>
          </w:p>
        </w:tc>
        <w:tc>
          <w:tcPr>
            <w:tcW w:w="1393" w:type="pct"/>
          </w:tcPr>
          <w:p w14:paraId="521A9A47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8 (15.09%)</w:t>
            </w:r>
          </w:p>
        </w:tc>
      </w:tr>
      <w:tr w:rsidR="00D16F09" w:rsidRPr="002750CD" w14:paraId="0A8AE3F6" w14:textId="77777777" w:rsidTr="007F6E1F">
        <w:trPr>
          <w:trHeight w:val="306"/>
        </w:trPr>
        <w:tc>
          <w:tcPr>
            <w:tcW w:w="3607" w:type="pct"/>
          </w:tcPr>
          <w:p w14:paraId="73096667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General disorders and administration site conditions</w:t>
            </w:r>
          </w:p>
        </w:tc>
        <w:tc>
          <w:tcPr>
            <w:tcW w:w="1393" w:type="pct"/>
          </w:tcPr>
          <w:p w14:paraId="4AAA83B0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8 (15.09%)</w:t>
            </w:r>
          </w:p>
        </w:tc>
      </w:tr>
      <w:tr w:rsidR="00D16F09" w:rsidRPr="002750CD" w14:paraId="3253FB65" w14:textId="77777777" w:rsidTr="007F6E1F">
        <w:trPr>
          <w:trHeight w:val="289"/>
        </w:trPr>
        <w:tc>
          <w:tcPr>
            <w:tcW w:w="3607" w:type="pct"/>
          </w:tcPr>
          <w:p w14:paraId="0D5812DC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Hepatobiliary disorders</w:t>
            </w:r>
          </w:p>
        </w:tc>
        <w:tc>
          <w:tcPr>
            <w:tcW w:w="1393" w:type="pct"/>
          </w:tcPr>
          <w:p w14:paraId="06D84822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D16F09" w:rsidRPr="002750CD" w14:paraId="1D264339" w14:textId="77777777" w:rsidTr="007F6E1F">
        <w:trPr>
          <w:trHeight w:val="306"/>
        </w:trPr>
        <w:tc>
          <w:tcPr>
            <w:tcW w:w="3607" w:type="pct"/>
          </w:tcPr>
          <w:p w14:paraId="5AE030A0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Infections and infestations</w:t>
            </w:r>
          </w:p>
        </w:tc>
        <w:tc>
          <w:tcPr>
            <w:tcW w:w="1393" w:type="pct"/>
          </w:tcPr>
          <w:p w14:paraId="65B64948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7 (13.21%)</w:t>
            </w:r>
          </w:p>
        </w:tc>
      </w:tr>
      <w:tr w:rsidR="00D16F09" w:rsidRPr="002750CD" w14:paraId="7875E78C" w14:textId="77777777" w:rsidTr="007F6E1F">
        <w:trPr>
          <w:trHeight w:val="306"/>
        </w:trPr>
        <w:tc>
          <w:tcPr>
            <w:tcW w:w="3607" w:type="pct"/>
          </w:tcPr>
          <w:p w14:paraId="5FEDA30B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Injury, poisoning and procedural complications</w:t>
            </w:r>
          </w:p>
        </w:tc>
        <w:tc>
          <w:tcPr>
            <w:tcW w:w="1393" w:type="pct"/>
          </w:tcPr>
          <w:p w14:paraId="3A94C5D2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</w:p>
        </w:tc>
      </w:tr>
      <w:tr w:rsidR="00D16F09" w:rsidRPr="002750CD" w14:paraId="4CB8CF14" w14:textId="77777777" w:rsidTr="007F6E1F">
        <w:trPr>
          <w:trHeight w:val="306"/>
        </w:trPr>
        <w:tc>
          <w:tcPr>
            <w:tcW w:w="3607" w:type="pct"/>
          </w:tcPr>
          <w:p w14:paraId="5E40D307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Investigations</w:t>
            </w:r>
          </w:p>
        </w:tc>
        <w:tc>
          <w:tcPr>
            <w:tcW w:w="1393" w:type="pct"/>
          </w:tcPr>
          <w:p w14:paraId="77ECA668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1 (1.89%)</w:t>
            </w:r>
          </w:p>
        </w:tc>
      </w:tr>
      <w:tr w:rsidR="00D16F09" w:rsidRPr="002750CD" w14:paraId="686F26F3" w14:textId="77777777" w:rsidTr="007F6E1F">
        <w:trPr>
          <w:trHeight w:val="289"/>
        </w:trPr>
        <w:tc>
          <w:tcPr>
            <w:tcW w:w="3607" w:type="pct"/>
          </w:tcPr>
          <w:p w14:paraId="68ED104C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Metabolism and nutrition disorders</w:t>
            </w:r>
          </w:p>
        </w:tc>
        <w:tc>
          <w:tcPr>
            <w:tcW w:w="1393" w:type="pct"/>
          </w:tcPr>
          <w:p w14:paraId="6997323C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3 (5.66%)</w:t>
            </w:r>
          </w:p>
        </w:tc>
      </w:tr>
      <w:tr w:rsidR="00D16F09" w:rsidRPr="002750CD" w14:paraId="016CA0C4" w14:textId="77777777" w:rsidTr="007F6E1F">
        <w:trPr>
          <w:trHeight w:val="306"/>
        </w:trPr>
        <w:tc>
          <w:tcPr>
            <w:tcW w:w="3607" w:type="pct"/>
          </w:tcPr>
          <w:p w14:paraId="0B361B7C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Musculoskeletal and connective tissue disorders</w:t>
            </w:r>
          </w:p>
        </w:tc>
        <w:tc>
          <w:tcPr>
            <w:tcW w:w="1393" w:type="pct"/>
          </w:tcPr>
          <w:p w14:paraId="35C92A68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9 (16.98%)</w:t>
            </w:r>
          </w:p>
        </w:tc>
      </w:tr>
      <w:tr w:rsidR="00D16F09" w:rsidRPr="002750CD" w14:paraId="3C0B798C" w14:textId="77777777" w:rsidTr="007F6E1F">
        <w:trPr>
          <w:trHeight w:val="306"/>
        </w:trPr>
        <w:tc>
          <w:tcPr>
            <w:tcW w:w="3607" w:type="pct"/>
          </w:tcPr>
          <w:p w14:paraId="3F602F88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Neoplasms benign, malignant, and unspecified (incl cysts and polyps)</w:t>
            </w:r>
          </w:p>
        </w:tc>
        <w:tc>
          <w:tcPr>
            <w:tcW w:w="1393" w:type="pct"/>
          </w:tcPr>
          <w:p w14:paraId="680C5450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1 (1.89%)</w:t>
            </w:r>
          </w:p>
        </w:tc>
      </w:tr>
      <w:tr w:rsidR="00D16F09" w:rsidRPr="002750CD" w14:paraId="66BB9D0B" w14:textId="77777777" w:rsidTr="007F6E1F">
        <w:trPr>
          <w:trHeight w:val="306"/>
        </w:trPr>
        <w:tc>
          <w:tcPr>
            <w:tcW w:w="3607" w:type="pct"/>
          </w:tcPr>
          <w:p w14:paraId="1F42CCB3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Nervous system disorders</w:t>
            </w:r>
          </w:p>
        </w:tc>
        <w:tc>
          <w:tcPr>
            <w:tcW w:w="1393" w:type="pct"/>
          </w:tcPr>
          <w:p w14:paraId="60B3A486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5 (9.43%)</w:t>
            </w:r>
          </w:p>
        </w:tc>
      </w:tr>
      <w:tr w:rsidR="00D16F09" w:rsidRPr="002750CD" w14:paraId="34F497FA" w14:textId="77777777" w:rsidTr="007F6E1F">
        <w:trPr>
          <w:trHeight w:val="289"/>
        </w:trPr>
        <w:tc>
          <w:tcPr>
            <w:tcW w:w="3607" w:type="pct"/>
          </w:tcPr>
          <w:p w14:paraId="46848C35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Psychiatric disorders</w:t>
            </w:r>
          </w:p>
        </w:tc>
        <w:tc>
          <w:tcPr>
            <w:tcW w:w="1393" w:type="pct"/>
          </w:tcPr>
          <w:p w14:paraId="6603A598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3 (5.66%)</w:t>
            </w:r>
          </w:p>
        </w:tc>
      </w:tr>
      <w:tr w:rsidR="00D16F09" w:rsidRPr="002750CD" w14:paraId="0BF98DEA" w14:textId="77777777" w:rsidTr="007F6E1F">
        <w:trPr>
          <w:trHeight w:val="306"/>
        </w:trPr>
        <w:tc>
          <w:tcPr>
            <w:tcW w:w="3607" w:type="pct"/>
          </w:tcPr>
          <w:p w14:paraId="267730E8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Reproductive system and breast disorders</w:t>
            </w:r>
          </w:p>
        </w:tc>
        <w:tc>
          <w:tcPr>
            <w:tcW w:w="1393" w:type="pct"/>
          </w:tcPr>
          <w:p w14:paraId="459BFB03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3 (5.66%)</w:t>
            </w:r>
          </w:p>
        </w:tc>
      </w:tr>
      <w:tr w:rsidR="00D16F09" w:rsidRPr="002750CD" w14:paraId="5F93C7FC" w14:textId="77777777" w:rsidTr="007F6E1F">
        <w:trPr>
          <w:trHeight w:val="306"/>
        </w:trPr>
        <w:tc>
          <w:tcPr>
            <w:tcW w:w="3607" w:type="pct"/>
          </w:tcPr>
          <w:p w14:paraId="7FC60C17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Respiratory, thoracic, and mediastinal disorders</w:t>
            </w:r>
          </w:p>
        </w:tc>
        <w:tc>
          <w:tcPr>
            <w:tcW w:w="1393" w:type="pct"/>
          </w:tcPr>
          <w:p w14:paraId="6BCAD67F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2 (3.77%)</w:t>
            </w:r>
          </w:p>
        </w:tc>
      </w:tr>
      <w:tr w:rsidR="00D16F09" w:rsidRPr="002750CD" w14:paraId="6B8E61A6" w14:textId="77777777" w:rsidTr="007F6E1F">
        <w:trPr>
          <w:trHeight w:val="306"/>
        </w:trPr>
        <w:tc>
          <w:tcPr>
            <w:tcW w:w="3607" w:type="pct"/>
          </w:tcPr>
          <w:p w14:paraId="436C0682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Skin and subcutaneous tissue disorders</w:t>
            </w:r>
          </w:p>
        </w:tc>
        <w:tc>
          <w:tcPr>
            <w:tcW w:w="1393" w:type="pct"/>
          </w:tcPr>
          <w:p w14:paraId="22427BA6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3 (5.66%)</w:t>
            </w:r>
          </w:p>
        </w:tc>
      </w:tr>
      <w:tr w:rsidR="00D16F09" w:rsidRPr="002750CD" w14:paraId="4DCF9CC9" w14:textId="77777777" w:rsidTr="007F6E1F">
        <w:trPr>
          <w:trHeight w:val="289"/>
        </w:trPr>
        <w:tc>
          <w:tcPr>
            <w:tcW w:w="3607" w:type="pct"/>
          </w:tcPr>
          <w:p w14:paraId="50450F0C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Surgical and medical procedures</w:t>
            </w:r>
          </w:p>
        </w:tc>
        <w:tc>
          <w:tcPr>
            <w:tcW w:w="1393" w:type="pct"/>
          </w:tcPr>
          <w:p w14:paraId="045F0F03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2 (3.77%)</w:t>
            </w:r>
          </w:p>
        </w:tc>
      </w:tr>
      <w:tr w:rsidR="00D16F09" w:rsidRPr="002750CD" w14:paraId="7788FC26" w14:textId="77777777" w:rsidTr="007F6E1F">
        <w:trPr>
          <w:trHeight w:val="300"/>
        </w:trPr>
        <w:tc>
          <w:tcPr>
            <w:tcW w:w="3607" w:type="pct"/>
          </w:tcPr>
          <w:p w14:paraId="30BEBBCA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Vascular disorders</w:t>
            </w:r>
          </w:p>
        </w:tc>
        <w:tc>
          <w:tcPr>
            <w:tcW w:w="1393" w:type="pct"/>
          </w:tcPr>
          <w:p w14:paraId="2036F606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7 (13.21%)</w:t>
            </w:r>
          </w:p>
        </w:tc>
      </w:tr>
      <w:tr w:rsidR="00D16F09" w:rsidRPr="002750CD" w14:paraId="72B5DDC9" w14:textId="77777777" w:rsidTr="007F6E1F">
        <w:trPr>
          <w:trHeight w:val="289"/>
        </w:trPr>
        <w:tc>
          <w:tcPr>
            <w:tcW w:w="3607" w:type="pct"/>
            <w:tcBorders>
              <w:bottom w:val="single" w:sz="4" w:space="0" w:color="BFBFBF"/>
            </w:tcBorders>
          </w:tcPr>
          <w:p w14:paraId="5D3E31F1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b/>
                <w:color w:val="000000"/>
                <w:lang w:eastAsia="zh-CN"/>
              </w:rPr>
              <w:t>Total number of participants with any AE (grade ≥2)</w:t>
            </w:r>
          </w:p>
        </w:tc>
        <w:tc>
          <w:tcPr>
            <w:tcW w:w="1393" w:type="pct"/>
            <w:tcBorders>
              <w:bottom w:val="single" w:sz="4" w:space="0" w:color="BFBFBF"/>
            </w:tcBorders>
          </w:tcPr>
          <w:p w14:paraId="360ED95F" w14:textId="77777777" w:rsidR="00D16F09" w:rsidRPr="002750CD" w:rsidRDefault="00D16F09" w:rsidP="007F6E1F">
            <w:pPr>
              <w:autoSpaceDE w:val="0"/>
              <w:autoSpaceDN w:val="0"/>
              <w:adjustRightInd w:val="0"/>
              <w:spacing w:before="1" w:after="1"/>
              <w:jc w:val="center"/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b/>
                <w:color w:val="000000"/>
                <w:lang w:eastAsia="zh-CN"/>
              </w:rPr>
              <w:t>34 (65.4%)</w:t>
            </w:r>
          </w:p>
        </w:tc>
      </w:tr>
      <w:tr w:rsidR="00D16F09" w:rsidRPr="002750CD" w14:paraId="17C8EA68" w14:textId="77777777" w:rsidTr="007F6E1F">
        <w:trPr>
          <w:trHeight w:val="587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460A64C6" w14:textId="77777777" w:rsidR="00D16F09" w:rsidRPr="002750CD" w:rsidRDefault="00D16F09" w:rsidP="007F6E1F">
            <w:pPr>
              <w:rPr>
                <w:rFonts w:ascii="Arial" w:eastAsia="Calibri" w:hAnsi="Arial" w:cs="Arial"/>
                <w:color w:val="000000"/>
                <w:lang w:eastAsia="zh-CN"/>
              </w:rPr>
            </w:pPr>
            <w:r w:rsidRPr="002750CD">
              <w:rPr>
                <w:rFonts w:ascii="Arial" w:eastAsia="Calibri" w:hAnsi="Arial" w:cs="Arial"/>
                <w:color w:val="000000"/>
                <w:vertAlign w:val="superscript"/>
                <w:lang w:eastAsia="zh-CN"/>
              </w:rPr>
              <w:t>1</w:t>
            </w:r>
            <w:r w:rsidRPr="002750CD">
              <w:rPr>
                <w:rFonts w:ascii="Arial" w:eastAsia="Calibri" w:hAnsi="Arial" w:cs="Arial"/>
                <w:color w:val="000000"/>
                <w:lang w:eastAsia="zh-CN"/>
              </w:rPr>
              <w:t>If a participant has multiple events within a CTC category, only the highest grade is reported.</w:t>
            </w:r>
          </w:p>
        </w:tc>
      </w:tr>
    </w:tbl>
    <w:p w14:paraId="701CFDCB" w14:textId="77777777" w:rsidR="00B00A02" w:rsidRDefault="00B00A02" w:rsidP="00D16F09"/>
    <w:sectPr w:rsidR="00B00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F09"/>
    <w:rsid w:val="00B00A02"/>
    <w:rsid w:val="00D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4172"/>
  <w15:chartTrackingRefBased/>
  <w15:docId w15:val="{CBD83331-D426-4F3D-AE46-2DD7F0A6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16F09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Patricia</dc:creator>
  <cp:keywords/>
  <dc:description/>
  <cp:lastModifiedBy>Thompson, Patricia</cp:lastModifiedBy>
  <cp:revision>1</cp:revision>
  <dcterms:created xsi:type="dcterms:W3CDTF">2021-05-18T18:56:00Z</dcterms:created>
  <dcterms:modified xsi:type="dcterms:W3CDTF">2021-05-18T18:56:00Z</dcterms:modified>
</cp:coreProperties>
</file>