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323D" w14:textId="77777777" w:rsidR="00693ECA" w:rsidRPr="002823E0" w:rsidRDefault="00693ECA" w:rsidP="00693ECA">
      <w:pPr>
        <w:rPr>
          <w:rFonts w:ascii="Times" w:hAnsi="Times"/>
          <w:b/>
          <w:color w:val="000000"/>
          <w:u w:color="000000"/>
          <w:lang w:eastAsia="nl-NL"/>
        </w:rPr>
      </w:pPr>
      <w:r w:rsidRPr="002823E0">
        <w:rPr>
          <w:rFonts w:ascii="Times" w:hAnsi="Times"/>
          <w:b/>
        </w:rPr>
        <w:t>Supplemental figures</w:t>
      </w:r>
    </w:p>
    <w:p w14:paraId="1CB3242E" w14:textId="77777777" w:rsidR="00693ECA" w:rsidRDefault="00693ECA" w:rsidP="00693ECA">
      <w:pPr>
        <w:pStyle w:val="Normaal2"/>
        <w:spacing w:line="360" w:lineRule="auto"/>
        <w:rPr>
          <w:rFonts w:ascii="Times" w:hAnsi="Times"/>
          <w:b/>
        </w:rPr>
      </w:pPr>
    </w:p>
    <w:p w14:paraId="1F7FC045" w14:textId="77777777" w:rsidR="00693ECA" w:rsidRDefault="00693ECA" w:rsidP="00693ECA">
      <w:pPr>
        <w:pStyle w:val="Normaal2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Figure 1.</w:t>
      </w:r>
    </w:p>
    <w:p w14:paraId="02FFDC74" w14:textId="77777777" w:rsidR="00693ECA" w:rsidRPr="00945714" w:rsidRDefault="00693ECA" w:rsidP="00693ECA">
      <w:pPr>
        <w:pStyle w:val="Normaal2"/>
        <w:spacing w:line="360" w:lineRule="auto"/>
        <w:rPr>
          <w:rFonts w:ascii="Times" w:hAnsi="Times"/>
        </w:rPr>
      </w:pPr>
      <w:r>
        <w:rPr>
          <w:rFonts w:ascii="Times" w:hAnsi="Times"/>
        </w:rPr>
        <w:t>Schematic overview of the trial design.</w:t>
      </w:r>
    </w:p>
    <w:p w14:paraId="2CB90943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</w:p>
    <w:p w14:paraId="51A50EE1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  <w:r w:rsidRPr="002823E0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2</w:t>
      </w:r>
      <w:r w:rsidRPr="002823E0">
        <w:rPr>
          <w:rFonts w:ascii="Times" w:hAnsi="Times"/>
          <w:b/>
        </w:rPr>
        <w:t>.</w:t>
      </w:r>
    </w:p>
    <w:p w14:paraId="4438BFC7" w14:textId="77777777" w:rsidR="00693ECA" w:rsidRPr="00587EC9" w:rsidRDefault="00693ECA" w:rsidP="00693ECA">
      <w:pPr>
        <w:pStyle w:val="Normaal2"/>
        <w:spacing w:line="360" w:lineRule="auto"/>
        <w:rPr>
          <w:rFonts w:ascii="Times" w:hAnsi="Times"/>
        </w:rPr>
      </w:pPr>
      <w:r w:rsidRPr="002823E0">
        <w:rPr>
          <w:rFonts w:ascii="Times" w:hAnsi="Times"/>
        </w:rPr>
        <w:t>Brain interstitial fluid concentrations of the cytokines (a) IL-1b, IL-6 and TNF-α and chemokine MIB-1</w:t>
      </w:r>
      <w:r w:rsidRPr="002823E0">
        <w:rPr>
          <w:rFonts w:ascii="Symbol" w:eastAsia="Symbol" w:hAnsi="Symbol" w:cs="Symbol"/>
        </w:rPr>
        <w:t></w:t>
      </w:r>
      <w:r w:rsidRPr="002823E0">
        <w:rPr>
          <w:rFonts w:ascii="Times" w:hAnsi="Times"/>
        </w:rPr>
        <w:t xml:space="preserve"> (b) at indicated time-points prior to and during </w:t>
      </w:r>
      <w:r>
        <w:rPr>
          <w:rFonts w:ascii="Times" w:hAnsi="Times"/>
        </w:rPr>
        <w:t>Delta24-RGD</w:t>
      </w:r>
      <w:r w:rsidRPr="002823E0">
        <w:rPr>
          <w:rFonts w:ascii="Times" w:hAnsi="Times"/>
        </w:rPr>
        <w:t xml:space="preserve"> infusion. Concentrations are expressed in </w:t>
      </w:r>
      <w:proofErr w:type="spellStart"/>
      <w:r w:rsidRPr="002823E0">
        <w:rPr>
          <w:rFonts w:ascii="Times" w:hAnsi="Times"/>
        </w:rPr>
        <w:t>pg</w:t>
      </w:r>
      <w:proofErr w:type="spellEnd"/>
      <w:r w:rsidRPr="002823E0">
        <w:rPr>
          <w:rFonts w:ascii="Times" w:hAnsi="Times"/>
        </w:rPr>
        <w:t xml:space="preserve"> per mL CSF. The black line is from patient 14 who received catheter placement, but no virus infusion. </w:t>
      </w:r>
    </w:p>
    <w:p w14:paraId="502220AA" w14:textId="77777777" w:rsidR="00693ECA" w:rsidRDefault="00693ECA" w:rsidP="00693ECA">
      <w:pPr>
        <w:pStyle w:val="Normaal2"/>
        <w:spacing w:line="360" w:lineRule="auto"/>
        <w:rPr>
          <w:rFonts w:ascii="Times" w:hAnsi="Times"/>
          <w:b/>
        </w:rPr>
      </w:pPr>
    </w:p>
    <w:p w14:paraId="484BFEC3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  <w:r w:rsidRPr="002823E0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3.</w:t>
      </w:r>
    </w:p>
    <w:p w14:paraId="267952FC" w14:textId="77777777" w:rsidR="00693ECA" w:rsidRPr="00587EC9" w:rsidRDefault="00693ECA" w:rsidP="00693ECA">
      <w:pPr>
        <w:pStyle w:val="Normaal2"/>
        <w:spacing w:line="360" w:lineRule="auto"/>
        <w:rPr>
          <w:rFonts w:ascii="Times" w:hAnsi="Times"/>
        </w:rPr>
      </w:pPr>
      <w:r w:rsidRPr="002823E0">
        <w:rPr>
          <w:rFonts w:ascii="Times" w:hAnsi="Times"/>
        </w:rPr>
        <w:t xml:space="preserve">Cerebrospinal fluid levels of the chemokines IL-8, MCP-1 and MCP-4 at indicated time-points prior to, during and after </w:t>
      </w:r>
      <w:r>
        <w:rPr>
          <w:rFonts w:ascii="Times" w:hAnsi="Times"/>
          <w:bCs/>
        </w:rPr>
        <w:t>Delta24-RGD</w:t>
      </w:r>
      <w:r w:rsidRPr="002823E0">
        <w:rPr>
          <w:rFonts w:ascii="Times" w:hAnsi="Times"/>
          <w:bCs/>
        </w:rPr>
        <w:t xml:space="preserve"> </w:t>
      </w:r>
      <w:r w:rsidRPr="002823E0">
        <w:rPr>
          <w:rFonts w:ascii="Times" w:hAnsi="Times"/>
        </w:rPr>
        <w:t xml:space="preserve">infusion. Concentrations are expressed in </w:t>
      </w:r>
      <w:proofErr w:type="spellStart"/>
      <w:r w:rsidRPr="002823E0">
        <w:rPr>
          <w:rFonts w:ascii="Times" w:hAnsi="Times"/>
        </w:rPr>
        <w:t>pg</w:t>
      </w:r>
      <w:proofErr w:type="spellEnd"/>
      <w:r w:rsidRPr="002823E0">
        <w:rPr>
          <w:rFonts w:ascii="Times" w:hAnsi="Times"/>
        </w:rPr>
        <w:t xml:space="preserve"> per mL CSF.</w:t>
      </w:r>
    </w:p>
    <w:p w14:paraId="177166B7" w14:textId="77777777" w:rsidR="00693ECA" w:rsidRDefault="00693ECA" w:rsidP="00693ECA">
      <w:pPr>
        <w:pStyle w:val="Normaal2"/>
        <w:spacing w:line="360" w:lineRule="auto"/>
        <w:rPr>
          <w:rFonts w:ascii="Times" w:hAnsi="Times"/>
          <w:b/>
        </w:rPr>
      </w:pPr>
    </w:p>
    <w:p w14:paraId="747E33CC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  <w:r w:rsidRPr="002823E0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4</w:t>
      </w:r>
      <w:r w:rsidRPr="002823E0">
        <w:rPr>
          <w:rFonts w:ascii="Times" w:hAnsi="Times"/>
          <w:b/>
        </w:rPr>
        <w:t>.</w:t>
      </w:r>
    </w:p>
    <w:p w14:paraId="28961797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Cs/>
        </w:rPr>
      </w:pPr>
      <w:r w:rsidRPr="002823E0">
        <w:rPr>
          <w:rFonts w:ascii="Times" w:hAnsi="Times"/>
          <w:bCs/>
        </w:rPr>
        <w:t xml:space="preserve">Flow cytometric evaluation of dissociated glioma material demonstrates increased relative presence of macrophages, CD4+ and CD8+ T-cells, 26 months after treatment with </w:t>
      </w:r>
      <w:r>
        <w:rPr>
          <w:rFonts w:ascii="Times" w:hAnsi="Times"/>
          <w:bCs/>
        </w:rPr>
        <w:t>Delta24-RGD</w:t>
      </w:r>
      <w:r w:rsidRPr="002823E0">
        <w:rPr>
          <w:rFonts w:ascii="Times" w:hAnsi="Times"/>
          <w:bCs/>
        </w:rPr>
        <w:t xml:space="preserve"> compared to 4 untreated gliomas.</w:t>
      </w:r>
    </w:p>
    <w:p w14:paraId="2113C6B6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</w:p>
    <w:p w14:paraId="0EBAF934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  <w:r w:rsidRPr="002823E0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5</w:t>
      </w:r>
      <w:r w:rsidRPr="002823E0">
        <w:rPr>
          <w:rFonts w:ascii="Times" w:hAnsi="Times"/>
          <w:b/>
        </w:rPr>
        <w:t>.</w:t>
      </w:r>
    </w:p>
    <w:p w14:paraId="35F70580" w14:textId="77777777" w:rsidR="00693ECA" w:rsidRPr="000263F4" w:rsidRDefault="00693ECA" w:rsidP="00693ECA">
      <w:pPr>
        <w:pStyle w:val="Normaal2"/>
        <w:spacing w:line="360" w:lineRule="auto"/>
        <w:rPr>
          <w:rFonts w:ascii="Times" w:hAnsi="Times"/>
          <w:bCs/>
        </w:rPr>
      </w:pPr>
      <w:r w:rsidRPr="000263F4">
        <w:rPr>
          <w:rFonts w:ascii="Times" w:hAnsi="Times"/>
          <w:bCs/>
        </w:rPr>
        <w:t>Low and stable lymphocyte counts in peripheral blood (PB) after oncolytic adenovirus therapy of GBM</w:t>
      </w:r>
      <w:r>
        <w:rPr>
          <w:rFonts w:ascii="Times" w:hAnsi="Times"/>
          <w:bCs/>
        </w:rPr>
        <w:t xml:space="preserve">. </w:t>
      </w:r>
      <w:r w:rsidRPr="000263F4">
        <w:rPr>
          <w:rFonts w:ascii="Times" w:hAnsi="Times"/>
          <w:bCs/>
        </w:rPr>
        <w:t>PB absolute numbers (i.e., cells per microliter) of total B cells (CD19+), CD56+ NK cells (CD3-CD56+), CD4+ T cells (CD3+CD4+) and CD8+T cells (CD3+CD8+) in patient 1 - 15 prior to (week 0) and at 1, 2, 4 and 12 weeks after oncolytic adenovirus therapy. Values for individual patients are shown. The gray bar, normal value in 82 healthy individuals (5-95% confidence interval).</w:t>
      </w:r>
    </w:p>
    <w:p w14:paraId="609ACF86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</w:p>
    <w:p w14:paraId="2E182138" w14:textId="77777777" w:rsidR="00693ECA" w:rsidRPr="002823E0" w:rsidRDefault="00693ECA" w:rsidP="00693ECA">
      <w:pPr>
        <w:pStyle w:val="Normaal2"/>
        <w:spacing w:line="360" w:lineRule="auto"/>
        <w:rPr>
          <w:rFonts w:ascii="Times" w:hAnsi="Times"/>
          <w:b/>
        </w:rPr>
      </w:pPr>
      <w:r w:rsidRPr="002823E0">
        <w:rPr>
          <w:rFonts w:ascii="Times" w:hAnsi="Times"/>
          <w:b/>
        </w:rPr>
        <w:t xml:space="preserve">Figure </w:t>
      </w:r>
      <w:r>
        <w:rPr>
          <w:rFonts w:ascii="Times" w:hAnsi="Times"/>
          <w:b/>
        </w:rPr>
        <w:t>6</w:t>
      </w:r>
      <w:r w:rsidRPr="002823E0">
        <w:rPr>
          <w:rFonts w:ascii="Times" w:hAnsi="Times"/>
          <w:b/>
        </w:rPr>
        <w:t>.</w:t>
      </w:r>
    </w:p>
    <w:p w14:paraId="1E8BB3EC" w14:textId="20EA38DF" w:rsidR="00437337" w:rsidRPr="00693ECA" w:rsidRDefault="00693ECA" w:rsidP="00693ECA">
      <w:pPr>
        <w:pStyle w:val="Normaal2"/>
        <w:spacing w:line="360" w:lineRule="auto"/>
        <w:rPr>
          <w:rFonts w:ascii="Times" w:hAnsi="Times"/>
        </w:rPr>
      </w:pPr>
      <w:r w:rsidRPr="002823E0">
        <w:rPr>
          <w:rFonts w:ascii="Times" w:hAnsi="Times"/>
        </w:rPr>
        <w:lastRenderedPageBreak/>
        <w:t>The levels of TNF-</w:t>
      </w:r>
      <w:r w:rsidRPr="002823E0">
        <w:rPr>
          <w:rFonts w:ascii="Symbol" w:eastAsia="Symbol" w:hAnsi="Symbol" w:cs="Symbol"/>
        </w:rPr>
        <w:t></w:t>
      </w:r>
      <w:r w:rsidRPr="002823E0">
        <w:rPr>
          <w:rFonts w:ascii="Times" w:hAnsi="Times"/>
        </w:rPr>
        <w:t xml:space="preserve"> measured in the cerebrospinal fluid are significantly correlated with the levels of </w:t>
      </w:r>
      <w:r>
        <w:rPr>
          <w:rFonts w:ascii="Times" w:hAnsi="Times"/>
        </w:rPr>
        <w:t>Delta24-RGD</w:t>
      </w:r>
      <w:r w:rsidRPr="002823E0">
        <w:rPr>
          <w:rFonts w:ascii="Times" w:hAnsi="Times"/>
        </w:rPr>
        <w:t xml:space="preserve"> </w:t>
      </w:r>
      <w:r>
        <w:rPr>
          <w:rFonts w:ascii="Times" w:hAnsi="Times"/>
        </w:rPr>
        <w:t>v</w:t>
      </w:r>
      <w:r w:rsidRPr="002823E0">
        <w:rPr>
          <w:rFonts w:ascii="Times" w:hAnsi="Times"/>
        </w:rPr>
        <w:t>iral particles in the cerebrospinal fluid (A). In a subset of these patients, termed TNF-</w:t>
      </w:r>
      <w:r w:rsidRPr="002823E0">
        <w:rPr>
          <w:rFonts w:ascii="Symbol" w:eastAsia="Symbol" w:hAnsi="Symbol" w:cs="Symbol"/>
        </w:rPr>
        <w:t></w:t>
      </w:r>
      <w:r w:rsidRPr="002823E0">
        <w:rPr>
          <w:rFonts w:ascii="Times" w:hAnsi="Times"/>
        </w:rPr>
        <w:t xml:space="preserve"> high, TNF-</w:t>
      </w:r>
      <w:r w:rsidRPr="002823E0">
        <w:rPr>
          <w:rFonts w:ascii="Symbol" w:eastAsia="Symbol" w:hAnsi="Symbol" w:cs="Symbol"/>
        </w:rPr>
        <w:t></w:t>
      </w:r>
      <w:r w:rsidRPr="002823E0">
        <w:rPr>
          <w:rFonts w:ascii="Times" w:hAnsi="Times"/>
        </w:rPr>
        <w:t xml:space="preserve"> levels rose above 10 </w:t>
      </w:r>
      <w:proofErr w:type="spellStart"/>
      <w:r w:rsidRPr="002823E0">
        <w:rPr>
          <w:rFonts w:ascii="Times" w:hAnsi="Times"/>
        </w:rPr>
        <w:t>pg</w:t>
      </w:r>
      <w:proofErr w:type="spellEnd"/>
      <w:r w:rsidRPr="002823E0">
        <w:rPr>
          <w:rFonts w:ascii="Times" w:hAnsi="Times"/>
        </w:rPr>
        <w:t>/mL at 4 weeks after treatment (B). Kaplan-Meier survival curve of treated patients separated into TNF-</w:t>
      </w:r>
      <w:r w:rsidRPr="002823E0">
        <w:rPr>
          <w:rFonts w:ascii="Symbol" w:eastAsia="Symbol" w:hAnsi="Symbol" w:cs="Symbol"/>
        </w:rPr>
        <w:t></w:t>
      </w:r>
      <w:r w:rsidRPr="002823E0">
        <w:rPr>
          <w:rFonts w:ascii="Times" w:hAnsi="Times"/>
        </w:rPr>
        <w:t>-high (black line) and TNF-</w:t>
      </w:r>
      <w:r w:rsidRPr="002823E0">
        <w:rPr>
          <w:rFonts w:ascii="Symbol" w:eastAsia="Symbol" w:hAnsi="Symbol" w:cs="Symbol"/>
        </w:rPr>
        <w:t></w:t>
      </w:r>
      <w:r w:rsidRPr="002823E0">
        <w:rPr>
          <w:rFonts w:ascii="Times" w:hAnsi="Times"/>
        </w:rPr>
        <w:t>-low groups (grey line). Only long-term surviving patient 15 belongs to the TNF-</w:t>
      </w:r>
      <w:r w:rsidRPr="002823E0">
        <w:rPr>
          <w:rFonts w:ascii="Symbol" w:eastAsia="Symbol" w:hAnsi="Symbol" w:cs="Symbol"/>
        </w:rPr>
        <w:t></w:t>
      </w:r>
      <w:r w:rsidRPr="002823E0">
        <w:rPr>
          <w:rFonts w:ascii="Times" w:hAnsi="Times"/>
        </w:rPr>
        <w:t>-high group (C).</w:t>
      </w:r>
    </w:p>
    <w:sectPr w:rsidR="00437337" w:rsidRPr="0069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CA"/>
    <w:rsid w:val="00437337"/>
    <w:rsid w:val="006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E5B0"/>
  <w15:chartTrackingRefBased/>
  <w15:docId w15:val="{A315EEC5-6699-4DD5-B50E-D0C89B26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2">
    <w:name w:val="Normaal2"/>
    <w:rsid w:val="00693E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2022-02-10T14:37:00Z</dcterms:created>
  <dcterms:modified xsi:type="dcterms:W3CDTF">2022-02-10T14:37:00Z</dcterms:modified>
</cp:coreProperties>
</file>