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01BD" w14:textId="77777777" w:rsidR="003D21B3" w:rsidRPr="002B7A39" w:rsidRDefault="00551CC6" w:rsidP="00551C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7A39">
        <w:rPr>
          <w:rFonts w:ascii="Times New Roman" w:hAnsi="Times New Roman" w:cs="Times New Roman"/>
          <w:b/>
          <w:bCs/>
          <w:sz w:val="24"/>
          <w:szCs w:val="24"/>
        </w:rPr>
        <w:t>CellTiter</w:t>
      </w:r>
      <w:proofErr w:type="spellEnd"/>
      <w:r w:rsidRPr="002B7A39">
        <w:rPr>
          <w:rFonts w:ascii="Times New Roman" w:hAnsi="Times New Roman" w:cs="Times New Roman"/>
          <w:b/>
          <w:bCs/>
          <w:sz w:val="24"/>
          <w:szCs w:val="24"/>
        </w:rPr>
        <w:t>-Glo</w:t>
      </w:r>
      <w:r w:rsidRPr="002B7A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  <w:r w:rsidRPr="002B7A39">
        <w:rPr>
          <w:rFonts w:ascii="Times New Roman" w:hAnsi="Times New Roman" w:cs="Times New Roman"/>
          <w:b/>
          <w:bCs/>
          <w:sz w:val="24"/>
          <w:szCs w:val="24"/>
        </w:rPr>
        <w:t xml:space="preserve"> Luminescent Cell Viability Assay (</w:t>
      </w:r>
      <w:r w:rsidR="005F5181" w:rsidRPr="002B7A39">
        <w:rPr>
          <w:rFonts w:ascii="Times New Roman" w:hAnsi="Times New Roman" w:cs="Times New Roman"/>
          <w:b/>
          <w:bCs/>
          <w:sz w:val="24"/>
          <w:szCs w:val="24"/>
        </w:rPr>
        <w:t>CTG</w:t>
      </w:r>
      <w:r w:rsidRPr="002B7A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E3A7EC" w14:textId="77777777" w:rsidR="005F5181" w:rsidRPr="002B7A39" w:rsidRDefault="005F5181" w:rsidP="0006716B">
      <w:pPr>
        <w:rPr>
          <w:rFonts w:ascii="Times New Roman" w:hAnsi="Times New Roman" w:cs="Times New Roman"/>
          <w:sz w:val="24"/>
          <w:szCs w:val="24"/>
        </w:rPr>
      </w:pPr>
    </w:p>
    <w:p w14:paraId="4CADD0BD" w14:textId="77777777" w:rsidR="005F5181" w:rsidRPr="002B7A39" w:rsidRDefault="005F5181" w:rsidP="0006716B">
      <w:pPr>
        <w:rPr>
          <w:rFonts w:ascii="Times New Roman" w:hAnsi="Times New Roman" w:cs="Times New Roman"/>
          <w:b/>
          <w:sz w:val="24"/>
          <w:szCs w:val="24"/>
        </w:rPr>
      </w:pPr>
      <w:r w:rsidRPr="002B7A39">
        <w:rPr>
          <w:rFonts w:ascii="Times New Roman" w:hAnsi="Times New Roman" w:cs="Times New Roman"/>
          <w:b/>
          <w:sz w:val="24"/>
          <w:szCs w:val="24"/>
        </w:rPr>
        <w:t>Cell culture</w:t>
      </w:r>
    </w:p>
    <w:p w14:paraId="119CE492" w14:textId="5753B231" w:rsidR="004C2405" w:rsidRPr="004C2405" w:rsidRDefault="004C2405" w:rsidP="004C2405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4C2405">
        <w:rPr>
          <w:rFonts w:ascii="Times New Roman" w:hAnsi="Times New Roman" w:cs="Times New Roman"/>
          <w:sz w:val="24"/>
          <w:szCs w:val="24"/>
        </w:rPr>
        <w:t xml:space="preserve">SK-BR-3 (Human breast cancer, ATCC) were cultured in McCoy's 5a </w:t>
      </w:r>
      <w:r w:rsidRPr="002B7A39">
        <w:rPr>
          <w:rFonts w:ascii="Times New Roman" w:hAnsi="Times New Roman" w:cs="Times New Roman"/>
          <w:sz w:val="24"/>
          <w:szCs w:val="24"/>
        </w:rPr>
        <w:t>(Catalogue number: 12330-031, Gibco)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405">
        <w:rPr>
          <w:rFonts w:ascii="Times New Roman" w:hAnsi="Times New Roman" w:cs="Times New Roman"/>
          <w:sz w:val="24"/>
          <w:szCs w:val="24"/>
        </w:rPr>
        <w:t>plus 10%FBS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A39">
        <w:rPr>
          <w:rFonts w:ascii="Times New Roman" w:hAnsi="Times New Roman" w:cs="Times New Roman"/>
          <w:sz w:val="24"/>
          <w:szCs w:val="24"/>
        </w:rPr>
        <w:t xml:space="preserve">(Catalogue number: FND500, lot number: 11G271, </w:t>
      </w:r>
      <w:proofErr w:type="spellStart"/>
      <w:r w:rsidRPr="002B7A39">
        <w:rPr>
          <w:rFonts w:ascii="Times New Roman" w:hAnsi="Times New Roman" w:cs="Times New Roman"/>
          <w:sz w:val="24"/>
          <w:szCs w:val="24"/>
        </w:rPr>
        <w:t>ExCell</w:t>
      </w:r>
      <w:proofErr w:type="spellEnd"/>
      <w:r w:rsidRPr="002B7A39">
        <w:rPr>
          <w:rFonts w:ascii="Times New Roman" w:hAnsi="Times New Roman" w:cs="Times New Roman"/>
          <w:sz w:val="24"/>
          <w:szCs w:val="24"/>
        </w:rPr>
        <w:t>)</w:t>
      </w:r>
      <w:r w:rsidRPr="004C2405">
        <w:rPr>
          <w:rFonts w:ascii="Times New Roman" w:hAnsi="Times New Roman" w:cs="Times New Roman"/>
          <w:sz w:val="24"/>
          <w:szCs w:val="24"/>
        </w:rPr>
        <w:t>. AU565 (Human breast cancer, ATCC), HCC2218 (Human breast cancer, ATCC), HCC1954 (Human breast cancer, ATCC), KYSE-410 (Human esophageal cancer, DSMZ), NCI-H1781 (Human bronchioloalveolar carcinoma, ATCC), NCI-H2170 (Human squamous NSCLC, PUMC), NCI-N87 (Human gastric cancer, ATCC) were cultured in RPMI-1640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A39">
        <w:rPr>
          <w:rFonts w:ascii="Times New Roman" w:hAnsi="Times New Roman" w:cs="Times New Roman"/>
          <w:sz w:val="24"/>
          <w:szCs w:val="24"/>
        </w:rPr>
        <w:t>(Catalogue number: C22400500BT, lot number: 8118117, Gibco)</w:t>
      </w:r>
      <w:r w:rsidRPr="004C2405">
        <w:rPr>
          <w:rFonts w:ascii="Times New Roman" w:hAnsi="Times New Roman" w:cs="Times New Roman"/>
          <w:sz w:val="24"/>
          <w:szCs w:val="24"/>
        </w:rPr>
        <w:t xml:space="preserve"> plus 10% FBS. OE19 (Human esophageal cancer, DSMZ) were cultured in RPMI1640 plus 10% FBS and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405">
        <w:rPr>
          <w:rFonts w:ascii="Times New Roman" w:hAnsi="Times New Roman" w:cs="Times New Roman"/>
          <w:sz w:val="24"/>
          <w:szCs w:val="24"/>
        </w:rPr>
        <w:t xml:space="preserve">mM L Glutamine. EFM-192A (Human breast cancer, </w:t>
      </w:r>
      <w:proofErr w:type="spellStart"/>
      <w:r w:rsidRPr="004C2405">
        <w:rPr>
          <w:rFonts w:ascii="Times New Roman" w:hAnsi="Times New Roman" w:cs="Times New Roman"/>
          <w:sz w:val="24"/>
          <w:szCs w:val="24"/>
        </w:rPr>
        <w:t>CoBioer</w:t>
      </w:r>
      <w:proofErr w:type="spellEnd"/>
      <w:r w:rsidRPr="004C2405">
        <w:rPr>
          <w:rFonts w:ascii="Times New Roman" w:hAnsi="Times New Roman" w:cs="Times New Roman"/>
          <w:sz w:val="24"/>
          <w:szCs w:val="24"/>
        </w:rPr>
        <w:t>) and ZR-75-30 (Human breast cancer, ATCC) were cultured in RPMI1640 plus 20% FBS. All cells were incubated at 37°C, 5% CO</w:t>
      </w:r>
      <w:r w:rsidRPr="004C24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2405">
        <w:rPr>
          <w:rFonts w:ascii="Times New Roman" w:hAnsi="Times New Roman" w:cs="Times New Roman"/>
          <w:sz w:val="24"/>
          <w:szCs w:val="24"/>
        </w:rPr>
        <w:t>.</w:t>
      </w:r>
    </w:p>
    <w:p w14:paraId="4FD88750" w14:textId="77777777" w:rsidR="00ED4FC9" w:rsidRPr="002B7A39" w:rsidRDefault="00ED4FC9" w:rsidP="0006716B">
      <w:pPr>
        <w:rPr>
          <w:rFonts w:ascii="Times New Roman" w:hAnsi="Times New Roman" w:cs="Times New Roman"/>
          <w:sz w:val="24"/>
          <w:szCs w:val="24"/>
        </w:rPr>
      </w:pPr>
    </w:p>
    <w:p w14:paraId="40CBF037" w14:textId="77777777" w:rsidR="005F5181" w:rsidRPr="002B7A39" w:rsidRDefault="0006716B" w:rsidP="0006716B">
      <w:pPr>
        <w:rPr>
          <w:rFonts w:ascii="Times New Roman" w:hAnsi="Times New Roman" w:cs="Times New Roman"/>
          <w:b/>
          <w:sz w:val="24"/>
          <w:szCs w:val="24"/>
        </w:rPr>
      </w:pPr>
      <w:r w:rsidRPr="002B7A39">
        <w:rPr>
          <w:rFonts w:ascii="Times New Roman" w:hAnsi="Times New Roman" w:cs="Times New Roman"/>
          <w:b/>
          <w:sz w:val="24"/>
          <w:szCs w:val="24"/>
        </w:rPr>
        <w:t>Drug t</w:t>
      </w:r>
      <w:r w:rsidR="00474768" w:rsidRPr="002B7A39">
        <w:rPr>
          <w:rFonts w:ascii="Times New Roman" w:hAnsi="Times New Roman" w:cs="Times New Roman"/>
          <w:b/>
          <w:sz w:val="24"/>
          <w:szCs w:val="24"/>
        </w:rPr>
        <w:t>reatment</w:t>
      </w:r>
    </w:p>
    <w:p w14:paraId="63B67466" w14:textId="31478B2A" w:rsidR="00FF629E" w:rsidRPr="002B7A39" w:rsidRDefault="00474768" w:rsidP="00FA453C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2B7A39">
        <w:rPr>
          <w:rFonts w:ascii="Times New Roman" w:hAnsi="Times New Roman" w:cs="Times New Roman"/>
          <w:sz w:val="24"/>
          <w:szCs w:val="24"/>
        </w:rPr>
        <w:t>KN026</w:t>
      </w:r>
      <w:r w:rsidRPr="002B7A39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B7A39">
        <w:rPr>
          <w:rFonts w:ascii="Times New Roman" w:hAnsi="Times New Roman" w:cs="Times New Roman"/>
          <w:sz w:val="24"/>
          <w:szCs w:val="24"/>
        </w:rPr>
        <w:t>Alphamab</w:t>
      </w:r>
      <w:proofErr w:type="spellEnd"/>
      <w:r w:rsidRPr="002B7A39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), </w:t>
      </w:r>
      <w:r w:rsidR="00FF629E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t</w:t>
      </w:r>
      <w:r w:rsidRPr="002B7A39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rastuzumab (</w:t>
      </w:r>
      <w:proofErr w:type="spellStart"/>
      <w:r w:rsidRPr="002B7A39">
        <w:rPr>
          <w:rFonts w:ascii="Times New Roman" w:hAnsi="Times New Roman" w:cs="Times New Roman"/>
          <w:sz w:val="24"/>
          <w:szCs w:val="24"/>
        </w:rPr>
        <w:t>Alphamab</w:t>
      </w:r>
      <w:proofErr w:type="spellEnd"/>
      <w:r w:rsidRPr="002B7A39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)</w:t>
      </w:r>
      <w:r w:rsidRPr="002B7A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F629E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p</w:t>
      </w:r>
      <w:r w:rsidRPr="002B7A39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ertuzumab</w:t>
      </w:r>
      <w:proofErr w:type="spellEnd"/>
      <w:r w:rsidRPr="002B7A39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B7A39">
        <w:rPr>
          <w:rFonts w:ascii="Times New Roman" w:hAnsi="Times New Roman" w:cs="Times New Roman"/>
          <w:sz w:val="24"/>
          <w:szCs w:val="24"/>
        </w:rPr>
        <w:t>Alphamab</w:t>
      </w:r>
      <w:proofErr w:type="spellEnd"/>
      <w:r w:rsidRPr="002B7A39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) were all diluted with medium.</w:t>
      </w:r>
      <w:r w:rsidR="00FF629E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r w:rsidR="00FF629E" w:rsidRPr="00FF629E">
        <w:rPr>
          <w:rFonts w:ascii="Times New Roman" w:hAnsi="Times New Roman" w:cs="Times New Roman"/>
          <w:sz w:val="24"/>
          <w:szCs w:val="24"/>
        </w:rPr>
        <w:t xml:space="preserve">KN026 was diluted with final concentrations of 676.52, 169.13, 42.28, 10.57, 2.64, 0.88, 0.22, 0.055, and 0.014 </w:t>
      </w:r>
      <w:proofErr w:type="spellStart"/>
      <w:r w:rsidR="00FF629E" w:rsidRPr="00FF629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FF629E" w:rsidRPr="00FF629E">
        <w:rPr>
          <w:rFonts w:ascii="Times New Roman" w:hAnsi="Times New Roman" w:cs="Times New Roman"/>
          <w:sz w:val="24"/>
          <w:szCs w:val="24"/>
        </w:rPr>
        <w:t xml:space="preserve">; trastuzumab was diluted with final concentrations of 687.13, 171.78, 42.95, 10.74, 2.68, 0.67, 0.17, 0.042, and 0.01 </w:t>
      </w:r>
      <w:proofErr w:type="spellStart"/>
      <w:r w:rsidR="00FF629E" w:rsidRPr="00FF629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FF629E" w:rsidRPr="00FF629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F629E" w:rsidRPr="00FF629E">
        <w:rPr>
          <w:rFonts w:ascii="Times New Roman" w:hAnsi="Times New Roman" w:cs="Times New Roman"/>
          <w:sz w:val="24"/>
          <w:szCs w:val="24"/>
        </w:rPr>
        <w:t>pertuzumab</w:t>
      </w:r>
      <w:proofErr w:type="spellEnd"/>
      <w:r w:rsidR="00FF629E" w:rsidRPr="00FF629E">
        <w:rPr>
          <w:rFonts w:ascii="Times New Roman" w:hAnsi="Times New Roman" w:cs="Times New Roman"/>
          <w:sz w:val="24"/>
          <w:szCs w:val="24"/>
        </w:rPr>
        <w:t xml:space="preserve"> was diluted with final concentrations of 675.67, 168.92, 42.23, 10.56, 2.64, 0.66, 0.17, 0.041, and 0.01 </w:t>
      </w:r>
      <w:proofErr w:type="spellStart"/>
      <w:r w:rsidR="00FF629E" w:rsidRPr="00FF629E">
        <w:rPr>
          <w:rFonts w:ascii="Times New Roman" w:hAnsi="Times New Roman" w:cs="Times New Roman"/>
          <w:sz w:val="24"/>
          <w:szCs w:val="24"/>
        </w:rPr>
        <w:t>nM.</w:t>
      </w:r>
      <w:proofErr w:type="spellEnd"/>
      <w:r w:rsidR="00FF629E" w:rsidRPr="00FF629E">
        <w:rPr>
          <w:rFonts w:ascii="Times New Roman" w:hAnsi="Times New Roman" w:cs="Times New Roman"/>
          <w:sz w:val="24"/>
          <w:szCs w:val="24"/>
        </w:rPr>
        <w:t xml:space="preserve"> Dinaciclib (CDK12 inhibitor, </w:t>
      </w:r>
      <w:proofErr w:type="spellStart"/>
      <w:r w:rsidR="00FF629E" w:rsidRPr="00FF629E"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 w:rsidR="00FF629E" w:rsidRPr="00FF629E">
        <w:rPr>
          <w:rFonts w:ascii="Times New Roman" w:hAnsi="Times New Roman" w:cs="Times New Roman"/>
          <w:sz w:val="24"/>
          <w:szCs w:val="24"/>
        </w:rPr>
        <w:t>, SC6628) and positive control cisplatin were diluted with dimethyl sulfoxide (DMSO</w:t>
      </w:r>
      <w:r w:rsidR="00FF629E">
        <w:rPr>
          <w:rFonts w:ascii="Times New Roman" w:hAnsi="Times New Roman" w:cs="Times New Roman" w:hint="eastAsia"/>
          <w:sz w:val="24"/>
          <w:szCs w:val="24"/>
        </w:rPr>
        <w:t>,</w:t>
      </w:r>
      <w:r w:rsidR="00FF629E">
        <w:rPr>
          <w:rFonts w:ascii="Times New Roman" w:hAnsi="Times New Roman" w:cs="Times New Roman"/>
          <w:sz w:val="24"/>
          <w:szCs w:val="24"/>
        </w:rPr>
        <w:t xml:space="preserve"> </w:t>
      </w:r>
      <w:r w:rsidR="00FF629E" w:rsidRPr="002B7A39">
        <w:rPr>
          <w:rFonts w:ascii="Times New Roman" w:hAnsi="Times New Roman" w:cs="Times New Roman"/>
          <w:sz w:val="24"/>
          <w:szCs w:val="24"/>
        </w:rPr>
        <w:t>Catalogue number: D2650, lot number: 0666C081, Sigma</w:t>
      </w:r>
      <w:r w:rsidR="00FF629E" w:rsidRPr="00FF629E">
        <w:rPr>
          <w:rFonts w:ascii="Times New Roman" w:hAnsi="Times New Roman" w:cs="Times New Roman"/>
          <w:sz w:val="24"/>
          <w:szCs w:val="24"/>
        </w:rPr>
        <w:t xml:space="preserve">) with final concentrations of 100, 33.33, 11.11, 3.70, 1.23, 0.41, 0.14, 0.046, and 0.015 </w:t>
      </w:r>
      <w:proofErr w:type="spellStart"/>
      <w:r w:rsidR="00FF629E" w:rsidRPr="00FF629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FF629E" w:rsidRPr="00FF629E">
        <w:rPr>
          <w:rFonts w:ascii="Times New Roman" w:hAnsi="Times New Roman" w:cs="Times New Roman"/>
          <w:sz w:val="24"/>
          <w:szCs w:val="24"/>
        </w:rPr>
        <w:t xml:space="preserve"> for dinaciclib and final concentrations of 100, 33.33, 11.11, 3.70, 1.23, 0.41, 0.14, 0.046, and 0.015 </w:t>
      </w:r>
      <w:proofErr w:type="spellStart"/>
      <w:r w:rsidR="00FF629E" w:rsidRPr="00FF629E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FF629E" w:rsidRPr="00FF629E">
        <w:rPr>
          <w:rFonts w:ascii="Times New Roman" w:hAnsi="Times New Roman" w:cs="Times New Roman"/>
          <w:sz w:val="24"/>
          <w:szCs w:val="24"/>
        </w:rPr>
        <w:t xml:space="preserve"> for cisplatin.</w:t>
      </w:r>
    </w:p>
    <w:p w14:paraId="1092775D" w14:textId="77777777" w:rsidR="00C0539A" w:rsidRPr="002B7A39" w:rsidRDefault="00C0539A" w:rsidP="0006716B">
      <w:pPr>
        <w:rPr>
          <w:rFonts w:ascii="Times New Roman" w:hAnsi="Times New Roman" w:cs="Times New Roman"/>
          <w:sz w:val="24"/>
          <w:szCs w:val="24"/>
        </w:rPr>
      </w:pPr>
    </w:p>
    <w:p w14:paraId="5DF9F3D7" w14:textId="77777777" w:rsidR="006A2D6C" w:rsidRPr="002B7A39" w:rsidRDefault="006A2D6C" w:rsidP="0006716B">
      <w:pPr>
        <w:rPr>
          <w:rFonts w:ascii="Times New Roman" w:hAnsi="Times New Roman" w:cs="Times New Roman"/>
          <w:b/>
          <w:sz w:val="24"/>
          <w:szCs w:val="24"/>
        </w:rPr>
      </w:pPr>
      <w:r w:rsidRPr="002B7A39">
        <w:rPr>
          <w:rFonts w:ascii="Times New Roman" w:hAnsi="Times New Roman" w:cs="Times New Roman"/>
          <w:b/>
          <w:sz w:val="24"/>
          <w:szCs w:val="24"/>
        </w:rPr>
        <w:t>Procedures</w:t>
      </w:r>
    </w:p>
    <w:p w14:paraId="590C5CC4" w14:textId="238ADFC1" w:rsidR="006A2D6C" w:rsidRPr="002B7A39" w:rsidRDefault="006A2D6C" w:rsidP="00FA453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B7A39">
        <w:rPr>
          <w:rFonts w:ascii="Times New Roman" w:hAnsi="Times New Roman" w:cs="Times New Roman"/>
          <w:sz w:val="24"/>
          <w:szCs w:val="24"/>
        </w:rPr>
        <w:t>Adjust cell density to the appropriate number</w:t>
      </w:r>
      <w:r w:rsidR="006A7935"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Pr="002B7A39">
        <w:rPr>
          <w:rFonts w:ascii="Times New Roman" w:hAnsi="Times New Roman" w:cs="Times New Roman"/>
          <w:sz w:val="24"/>
          <w:szCs w:val="24"/>
        </w:rPr>
        <w:t>with medium, add 90μL cell suspensions</w:t>
      </w:r>
      <w:r w:rsidR="006A7935" w:rsidRPr="002B7A39">
        <w:rPr>
          <w:rFonts w:ascii="Times New Roman" w:hAnsi="Times New Roman" w:cs="Times New Roman"/>
          <w:sz w:val="24"/>
          <w:szCs w:val="24"/>
        </w:rPr>
        <w:t xml:space="preserve"> (1500~8000 cells)</w:t>
      </w:r>
      <w:r w:rsidRPr="002B7A39">
        <w:rPr>
          <w:rFonts w:ascii="Times New Roman" w:hAnsi="Times New Roman" w:cs="Times New Roman"/>
          <w:sz w:val="24"/>
          <w:szCs w:val="24"/>
        </w:rPr>
        <w:t xml:space="preserve"> to</w:t>
      </w:r>
      <w:r w:rsidR="006A7935" w:rsidRPr="002B7A39">
        <w:rPr>
          <w:rFonts w:ascii="Times New Roman" w:hAnsi="Times New Roman" w:cs="Times New Roman"/>
          <w:sz w:val="24"/>
          <w:szCs w:val="24"/>
        </w:rPr>
        <w:t xml:space="preserve"> each well of</w:t>
      </w:r>
      <w:r w:rsidRPr="002B7A39">
        <w:rPr>
          <w:rFonts w:ascii="Times New Roman" w:hAnsi="Times New Roman" w:cs="Times New Roman"/>
          <w:sz w:val="24"/>
          <w:szCs w:val="24"/>
        </w:rPr>
        <w:t xml:space="preserve"> 96-well plates</w:t>
      </w:r>
      <w:r w:rsidR="00F968B0" w:rsidRPr="002B7A39">
        <w:rPr>
          <w:rFonts w:ascii="Times New Roman" w:hAnsi="Times New Roman" w:cs="Times New Roman"/>
          <w:sz w:val="24"/>
          <w:szCs w:val="24"/>
        </w:rPr>
        <w:t xml:space="preserve"> (Catalogue number: 3610</w:t>
      </w:r>
      <w:r w:rsidR="0006716B" w:rsidRPr="002B7A39">
        <w:rPr>
          <w:rFonts w:ascii="Times New Roman" w:hAnsi="Times New Roman" w:cs="Times New Roman"/>
          <w:sz w:val="24"/>
          <w:szCs w:val="24"/>
        </w:rPr>
        <w:t>,</w:t>
      </w:r>
      <w:r w:rsidR="00811C75"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="00F968B0" w:rsidRPr="002B7A39">
        <w:rPr>
          <w:rFonts w:ascii="Times New Roman" w:hAnsi="Times New Roman" w:cs="Times New Roman"/>
          <w:sz w:val="24"/>
          <w:szCs w:val="24"/>
        </w:rPr>
        <w:t>Corning).</w:t>
      </w:r>
      <w:r w:rsidR="00BD1712"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="00F968B0" w:rsidRPr="002B7A39">
        <w:rPr>
          <w:rFonts w:ascii="Times New Roman" w:hAnsi="Times New Roman" w:cs="Times New Roman"/>
          <w:sz w:val="24"/>
          <w:szCs w:val="24"/>
        </w:rPr>
        <w:t xml:space="preserve">For </w:t>
      </w:r>
      <w:r w:rsidRPr="002B7A39">
        <w:rPr>
          <w:rFonts w:ascii="Times New Roman" w:hAnsi="Times New Roman" w:cs="Times New Roman"/>
          <w:sz w:val="24"/>
          <w:szCs w:val="24"/>
        </w:rPr>
        <w:t>combination treatment</w:t>
      </w:r>
      <w:r w:rsidR="00F968B0" w:rsidRPr="002B7A39">
        <w:rPr>
          <w:rFonts w:ascii="Times New Roman" w:hAnsi="Times New Roman" w:cs="Times New Roman"/>
          <w:sz w:val="24"/>
          <w:szCs w:val="24"/>
        </w:rPr>
        <w:t>, 80uL cell suspensions were used to seed</w:t>
      </w:r>
      <w:r w:rsidRPr="002B7A39">
        <w:rPr>
          <w:rFonts w:ascii="Times New Roman" w:hAnsi="Times New Roman" w:cs="Times New Roman"/>
          <w:sz w:val="24"/>
          <w:szCs w:val="24"/>
        </w:rPr>
        <w:t>.</w:t>
      </w:r>
      <w:r w:rsidR="00BD1712" w:rsidRPr="002B7A39">
        <w:rPr>
          <w:rFonts w:ascii="Times New Roman" w:hAnsi="Times New Roman" w:cs="Times New Roman"/>
          <w:sz w:val="24"/>
          <w:szCs w:val="24"/>
        </w:rPr>
        <w:t xml:space="preserve"> Then, Incubate the plates </w:t>
      </w:r>
      <w:r w:rsidRPr="002B7A39">
        <w:rPr>
          <w:rFonts w:ascii="Times New Roman" w:hAnsi="Times New Roman" w:cs="Times New Roman"/>
          <w:sz w:val="24"/>
          <w:szCs w:val="24"/>
        </w:rPr>
        <w:t>overnight in humidified incubator at 37</w:t>
      </w:r>
      <w:r w:rsidR="00000F12">
        <w:rPr>
          <w:rFonts w:ascii="Times New Roman" w:hAnsi="Times New Roman" w:cs="Times New Roman"/>
          <w:sz w:val="24"/>
          <w:szCs w:val="24"/>
        </w:rPr>
        <w:t>°C</w:t>
      </w:r>
      <w:r w:rsidRPr="002B7A39">
        <w:rPr>
          <w:rFonts w:ascii="Times New Roman" w:hAnsi="Times New Roman" w:cs="Times New Roman"/>
          <w:sz w:val="24"/>
          <w:szCs w:val="24"/>
        </w:rPr>
        <w:t xml:space="preserve"> with 5% CO2.</w:t>
      </w:r>
      <w:r w:rsidR="00BD1712"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Pr="002B7A39">
        <w:rPr>
          <w:rFonts w:ascii="Times New Roman" w:hAnsi="Times New Roman" w:cs="Times New Roman"/>
          <w:sz w:val="24"/>
          <w:szCs w:val="24"/>
        </w:rPr>
        <w:t>Add 10 µL compound solution (10X) to each well (triplicate</w:t>
      </w:r>
      <w:r w:rsidR="0006716B" w:rsidRPr="002B7A39">
        <w:rPr>
          <w:rFonts w:ascii="Times New Roman" w:hAnsi="Times New Roman" w:cs="Times New Roman"/>
          <w:sz w:val="24"/>
          <w:szCs w:val="24"/>
        </w:rPr>
        <w:t>s</w:t>
      </w:r>
      <w:r w:rsidRPr="002B7A39">
        <w:rPr>
          <w:rFonts w:ascii="Times New Roman" w:hAnsi="Times New Roman" w:cs="Times New Roman"/>
          <w:sz w:val="24"/>
          <w:szCs w:val="24"/>
        </w:rPr>
        <w:t>)</w:t>
      </w:r>
      <w:r w:rsidRPr="002B7A39">
        <w:rPr>
          <w:rFonts w:ascii="Times New Roman" w:eastAsia="宋体" w:hAnsi="Times New Roman" w:cs="Times New Roman"/>
          <w:sz w:val="24"/>
          <w:szCs w:val="24"/>
        </w:rPr>
        <w:t>.</w:t>
      </w:r>
      <w:r w:rsidR="00BD1712" w:rsidRPr="002B7A3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B7A39">
        <w:rPr>
          <w:rFonts w:ascii="Times New Roman" w:hAnsi="Times New Roman" w:cs="Times New Roman"/>
          <w:sz w:val="24"/>
          <w:szCs w:val="24"/>
        </w:rPr>
        <w:t>Incubate the plates for incubator at 37°C with 5% CO</w:t>
      </w:r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7A39">
        <w:rPr>
          <w:rFonts w:ascii="Times New Roman" w:hAnsi="Times New Roman" w:cs="Times New Roman"/>
          <w:sz w:val="24"/>
          <w:szCs w:val="24"/>
        </w:rPr>
        <w:t xml:space="preserve"> for three days.</w:t>
      </w:r>
      <w:r w:rsidR="00BD1712"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="0006716B" w:rsidRPr="002B7A39">
        <w:rPr>
          <w:rFonts w:ascii="Times New Roman" w:hAnsi="Times New Roman" w:cs="Times New Roman"/>
          <w:sz w:val="24"/>
          <w:szCs w:val="24"/>
        </w:rPr>
        <w:t>After that, a</w:t>
      </w:r>
      <w:r w:rsidRPr="002B7A39">
        <w:rPr>
          <w:rFonts w:ascii="Times New Roman" w:hAnsi="Times New Roman" w:cs="Times New Roman"/>
          <w:sz w:val="24"/>
          <w:szCs w:val="24"/>
        </w:rPr>
        <w:t xml:space="preserve">dd 50 </w:t>
      </w:r>
      <w:proofErr w:type="spellStart"/>
      <w:r w:rsidRPr="002B7A3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2B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A39">
        <w:rPr>
          <w:rFonts w:ascii="Times New Roman" w:hAnsi="Times New Roman" w:cs="Times New Roman"/>
          <w:sz w:val="24"/>
          <w:szCs w:val="24"/>
        </w:rPr>
        <w:t>CellTiter</w:t>
      </w:r>
      <w:proofErr w:type="spellEnd"/>
      <w:r w:rsidRPr="002B7A39">
        <w:rPr>
          <w:rFonts w:ascii="Times New Roman" w:hAnsi="Times New Roman" w:cs="Times New Roman"/>
          <w:sz w:val="24"/>
          <w:szCs w:val="24"/>
        </w:rPr>
        <w:t>-Glo</w:t>
      </w:r>
      <w:r w:rsidRPr="002B7A39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2B7A39">
        <w:rPr>
          <w:rFonts w:ascii="Times New Roman" w:hAnsi="Times New Roman" w:cs="Times New Roman"/>
          <w:sz w:val="24"/>
          <w:szCs w:val="24"/>
        </w:rPr>
        <w:t xml:space="preserve"> Reagent </w:t>
      </w:r>
      <w:r w:rsidR="0043696E" w:rsidRPr="002B7A39">
        <w:rPr>
          <w:rFonts w:ascii="Times New Roman" w:eastAsia="宋体" w:hAnsi="Times New Roman" w:cs="Times New Roman"/>
          <w:bCs/>
          <w:sz w:val="24"/>
          <w:szCs w:val="24"/>
        </w:rPr>
        <w:t>(</w:t>
      </w:r>
      <w:r w:rsidR="0043696E" w:rsidRPr="002B7A39">
        <w:rPr>
          <w:rFonts w:ascii="Times New Roman" w:hAnsi="Times New Roman" w:cs="Times New Roman"/>
          <w:sz w:val="24"/>
          <w:szCs w:val="24"/>
        </w:rPr>
        <w:t xml:space="preserve">Catalogue number: </w:t>
      </w:r>
      <w:r w:rsidR="0043696E" w:rsidRPr="002B7A39">
        <w:rPr>
          <w:rFonts w:ascii="Times New Roman" w:eastAsia="宋体" w:hAnsi="Times New Roman" w:cs="Times New Roman"/>
          <w:bCs/>
          <w:sz w:val="24"/>
          <w:szCs w:val="24"/>
        </w:rPr>
        <w:t xml:space="preserve">G7572, lot </w:t>
      </w:r>
      <w:r w:rsidR="0043696E" w:rsidRPr="002B7A39">
        <w:rPr>
          <w:rFonts w:ascii="Times New Roman" w:hAnsi="Times New Roman" w:cs="Times New Roman"/>
          <w:sz w:val="24"/>
          <w:szCs w:val="24"/>
        </w:rPr>
        <w:t xml:space="preserve">number: </w:t>
      </w:r>
      <w:r w:rsidR="0043696E" w:rsidRPr="002B7A39">
        <w:rPr>
          <w:rFonts w:ascii="Times New Roman" w:eastAsia="宋体" w:hAnsi="Times New Roman" w:cs="Times New Roman"/>
          <w:bCs/>
          <w:sz w:val="24"/>
          <w:szCs w:val="24"/>
        </w:rPr>
        <w:t xml:space="preserve">0000309060, Promega) </w:t>
      </w:r>
      <w:r w:rsidRPr="002B7A39">
        <w:rPr>
          <w:rFonts w:ascii="Times New Roman" w:hAnsi="Times New Roman" w:cs="Times New Roman"/>
          <w:sz w:val="24"/>
          <w:szCs w:val="24"/>
        </w:rPr>
        <w:t>to each well.</w:t>
      </w:r>
      <w:r w:rsidR="00BD1712"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Pr="002B7A39">
        <w:rPr>
          <w:rFonts w:ascii="Times New Roman" w:hAnsi="Times New Roman" w:cs="Times New Roman"/>
          <w:sz w:val="24"/>
          <w:szCs w:val="24"/>
        </w:rPr>
        <w:t>Mix contents for 2 minutes on an orbital shaker to facilitate cell lysis.</w:t>
      </w:r>
      <w:r w:rsidR="00BD1712"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Pr="002B7A39">
        <w:rPr>
          <w:rFonts w:ascii="Times New Roman" w:hAnsi="Times New Roman" w:cs="Times New Roman"/>
          <w:sz w:val="24"/>
          <w:szCs w:val="24"/>
        </w:rPr>
        <w:t xml:space="preserve">Allow the plate to incubate at room temperature for 20 minutes to stabilize luminescent signal. Record luminescence using </w:t>
      </w:r>
      <w:proofErr w:type="spellStart"/>
      <w:r w:rsidRPr="002B7A39">
        <w:rPr>
          <w:rFonts w:ascii="Times New Roman" w:hAnsi="Times New Roman" w:cs="Times New Roman"/>
          <w:sz w:val="24"/>
          <w:szCs w:val="24"/>
        </w:rPr>
        <w:t>EnVision</w:t>
      </w:r>
      <w:proofErr w:type="spellEnd"/>
      <w:r w:rsidRPr="002B7A39">
        <w:rPr>
          <w:rFonts w:ascii="Times New Roman" w:hAnsi="Times New Roman" w:cs="Times New Roman"/>
          <w:sz w:val="24"/>
          <w:szCs w:val="24"/>
        </w:rPr>
        <w:t xml:space="preserve"> 2104 Multi Label Reader.</w:t>
      </w:r>
      <w:r w:rsidR="00BD1712"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Pr="002B7A39">
        <w:rPr>
          <w:rFonts w:ascii="Times New Roman" w:hAnsi="Times New Roman" w:cs="Times New Roman"/>
          <w:sz w:val="24"/>
          <w:szCs w:val="24"/>
        </w:rPr>
        <w:t>The surviving rate (%) formula= (</w:t>
      </w:r>
      <w:proofErr w:type="spellStart"/>
      <w:r w:rsidR="003009AC" w:rsidRPr="002B7A39">
        <w:rPr>
          <w:rFonts w:ascii="Times New Roman" w:hAnsi="Times New Roman" w:cs="Times New Roman"/>
          <w:sz w:val="24"/>
          <w:szCs w:val="24"/>
        </w:rPr>
        <w:t>Luminesence</w:t>
      </w:r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>sample</w:t>
      </w:r>
      <w:r w:rsidRPr="002B7A39">
        <w:rPr>
          <w:rFonts w:ascii="Times New Roman" w:hAnsi="Times New Roman" w:cs="Times New Roman"/>
          <w:sz w:val="24"/>
          <w:szCs w:val="24"/>
        </w:rPr>
        <w:t>-</w:t>
      </w:r>
      <w:r w:rsidR="003009AC" w:rsidRPr="002B7A39">
        <w:rPr>
          <w:rFonts w:ascii="Times New Roman" w:hAnsi="Times New Roman" w:cs="Times New Roman"/>
          <w:sz w:val="24"/>
          <w:szCs w:val="24"/>
        </w:rPr>
        <w:t>Luminesence</w:t>
      </w:r>
      <w:r w:rsidR="003009AC" w:rsidRPr="002B7A3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>edium</w:t>
      </w:r>
      <w:proofErr w:type="spellEnd"/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 xml:space="preserve"> control</w:t>
      </w:r>
      <w:r w:rsidRPr="002B7A39">
        <w:rPr>
          <w:rFonts w:ascii="Times New Roman" w:hAnsi="Times New Roman" w:cs="Times New Roman"/>
          <w:sz w:val="24"/>
          <w:szCs w:val="24"/>
        </w:rPr>
        <w:t>)/ (</w:t>
      </w:r>
      <w:proofErr w:type="spellStart"/>
      <w:r w:rsidR="003009AC" w:rsidRPr="002B7A39">
        <w:rPr>
          <w:rFonts w:ascii="Times New Roman" w:hAnsi="Times New Roman" w:cs="Times New Roman"/>
          <w:sz w:val="24"/>
          <w:szCs w:val="24"/>
        </w:rPr>
        <w:t>Luminesence</w:t>
      </w:r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>vehicle</w:t>
      </w:r>
      <w:proofErr w:type="spellEnd"/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 xml:space="preserve"> control</w:t>
      </w:r>
      <w:r w:rsidRPr="002B7A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09AC" w:rsidRPr="002B7A39">
        <w:rPr>
          <w:rFonts w:ascii="Times New Roman" w:hAnsi="Times New Roman" w:cs="Times New Roman"/>
          <w:sz w:val="24"/>
          <w:szCs w:val="24"/>
        </w:rPr>
        <w:t>Luminesence</w:t>
      </w:r>
      <w:r w:rsidR="003009AC" w:rsidRPr="002B7A3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>edium</w:t>
      </w:r>
      <w:proofErr w:type="spellEnd"/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 xml:space="preserve"> control</w:t>
      </w:r>
      <w:r w:rsidRPr="002B7A39">
        <w:rPr>
          <w:rFonts w:ascii="Times New Roman" w:hAnsi="Times New Roman" w:cs="Times New Roman"/>
          <w:sz w:val="24"/>
          <w:szCs w:val="24"/>
        </w:rPr>
        <w:t xml:space="preserve">) x100%. Use GraphPad Prism 5.0 software, display sigmoidal dose response- surviving rate graph by </w:t>
      </w:r>
      <w:r w:rsidR="00DC358E">
        <w:rPr>
          <w:rFonts w:ascii="Times New Roman" w:hAnsi="Times New Roman" w:cs="Times New Roman"/>
          <w:sz w:val="24"/>
          <w:szCs w:val="24"/>
        </w:rPr>
        <w:t xml:space="preserve">a </w:t>
      </w:r>
      <w:r w:rsidRPr="002B7A39">
        <w:rPr>
          <w:rFonts w:ascii="Times New Roman" w:hAnsi="Times New Roman" w:cs="Times New Roman"/>
          <w:sz w:val="24"/>
          <w:szCs w:val="24"/>
        </w:rPr>
        <w:t xml:space="preserve">nonlinear regression model </w:t>
      </w:r>
      <w:r w:rsidR="00DC358E">
        <w:rPr>
          <w:rFonts w:ascii="Times New Roman" w:hAnsi="Times New Roman" w:cs="Times New Roman"/>
          <w:sz w:val="24"/>
          <w:szCs w:val="24"/>
        </w:rPr>
        <w:t>to</w:t>
      </w:r>
      <w:r w:rsidRPr="002B7A39">
        <w:rPr>
          <w:rFonts w:ascii="Times New Roman" w:hAnsi="Times New Roman" w:cs="Times New Roman"/>
          <w:sz w:val="24"/>
          <w:szCs w:val="24"/>
        </w:rPr>
        <w:t xml:space="preserve"> calculate </w:t>
      </w:r>
      <w:r w:rsidR="00DC358E" w:rsidRPr="00DC358E">
        <w:rPr>
          <w:rFonts w:ascii="Times New Roman" w:hAnsi="Times New Roman" w:cs="Times New Roman"/>
          <w:sz w:val="24"/>
          <w:szCs w:val="24"/>
        </w:rPr>
        <w:t>the inhibitory concentration at 50% of maximum</w:t>
      </w:r>
      <w:r w:rsidR="00DC358E">
        <w:rPr>
          <w:rFonts w:ascii="Times New Roman" w:hAnsi="Times New Roman" w:cs="Times New Roman"/>
          <w:sz w:val="24"/>
          <w:szCs w:val="24"/>
        </w:rPr>
        <w:t xml:space="preserve"> (</w:t>
      </w:r>
      <w:r w:rsidR="00B7504F">
        <w:rPr>
          <w:rFonts w:ascii="Times New Roman" w:hAnsi="Times New Roman" w:cs="Times New Roman"/>
          <w:sz w:val="24"/>
          <w:szCs w:val="24"/>
        </w:rPr>
        <w:t>E</w:t>
      </w:r>
      <w:r w:rsidRPr="002B7A39">
        <w:rPr>
          <w:rFonts w:ascii="Times New Roman" w:hAnsi="Times New Roman" w:cs="Times New Roman"/>
          <w:sz w:val="24"/>
          <w:szCs w:val="24"/>
        </w:rPr>
        <w:t>C</w:t>
      </w:r>
      <w:r w:rsidRPr="002B7A3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DC358E" w:rsidRPr="00DC358E">
        <w:rPr>
          <w:rFonts w:ascii="Times New Roman" w:hAnsi="Times New Roman" w:cs="Times New Roman"/>
          <w:sz w:val="24"/>
          <w:szCs w:val="24"/>
        </w:rPr>
        <w:t>)</w:t>
      </w:r>
      <w:r w:rsidR="00AD069B">
        <w:rPr>
          <w:rFonts w:ascii="Times New Roman" w:hAnsi="Times New Roman" w:cs="Times New Roman"/>
          <w:sz w:val="24"/>
          <w:szCs w:val="24"/>
        </w:rPr>
        <w:t xml:space="preserve">, defined as absolute value of </w:t>
      </w:r>
      <w:r w:rsidR="00BF3771" w:rsidRPr="00135E03">
        <w:rPr>
          <w:rFonts w:ascii="Times New Roman" w:hAnsi="Times New Roman" w:cs="Times New Roman"/>
          <w:sz w:val="24"/>
          <w:szCs w:val="24"/>
        </w:rPr>
        <w:t>concentration for 50% of maximal inhibitory effect</w:t>
      </w:r>
      <w:r w:rsidR="00BF3771">
        <w:rPr>
          <w:rFonts w:ascii="Times New Roman" w:hAnsi="Times New Roman" w:cs="Times New Roman"/>
          <w:sz w:val="24"/>
          <w:szCs w:val="24"/>
        </w:rPr>
        <w:t>.</w:t>
      </w:r>
      <w:r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="00AD069B">
        <w:rPr>
          <w:rFonts w:ascii="Times New Roman" w:hAnsi="Times New Roman" w:cs="Times New Roman"/>
          <w:sz w:val="24"/>
          <w:szCs w:val="24"/>
        </w:rPr>
        <w:t>If absolute EC</w:t>
      </w:r>
      <w:r w:rsidR="00AD069B" w:rsidRPr="00AD069B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AD069B">
        <w:rPr>
          <w:rFonts w:ascii="Times New Roman" w:hAnsi="Times New Roman" w:cs="Times New Roman"/>
          <w:sz w:val="24"/>
          <w:szCs w:val="24"/>
        </w:rPr>
        <w:t xml:space="preserve"> cannot be </w:t>
      </w:r>
      <w:r w:rsidR="00AD069B">
        <w:rPr>
          <w:rFonts w:ascii="Times New Roman" w:hAnsi="Times New Roman" w:cs="Times New Roman"/>
          <w:sz w:val="24"/>
          <w:szCs w:val="24"/>
        </w:rPr>
        <w:lastRenderedPageBreak/>
        <w:t>estimable, a relative EC</w:t>
      </w:r>
      <w:r w:rsidR="00AD069B" w:rsidRPr="00AD069B">
        <w:rPr>
          <w:rFonts w:ascii="Times New Roman" w:hAnsi="Times New Roman" w:cs="Times New Roman"/>
          <w:sz w:val="24"/>
          <w:szCs w:val="24"/>
          <w:vertAlign w:val="subscript"/>
        </w:rPr>
        <w:t>95</w:t>
      </w:r>
      <w:r w:rsidR="00AD069B">
        <w:rPr>
          <w:rFonts w:ascii="Times New Roman" w:hAnsi="Times New Roman" w:cs="Times New Roman"/>
          <w:sz w:val="24"/>
          <w:szCs w:val="24"/>
        </w:rPr>
        <w:t>, defined as</w:t>
      </w:r>
      <w:r w:rsidR="00AD069B" w:rsidRPr="00AD069B">
        <w:rPr>
          <w:rFonts w:ascii="Times New Roman" w:hAnsi="Times New Roman" w:cs="Times New Roman"/>
          <w:sz w:val="24"/>
          <w:szCs w:val="24"/>
        </w:rPr>
        <w:t xml:space="preserve"> </w:t>
      </w:r>
      <w:r w:rsidR="00AD069B" w:rsidRPr="00135E03">
        <w:rPr>
          <w:rFonts w:ascii="Times New Roman" w:hAnsi="Times New Roman" w:cs="Times New Roman"/>
          <w:sz w:val="24"/>
          <w:szCs w:val="24"/>
        </w:rPr>
        <w:t>concentration for 95% of inhibitory effect relative to the maximum inhibitory effect</w:t>
      </w:r>
      <w:r w:rsidR="00AD069B">
        <w:rPr>
          <w:rFonts w:ascii="Times New Roman" w:hAnsi="Times New Roman" w:cs="Times New Roman"/>
          <w:sz w:val="24"/>
          <w:szCs w:val="24"/>
        </w:rPr>
        <w:t xml:space="preserve"> is calculated. </w:t>
      </w:r>
      <w:r w:rsidRPr="002B7A39">
        <w:rPr>
          <w:rFonts w:ascii="Times New Roman" w:hAnsi="Times New Roman" w:cs="Times New Roman"/>
          <w:sz w:val="24"/>
          <w:szCs w:val="24"/>
        </w:rPr>
        <w:t>The data also included the maximum inhibition rate.</w:t>
      </w:r>
    </w:p>
    <w:p w14:paraId="4A4FA6FD" w14:textId="77777777" w:rsidR="00C0539A" w:rsidRPr="002B7A39" w:rsidRDefault="00C0539A" w:rsidP="0006716B">
      <w:pPr>
        <w:rPr>
          <w:rFonts w:ascii="Times New Roman" w:hAnsi="Times New Roman" w:cs="Times New Roman"/>
          <w:sz w:val="24"/>
          <w:szCs w:val="24"/>
        </w:rPr>
      </w:pPr>
    </w:p>
    <w:p w14:paraId="6CC6254E" w14:textId="77777777" w:rsidR="006E7BA1" w:rsidRPr="002B7A39" w:rsidRDefault="006E7BA1" w:rsidP="0006716B">
      <w:pPr>
        <w:rPr>
          <w:rFonts w:ascii="Times New Roman" w:hAnsi="Times New Roman" w:cs="Times New Roman"/>
          <w:sz w:val="24"/>
          <w:szCs w:val="24"/>
        </w:rPr>
      </w:pPr>
    </w:p>
    <w:p w14:paraId="089202AC" w14:textId="77777777" w:rsidR="006E7BA1" w:rsidRPr="002B7A39" w:rsidRDefault="006E7BA1" w:rsidP="0006716B">
      <w:pPr>
        <w:rPr>
          <w:rFonts w:ascii="Times New Roman" w:hAnsi="Times New Roman" w:cs="Times New Roman"/>
          <w:b/>
          <w:sz w:val="24"/>
          <w:szCs w:val="24"/>
        </w:rPr>
      </w:pPr>
      <w:r w:rsidRPr="002B7A39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153B2BAA" w14:textId="2D3B341C" w:rsidR="003F48EA" w:rsidRPr="002B7A39" w:rsidRDefault="006E7BA1" w:rsidP="00FA453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B7A39">
        <w:rPr>
          <w:rFonts w:ascii="Times New Roman" w:hAnsi="Times New Roman" w:cs="Times New Roman"/>
          <w:sz w:val="24"/>
          <w:szCs w:val="24"/>
        </w:rPr>
        <w:t xml:space="preserve">The </w:t>
      </w:r>
      <w:r w:rsidR="008329D8">
        <w:rPr>
          <w:rFonts w:ascii="Times New Roman" w:hAnsi="Times New Roman" w:cs="Times New Roman"/>
          <w:sz w:val="24"/>
          <w:szCs w:val="24"/>
        </w:rPr>
        <w:t>figures</w:t>
      </w:r>
      <w:r w:rsidRPr="002B7A39">
        <w:rPr>
          <w:rFonts w:ascii="Times New Roman" w:hAnsi="Times New Roman" w:cs="Times New Roman"/>
          <w:sz w:val="24"/>
          <w:szCs w:val="24"/>
        </w:rPr>
        <w:t xml:space="preserve"> </w:t>
      </w:r>
      <w:r w:rsidR="002B7A39" w:rsidRPr="002B7A39">
        <w:rPr>
          <w:rFonts w:ascii="Times New Roman" w:hAnsi="Times New Roman" w:cs="Times New Roman"/>
          <w:sz w:val="24"/>
          <w:szCs w:val="24"/>
        </w:rPr>
        <w:t xml:space="preserve">below </w:t>
      </w:r>
      <w:r w:rsidRPr="002B7A39">
        <w:rPr>
          <w:rFonts w:ascii="Times New Roman" w:hAnsi="Times New Roman" w:cs="Times New Roman"/>
          <w:sz w:val="24"/>
          <w:szCs w:val="24"/>
        </w:rPr>
        <w:t xml:space="preserve">showed </w:t>
      </w:r>
      <w:bookmarkStart w:id="0" w:name="_Hlk70348175"/>
      <w:r w:rsidRPr="002B7A39">
        <w:rPr>
          <w:rFonts w:ascii="Times New Roman" w:hAnsi="Times New Roman" w:cs="Times New Roman"/>
          <w:sz w:val="24"/>
          <w:szCs w:val="24"/>
        </w:rPr>
        <w:t xml:space="preserve">relative cell viability of various cell types treated with </w:t>
      </w:r>
      <w:r w:rsidR="00926F92" w:rsidRPr="002B7A39">
        <w:rPr>
          <w:rFonts w:ascii="Times New Roman" w:hAnsi="Times New Roman" w:cs="Times New Roman"/>
          <w:sz w:val="24"/>
          <w:szCs w:val="24"/>
        </w:rPr>
        <w:t xml:space="preserve">indicated </w:t>
      </w:r>
      <w:r w:rsidRPr="002B7A39">
        <w:rPr>
          <w:rFonts w:ascii="Times New Roman" w:hAnsi="Times New Roman" w:cs="Times New Roman"/>
          <w:sz w:val="24"/>
          <w:szCs w:val="24"/>
        </w:rPr>
        <w:t>compounds</w:t>
      </w:r>
      <w:bookmarkEnd w:id="0"/>
      <w:r w:rsidR="00926F92" w:rsidRPr="002B7A39">
        <w:rPr>
          <w:rFonts w:ascii="Times New Roman" w:hAnsi="Times New Roman" w:cs="Times New Roman"/>
          <w:sz w:val="24"/>
          <w:szCs w:val="24"/>
        </w:rPr>
        <w:t>. The x axis denotes the concentrations of biologics regardless of single or combination treatment. Meanwhile, we performed Loewe synergy and antagonism analysis to show synergistic or antagonistic effects between two drugs</w:t>
      </w:r>
      <w:r w:rsidR="002B7A39" w:rsidRPr="002B7A39">
        <w:rPr>
          <w:rFonts w:ascii="Times New Roman" w:hAnsi="Times New Roman" w:cs="Times New Roman"/>
          <w:sz w:val="24"/>
          <w:szCs w:val="24"/>
        </w:rPr>
        <w:t xml:space="preserve"> in the table below</w:t>
      </w:r>
      <w:r w:rsidR="00926F92" w:rsidRPr="002B7A39">
        <w:rPr>
          <w:rFonts w:ascii="Times New Roman" w:hAnsi="Times New Roman" w:cs="Times New Roman"/>
          <w:sz w:val="24"/>
          <w:szCs w:val="24"/>
        </w:rPr>
        <w:t>.</w:t>
      </w:r>
    </w:p>
    <w:p w14:paraId="31FA3925" w14:textId="3FFD2075" w:rsidR="00926F92" w:rsidRPr="002B7A39" w:rsidRDefault="00926F92" w:rsidP="0006716B">
      <w:pPr>
        <w:rPr>
          <w:rFonts w:ascii="Times New Roman" w:hAnsi="Times New Roman" w:cs="Times New Roman"/>
          <w:sz w:val="24"/>
          <w:szCs w:val="24"/>
        </w:rPr>
      </w:pPr>
    </w:p>
    <w:p w14:paraId="6DBD390D" w14:textId="77777777" w:rsidR="001A5660" w:rsidRDefault="001A5660" w:rsidP="0006716B">
      <w:pPr>
        <w:rPr>
          <w:rFonts w:ascii="Times New Roman" w:hAnsi="Times New Roman" w:cs="Times New Roman"/>
          <w:b/>
          <w:bCs/>
          <w:sz w:val="24"/>
          <w:szCs w:val="24"/>
        </w:rPr>
        <w:sectPr w:rsidR="001A5660" w:rsidSect="001044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Hlk69470498"/>
    </w:p>
    <w:p w14:paraId="15A7EEB7" w14:textId="06959603" w:rsidR="005B2B71" w:rsidRPr="002B7A39" w:rsidRDefault="008329D8" w:rsidP="000671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F</w:t>
      </w:r>
      <w:r w:rsidRPr="008329D8">
        <w:rPr>
          <w:rFonts w:ascii="Times New Roman" w:hAnsi="Times New Roman" w:cs="Times New Roman"/>
          <w:b/>
          <w:bCs/>
          <w:sz w:val="24"/>
          <w:szCs w:val="24"/>
        </w:rPr>
        <w:t>igures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4D74">
        <w:rPr>
          <w:rFonts w:ascii="Times New Roman" w:hAnsi="Times New Roman" w:cs="Times New Roman"/>
          <w:b/>
          <w:bCs/>
          <w:sz w:val="24"/>
          <w:szCs w:val="24"/>
        </w:rPr>
        <w:t>in vitro pharmacology</w:t>
      </w:r>
      <w:r w:rsidR="000D74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4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B2B71" w:rsidRPr="002B7A39">
        <w:rPr>
          <w:rFonts w:ascii="Times New Roman" w:hAnsi="Times New Roman" w:cs="Times New Roman"/>
          <w:b/>
          <w:bCs/>
          <w:sz w:val="24"/>
          <w:szCs w:val="24"/>
        </w:rPr>
        <w:t>elative cell viability of various cell types treated with indicated drugs or combinations</w:t>
      </w:r>
      <w:bookmarkEnd w:id="1"/>
    </w:p>
    <w:p w14:paraId="356391A8" w14:textId="77777777" w:rsidR="005B2B71" w:rsidRPr="002B7A39" w:rsidRDefault="005B2B71" w:rsidP="0006716B">
      <w:pPr>
        <w:rPr>
          <w:rFonts w:ascii="Times New Roman" w:hAnsi="Times New Roman" w:cs="Times New Roman"/>
          <w:sz w:val="24"/>
          <w:szCs w:val="24"/>
        </w:rPr>
      </w:pPr>
    </w:p>
    <w:p w14:paraId="676F09A5" w14:textId="3264CB8D" w:rsidR="006E7BA1" w:rsidRPr="000D7404" w:rsidRDefault="00926F92" w:rsidP="000D7404">
      <w:pPr>
        <w:pStyle w:val="a8"/>
        <w:numPr>
          <w:ilvl w:val="0"/>
          <w:numId w:val="3"/>
        </w:numPr>
        <w:ind w:firstLineChars="0"/>
      </w:pPr>
      <w:bookmarkStart w:id="2" w:name="_Hlk70348294"/>
      <w:r w:rsidRPr="000D7404">
        <w:t>NCI-N87</w:t>
      </w:r>
      <w:bookmarkEnd w:id="2"/>
      <w:r w:rsidR="001A5660" w:rsidRPr="000D7404">
        <w:tab/>
      </w:r>
      <w:r w:rsidR="001A5660" w:rsidRPr="000D7404">
        <w:tab/>
      </w:r>
      <w:r w:rsidR="001A5660" w:rsidRPr="000D7404">
        <w:tab/>
      </w:r>
      <w:r w:rsidR="001A5660" w:rsidRPr="000D7404">
        <w:tab/>
      </w:r>
      <w:r w:rsidR="001A5660" w:rsidRPr="000D7404">
        <w:tab/>
      </w:r>
      <w:r w:rsidR="001A5660" w:rsidRPr="000D7404">
        <w:tab/>
      </w:r>
      <w:r w:rsidR="001A5660" w:rsidRPr="000D7404">
        <w:tab/>
      </w:r>
      <w:r w:rsidR="001A5660" w:rsidRPr="000D7404">
        <w:tab/>
      </w:r>
      <w:r w:rsidR="001A5660" w:rsidRPr="000D7404">
        <w:tab/>
      </w:r>
      <w:r w:rsidR="001A5660" w:rsidRPr="000D7404">
        <w:tab/>
      </w:r>
      <w:r w:rsidR="001A5660" w:rsidRPr="000D7404">
        <w:tab/>
      </w:r>
      <w:r w:rsidR="000D7404">
        <w:t xml:space="preserve">B. </w:t>
      </w:r>
      <w:r w:rsidR="001A5660" w:rsidRPr="000D7404">
        <w:t>AU565</w:t>
      </w:r>
    </w:p>
    <w:p w14:paraId="29D1EA8A" w14:textId="2C323080" w:rsidR="00C0539A" w:rsidRPr="002B7A39" w:rsidRDefault="006E7BA1" w:rsidP="0006716B">
      <w:pPr>
        <w:rPr>
          <w:rFonts w:ascii="Times New Roman" w:hAnsi="Times New Roman" w:cs="Times New Roman"/>
          <w:sz w:val="24"/>
          <w:szCs w:val="24"/>
        </w:rPr>
      </w:pP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FDAAB0" wp14:editId="5805F206">
            <wp:extent cx="3436620" cy="1521251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24" cy="1531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660"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7B6708" wp14:editId="4F6DB6E5">
            <wp:extent cx="3688080" cy="1582953"/>
            <wp:effectExtent l="0" t="0" r="762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8883" cy="15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83AD" w14:textId="7CDE378F" w:rsidR="003009AC" w:rsidRDefault="003009AC" w:rsidP="0006716B">
      <w:pPr>
        <w:rPr>
          <w:rFonts w:ascii="Times New Roman" w:hAnsi="Times New Roman" w:cs="Times New Roman"/>
          <w:sz w:val="24"/>
          <w:szCs w:val="24"/>
        </w:rPr>
      </w:pPr>
    </w:p>
    <w:p w14:paraId="32FD4AC5" w14:textId="2DFF7F98" w:rsidR="00926F92" w:rsidRPr="000D7404" w:rsidRDefault="000D7404" w:rsidP="000D740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C. </w:t>
      </w:r>
      <w:r w:rsidR="00926F92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EFM192A</w:t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D. </w:t>
      </w:r>
      <w:r w:rsidR="001A5660" w:rsidRPr="000D740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HCC1954</w:t>
      </w:r>
    </w:p>
    <w:p w14:paraId="4989BB50" w14:textId="789D5A0D" w:rsidR="00926F92" w:rsidRPr="002B7A39" w:rsidRDefault="00926F92" w:rsidP="0006716B">
      <w:pPr>
        <w:rPr>
          <w:rFonts w:ascii="Times New Roman" w:hAnsi="Times New Roman" w:cs="Times New Roman"/>
          <w:sz w:val="24"/>
          <w:szCs w:val="24"/>
        </w:rPr>
      </w:pP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22CF27" wp14:editId="087DFF68">
            <wp:extent cx="3453227" cy="1508760"/>
            <wp:effectExtent l="0" t="0" r="0" b="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1716" cy="151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20E9C7" wp14:editId="3D036F3F">
            <wp:extent cx="3403158" cy="1478280"/>
            <wp:effectExtent l="0" t="0" r="6985" b="762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6955" cy="147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D8C9" w14:textId="0489DA8A" w:rsidR="00926F92" w:rsidRDefault="00926F92" w:rsidP="0006716B">
      <w:pPr>
        <w:rPr>
          <w:rFonts w:ascii="Times New Roman" w:hAnsi="Times New Roman" w:cs="Times New Roman"/>
          <w:sz w:val="24"/>
          <w:szCs w:val="24"/>
        </w:rPr>
      </w:pPr>
    </w:p>
    <w:p w14:paraId="379182AD" w14:textId="77777777" w:rsidR="006C2883" w:rsidRPr="002B7A39" w:rsidRDefault="006C2883" w:rsidP="0006716B">
      <w:pPr>
        <w:rPr>
          <w:rFonts w:ascii="Times New Roman" w:hAnsi="Times New Roman" w:cs="Times New Roman"/>
          <w:sz w:val="24"/>
          <w:szCs w:val="24"/>
        </w:rPr>
      </w:pPr>
    </w:p>
    <w:p w14:paraId="72A1FF3C" w14:textId="77777777" w:rsidR="001A5660" w:rsidRDefault="001A5660" w:rsidP="0006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006001" w14:textId="3AB25744" w:rsidR="00926F92" w:rsidRPr="002B7A39" w:rsidRDefault="000D7404" w:rsidP="0006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r w:rsidR="00926F92" w:rsidRPr="002B7A39">
        <w:rPr>
          <w:rFonts w:ascii="Times New Roman" w:hAnsi="Times New Roman" w:cs="Times New Roman"/>
          <w:sz w:val="24"/>
          <w:szCs w:val="24"/>
        </w:rPr>
        <w:t>HCC2218</w:t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 w:rsidR="001A5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1A5660">
        <w:rPr>
          <w:rFonts w:ascii="Times New Roman" w:hAnsi="Times New Roman" w:cs="Times New Roman"/>
          <w:sz w:val="24"/>
          <w:szCs w:val="24"/>
        </w:rPr>
        <w:t xml:space="preserve">SK-BR-3 </w:t>
      </w:r>
    </w:p>
    <w:p w14:paraId="6B3BAC48" w14:textId="4AA49A61" w:rsidR="00926F92" w:rsidRPr="002B7A39" w:rsidRDefault="00926F92" w:rsidP="0006716B">
      <w:pPr>
        <w:rPr>
          <w:rFonts w:ascii="Times New Roman" w:hAnsi="Times New Roman" w:cs="Times New Roman"/>
          <w:sz w:val="24"/>
          <w:szCs w:val="24"/>
        </w:rPr>
      </w:pP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265B59" wp14:editId="3F6DEF61">
            <wp:extent cx="3710628" cy="1607820"/>
            <wp:effectExtent l="0" t="0" r="4445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8429" cy="16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F88D6" wp14:editId="101D812E">
            <wp:extent cx="3615666" cy="1569720"/>
            <wp:effectExtent l="0" t="0" r="4445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2033" cy="158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D32BA" w14:textId="644EF692" w:rsidR="00926F92" w:rsidRDefault="00926F92" w:rsidP="0006716B">
      <w:pPr>
        <w:rPr>
          <w:rFonts w:ascii="Times New Roman" w:hAnsi="Times New Roman" w:cs="Times New Roman"/>
          <w:sz w:val="24"/>
          <w:szCs w:val="24"/>
        </w:rPr>
      </w:pPr>
    </w:p>
    <w:p w14:paraId="0B9FEB0E" w14:textId="75DA50C8" w:rsidR="00926F92" w:rsidRPr="002B7A39" w:rsidRDefault="003F247D" w:rsidP="0006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D7404">
        <w:rPr>
          <w:rFonts w:ascii="Times New Roman" w:hAnsi="Times New Roman" w:cs="Times New Roman"/>
          <w:sz w:val="24"/>
          <w:szCs w:val="24"/>
        </w:rPr>
        <w:t xml:space="preserve">. </w:t>
      </w:r>
      <w:r w:rsidR="00926F92" w:rsidRPr="002B7A39">
        <w:rPr>
          <w:rFonts w:ascii="Times New Roman" w:hAnsi="Times New Roman" w:cs="Times New Roman"/>
          <w:sz w:val="24"/>
          <w:szCs w:val="24"/>
        </w:rPr>
        <w:t>KYSE-410</w:t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="000D7404">
        <w:rPr>
          <w:rFonts w:ascii="Times New Roman" w:hAnsi="Times New Roman" w:cs="Times New Roman"/>
          <w:sz w:val="24"/>
          <w:szCs w:val="24"/>
        </w:rPr>
        <w:t xml:space="preserve">. </w:t>
      </w:r>
      <w:r w:rsidR="0083602D">
        <w:rPr>
          <w:rFonts w:ascii="Times New Roman" w:hAnsi="Times New Roman" w:cs="Times New Roman"/>
          <w:sz w:val="24"/>
          <w:szCs w:val="24"/>
        </w:rPr>
        <w:t>OE19</w:t>
      </w:r>
    </w:p>
    <w:p w14:paraId="135E5644" w14:textId="51F9C0D7" w:rsidR="00926F92" w:rsidRPr="002B7A39" w:rsidRDefault="00926F92" w:rsidP="0006716B">
      <w:pPr>
        <w:rPr>
          <w:rFonts w:ascii="Times New Roman" w:hAnsi="Times New Roman" w:cs="Times New Roman"/>
          <w:sz w:val="24"/>
          <w:szCs w:val="24"/>
        </w:rPr>
      </w:pP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169FA1" wp14:editId="35BADE85">
            <wp:extent cx="3717884" cy="1615440"/>
            <wp:effectExtent l="0" t="0" r="0" b="381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0708" cy="16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3825D2" wp14:editId="30DCCF60">
            <wp:extent cx="3707465" cy="160020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9064" cy="160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0190A" w14:textId="77777777" w:rsidR="00926F92" w:rsidRPr="002B7A39" w:rsidRDefault="00926F92" w:rsidP="0006716B">
      <w:pPr>
        <w:rPr>
          <w:rFonts w:ascii="Times New Roman" w:hAnsi="Times New Roman" w:cs="Times New Roman"/>
          <w:sz w:val="24"/>
          <w:szCs w:val="24"/>
        </w:rPr>
      </w:pPr>
    </w:p>
    <w:p w14:paraId="6DCD0ACD" w14:textId="77777777" w:rsidR="0083602D" w:rsidRDefault="0083602D" w:rsidP="0006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6D6029" w14:textId="3A15DBA0" w:rsidR="00926F92" w:rsidRPr="002B7A39" w:rsidRDefault="003F247D" w:rsidP="0006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D7404">
        <w:rPr>
          <w:rFonts w:ascii="Times New Roman" w:hAnsi="Times New Roman" w:cs="Times New Roman"/>
          <w:sz w:val="24"/>
          <w:szCs w:val="24"/>
        </w:rPr>
        <w:t xml:space="preserve">. </w:t>
      </w:r>
      <w:r w:rsidR="00926F92" w:rsidRPr="002B7A39">
        <w:rPr>
          <w:rFonts w:ascii="Times New Roman" w:hAnsi="Times New Roman" w:cs="Times New Roman"/>
          <w:sz w:val="24"/>
          <w:szCs w:val="24"/>
        </w:rPr>
        <w:t>ZR-75-30</w:t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83602D">
        <w:rPr>
          <w:rFonts w:ascii="Times New Roman" w:hAnsi="Times New Roman" w:cs="Times New Roman"/>
          <w:sz w:val="24"/>
          <w:szCs w:val="24"/>
        </w:rPr>
        <w:tab/>
      </w:r>
      <w:r w:rsidR="000D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D7404">
        <w:rPr>
          <w:rFonts w:ascii="Times New Roman" w:hAnsi="Times New Roman" w:cs="Times New Roman"/>
          <w:sz w:val="24"/>
          <w:szCs w:val="24"/>
        </w:rPr>
        <w:t xml:space="preserve">. </w:t>
      </w:r>
      <w:r w:rsidR="0083602D">
        <w:rPr>
          <w:rFonts w:ascii="Times New Roman" w:hAnsi="Times New Roman" w:cs="Times New Roman"/>
          <w:sz w:val="24"/>
          <w:szCs w:val="24"/>
        </w:rPr>
        <w:t>NCI-H2170</w:t>
      </w:r>
    </w:p>
    <w:p w14:paraId="3DBD7F15" w14:textId="5FE5D866" w:rsidR="00926F92" w:rsidRPr="002B7A39" w:rsidRDefault="00926F92" w:rsidP="0006716B">
      <w:pPr>
        <w:rPr>
          <w:rFonts w:ascii="Times New Roman" w:hAnsi="Times New Roman" w:cs="Times New Roman"/>
          <w:sz w:val="24"/>
          <w:szCs w:val="24"/>
        </w:rPr>
      </w:pP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D3EBAA" wp14:editId="3EEE26AD">
            <wp:extent cx="3550920" cy="1547596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8316" cy="155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E946F1" wp14:editId="5310C0A6">
            <wp:extent cx="3776229" cy="1623060"/>
            <wp:effectExtent l="0" t="0" r="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3611" cy="163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10BC4" w14:textId="5B97C494" w:rsidR="00926F92" w:rsidRDefault="00926F92" w:rsidP="0006716B">
      <w:pPr>
        <w:rPr>
          <w:rFonts w:ascii="Times New Roman" w:hAnsi="Times New Roman" w:cs="Times New Roman"/>
          <w:sz w:val="24"/>
          <w:szCs w:val="24"/>
        </w:rPr>
      </w:pPr>
    </w:p>
    <w:p w14:paraId="6DED2E73" w14:textId="0E557697" w:rsidR="00926F92" w:rsidRPr="002B7A39" w:rsidRDefault="003F247D" w:rsidP="0006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D7404">
        <w:rPr>
          <w:rFonts w:ascii="Times New Roman" w:hAnsi="Times New Roman" w:cs="Times New Roman"/>
          <w:sz w:val="24"/>
          <w:szCs w:val="24"/>
        </w:rPr>
        <w:t xml:space="preserve">. </w:t>
      </w:r>
      <w:r w:rsidR="00926F92" w:rsidRPr="002B7A39">
        <w:rPr>
          <w:rFonts w:ascii="Times New Roman" w:hAnsi="Times New Roman" w:cs="Times New Roman"/>
          <w:sz w:val="24"/>
          <w:szCs w:val="24"/>
        </w:rPr>
        <w:t>NCI-H1781</w:t>
      </w:r>
    </w:p>
    <w:p w14:paraId="3F1BE039" w14:textId="77777777" w:rsidR="00926F92" w:rsidRPr="002B7A39" w:rsidRDefault="00926F92" w:rsidP="0006716B">
      <w:pPr>
        <w:rPr>
          <w:rFonts w:ascii="Times New Roman" w:hAnsi="Times New Roman" w:cs="Times New Roman"/>
          <w:sz w:val="24"/>
          <w:szCs w:val="24"/>
        </w:rPr>
      </w:pPr>
      <w:r w:rsidRPr="002B7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B5CFDF" wp14:editId="23915EFD">
            <wp:extent cx="3550920" cy="1533488"/>
            <wp:effectExtent l="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0913" cy="153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96339" w14:textId="17361D89" w:rsidR="00402D47" w:rsidRDefault="001643A0" w:rsidP="006C2883">
      <w:pPr>
        <w:rPr>
          <w:rFonts w:ascii="Times New Roman" w:hAnsi="Times New Roman" w:cs="Times New Roman"/>
          <w:sz w:val="24"/>
          <w:szCs w:val="24"/>
        </w:rPr>
      </w:pPr>
      <w:r w:rsidRPr="001643A0">
        <w:rPr>
          <w:rFonts w:ascii="Times New Roman" w:hAnsi="Times New Roman" w:cs="Times New Roman"/>
          <w:sz w:val="24"/>
          <w:szCs w:val="24"/>
        </w:rPr>
        <w:t xml:space="preserve">Abbreviations: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Tmab</w:t>
      </w:r>
      <w:proofErr w:type="spellEnd"/>
      <w:r w:rsidRPr="001643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trastuzumab;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pertuzumab</w:t>
      </w:r>
      <w:proofErr w:type="spellEnd"/>
    </w:p>
    <w:p w14:paraId="1EFD6352" w14:textId="3C57C53D" w:rsidR="008329D8" w:rsidRDefault="003F247D" w:rsidP="006C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F247D">
        <w:rPr>
          <w:rFonts w:ascii="Times New Roman" w:hAnsi="Times New Roman" w:cs="Times New Roman"/>
          <w:sz w:val="24"/>
          <w:szCs w:val="24"/>
        </w:rPr>
        <w:t>elative cell viability of various cell types treated with indicated compounds</w:t>
      </w:r>
      <w:r>
        <w:rPr>
          <w:rFonts w:ascii="Times New Roman" w:hAnsi="Times New Roman" w:cs="Times New Roman"/>
          <w:sz w:val="24"/>
          <w:szCs w:val="24"/>
        </w:rPr>
        <w:t xml:space="preserve">: A) </w:t>
      </w:r>
      <w:r w:rsidRPr="003F247D">
        <w:rPr>
          <w:rFonts w:ascii="Times New Roman" w:hAnsi="Times New Roman" w:cs="Times New Roman"/>
          <w:sz w:val="24"/>
          <w:szCs w:val="24"/>
        </w:rPr>
        <w:t>NCI-N87</w:t>
      </w:r>
      <w:r>
        <w:rPr>
          <w:rFonts w:ascii="Times New Roman" w:hAnsi="Times New Roman" w:cs="Times New Roman"/>
          <w:sz w:val="24"/>
          <w:szCs w:val="24"/>
        </w:rPr>
        <w:t xml:space="preserve">: human gastric cancer cell line; B) AU565: human breast cancer cell line; C) </w:t>
      </w:r>
      <w:r>
        <w:rPr>
          <w:rFonts w:ascii="Times New Roman" w:hAnsi="Times New Roman" w:cs="Times New Roman" w:hint="eastAsia"/>
          <w:sz w:val="24"/>
          <w:szCs w:val="24"/>
        </w:rPr>
        <w:t>EFM</w:t>
      </w:r>
      <w:r>
        <w:rPr>
          <w:rFonts w:ascii="Times New Roman" w:hAnsi="Times New Roman" w:cs="Times New Roman"/>
          <w:sz w:val="24"/>
          <w:szCs w:val="24"/>
        </w:rPr>
        <w:t xml:space="preserve">-192A: human breast cancer cell line; D) HCC1954: human breast cancer cell line; E) HCC2218: human breast cancer cell line; F) SK-BR-3: human breast cancer cell line; G) KYSE-410: human esophageal cancer cell line; H) OE19: human esophageal cancer cell line; I) ZR-75-30: human breast cancer cell line; J) NCI-H2170: human squamous non-small cell lung cancer cell line; K) NCI-H1781: human bronchioloalveolar carcinoma cell line. </w:t>
      </w:r>
      <w:r w:rsidR="008329D8">
        <w:rPr>
          <w:rFonts w:ascii="Times New Roman" w:hAnsi="Times New Roman" w:cs="Times New Roman"/>
          <w:sz w:val="24"/>
          <w:szCs w:val="24"/>
        </w:rPr>
        <w:br w:type="page"/>
      </w:r>
    </w:p>
    <w:p w14:paraId="09C0487F" w14:textId="77777777" w:rsidR="0010442E" w:rsidRDefault="0010442E" w:rsidP="00926F92">
      <w:pPr>
        <w:rPr>
          <w:rFonts w:ascii="Times New Roman" w:hAnsi="Times New Roman" w:cs="Times New Roman"/>
          <w:b/>
          <w:bCs/>
          <w:sz w:val="24"/>
          <w:szCs w:val="24"/>
        </w:rPr>
        <w:sectPr w:rsidR="0010442E" w:rsidSect="001A566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6B8CA13A" w14:textId="22008A24" w:rsidR="00926F92" w:rsidRDefault="008329D8" w:rsidP="00926F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8329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B5B36" w:rsidRPr="008329D8">
        <w:rPr>
          <w:rFonts w:ascii="Times New Roman" w:hAnsi="Times New Roman" w:cs="Times New Roman"/>
          <w:b/>
          <w:bCs/>
          <w:sz w:val="24"/>
          <w:szCs w:val="24"/>
        </w:rPr>
        <w:t xml:space="preserve">Loewe synergy and antagonism analysis summary for KN026 in combination with </w:t>
      </w:r>
      <w:r w:rsidR="00CD6713" w:rsidRPr="00CD6713">
        <w:rPr>
          <w:rFonts w:ascii="Times New Roman" w:hAnsi="Times New Roman" w:cs="Times New Roman"/>
          <w:b/>
          <w:bCs/>
          <w:sz w:val="24"/>
          <w:szCs w:val="24"/>
        </w:rPr>
        <w:t xml:space="preserve">CDK12 inhibitor </w:t>
      </w:r>
      <w:r w:rsidR="006B5B36" w:rsidRPr="008329D8">
        <w:rPr>
          <w:rFonts w:ascii="Times New Roman" w:hAnsi="Times New Roman" w:cs="Times New Roman"/>
          <w:b/>
          <w:bCs/>
          <w:sz w:val="24"/>
          <w:szCs w:val="24"/>
        </w:rPr>
        <w:t>dinaciclib or trastuzumab in combination with dinaciclib</w:t>
      </w:r>
    </w:p>
    <w:tbl>
      <w:tblPr>
        <w:tblW w:w="1408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187"/>
        <w:gridCol w:w="1670"/>
        <w:gridCol w:w="1134"/>
        <w:gridCol w:w="1227"/>
        <w:gridCol w:w="1324"/>
        <w:gridCol w:w="1134"/>
        <w:gridCol w:w="1275"/>
        <w:gridCol w:w="1183"/>
        <w:gridCol w:w="1276"/>
        <w:gridCol w:w="1134"/>
      </w:tblGrid>
      <w:tr w:rsidR="0010442E" w:rsidRPr="002B7A39" w14:paraId="5D00FE48" w14:textId="28E72981" w:rsidTr="0010442E">
        <w:trPr>
          <w:trHeight w:val="483"/>
        </w:trPr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0B7FF88" w14:textId="1CF74035" w:rsidR="0010442E" w:rsidRPr="0010442E" w:rsidRDefault="0010442E" w:rsidP="009A747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0442E">
              <w:rPr>
                <w:rFonts w:ascii="Times New Roman" w:hAnsi="Times New Roman" w:cs="Times New Roman"/>
                <w:b/>
                <w:bCs/>
                <w:szCs w:val="21"/>
              </w:rPr>
              <w:t>Generic subtype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21793" w14:textId="1FB8D45F" w:rsidR="0010442E" w:rsidRPr="0010442E" w:rsidRDefault="0010442E" w:rsidP="009A747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0442E">
              <w:rPr>
                <w:rFonts w:ascii="Times New Roman" w:hAnsi="Times New Roman" w:cs="Times New Roman"/>
                <w:b/>
                <w:bCs/>
                <w:szCs w:val="21"/>
              </w:rPr>
              <w:t>Cell line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52F7" w14:textId="6A215E7D" w:rsidR="0010442E" w:rsidRPr="0010442E" w:rsidRDefault="0010442E" w:rsidP="0062010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0442E">
              <w:rPr>
                <w:rFonts w:ascii="Times New Roman" w:hAnsi="Times New Roman" w:cs="Times New Roman"/>
                <w:b/>
                <w:bCs/>
                <w:szCs w:val="21"/>
              </w:rPr>
              <w:t>Absolute EC</w:t>
            </w:r>
            <w:r w:rsidRPr="0010442E">
              <w:rPr>
                <w:rFonts w:ascii="Times New Roman" w:hAnsi="Times New Roman" w:cs="Times New Roman"/>
                <w:b/>
                <w:bCs/>
                <w:szCs w:val="21"/>
                <w:vertAlign w:val="subscript"/>
              </w:rPr>
              <w:t>50</w:t>
            </w:r>
            <w:r w:rsidRPr="0010442E">
              <w:rPr>
                <w:rFonts w:ascii="Times New Roman" w:hAnsi="Times New Roman" w:cs="Times New Roman"/>
                <w:b/>
                <w:bCs/>
                <w:szCs w:val="21"/>
              </w:rPr>
              <w:t xml:space="preserve"> (</w:t>
            </w:r>
            <w:proofErr w:type="spellStart"/>
            <w:r w:rsidRPr="0010442E">
              <w:rPr>
                <w:rFonts w:ascii="Times New Roman" w:hAnsi="Times New Roman" w:cs="Times New Roman"/>
                <w:b/>
                <w:bCs/>
                <w:szCs w:val="21"/>
              </w:rPr>
              <w:t>nM</w:t>
            </w:r>
            <w:proofErr w:type="spellEnd"/>
            <w:r w:rsidRPr="0010442E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C58C1" w14:textId="09BBB1FB" w:rsidR="0010442E" w:rsidRPr="0010442E" w:rsidRDefault="0010442E" w:rsidP="009A747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0442E">
              <w:rPr>
                <w:rFonts w:ascii="Times New Roman" w:hAnsi="Times New Roman" w:cs="Times New Roman"/>
                <w:b/>
                <w:bCs/>
                <w:szCs w:val="21"/>
              </w:rPr>
              <w:t>Pharmacological effect with dinaciclib</w:t>
            </w:r>
          </w:p>
        </w:tc>
        <w:tc>
          <w:tcPr>
            <w:tcW w:w="6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A4038" w14:textId="10CC2E2B" w:rsidR="0010442E" w:rsidRPr="0010442E" w:rsidRDefault="0010442E" w:rsidP="009A747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0442E">
              <w:rPr>
                <w:rFonts w:ascii="Times New Roman" w:hAnsi="Times New Roman" w:cs="Times New Roman"/>
                <w:b/>
                <w:bCs/>
                <w:szCs w:val="21"/>
              </w:rPr>
              <w:t>Maximum inhibition</w:t>
            </w:r>
          </w:p>
        </w:tc>
      </w:tr>
      <w:tr w:rsidR="0010442E" w:rsidRPr="002B7A39" w14:paraId="7B7BCE3E" w14:textId="77777777" w:rsidTr="0010442E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C8479" w14:textId="77777777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E30D2B" w14:textId="77777777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D0416" w14:textId="5911C191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KN026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29530" w14:textId="35F5201F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szCs w:val="21"/>
              </w:rPr>
              <w:t>mab</w:t>
            </w:r>
            <w:proofErr w:type="spellEnd"/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21A11" w14:textId="3967E138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KN026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EF0E4" w14:textId="4E4FFA67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szCs w:val="21"/>
              </w:rPr>
              <w:t>mab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C3831" w14:textId="4802FEAB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KN026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46FB6" w14:textId="40385309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szCs w:val="21"/>
              </w:rPr>
              <w:t>mab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332E7"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9332E7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mab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96FE" w14:textId="5D8E0D63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mab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+ </w:t>
            </w:r>
            <w:r>
              <w:rPr>
                <w:rFonts w:ascii="Times New Roman" w:hAnsi="Times New Roman" w:cs="Times New Roman"/>
                <w:szCs w:val="21"/>
              </w:rPr>
              <w:br/>
              <w:t>Dinaciclib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39478" w14:textId="4CD6B716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mab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Pmab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+ Dinaciclib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3A5B8" w14:textId="643A9A76" w:rsidR="0010442E" w:rsidRPr="002B7A39" w:rsidRDefault="0010442E" w:rsidP="001044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</w:rPr>
              <w:t>N026 + Dinaciclib</w:t>
            </w:r>
          </w:p>
        </w:tc>
      </w:tr>
      <w:tr w:rsidR="00DC1094" w:rsidRPr="002B7A39" w14:paraId="04918CE6" w14:textId="1720B837" w:rsidTr="00DC1094">
        <w:trPr>
          <w:trHeight w:val="483"/>
        </w:trPr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16839AAF" w14:textId="593B0AE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HER2/CDK12 co-amplified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E774" w14:textId="7DD2AEAA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NCI-N87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F1B5" w14:textId="531C6FFF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4.0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72292" w14:textId="0E3DD4C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E5446" w14:textId="6DA49AA3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3EA08" w14:textId="03F2AA50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5FE43" w14:textId="0CE902C8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67.49%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5E1C2" w14:textId="76B2161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33.11%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14F47" w14:textId="68047D4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74.79%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85262" w14:textId="57C16614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74.25%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D2870" w14:textId="12B42E0B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78.55%</w:t>
            </w:r>
          </w:p>
        </w:tc>
      </w:tr>
      <w:tr w:rsidR="00DC1094" w:rsidRPr="002B7A39" w14:paraId="14165CB0" w14:textId="29EDD24D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7C91B9F1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18F0" w14:textId="51D1E6D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AU565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90AA" w14:textId="20A2B8E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EC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50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3.8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447A9" w14:textId="7518C974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723E5" w14:textId="36A16E8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8D0B8" w14:textId="74BB6314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C1C74" w14:textId="1B775E6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54.54%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56BBD" w14:textId="0367800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37.09%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8D438" w14:textId="0FCB6BE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92.00%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E5CEA" w14:textId="1565DC6B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96.82%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F6156" w14:textId="60C9229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99.11%</w:t>
            </w:r>
          </w:p>
        </w:tc>
      </w:tr>
      <w:tr w:rsidR="00DC1094" w:rsidRPr="002B7A39" w14:paraId="22C675C3" w14:textId="3DD7493F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0405405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7D9E" w14:textId="7D974BB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EFM-192A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DA49" w14:textId="714A609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&gt;676.52 (relative 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95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5.2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 w:rsidRPr="002B7A3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AD2D5" w14:textId="52F56E4F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66C9" w14:textId="27C47C2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A2309" w14:textId="1FF6834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EC70A" w14:textId="338EE46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38.76%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E78A3" w14:textId="1BFA37C4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21.64%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6EE9A" w14:textId="747ECE9F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90.55%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ED7ED" w14:textId="32966800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88.72%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86B1E" w14:textId="31D3A7F1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93.94%</w:t>
            </w:r>
          </w:p>
        </w:tc>
      </w:tr>
      <w:tr w:rsidR="00DC1094" w:rsidRPr="002B7A39" w14:paraId="317DC252" w14:textId="35E612DB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7C1F7811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8AFD" w14:textId="2EE401A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HCC1954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0DAE2" w14:textId="5B40B3C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&gt;676.52 (relative 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95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2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 w:rsidRPr="002B7A3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9774B" w14:textId="2C95C09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B8B1A" w14:textId="4ABD691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4676D" w14:textId="528B458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06131" w14:textId="3AC68AFA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4.98%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1EDB4" w14:textId="20F552E4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-5.11%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1FB4B" w14:textId="2084989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92.79%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FB2A7" w14:textId="2634229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91.95%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23F59" w14:textId="0731E37B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95.45%</w:t>
            </w:r>
          </w:p>
        </w:tc>
      </w:tr>
      <w:tr w:rsidR="00DC1094" w:rsidRPr="002B7A39" w14:paraId="665A0527" w14:textId="5DBE3352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77C7E41E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A199" w14:textId="5E4E2AA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HCC2218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544F" w14:textId="71909BE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&gt;676.52 (relative 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95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6.2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333A0" w14:textId="080B20C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E915A" w14:textId="1AA399A3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 – synergy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ADD2B" w14:textId="57B18C18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3B2A9" w14:textId="6B3F166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52.40%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B24CB" w14:textId="0148F073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40.81%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A359F" w14:textId="4F2D319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86.09%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C7A39" w14:textId="47F09B03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92.25%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EC5CB" w14:textId="2E044FD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96.28%</w:t>
            </w:r>
          </w:p>
        </w:tc>
      </w:tr>
      <w:tr w:rsidR="00DC1094" w:rsidRPr="002B7A39" w14:paraId="7D751DC2" w14:textId="417E53C6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45637491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4978A" w14:textId="4A8758B8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SK-BR-3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51F7" w14:textId="007C4CF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&gt;676.52 (relative 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95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4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 w:rsidRPr="002B7A3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8CDD0" w14:textId="2DF6232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1ED75" w14:textId="47E3C66B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F939F" w14:textId="11F1D668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F06D1" w14:textId="736831E6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34.04%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02F14" w14:textId="1FF38DE1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24.05%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7AA6B" w14:textId="7A797D5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95.15%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78C37" w14:textId="17FB24C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95.37%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F4C7E" w14:textId="5B50261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97.48%</w:t>
            </w:r>
          </w:p>
        </w:tc>
      </w:tr>
      <w:tr w:rsidR="00DC1094" w:rsidRPr="002B7A39" w14:paraId="62FF6A00" w14:textId="63E5495A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E147E1A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9F81" w14:textId="137BC3D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KYSE-410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CD70" w14:textId="590A81F0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&gt;676.52 (relative 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95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107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 w:rsidRPr="002B7A3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BEE34" w14:textId="56B052DB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B4FE8" w14:textId="73CD183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Slight antagonism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4D4D" w14:textId="7A464D3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Slight antagonism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34A88" w14:textId="3F39678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29.34%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5F38C" w14:textId="3A035868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8.23%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0DF94" w14:textId="5AF8200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79.95%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F19B4" w14:textId="60FB437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80.53%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8F8E2" w14:textId="1A4BB83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83.06%</w:t>
            </w:r>
          </w:p>
        </w:tc>
      </w:tr>
      <w:tr w:rsidR="00DC1094" w:rsidRPr="002B7A39" w14:paraId="04760189" w14:textId="0B6FF0C7" w:rsidTr="00DC1094">
        <w:trPr>
          <w:trHeight w:val="483"/>
        </w:trPr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168E44CD" w14:textId="782FE0C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HER2 amplified/CDK12 non-amplified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77EF" w14:textId="43365601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OE19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848" w14:textId="2845A66F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&gt;676.52 (relative 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95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1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 w:rsidRPr="002B7A3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ED055" w14:textId="45678FC6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10EDE" w14:textId="7435F5F4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41A30" w14:textId="35516E4A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D7E7B" w14:textId="46A4D7E3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19.06%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14515" w14:textId="01B4089A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15.00%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9B422" w14:textId="7C986E8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91.52%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F5ED4" w14:textId="6EEFD72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92.36%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A118E" w14:textId="783B9D8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93.29%</w:t>
            </w:r>
          </w:p>
        </w:tc>
      </w:tr>
      <w:tr w:rsidR="00DC1094" w:rsidRPr="002B7A39" w14:paraId="7FB65081" w14:textId="7A56C240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64702E14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5A01D" w14:textId="6AF2172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ZR-75-30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4CFB" w14:textId="3935188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&gt;676.52 (relative 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95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3.2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 w:rsidRPr="002B7A3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68EB6" w14:textId="31036E34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B6B2B" w14:textId="09E2E3F3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 – synergy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B25AB" w14:textId="66A8F1B1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0CAD1" w14:textId="0E01E6D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51.69%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B0528" w14:textId="1CE2DF8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32.85%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D1CCF" w14:textId="07CAD56E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69.98%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592E4" w14:textId="1267A80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80.82%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DE919" w14:textId="57C73170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hAnsi="Times New Roman" w:cs="Times New Roman"/>
                <w:szCs w:val="21"/>
              </w:rPr>
              <w:t>86.57%</w:t>
            </w:r>
          </w:p>
        </w:tc>
      </w:tr>
      <w:tr w:rsidR="00DC1094" w:rsidRPr="002B7A39" w14:paraId="4DFF633C" w14:textId="2482F2FF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4D48EB7E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58B5" w14:textId="3EA4A48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NCI-H1781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6C456" w14:textId="5880B6C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&gt;676.52 (relative EC</w:t>
            </w:r>
            <w:r w:rsidRPr="002A311E">
              <w:rPr>
                <w:rFonts w:ascii="Times New Roman" w:hAnsi="Times New Roman" w:cs="Times New Roman"/>
                <w:szCs w:val="21"/>
                <w:vertAlign w:val="subscript"/>
              </w:rPr>
              <w:t>95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712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  <w:r w:rsidRPr="002B7A3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2B7A39"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 w:rsidRPr="002B7A3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070FF" w14:textId="6BA7A17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F32ED" w14:textId="755A626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Slight antagonism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19B6A" w14:textId="4B55222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Slight antagonism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4323C" w14:textId="6466A10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5.87%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069ED" w14:textId="1B5ABF36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19.04%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8811A" w14:textId="052DBBED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76.05%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D14BA" w14:textId="7B073B3F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77.07%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BCB5D" w14:textId="39C3F4EA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74.12%</w:t>
            </w:r>
          </w:p>
        </w:tc>
      </w:tr>
      <w:tr w:rsidR="00DC1094" w:rsidRPr="002B7A39" w14:paraId="05299266" w14:textId="77777777" w:rsidTr="00DC1094">
        <w:trPr>
          <w:trHeight w:val="483"/>
        </w:trPr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51886095" w14:textId="7777777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E195B" w14:textId="5F973106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7D5">
              <w:rPr>
                <w:rFonts w:ascii="Times New Roman" w:hAnsi="Times New Roman" w:cs="Times New Roman"/>
                <w:szCs w:val="21"/>
              </w:rPr>
              <w:t>NCI-H2170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FA11D" w14:textId="3BF5020A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7D5">
              <w:rPr>
                <w:rFonts w:ascii="Times New Roman" w:hAnsi="Times New Roman" w:cs="Times New Roman"/>
                <w:szCs w:val="21"/>
              </w:rPr>
              <w:t>&gt;676.52</w:t>
            </w:r>
            <w:r>
              <w:rPr>
                <w:rFonts w:ascii="Times New Roman" w:hAnsi="Times New Roman" w:cs="Times New Roman"/>
                <w:szCs w:val="21"/>
              </w:rPr>
              <w:t xml:space="preserve"> (relative EC95 14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8F3BF" w14:textId="18EA7DF8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7D5">
              <w:rPr>
                <w:rFonts w:ascii="Times New Roman" w:hAnsi="Times New Roman" w:cs="Times New Roman"/>
                <w:szCs w:val="21"/>
              </w:rPr>
              <w:t>&gt;687.13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F97C0" w14:textId="1C0B55DC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Addictiv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D695C" w14:textId="79E994C9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B7A39">
              <w:rPr>
                <w:rFonts w:ascii="Times New Roman" w:hAnsi="Times New Roman" w:cs="Times New Roman"/>
                <w:szCs w:val="21"/>
              </w:rPr>
              <w:t>Slight antagonism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FA246" w14:textId="2B164395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7D5">
              <w:rPr>
                <w:rFonts w:ascii="Times New Roman" w:hAnsi="Times New Roman" w:cs="Times New Roman"/>
                <w:szCs w:val="21"/>
              </w:rPr>
              <w:t>51.59%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CB323" w14:textId="6E292BD4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5.74%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47F76" w14:textId="13A09872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86.55%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AAD49" w14:textId="452D77E7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86.68%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66DB7" w14:textId="2F410970" w:rsidR="00DC1094" w:rsidRPr="002B7A39" w:rsidRDefault="00DC1094" w:rsidP="00DC10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2E7">
              <w:rPr>
                <w:rFonts w:ascii="Times New Roman" w:eastAsia="等线" w:hAnsi="Times New Roman" w:cs="Times New Roman"/>
                <w:color w:val="000000"/>
                <w:szCs w:val="21"/>
              </w:rPr>
              <w:t>88.71%</w:t>
            </w:r>
          </w:p>
        </w:tc>
      </w:tr>
    </w:tbl>
    <w:p w14:paraId="598EC2CC" w14:textId="080F3FBF" w:rsidR="00926F92" w:rsidRPr="000F4C32" w:rsidRDefault="000F4C32" w:rsidP="00926F92">
      <w:pPr>
        <w:rPr>
          <w:rFonts w:ascii="Times New Roman" w:hAnsi="Times New Roman" w:cs="Times New Roman"/>
          <w:sz w:val="24"/>
          <w:szCs w:val="24"/>
        </w:rPr>
      </w:pPr>
      <w:r w:rsidRPr="001643A0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135E03" w:rsidRPr="00135E03">
        <w:rPr>
          <w:rFonts w:ascii="Times New Roman" w:hAnsi="Times New Roman" w:cs="Times New Roman"/>
          <w:sz w:val="24"/>
          <w:szCs w:val="24"/>
        </w:rPr>
        <w:t>EC</w:t>
      </w:r>
      <w:r w:rsidR="00135E03" w:rsidRPr="008A634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35E03" w:rsidRPr="00135E03">
        <w:rPr>
          <w:rFonts w:ascii="Times New Roman" w:hAnsi="Times New Roman" w:cs="Times New Roman"/>
          <w:sz w:val="24"/>
          <w:szCs w:val="24"/>
        </w:rPr>
        <w:t>, concentration for 50% of maximal inhibitory effect; Relative EC</w:t>
      </w:r>
      <w:r w:rsidR="00135E03" w:rsidRPr="008A634F">
        <w:rPr>
          <w:rFonts w:ascii="Times New Roman" w:hAnsi="Times New Roman" w:cs="Times New Roman"/>
          <w:sz w:val="24"/>
          <w:szCs w:val="24"/>
          <w:vertAlign w:val="subscript"/>
        </w:rPr>
        <w:t>95</w:t>
      </w:r>
      <w:r w:rsidR="00135E03" w:rsidRPr="00135E03">
        <w:rPr>
          <w:rFonts w:ascii="Times New Roman" w:hAnsi="Times New Roman" w:cs="Times New Roman"/>
          <w:sz w:val="24"/>
          <w:szCs w:val="24"/>
        </w:rPr>
        <w:t xml:space="preserve">, concentration for 95% of inhibitory effect relative to the maximum inhibitory effect; </w:t>
      </w:r>
      <w:proofErr w:type="spellStart"/>
      <w:r w:rsidR="00135E03" w:rsidRPr="00135E03">
        <w:rPr>
          <w:rFonts w:ascii="Times New Roman" w:hAnsi="Times New Roman" w:cs="Times New Roman"/>
          <w:sz w:val="24"/>
          <w:szCs w:val="24"/>
        </w:rPr>
        <w:t>Tmab</w:t>
      </w:r>
      <w:proofErr w:type="spellEnd"/>
      <w:r w:rsidR="00135E03" w:rsidRPr="00135E03">
        <w:rPr>
          <w:rFonts w:ascii="Times New Roman" w:hAnsi="Times New Roman" w:cs="Times New Roman"/>
          <w:sz w:val="24"/>
          <w:szCs w:val="24"/>
        </w:rPr>
        <w:t xml:space="preserve">, trastuzumab; </w:t>
      </w:r>
      <w:proofErr w:type="spellStart"/>
      <w:r w:rsidR="00135E03" w:rsidRPr="00135E03">
        <w:rPr>
          <w:rFonts w:ascii="Times New Roman" w:hAnsi="Times New Roman" w:cs="Times New Roman"/>
          <w:sz w:val="24"/>
          <w:szCs w:val="24"/>
        </w:rPr>
        <w:t>Pmab</w:t>
      </w:r>
      <w:proofErr w:type="spellEnd"/>
      <w:r w:rsidR="00135E03" w:rsidRPr="00135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E03" w:rsidRPr="00135E03">
        <w:rPr>
          <w:rFonts w:ascii="Times New Roman" w:hAnsi="Times New Roman" w:cs="Times New Roman"/>
          <w:sz w:val="24"/>
          <w:szCs w:val="24"/>
        </w:rPr>
        <w:t>pertuzumab</w:t>
      </w:r>
      <w:proofErr w:type="spellEnd"/>
      <w:r w:rsidR="00135E03" w:rsidRPr="00135E03">
        <w:rPr>
          <w:rFonts w:ascii="Times New Roman" w:hAnsi="Times New Roman" w:cs="Times New Roman"/>
          <w:sz w:val="24"/>
          <w:szCs w:val="24"/>
        </w:rPr>
        <w:t>.</w:t>
      </w:r>
    </w:p>
    <w:sectPr w:rsidR="00926F92" w:rsidRPr="000F4C32" w:rsidSect="00136D7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61FE" w14:textId="77777777" w:rsidR="00965213" w:rsidRDefault="00965213" w:rsidP="005F5181">
      <w:r>
        <w:separator/>
      </w:r>
    </w:p>
  </w:endnote>
  <w:endnote w:type="continuationSeparator" w:id="0">
    <w:p w14:paraId="4D676D01" w14:textId="77777777" w:rsidR="00965213" w:rsidRDefault="00965213" w:rsidP="005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39A6" w14:textId="77777777" w:rsidR="00965213" w:rsidRDefault="00965213" w:rsidP="005F5181">
      <w:r>
        <w:separator/>
      </w:r>
    </w:p>
  </w:footnote>
  <w:footnote w:type="continuationSeparator" w:id="0">
    <w:p w14:paraId="790FED74" w14:textId="77777777" w:rsidR="00965213" w:rsidRDefault="00965213" w:rsidP="005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A0"/>
    <w:multiLevelType w:val="hybridMultilevel"/>
    <w:tmpl w:val="6F2A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F37"/>
    <w:multiLevelType w:val="hybridMultilevel"/>
    <w:tmpl w:val="FF809EB4"/>
    <w:lvl w:ilvl="0" w:tplc="0C845D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1532A8"/>
    <w:multiLevelType w:val="hybridMultilevel"/>
    <w:tmpl w:val="FBEAD4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21"/>
    <w:rsid w:val="00000F12"/>
    <w:rsid w:val="000317B2"/>
    <w:rsid w:val="0006716B"/>
    <w:rsid w:val="00083A56"/>
    <w:rsid w:val="000D0B76"/>
    <w:rsid w:val="000D7404"/>
    <w:rsid w:val="000F4C32"/>
    <w:rsid w:val="00101C6E"/>
    <w:rsid w:val="0010442E"/>
    <w:rsid w:val="00135BDC"/>
    <w:rsid w:val="00135E03"/>
    <w:rsid w:val="00136D7F"/>
    <w:rsid w:val="001469E4"/>
    <w:rsid w:val="001607BB"/>
    <w:rsid w:val="00160B51"/>
    <w:rsid w:val="00163CCE"/>
    <w:rsid w:val="001643A0"/>
    <w:rsid w:val="001A5660"/>
    <w:rsid w:val="00231539"/>
    <w:rsid w:val="00245F35"/>
    <w:rsid w:val="00280EAC"/>
    <w:rsid w:val="002A311E"/>
    <w:rsid w:val="002B7A39"/>
    <w:rsid w:val="002E7ADC"/>
    <w:rsid w:val="003009AC"/>
    <w:rsid w:val="00325C41"/>
    <w:rsid w:val="00335732"/>
    <w:rsid w:val="003526B5"/>
    <w:rsid w:val="003A0243"/>
    <w:rsid w:val="003F247D"/>
    <w:rsid w:val="003F48EA"/>
    <w:rsid w:val="00402D47"/>
    <w:rsid w:val="00415D15"/>
    <w:rsid w:val="0043696E"/>
    <w:rsid w:val="004627BE"/>
    <w:rsid w:val="00474768"/>
    <w:rsid w:val="004A6133"/>
    <w:rsid w:val="004C2405"/>
    <w:rsid w:val="004F5C0F"/>
    <w:rsid w:val="00522D75"/>
    <w:rsid w:val="00547329"/>
    <w:rsid w:val="00551CC6"/>
    <w:rsid w:val="00573D45"/>
    <w:rsid w:val="00580F76"/>
    <w:rsid w:val="00594F2A"/>
    <w:rsid w:val="005A4B8A"/>
    <w:rsid w:val="005B2B71"/>
    <w:rsid w:val="005E6F6C"/>
    <w:rsid w:val="005F4D74"/>
    <w:rsid w:val="005F5181"/>
    <w:rsid w:val="0062010C"/>
    <w:rsid w:val="0063477C"/>
    <w:rsid w:val="00665B5F"/>
    <w:rsid w:val="006A2D6C"/>
    <w:rsid w:val="006A7935"/>
    <w:rsid w:val="006B5B36"/>
    <w:rsid w:val="006C2883"/>
    <w:rsid w:val="006D1F41"/>
    <w:rsid w:val="006E7BA1"/>
    <w:rsid w:val="00762A66"/>
    <w:rsid w:val="00811C75"/>
    <w:rsid w:val="008329D8"/>
    <w:rsid w:val="0083407D"/>
    <w:rsid w:val="0083602D"/>
    <w:rsid w:val="0084303F"/>
    <w:rsid w:val="00885784"/>
    <w:rsid w:val="008A634F"/>
    <w:rsid w:val="008B0521"/>
    <w:rsid w:val="00926F92"/>
    <w:rsid w:val="009601E7"/>
    <w:rsid w:val="00965213"/>
    <w:rsid w:val="009A747E"/>
    <w:rsid w:val="009B63E3"/>
    <w:rsid w:val="009E66DC"/>
    <w:rsid w:val="00A102E9"/>
    <w:rsid w:val="00A452C5"/>
    <w:rsid w:val="00A73E25"/>
    <w:rsid w:val="00A76FE9"/>
    <w:rsid w:val="00AD069B"/>
    <w:rsid w:val="00B7504F"/>
    <w:rsid w:val="00B83305"/>
    <w:rsid w:val="00BB4FEE"/>
    <w:rsid w:val="00BD1712"/>
    <w:rsid w:val="00BF3771"/>
    <w:rsid w:val="00C0539A"/>
    <w:rsid w:val="00C3255E"/>
    <w:rsid w:val="00C3614A"/>
    <w:rsid w:val="00CA2606"/>
    <w:rsid w:val="00CB1142"/>
    <w:rsid w:val="00CD6713"/>
    <w:rsid w:val="00D125EB"/>
    <w:rsid w:val="00D325A7"/>
    <w:rsid w:val="00D44324"/>
    <w:rsid w:val="00D60242"/>
    <w:rsid w:val="00DB10EF"/>
    <w:rsid w:val="00DC1094"/>
    <w:rsid w:val="00DC358E"/>
    <w:rsid w:val="00E0200E"/>
    <w:rsid w:val="00E1365D"/>
    <w:rsid w:val="00E94C66"/>
    <w:rsid w:val="00EB3B32"/>
    <w:rsid w:val="00ED4FC9"/>
    <w:rsid w:val="00F460E3"/>
    <w:rsid w:val="00F5024C"/>
    <w:rsid w:val="00F968B0"/>
    <w:rsid w:val="00FA453C"/>
    <w:rsid w:val="00FC7551"/>
    <w:rsid w:val="00FE293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E91B"/>
  <w15:chartTrackingRefBased/>
  <w15:docId w15:val="{AA4A0AD7-C63A-4784-A34F-7746FA3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A2D6C"/>
    <w:pPr>
      <w:keepNext/>
      <w:keepLines/>
      <w:widowControl/>
      <w:spacing w:before="340" w:after="330" w:line="576" w:lineRule="auto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1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181"/>
    <w:rPr>
      <w:sz w:val="18"/>
      <w:szCs w:val="18"/>
    </w:rPr>
  </w:style>
  <w:style w:type="table" w:styleId="a7">
    <w:name w:val="Grid Table Light"/>
    <w:basedOn w:val="a1"/>
    <w:uiPriority w:val="40"/>
    <w:rsid w:val="00C053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9"/>
    <w:rsid w:val="006A2D6C"/>
    <w:rPr>
      <w:rFonts w:ascii="Times New Roman" w:eastAsia="Times New Roman" w:hAnsi="Times New Roman" w:cs="Times New Roman"/>
      <w:b/>
      <w:bCs/>
      <w:kern w:val="44"/>
      <w:sz w:val="44"/>
      <w:szCs w:val="44"/>
      <w:lang w:eastAsia="en-US"/>
    </w:rPr>
  </w:style>
  <w:style w:type="paragraph" w:styleId="a8">
    <w:name w:val="List Paragraph"/>
    <w:basedOn w:val="a"/>
    <w:uiPriority w:val="34"/>
    <w:qFormat/>
    <w:rsid w:val="006A2D6C"/>
    <w:pPr>
      <w:widowControl/>
      <w:ind w:firstLineChars="200" w:firstLine="4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unhideWhenUsed/>
    <w:rsid w:val="00D325A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325A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3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2FB0-F2E7-4022-9C31-BB1B3102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朱旭国</dc:creator>
  <cp:keywords/>
  <dc:description/>
  <cp:lastModifiedBy>张 剑</cp:lastModifiedBy>
  <cp:revision>100</cp:revision>
  <cp:lastPrinted>2021-04-24T14:49:00Z</cp:lastPrinted>
  <dcterms:created xsi:type="dcterms:W3CDTF">2021-04-16T04:35:00Z</dcterms:created>
  <dcterms:modified xsi:type="dcterms:W3CDTF">2021-05-11T15:53:00Z</dcterms:modified>
</cp:coreProperties>
</file>