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E3E3" w14:textId="77777777" w:rsidR="00AE676D" w:rsidRPr="00BF3578" w:rsidRDefault="00AE676D" w:rsidP="00AE676D">
      <w:pPr>
        <w:spacing w:line="240" w:lineRule="auto"/>
        <w:rPr>
          <w:rFonts w:ascii="Times New Roman" w:hAnsi="Times New Roman" w:cs="Times New Roman"/>
          <w:color w:val="000000"/>
          <w:sz w:val="24"/>
          <w:szCs w:val="24"/>
        </w:rPr>
      </w:pPr>
      <w:r w:rsidRPr="00BF3578">
        <w:rPr>
          <w:rFonts w:ascii="Times New Roman" w:hAnsi="Times New Roman" w:cs="Times New Roman"/>
          <w:b/>
          <w:bCs/>
          <w:color w:val="000000"/>
          <w:sz w:val="24"/>
          <w:szCs w:val="24"/>
        </w:rPr>
        <w:t>FIGURE LEGENDS</w:t>
      </w:r>
    </w:p>
    <w:p w14:paraId="212B59F4" w14:textId="77777777" w:rsidR="00AE676D" w:rsidRPr="00BF3578" w:rsidRDefault="00AE676D" w:rsidP="00AE676D">
      <w:pPr>
        <w:snapToGrid w:val="0"/>
        <w:spacing w:line="240" w:lineRule="auto"/>
        <w:rPr>
          <w:rFonts w:ascii="Times New Roman" w:hAnsi="Times New Roman" w:cs="Times New Roman"/>
          <w:b/>
          <w:bCs/>
          <w:color w:val="000000"/>
          <w:sz w:val="24"/>
          <w:szCs w:val="24"/>
        </w:rPr>
      </w:pPr>
      <w:r w:rsidRPr="00BF3578">
        <w:rPr>
          <w:rFonts w:ascii="Times New Roman" w:hAnsi="Times New Roman" w:cs="Times New Roman"/>
          <w:b/>
          <w:bCs/>
          <w:color w:val="000000"/>
          <w:sz w:val="24"/>
          <w:szCs w:val="24"/>
        </w:rPr>
        <w:t xml:space="preserve">Figure 1. Swimmer plot by dose level (evaluable analysis set). </w:t>
      </w:r>
      <w:r w:rsidRPr="00BF3578">
        <w:rPr>
          <w:rFonts w:ascii="Times New Roman" w:hAnsi="Times New Roman" w:cs="Times New Roman"/>
          <w:color w:val="000000"/>
          <w:sz w:val="24"/>
          <w:szCs w:val="24"/>
        </w:rPr>
        <w:t>The swimmer plot shows responses and durations of response in evaluable patients.</w:t>
      </w:r>
    </w:p>
    <w:p w14:paraId="17269AFE" w14:textId="77777777" w:rsidR="00AE676D" w:rsidRPr="00BF3578" w:rsidRDefault="00AE676D" w:rsidP="00AE676D">
      <w:pPr>
        <w:snapToGrid w:val="0"/>
        <w:spacing w:line="240" w:lineRule="auto"/>
        <w:rPr>
          <w:rFonts w:ascii="Times New Roman" w:hAnsi="Times New Roman" w:cs="Times New Roman"/>
          <w:color w:val="000000"/>
          <w:sz w:val="24"/>
          <w:szCs w:val="24"/>
        </w:rPr>
      </w:pPr>
      <w:r w:rsidRPr="00BF3578">
        <w:rPr>
          <w:rFonts w:ascii="Times New Roman" w:eastAsia="微软雅黑" w:hAnsi="Times New Roman" w:cs="Times New Roman"/>
          <w:color w:val="000000"/>
          <w:sz w:val="24"/>
          <w:szCs w:val="24"/>
        </w:rPr>
        <w:t xml:space="preserve">Abbreviations: </w:t>
      </w:r>
      <w:r w:rsidRPr="00BF3578">
        <w:rPr>
          <w:rFonts w:ascii="Times New Roman" w:hAnsi="Times New Roman" w:cs="Times New Roman"/>
          <w:color w:val="000000"/>
          <w:sz w:val="24"/>
          <w:szCs w:val="24"/>
        </w:rPr>
        <w:t xml:space="preserve">T, trastuzumab; P, </w:t>
      </w:r>
      <w:proofErr w:type="spellStart"/>
      <w:r w:rsidRPr="00BF3578">
        <w:rPr>
          <w:rFonts w:ascii="Times New Roman" w:hAnsi="Times New Roman" w:cs="Times New Roman"/>
          <w:color w:val="000000"/>
          <w:sz w:val="24"/>
          <w:szCs w:val="24"/>
        </w:rPr>
        <w:t>pertuzumab</w:t>
      </w:r>
      <w:proofErr w:type="spellEnd"/>
      <w:r w:rsidRPr="00BF3578">
        <w:rPr>
          <w:rFonts w:ascii="Times New Roman" w:hAnsi="Times New Roman" w:cs="Times New Roman"/>
          <w:color w:val="000000"/>
          <w:sz w:val="24"/>
          <w:szCs w:val="24"/>
        </w:rPr>
        <w:t>; A, anti-HER2 ADC; S, small molecular anti-HER2 TKI</w:t>
      </w:r>
    </w:p>
    <w:p w14:paraId="3F14C256" w14:textId="77777777" w:rsidR="00AE676D" w:rsidRPr="00BF3578" w:rsidRDefault="00AE676D" w:rsidP="00AE676D">
      <w:pPr>
        <w:snapToGrid w:val="0"/>
        <w:spacing w:line="480" w:lineRule="auto"/>
        <w:rPr>
          <w:rFonts w:ascii="Times New Roman" w:hAnsi="Times New Roman" w:cs="Times New Roman"/>
          <w:color w:val="000000"/>
          <w:sz w:val="24"/>
          <w:szCs w:val="24"/>
        </w:rPr>
      </w:pPr>
    </w:p>
    <w:p w14:paraId="1A7042B3" w14:textId="77777777" w:rsidR="00AE676D" w:rsidRPr="00BF3578" w:rsidRDefault="00AE676D" w:rsidP="00AE676D">
      <w:pPr>
        <w:snapToGrid w:val="0"/>
        <w:spacing w:line="240" w:lineRule="auto"/>
        <w:rPr>
          <w:rFonts w:ascii="Times New Roman" w:hAnsi="Times New Roman" w:cs="Times New Roman"/>
          <w:color w:val="000000"/>
          <w:sz w:val="24"/>
          <w:szCs w:val="24"/>
        </w:rPr>
      </w:pPr>
      <w:r w:rsidRPr="00BF3578">
        <w:rPr>
          <w:rFonts w:ascii="Times New Roman" w:hAnsi="Times New Roman" w:cs="Times New Roman"/>
          <w:b/>
          <w:bCs/>
          <w:color w:val="000000"/>
          <w:sz w:val="24"/>
          <w:szCs w:val="24"/>
        </w:rPr>
        <w:t xml:space="preserve">Figure 2. Pharmacokinetic profile of KN026 in patients with metastatic HER2-positive breast cancer. </w:t>
      </w:r>
      <w:r w:rsidRPr="00BF3578">
        <w:rPr>
          <w:rFonts w:ascii="Times New Roman" w:hAnsi="Times New Roman" w:cs="Times New Roman"/>
          <w:color w:val="000000"/>
          <w:sz w:val="24"/>
          <w:szCs w:val="24"/>
        </w:rPr>
        <w:t>(A) KN026 concentration-time profile after single dose. (B) KN026 concentration-time profile after multiple doses. Each line represents the mean (error bars reflect standard deviation of the mean [SD]) KN026 plasma concentration.</w:t>
      </w:r>
    </w:p>
    <w:p w14:paraId="5FBB7E41" w14:textId="77777777" w:rsidR="00AE676D" w:rsidRPr="00BF3578" w:rsidRDefault="00AE676D" w:rsidP="00AE676D">
      <w:pPr>
        <w:snapToGrid w:val="0"/>
        <w:spacing w:line="240" w:lineRule="auto"/>
        <w:rPr>
          <w:rFonts w:ascii="Times New Roman" w:hAnsi="Times New Roman" w:cs="Times New Roman"/>
          <w:color w:val="000000"/>
          <w:sz w:val="24"/>
          <w:szCs w:val="24"/>
        </w:rPr>
      </w:pPr>
      <w:r w:rsidRPr="00BF3578">
        <w:rPr>
          <w:rFonts w:ascii="Times New Roman" w:hAnsi="Times New Roman" w:cs="Times New Roman"/>
          <w:color w:val="000000"/>
          <w:sz w:val="24"/>
          <w:szCs w:val="24"/>
        </w:rPr>
        <w:t xml:space="preserve">20 </w:t>
      </w:r>
      <w:proofErr w:type="spellStart"/>
      <w:r w:rsidRPr="00BF3578">
        <w:rPr>
          <w:rFonts w:ascii="Times New Roman" w:hAnsi="Times New Roman" w:cs="Times New Roman"/>
          <w:color w:val="000000"/>
          <w:sz w:val="24"/>
          <w:szCs w:val="24"/>
        </w:rPr>
        <w:t>μg</w:t>
      </w:r>
      <w:proofErr w:type="spellEnd"/>
      <w:r w:rsidRPr="00BF3578">
        <w:rPr>
          <w:rFonts w:ascii="Times New Roman" w:hAnsi="Times New Roman" w:cs="Times New Roman"/>
          <w:color w:val="000000"/>
          <w:sz w:val="24"/>
          <w:szCs w:val="24"/>
        </w:rPr>
        <w:t xml:space="preserve">/mL: target trough concentration derived from pre-clinical translational models. Lower limit of quantification (LLOQ) of the bioassay is 0.0625 </w:t>
      </w:r>
      <w:proofErr w:type="spellStart"/>
      <w:r w:rsidRPr="00BF3578">
        <w:rPr>
          <w:rFonts w:ascii="Times New Roman" w:hAnsi="Times New Roman" w:cs="Times New Roman"/>
          <w:color w:val="000000"/>
          <w:sz w:val="24"/>
          <w:szCs w:val="24"/>
        </w:rPr>
        <w:t>μg</w:t>
      </w:r>
      <w:proofErr w:type="spellEnd"/>
      <w:r w:rsidRPr="00BF3578">
        <w:rPr>
          <w:rFonts w:ascii="Times New Roman" w:hAnsi="Times New Roman" w:cs="Times New Roman"/>
          <w:color w:val="000000"/>
          <w:sz w:val="24"/>
          <w:szCs w:val="24"/>
        </w:rPr>
        <w:t>/</w:t>
      </w:r>
      <w:proofErr w:type="spellStart"/>
      <w:r w:rsidRPr="00BF3578">
        <w:rPr>
          <w:rFonts w:ascii="Times New Roman" w:hAnsi="Times New Roman" w:cs="Times New Roman"/>
          <w:color w:val="000000"/>
          <w:sz w:val="24"/>
          <w:szCs w:val="24"/>
        </w:rPr>
        <w:t>mL.</w:t>
      </w:r>
      <w:proofErr w:type="spellEnd"/>
    </w:p>
    <w:p w14:paraId="36E76A6A" w14:textId="77777777" w:rsidR="00AE676D" w:rsidRPr="00BF3578" w:rsidRDefault="00AE676D" w:rsidP="00AE676D">
      <w:pPr>
        <w:snapToGrid w:val="0"/>
        <w:spacing w:line="480" w:lineRule="auto"/>
        <w:rPr>
          <w:rFonts w:ascii="Times New Roman" w:hAnsi="Times New Roman" w:cs="Times New Roman"/>
          <w:b/>
          <w:bCs/>
          <w:color w:val="000000"/>
          <w:sz w:val="24"/>
          <w:szCs w:val="24"/>
        </w:rPr>
      </w:pPr>
    </w:p>
    <w:p w14:paraId="66EA4670" w14:textId="77777777" w:rsidR="00AE676D" w:rsidRPr="00BF3578" w:rsidRDefault="00AE676D" w:rsidP="00AE676D">
      <w:pPr>
        <w:snapToGrid w:val="0"/>
        <w:spacing w:line="240" w:lineRule="auto"/>
        <w:rPr>
          <w:rFonts w:ascii="Times New Roman" w:eastAsia="微软雅黑" w:hAnsi="Times New Roman" w:cs="Times New Roman"/>
          <w:color w:val="000000"/>
          <w:sz w:val="24"/>
          <w:szCs w:val="24"/>
        </w:rPr>
      </w:pPr>
      <w:r w:rsidRPr="00BF3578">
        <w:rPr>
          <w:rFonts w:ascii="Times New Roman" w:hAnsi="Times New Roman" w:cs="Times New Roman"/>
          <w:b/>
          <w:bCs/>
          <w:color w:val="000000"/>
          <w:sz w:val="24"/>
          <w:szCs w:val="24"/>
        </w:rPr>
        <w:t xml:space="preserve">Figure 3. Waterfall plot and spider plot by dose level (evaluable analysis set). </w:t>
      </w:r>
      <w:r w:rsidRPr="00BF3578">
        <w:rPr>
          <w:rFonts w:ascii="Times New Roman" w:hAnsi="Times New Roman" w:cs="Times New Roman"/>
          <w:color w:val="000000"/>
          <w:sz w:val="24"/>
          <w:szCs w:val="24"/>
        </w:rPr>
        <w:t xml:space="preserve">Tumor responses of all evaluable patients in this study. (A) Maximal (%) reduction of tumor size from baseline per RECIST v1.1 for patients with at least one post treatment radiographic evaluation. The length of the bar represents maximal decrease or minimal increase in target lesion(s). (B) Percentage change of individual tumor burden over time from baseline assessed per RECIST v1.1. Tumor response was assessed before treatment, once every 6 weeks during first 12 months and every 12 weeks thereafter until progressive disease, starting a new anti-tumor </w:t>
      </w:r>
      <w:r w:rsidRPr="00BF3578">
        <w:rPr>
          <w:rFonts w:ascii="Times New Roman" w:eastAsia="微软雅黑" w:hAnsi="Times New Roman" w:cs="Times New Roman"/>
          <w:color w:val="000000"/>
          <w:sz w:val="24"/>
          <w:szCs w:val="24"/>
        </w:rPr>
        <w:t>therapy or withdrawal of informed consent.</w:t>
      </w:r>
    </w:p>
    <w:p w14:paraId="449D2009" w14:textId="77777777" w:rsidR="00AE676D" w:rsidRPr="00BF3578" w:rsidRDefault="00AE676D" w:rsidP="00AE676D">
      <w:pPr>
        <w:snapToGrid w:val="0"/>
        <w:spacing w:line="480" w:lineRule="auto"/>
        <w:rPr>
          <w:rFonts w:ascii="Times New Roman" w:eastAsia="微软雅黑" w:hAnsi="Times New Roman" w:cs="Times New Roman"/>
          <w:color w:val="000000"/>
          <w:sz w:val="24"/>
          <w:szCs w:val="24"/>
        </w:rPr>
      </w:pPr>
      <w:r w:rsidRPr="00BF3578">
        <w:rPr>
          <w:rFonts w:ascii="Times New Roman" w:eastAsia="微软雅黑" w:hAnsi="Times New Roman" w:cs="Times New Roman"/>
          <w:color w:val="000000"/>
          <w:sz w:val="24"/>
          <w:szCs w:val="24"/>
        </w:rPr>
        <w:t>Abbreviations: LD, length diameter</w:t>
      </w:r>
    </w:p>
    <w:p w14:paraId="5AE2E1F1" w14:textId="77777777" w:rsidR="00AE676D" w:rsidRPr="00BF3578" w:rsidRDefault="00AE676D" w:rsidP="00AE676D">
      <w:pPr>
        <w:snapToGrid w:val="0"/>
        <w:spacing w:line="480" w:lineRule="auto"/>
        <w:rPr>
          <w:rFonts w:ascii="Times New Roman" w:hAnsi="Times New Roman" w:cs="Times New Roman" w:hint="eastAsia"/>
          <w:color w:val="000000"/>
          <w:sz w:val="24"/>
          <w:szCs w:val="24"/>
        </w:rPr>
      </w:pPr>
    </w:p>
    <w:p w14:paraId="4D02D13D" w14:textId="77777777" w:rsidR="00AE676D" w:rsidRPr="00BF3578" w:rsidRDefault="00AE676D" w:rsidP="00AE676D">
      <w:pPr>
        <w:snapToGrid w:val="0"/>
        <w:spacing w:line="240" w:lineRule="auto"/>
        <w:rPr>
          <w:rFonts w:ascii="Times New Roman" w:hAnsi="Times New Roman" w:cs="Times New Roman"/>
          <w:color w:val="000000"/>
          <w:sz w:val="24"/>
          <w:szCs w:val="24"/>
        </w:rPr>
      </w:pPr>
      <w:r w:rsidRPr="00BF3578">
        <w:rPr>
          <w:rFonts w:ascii="Times New Roman" w:hAnsi="Times New Roman" w:cs="Times New Roman"/>
          <w:b/>
          <w:bCs/>
          <w:color w:val="000000"/>
          <w:sz w:val="24"/>
          <w:szCs w:val="24"/>
        </w:rPr>
        <w:t xml:space="preserve">Figure 4. </w:t>
      </w:r>
      <w:r w:rsidRPr="00BF3578">
        <w:rPr>
          <w:rFonts w:ascii="Times New Roman" w:hAnsi="Times New Roman" w:cs="Times New Roman"/>
          <w:b/>
          <w:bCs/>
          <w:i/>
          <w:iCs/>
          <w:color w:val="000000"/>
          <w:sz w:val="24"/>
          <w:szCs w:val="24"/>
        </w:rPr>
        <w:t>HER2/CDK12</w:t>
      </w:r>
      <w:r w:rsidRPr="00BF3578">
        <w:rPr>
          <w:rFonts w:ascii="Times New Roman" w:hAnsi="Times New Roman" w:cs="Times New Roman"/>
          <w:b/>
          <w:bCs/>
          <w:color w:val="000000"/>
          <w:sz w:val="24"/>
          <w:szCs w:val="24"/>
        </w:rPr>
        <w:t xml:space="preserve"> co-amplification as a potential biomarker for KN026. </w:t>
      </w:r>
      <w:r w:rsidRPr="00BF3578">
        <w:rPr>
          <w:rFonts w:ascii="Times New Roman" w:hAnsi="Times New Roman" w:cs="Times New Roman"/>
          <w:color w:val="000000"/>
          <w:sz w:val="24"/>
          <w:szCs w:val="24"/>
        </w:rPr>
        <w:t xml:space="preserve">(A) Differential clinical responses of KN026 treatment between patients with and without </w:t>
      </w:r>
      <w:r w:rsidRPr="00BF3578">
        <w:rPr>
          <w:rFonts w:ascii="Times New Roman" w:hAnsi="Times New Roman" w:cs="Times New Roman"/>
          <w:i/>
          <w:color w:val="000000"/>
          <w:sz w:val="24"/>
          <w:szCs w:val="24"/>
        </w:rPr>
        <w:t>HER2/CDK12</w:t>
      </w:r>
      <w:r w:rsidRPr="00BF3578">
        <w:rPr>
          <w:rFonts w:ascii="Times New Roman" w:hAnsi="Times New Roman" w:cs="Times New Roman"/>
          <w:color w:val="000000"/>
          <w:sz w:val="24"/>
          <w:szCs w:val="24"/>
        </w:rPr>
        <w:t xml:space="preserve"> co-amplification. The BOR was used to define Response (PR) and Nonresponse (SD and PD) groups. </w:t>
      </w:r>
      <w:r w:rsidRPr="00BF3578">
        <w:rPr>
          <w:rFonts w:ascii="Times New Roman" w:hAnsi="Times New Roman" w:cs="Times New Roman"/>
          <w:i/>
          <w:iCs/>
          <w:color w:val="000000"/>
          <w:sz w:val="24"/>
          <w:szCs w:val="24"/>
        </w:rPr>
        <w:t>P</w:t>
      </w:r>
      <w:r w:rsidRPr="00BF3578">
        <w:rPr>
          <w:rFonts w:ascii="Times New Roman" w:hAnsi="Times New Roman" w:cs="Times New Roman"/>
          <w:color w:val="000000"/>
          <w:sz w:val="24"/>
          <w:szCs w:val="24"/>
        </w:rPr>
        <w:t xml:space="preserve">-value, Fisher’s exact test (B) The frequency distribution of </w:t>
      </w:r>
      <w:r w:rsidRPr="00BF3578">
        <w:rPr>
          <w:rFonts w:ascii="Times New Roman" w:hAnsi="Times New Roman" w:cs="Times New Roman"/>
          <w:i/>
          <w:color w:val="000000"/>
          <w:sz w:val="24"/>
          <w:szCs w:val="24"/>
        </w:rPr>
        <w:t>HER2/CDK12</w:t>
      </w:r>
      <w:r w:rsidRPr="00BF3578">
        <w:rPr>
          <w:rFonts w:ascii="Times New Roman" w:hAnsi="Times New Roman" w:cs="Times New Roman"/>
          <w:color w:val="000000"/>
          <w:sz w:val="24"/>
          <w:szCs w:val="24"/>
        </w:rPr>
        <w:t xml:space="preserve"> co-amplification across 33 cancer types using TCGA cohorts (+: </w:t>
      </w:r>
      <w:proofErr w:type="spellStart"/>
      <w:r w:rsidRPr="00BF3578">
        <w:rPr>
          <w:rFonts w:ascii="Times New Roman" w:hAnsi="Times New Roman" w:cs="Times New Roman"/>
          <w:color w:val="000000"/>
          <w:sz w:val="24"/>
          <w:szCs w:val="24"/>
        </w:rPr>
        <w:t>thresholded</w:t>
      </w:r>
      <w:proofErr w:type="spellEnd"/>
      <w:r w:rsidRPr="00BF3578">
        <w:rPr>
          <w:rFonts w:ascii="Times New Roman" w:hAnsi="Times New Roman" w:cs="Times New Roman"/>
          <w:color w:val="000000"/>
          <w:sz w:val="24"/>
          <w:szCs w:val="24"/>
        </w:rPr>
        <w:t xml:space="preserve"> calls as 1; ++: </w:t>
      </w:r>
      <w:proofErr w:type="spellStart"/>
      <w:r w:rsidRPr="00BF3578">
        <w:rPr>
          <w:rFonts w:ascii="Times New Roman" w:hAnsi="Times New Roman" w:cs="Times New Roman"/>
          <w:color w:val="000000"/>
          <w:sz w:val="24"/>
          <w:szCs w:val="24"/>
        </w:rPr>
        <w:t>thresholded</w:t>
      </w:r>
      <w:proofErr w:type="spellEnd"/>
      <w:r w:rsidRPr="00BF3578">
        <w:rPr>
          <w:rFonts w:ascii="Times New Roman" w:hAnsi="Times New Roman" w:cs="Times New Roman"/>
          <w:color w:val="000000"/>
          <w:sz w:val="24"/>
          <w:szCs w:val="24"/>
        </w:rPr>
        <w:t xml:space="preserve"> calls as 2). TCGA cancer type acronyms are listed below. (C) The frequency distribution of </w:t>
      </w:r>
      <w:r w:rsidRPr="00BF3578">
        <w:rPr>
          <w:rFonts w:ascii="Times New Roman" w:hAnsi="Times New Roman" w:cs="Times New Roman"/>
          <w:i/>
          <w:color w:val="000000"/>
          <w:sz w:val="24"/>
          <w:szCs w:val="24"/>
        </w:rPr>
        <w:t>HER2/CDK12</w:t>
      </w:r>
      <w:r w:rsidRPr="00BF3578">
        <w:rPr>
          <w:rFonts w:ascii="Times New Roman" w:hAnsi="Times New Roman" w:cs="Times New Roman"/>
          <w:color w:val="000000"/>
          <w:sz w:val="24"/>
          <w:szCs w:val="24"/>
        </w:rPr>
        <w:t xml:space="preserve"> co-amplification across the PAM50 subtypes of breast cancer (Her2: HER2-enriched subtype; </w:t>
      </w:r>
      <w:proofErr w:type="spellStart"/>
      <w:r w:rsidRPr="00BF3578">
        <w:rPr>
          <w:rFonts w:ascii="Times New Roman" w:hAnsi="Times New Roman" w:cs="Times New Roman"/>
          <w:color w:val="000000"/>
          <w:sz w:val="24"/>
          <w:szCs w:val="24"/>
        </w:rPr>
        <w:t>LumA</w:t>
      </w:r>
      <w:proofErr w:type="spellEnd"/>
      <w:r w:rsidRPr="00BF3578">
        <w:rPr>
          <w:rFonts w:ascii="Times New Roman" w:hAnsi="Times New Roman" w:cs="Times New Roman"/>
          <w:color w:val="000000"/>
          <w:sz w:val="24"/>
          <w:szCs w:val="24"/>
        </w:rPr>
        <w:t xml:space="preserve">: luminal A subtype; </w:t>
      </w:r>
      <w:proofErr w:type="spellStart"/>
      <w:r w:rsidRPr="00BF3578">
        <w:rPr>
          <w:rFonts w:ascii="Times New Roman" w:hAnsi="Times New Roman" w:cs="Times New Roman"/>
          <w:color w:val="000000"/>
          <w:sz w:val="24"/>
          <w:szCs w:val="24"/>
        </w:rPr>
        <w:t>LumB</w:t>
      </w:r>
      <w:proofErr w:type="spellEnd"/>
      <w:r w:rsidRPr="00BF3578">
        <w:rPr>
          <w:rFonts w:ascii="Times New Roman" w:hAnsi="Times New Roman" w:cs="Times New Roman"/>
          <w:color w:val="000000"/>
          <w:sz w:val="24"/>
          <w:szCs w:val="24"/>
        </w:rPr>
        <w:t xml:space="preserve">: luminal B subtype; Basal: basal-like subtype; Norm: normal-like subtype; +: </w:t>
      </w:r>
      <w:proofErr w:type="spellStart"/>
      <w:r w:rsidRPr="00BF3578">
        <w:rPr>
          <w:rFonts w:ascii="Times New Roman" w:hAnsi="Times New Roman" w:cs="Times New Roman"/>
          <w:color w:val="000000"/>
          <w:sz w:val="24"/>
          <w:szCs w:val="24"/>
        </w:rPr>
        <w:t>thresholded</w:t>
      </w:r>
      <w:proofErr w:type="spellEnd"/>
      <w:r w:rsidRPr="00BF3578">
        <w:rPr>
          <w:rFonts w:ascii="Times New Roman" w:hAnsi="Times New Roman" w:cs="Times New Roman"/>
          <w:color w:val="000000"/>
          <w:sz w:val="24"/>
          <w:szCs w:val="24"/>
        </w:rPr>
        <w:t xml:space="preserve"> calls as 1; ++: </w:t>
      </w:r>
      <w:proofErr w:type="spellStart"/>
      <w:r w:rsidRPr="00BF3578">
        <w:rPr>
          <w:rFonts w:ascii="Times New Roman" w:hAnsi="Times New Roman" w:cs="Times New Roman"/>
          <w:color w:val="000000"/>
          <w:sz w:val="24"/>
          <w:szCs w:val="24"/>
        </w:rPr>
        <w:t>thresholded</w:t>
      </w:r>
      <w:proofErr w:type="spellEnd"/>
      <w:r w:rsidRPr="00BF3578">
        <w:rPr>
          <w:rFonts w:ascii="Times New Roman" w:hAnsi="Times New Roman" w:cs="Times New Roman"/>
          <w:color w:val="000000"/>
          <w:sz w:val="24"/>
          <w:szCs w:val="24"/>
        </w:rPr>
        <w:t xml:space="preserve"> calls as 2). (D) A volcano plot showing genes differentially expressed in the tumor with and without </w:t>
      </w:r>
      <w:r w:rsidRPr="00BF3578">
        <w:rPr>
          <w:rFonts w:ascii="Times New Roman" w:hAnsi="Times New Roman" w:cs="Times New Roman"/>
          <w:i/>
          <w:color w:val="000000"/>
          <w:sz w:val="24"/>
          <w:szCs w:val="24"/>
        </w:rPr>
        <w:t>HER2/CDK12</w:t>
      </w:r>
      <w:r w:rsidRPr="00BF3578">
        <w:rPr>
          <w:rFonts w:ascii="Times New Roman" w:hAnsi="Times New Roman" w:cs="Times New Roman"/>
          <w:color w:val="000000"/>
          <w:sz w:val="24"/>
          <w:szCs w:val="24"/>
        </w:rPr>
        <w:t xml:space="preserve"> co-amplification. The genes with FDR &lt; 0.1 and fold change &gt; 2 are shown in red. (E) Pathways inhibited in the </w:t>
      </w:r>
      <w:r w:rsidRPr="00BF3578">
        <w:rPr>
          <w:rFonts w:ascii="Times New Roman" w:hAnsi="Times New Roman" w:cs="Times New Roman"/>
          <w:i/>
          <w:color w:val="000000"/>
          <w:sz w:val="24"/>
          <w:szCs w:val="24"/>
        </w:rPr>
        <w:t>HER2/CDK12</w:t>
      </w:r>
      <w:r w:rsidRPr="00BF3578">
        <w:rPr>
          <w:rFonts w:ascii="Times New Roman" w:hAnsi="Times New Roman" w:cs="Times New Roman"/>
          <w:color w:val="000000"/>
          <w:sz w:val="24"/>
          <w:szCs w:val="24"/>
        </w:rPr>
        <w:t xml:space="preserve"> co-amplification group based on mRNA expression (up) and RPPA-based protein expression data (bottom) identified by GSEA. (</w:t>
      </w:r>
      <w:r w:rsidRPr="00BF3578">
        <w:rPr>
          <w:rFonts w:ascii="Times New Roman" w:hAnsi="Times New Roman" w:cs="Times New Roman" w:hint="eastAsia"/>
          <w:color w:val="000000"/>
          <w:sz w:val="24"/>
          <w:szCs w:val="24"/>
        </w:rPr>
        <w:t>F</w:t>
      </w:r>
      <w:r w:rsidRPr="00BF3578">
        <w:rPr>
          <w:rFonts w:ascii="Times New Roman" w:hAnsi="Times New Roman" w:cs="Times New Roman"/>
          <w:color w:val="000000"/>
          <w:sz w:val="24"/>
          <w:szCs w:val="24"/>
        </w:rPr>
        <w:t xml:space="preserve">) Immune cell abundance difference between tumors with and without </w:t>
      </w:r>
      <w:r w:rsidRPr="00BF3578">
        <w:rPr>
          <w:rFonts w:ascii="Times New Roman" w:hAnsi="Times New Roman" w:cs="Times New Roman"/>
          <w:i/>
          <w:color w:val="000000"/>
          <w:sz w:val="24"/>
          <w:szCs w:val="24"/>
        </w:rPr>
        <w:t>HER2/CDK12</w:t>
      </w:r>
      <w:r w:rsidRPr="00BF3578">
        <w:rPr>
          <w:rFonts w:ascii="Times New Roman" w:hAnsi="Times New Roman" w:cs="Times New Roman"/>
          <w:color w:val="000000"/>
          <w:sz w:val="24"/>
          <w:szCs w:val="24"/>
        </w:rPr>
        <w:t xml:space="preserve"> co-</w:t>
      </w:r>
      <w:r w:rsidRPr="00BF3578">
        <w:rPr>
          <w:rFonts w:ascii="Times New Roman" w:hAnsi="Times New Roman" w:cs="Times New Roman"/>
          <w:color w:val="000000"/>
          <w:sz w:val="24"/>
          <w:szCs w:val="24"/>
        </w:rPr>
        <w:lastRenderedPageBreak/>
        <w:t xml:space="preserve">amplification groups. (E bottom panel and G) </w:t>
      </w:r>
      <w:r w:rsidRPr="00BF3578">
        <w:rPr>
          <w:rFonts w:ascii="Times New Roman" w:hAnsi="Times New Roman" w:cs="Times New Roman"/>
          <w:i/>
          <w:color w:val="000000"/>
          <w:sz w:val="24"/>
          <w:szCs w:val="24"/>
        </w:rPr>
        <w:t xml:space="preserve">P </w:t>
      </w:r>
      <w:r w:rsidRPr="00BF3578">
        <w:rPr>
          <w:rFonts w:ascii="Times New Roman" w:hAnsi="Times New Roman" w:cs="Times New Roman"/>
          <w:color w:val="000000"/>
          <w:sz w:val="24"/>
          <w:szCs w:val="24"/>
        </w:rPr>
        <w:t>values: Wilcoxon rank sum test. The middle line in the box is the median, the bottom and top of the box are the first and third quartiles, and the whisker extended to 1.5× interquartile range of the lower and the upper quartiles, respectively. (</w:t>
      </w:r>
      <w:r w:rsidRPr="00BF3578">
        <w:rPr>
          <w:rFonts w:ascii="Times New Roman" w:hAnsi="Times New Roman" w:cs="Times New Roman" w:hint="eastAsia"/>
          <w:color w:val="000000"/>
          <w:sz w:val="24"/>
          <w:szCs w:val="24"/>
        </w:rPr>
        <w:t>G</w:t>
      </w:r>
      <w:r w:rsidRPr="00BF3578">
        <w:rPr>
          <w:rFonts w:ascii="Times New Roman" w:hAnsi="Times New Roman" w:cs="Times New Roman"/>
          <w:color w:val="000000"/>
          <w:sz w:val="24"/>
          <w:szCs w:val="24"/>
        </w:rPr>
        <w:t xml:space="preserve">) Decreased immune activity in the </w:t>
      </w:r>
      <w:r w:rsidRPr="00BF3578">
        <w:rPr>
          <w:rFonts w:ascii="Times New Roman" w:hAnsi="Times New Roman" w:cs="Times New Roman"/>
          <w:i/>
          <w:color w:val="000000"/>
          <w:sz w:val="24"/>
          <w:szCs w:val="24"/>
        </w:rPr>
        <w:t>HER2/CDK12</w:t>
      </w:r>
      <w:r w:rsidRPr="00BF3578">
        <w:rPr>
          <w:rFonts w:ascii="Times New Roman" w:hAnsi="Times New Roman" w:cs="Times New Roman"/>
          <w:color w:val="000000"/>
          <w:sz w:val="24"/>
          <w:szCs w:val="24"/>
        </w:rPr>
        <w:t xml:space="preserve"> co-amplification group. (H) Progression-free survival in patients with and without </w:t>
      </w:r>
      <w:r w:rsidRPr="00BF3578">
        <w:rPr>
          <w:rFonts w:ascii="Times New Roman" w:hAnsi="Times New Roman" w:cs="Times New Roman"/>
          <w:i/>
          <w:color w:val="000000"/>
          <w:sz w:val="24"/>
          <w:szCs w:val="24"/>
        </w:rPr>
        <w:t>HER2/CDK12</w:t>
      </w:r>
      <w:r w:rsidRPr="00BF3578">
        <w:rPr>
          <w:rFonts w:ascii="Times New Roman" w:hAnsi="Times New Roman" w:cs="Times New Roman"/>
          <w:color w:val="000000"/>
          <w:sz w:val="24"/>
          <w:szCs w:val="24"/>
        </w:rPr>
        <w:t xml:space="preserve"> co</w:t>
      </w:r>
      <w:r w:rsidRPr="00BF3578">
        <w:rPr>
          <w:rFonts w:ascii="Times New Roman" w:hAnsi="Times New Roman" w:cs="Times New Roman"/>
          <w:color w:val="000000"/>
          <w:sz w:val="24"/>
          <w:szCs w:val="24"/>
        </w:rPr>
        <w:noBreakHyphen/>
        <w:t>amplification. Median longer PFS was observed in patients with HER2 and CDK12 co</w:t>
      </w:r>
      <w:r w:rsidRPr="00BF3578">
        <w:rPr>
          <w:rFonts w:ascii="Times New Roman" w:hAnsi="Times New Roman" w:cs="Times New Roman"/>
          <w:color w:val="000000"/>
          <w:sz w:val="24"/>
          <w:szCs w:val="24"/>
        </w:rPr>
        <w:noBreakHyphen/>
      </w:r>
      <w:r w:rsidRPr="00BF3578">
        <w:rPr>
          <w:rFonts w:ascii="Times New Roman" w:hAnsi="Times New Roman" w:cs="Times New Roman"/>
          <w:color w:val="000000"/>
          <w:sz w:val="24"/>
          <w:szCs w:val="24"/>
        </w:rPr>
        <w:noBreakHyphen/>
        <w:t xml:space="preserve">amplification (8.2 vs 2.7 months, Log-rank test, </w:t>
      </w:r>
      <w:r w:rsidRPr="00BF3578">
        <w:rPr>
          <w:rFonts w:ascii="Times New Roman" w:hAnsi="Times New Roman" w:cs="Times New Roman"/>
          <w:i/>
          <w:color w:val="000000"/>
          <w:sz w:val="24"/>
          <w:szCs w:val="24"/>
        </w:rPr>
        <w:t xml:space="preserve">P </w:t>
      </w:r>
      <w:r w:rsidRPr="00BF3578">
        <w:rPr>
          <w:rFonts w:ascii="Times New Roman" w:hAnsi="Times New Roman" w:cs="Times New Roman"/>
          <w:color w:val="000000"/>
          <w:sz w:val="24"/>
          <w:szCs w:val="24"/>
        </w:rPr>
        <w:t>= 0.04).</w:t>
      </w:r>
    </w:p>
    <w:p w14:paraId="0021E037" w14:textId="77777777" w:rsidR="00AE676D" w:rsidRPr="00BF3578" w:rsidRDefault="00AE676D" w:rsidP="00AE676D">
      <w:pPr>
        <w:snapToGrid w:val="0"/>
        <w:spacing w:line="240" w:lineRule="auto"/>
        <w:rPr>
          <w:rFonts w:ascii="Times New Roman" w:hAnsi="Times New Roman" w:cs="Times New Roman"/>
          <w:color w:val="000000"/>
          <w:sz w:val="24"/>
          <w:szCs w:val="24"/>
        </w:rPr>
      </w:pPr>
      <w:r w:rsidRPr="00BF3578">
        <w:rPr>
          <w:rFonts w:ascii="Times New Roman" w:eastAsia="微软雅黑" w:hAnsi="Times New Roman" w:cs="Times New Roman"/>
          <w:color w:val="000000"/>
          <w:sz w:val="24"/>
          <w:szCs w:val="24"/>
        </w:rPr>
        <w:t xml:space="preserve">Abbreviations: </w:t>
      </w:r>
      <w:r w:rsidRPr="00BF3578">
        <w:rPr>
          <w:rFonts w:ascii="Times New Roman" w:hAnsi="Times New Roman" w:cs="Times New Roman"/>
          <w:color w:val="000000"/>
          <w:sz w:val="24"/>
          <w:szCs w:val="24"/>
        </w:rPr>
        <w:t>(A) BOR, best overall response; PD, progressive disease; PR, partial response; SD, stable disease. (B and C) ACC, adrenocortical carcinoma; BLCA, bladder urothelial carcinoma; BRCA, breast invasive carcinoma; CESC, cervical squamous cell carcinoma and endocervical adenocarcinoma; CHOL, cholangiocarcinoma; COAD, colon adenocarcinoma; DLBC, lymphoid neoplasm diffuse large B-cell lymphoma; ESCA, esophageal carcinoma; GBM, glioblastoma multiforme; HNSC, head and neck squamous cell carcinoma; KICH, kidney chromophobe; KIRC, kidney renal cell carcinoma; KIRP, kidney renal papillary cell carcinoma; LAML, acute myeloid leukemia; LGG, brain lower grade glioma; LIHC, liver hepatocellular carcinoma; LUAD, lung adenocarcinoma; LUSC, lung squamous cell carcinoma; MESO, mesothelioma; OV, ovarian serous cystadenocarcinoma; PAAD, pancreatic adenocarcinoma; PCPG, pheochromocytoma and paraganglioma; PRAD, prostate adenocarcinoma; READ, rectum adenocarcinoma; SARC, sarcoma; SKCM, skin cutaneous melanoma. STAD, stomach adenocarcinoma; TGCT, testicular germ cell tumors; THCA, thyroid carcinoma; THYM, thymoma; UCEC, Uterine corpus endometrial carcinoma; UCS, uterine carcinosarcoma; UVM, uveal melanoma. (D, E, F, G, and H) FDR, false discovery rate; NS, non-significant; PFS, progression-free survival.</w:t>
      </w:r>
    </w:p>
    <w:p w14:paraId="2EA3434C" w14:textId="77777777" w:rsidR="00AE676D" w:rsidRPr="00BF3578" w:rsidRDefault="00AE676D" w:rsidP="00AE676D">
      <w:pPr>
        <w:snapToGrid w:val="0"/>
        <w:spacing w:line="480" w:lineRule="auto"/>
        <w:rPr>
          <w:rFonts w:ascii="Times New Roman" w:hAnsi="Times New Roman" w:cs="Times New Roman"/>
          <w:color w:val="000000"/>
          <w:sz w:val="24"/>
          <w:szCs w:val="24"/>
        </w:rPr>
      </w:pPr>
    </w:p>
    <w:p w14:paraId="48597F9F" w14:textId="77777777" w:rsidR="00AE676D" w:rsidRPr="00BF3578" w:rsidRDefault="00AE676D" w:rsidP="00AE676D">
      <w:pPr>
        <w:snapToGrid w:val="0"/>
        <w:spacing w:line="240" w:lineRule="auto"/>
        <w:rPr>
          <w:rFonts w:ascii="Times New Roman" w:hAnsi="Times New Roman" w:cs="Times New Roman"/>
          <w:color w:val="000000"/>
          <w:sz w:val="24"/>
          <w:szCs w:val="24"/>
        </w:rPr>
      </w:pPr>
      <w:r w:rsidRPr="00BF3578">
        <w:rPr>
          <w:rFonts w:ascii="Times New Roman" w:hAnsi="Times New Roman" w:cs="Times New Roman" w:hint="eastAsia"/>
          <w:b/>
          <w:bCs/>
          <w:color w:val="000000"/>
          <w:sz w:val="24"/>
          <w:szCs w:val="24"/>
        </w:rPr>
        <w:t>F</w:t>
      </w:r>
      <w:r w:rsidRPr="00BF3578">
        <w:rPr>
          <w:rFonts w:ascii="Times New Roman" w:hAnsi="Times New Roman" w:cs="Times New Roman"/>
          <w:b/>
          <w:bCs/>
          <w:color w:val="000000"/>
          <w:sz w:val="24"/>
          <w:szCs w:val="24"/>
        </w:rPr>
        <w:t xml:space="preserve">igure </w:t>
      </w:r>
      <w:r w:rsidRPr="00BF3578">
        <w:rPr>
          <w:rFonts w:ascii="Times New Roman" w:hAnsi="Times New Roman" w:cs="Times New Roman" w:hint="eastAsia"/>
          <w:b/>
          <w:bCs/>
          <w:color w:val="000000"/>
          <w:sz w:val="24"/>
          <w:szCs w:val="24"/>
        </w:rPr>
        <w:t>S</w:t>
      </w:r>
      <w:r w:rsidRPr="00BF3578">
        <w:rPr>
          <w:rFonts w:ascii="Times New Roman" w:hAnsi="Times New Roman" w:cs="Times New Roman"/>
          <w:b/>
          <w:bCs/>
          <w:color w:val="000000"/>
          <w:sz w:val="24"/>
          <w:szCs w:val="24"/>
        </w:rPr>
        <w:t xml:space="preserve">1. </w:t>
      </w:r>
      <w:r w:rsidRPr="00BF3578">
        <w:rPr>
          <w:rFonts w:ascii="Times New Roman" w:hAnsi="Times New Roman" w:cs="Times New Roman"/>
          <w:color w:val="000000"/>
          <w:sz w:val="24"/>
          <w:szCs w:val="24"/>
        </w:rPr>
        <w:t xml:space="preserve">(A) </w:t>
      </w:r>
      <w:r w:rsidRPr="00BF3578">
        <w:rPr>
          <w:rFonts w:ascii="Times New Roman" w:hAnsi="Times New Roman" w:cs="Times New Roman"/>
          <w:b/>
          <w:bCs/>
          <w:color w:val="000000"/>
          <w:sz w:val="24"/>
          <w:szCs w:val="24"/>
        </w:rPr>
        <w:t xml:space="preserve">Visual predictive checks of observed and </w:t>
      </w:r>
      <w:proofErr w:type="gramStart"/>
      <w:r w:rsidRPr="00BF3578">
        <w:rPr>
          <w:rFonts w:ascii="Times New Roman" w:hAnsi="Times New Roman" w:cs="Times New Roman"/>
          <w:b/>
          <w:bCs/>
          <w:color w:val="000000"/>
          <w:sz w:val="24"/>
          <w:szCs w:val="24"/>
        </w:rPr>
        <w:t>model-predicted</w:t>
      </w:r>
      <w:proofErr w:type="gramEnd"/>
      <w:r w:rsidRPr="00BF3578">
        <w:rPr>
          <w:rFonts w:ascii="Times New Roman" w:hAnsi="Times New Roman" w:cs="Times New Roman"/>
          <w:b/>
          <w:bCs/>
          <w:color w:val="000000"/>
          <w:sz w:val="24"/>
          <w:szCs w:val="24"/>
        </w:rPr>
        <w:t xml:space="preserve"> KN026 concentrations. </w:t>
      </w:r>
      <w:r w:rsidRPr="00BF3578">
        <w:rPr>
          <w:rFonts w:ascii="Times New Roman" w:hAnsi="Times New Roman" w:cs="Times New Roman"/>
          <w:color w:val="000000"/>
          <w:sz w:val="24"/>
          <w:szCs w:val="24"/>
        </w:rPr>
        <w:t xml:space="preserve">20 mg/kg Q2W schedule and 30 mg/kg Q3W schedule. Simulations showed that both 20 mg/kg Q2W and 30 mg/kg Q3W schedules achieved more than 20 </w:t>
      </w:r>
      <w:proofErr w:type="spellStart"/>
      <w:r w:rsidRPr="00BF3578">
        <w:rPr>
          <w:rFonts w:ascii="Times New Roman" w:hAnsi="Times New Roman" w:cs="Times New Roman"/>
          <w:color w:val="000000"/>
          <w:sz w:val="24"/>
          <w:szCs w:val="24"/>
        </w:rPr>
        <w:t>μg</w:t>
      </w:r>
      <w:proofErr w:type="spellEnd"/>
      <w:r w:rsidRPr="00BF3578">
        <w:rPr>
          <w:rFonts w:ascii="Times New Roman" w:hAnsi="Times New Roman" w:cs="Times New Roman"/>
          <w:color w:val="000000"/>
          <w:sz w:val="24"/>
          <w:szCs w:val="24"/>
        </w:rPr>
        <w:t xml:space="preserve">/mL target threshold derived from preclinical studies in more than 90% of simulated population. (B) </w:t>
      </w:r>
      <w:r w:rsidRPr="00BF3578">
        <w:rPr>
          <w:rFonts w:ascii="Times New Roman" w:hAnsi="Times New Roman" w:cs="Times New Roman"/>
          <w:b/>
          <w:bCs/>
          <w:color w:val="000000"/>
          <w:sz w:val="24"/>
          <w:szCs w:val="24"/>
        </w:rPr>
        <w:t xml:space="preserve">Patient screening and post-treatment cycle 4 CT scans. </w:t>
      </w:r>
      <w:r w:rsidRPr="00BF3578">
        <w:rPr>
          <w:rFonts w:ascii="Times New Roman" w:hAnsi="Times New Roman" w:cs="Times New Roman"/>
          <w:color w:val="000000"/>
          <w:sz w:val="24"/>
          <w:szCs w:val="24"/>
        </w:rPr>
        <w:t>(</w:t>
      </w:r>
      <w:proofErr w:type="spellStart"/>
      <w:proofErr w:type="gramStart"/>
      <w:r w:rsidRPr="00BF3578">
        <w:rPr>
          <w:rFonts w:ascii="Times New Roman" w:hAnsi="Times New Roman" w:cs="Times New Roman"/>
          <w:color w:val="000000"/>
          <w:sz w:val="24"/>
          <w:szCs w:val="24"/>
        </w:rPr>
        <w:t>a,c</w:t>
      </w:r>
      <w:proofErr w:type="gramEnd"/>
      <w:r w:rsidRPr="00BF3578">
        <w:rPr>
          <w:rFonts w:ascii="Times New Roman" w:hAnsi="Times New Roman" w:cs="Times New Roman"/>
          <w:color w:val="000000"/>
          <w:sz w:val="24"/>
          <w:szCs w:val="24"/>
        </w:rPr>
        <w:t>,e</w:t>
      </w:r>
      <w:proofErr w:type="spellEnd"/>
      <w:r w:rsidRPr="00BF3578">
        <w:rPr>
          <w:rFonts w:ascii="Times New Roman" w:hAnsi="Times New Roman" w:cs="Times New Roman"/>
          <w:color w:val="000000"/>
          <w:sz w:val="24"/>
          <w:szCs w:val="24"/>
        </w:rPr>
        <w:t>) Pre-treatment and (</w:t>
      </w:r>
      <w:proofErr w:type="spellStart"/>
      <w:r w:rsidRPr="00BF3578">
        <w:rPr>
          <w:rFonts w:ascii="Times New Roman" w:hAnsi="Times New Roman" w:cs="Times New Roman"/>
          <w:color w:val="000000"/>
          <w:sz w:val="24"/>
          <w:szCs w:val="24"/>
        </w:rPr>
        <w:t>b,d,f</w:t>
      </w:r>
      <w:proofErr w:type="spellEnd"/>
      <w:r w:rsidRPr="00BF3578">
        <w:rPr>
          <w:rFonts w:ascii="Times New Roman" w:hAnsi="Times New Roman" w:cs="Times New Roman"/>
          <w:color w:val="000000"/>
          <w:sz w:val="24"/>
          <w:szCs w:val="24"/>
        </w:rPr>
        <w:t>) post-treatment scans from a patient with relapsed breast cancer who had a partial response. The patient was previously treated with adjuvant chemotherapy and radiotherapy, first-line docetaxel/trastuzumab/</w:t>
      </w:r>
      <w:proofErr w:type="spellStart"/>
      <w:r w:rsidRPr="00BF3578">
        <w:rPr>
          <w:rFonts w:ascii="Times New Roman" w:hAnsi="Times New Roman" w:cs="Times New Roman"/>
          <w:color w:val="000000"/>
          <w:sz w:val="24"/>
          <w:szCs w:val="24"/>
        </w:rPr>
        <w:t>pertuzumab</w:t>
      </w:r>
      <w:proofErr w:type="spellEnd"/>
      <w:r w:rsidRPr="00BF3578">
        <w:rPr>
          <w:rFonts w:ascii="Times New Roman" w:hAnsi="Times New Roman" w:cs="Times New Roman"/>
          <w:color w:val="000000"/>
          <w:sz w:val="24"/>
          <w:szCs w:val="24"/>
        </w:rPr>
        <w:t xml:space="preserve"> and </w:t>
      </w:r>
      <w:proofErr w:type="gramStart"/>
      <w:r w:rsidRPr="00BF3578">
        <w:rPr>
          <w:rFonts w:ascii="Times New Roman" w:hAnsi="Times New Roman" w:cs="Times New Roman"/>
          <w:color w:val="000000"/>
          <w:sz w:val="24"/>
          <w:szCs w:val="24"/>
        </w:rPr>
        <w:t>second-line</w:t>
      </w:r>
      <w:proofErr w:type="gramEnd"/>
      <w:r w:rsidRPr="00BF3578">
        <w:rPr>
          <w:rFonts w:ascii="Times New Roman" w:hAnsi="Times New Roman" w:cs="Times New Roman"/>
          <w:color w:val="000000"/>
          <w:sz w:val="24"/>
          <w:szCs w:val="24"/>
        </w:rPr>
        <w:t xml:space="preserve"> capecitabine/lapatinib. There was a significant reduction in tumor size in treatment cycle 4 of </w:t>
      </w:r>
      <w:proofErr w:type="gramStart"/>
      <w:r w:rsidRPr="00BF3578">
        <w:rPr>
          <w:rFonts w:ascii="Times New Roman" w:hAnsi="Times New Roman" w:cs="Times New Roman"/>
          <w:color w:val="000000"/>
          <w:sz w:val="24"/>
          <w:szCs w:val="24"/>
        </w:rPr>
        <w:t>third-line</w:t>
      </w:r>
      <w:proofErr w:type="gramEnd"/>
      <w:r w:rsidRPr="00BF3578">
        <w:rPr>
          <w:rFonts w:ascii="Times New Roman" w:hAnsi="Times New Roman" w:cs="Times New Roman"/>
          <w:color w:val="000000"/>
          <w:sz w:val="24"/>
          <w:szCs w:val="24"/>
        </w:rPr>
        <w:t xml:space="preserve"> KN026 (30 mg/kg q3w). Left lung (</w:t>
      </w:r>
      <w:proofErr w:type="spellStart"/>
      <w:proofErr w:type="gramStart"/>
      <w:r w:rsidRPr="00BF3578">
        <w:rPr>
          <w:rFonts w:ascii="Times New Roman" w:hAnsi="Times New Roman" w:cs="Times New Roman"/>
          <w:color w:val="000000"/>
          <w:sz w:val="24"/>
          <w:szCs w:val="24"/>
        </w:rPr>
        <w:t>a,b</w:t>
      </w:r>
      <w:proofErr w:type="spellEnd"/>
      <w:proofErr w:type="gramEnd"/>
      <w:r w:rsidRPr="00BF3578">
        <w:rPr>
          <w:rFonts w:ascii="Times New Roman" w:hAnsi="Times New Roman" w:cs="Times New Roman"/>
          <w:color w:val="000000"/>
          <w:sz w:val="24"/>
          <w:szCs w:val="24"/>
        </w:rPr>
        <w:t>), anterior mediastinal lymph nodes (</w:t>
      </w:r>
      <w:proofErr w:type="spellStart"/>
      <w:r w:rsidRPr="00BF3578">
        <w:rPr>
          <w:rFonts w:ascii="Times New Roman" w:hAnsi="Times New Roman" w:cs="Times New Roman"/>
          <w:color w:val="000000"/>
          <w:sz w:val="24"/>
          <w:szCs w:val="24"/>
        </w:rPr>
        <w:t>c,d</w:t>
      </w:r>
      <w:proofErr w:type="spellEnd"/>
      <w:r w:rsidRPr="00BF3578">
        <w:rPr>
          <w:rFonts w:ascii="Times New Roman" w:hAnsi="Times New Roman" w:cs="Times New Roman"/>
          <w:color w:val="000000"/>
          <w:sz w:val="24"/>
          <w:szCs w:val="24"/>
        </w:rPr>
        <w:t>) and right axillary lymph nodes (</w:t>
      </w:r>
      <w:proofErr w:type="spellStart"/>
      <w:r w:rsidRPr="00BF3578">
        <w:rPr>
          <w:rFonts w:ascii="Times New Roman" w:hAnsi="Times New Roman" w:cs="Times New Roman"/>
          <w:color w:val="000000"/>
          <w:sz w:val="24"/>
          <w:szCs w:val="24"/>
        </w:rPr>
        <w:t>e,f</w:t>
      </w:r>
      <w:proofErr w:type="spellEnd"/>
      <w:r w:rsidRPr="00BF3578">
        <w:rPr>
          <w:rFonts w:ascii="Times New Roman" w:hAnsi="Times New Roman" w:cs="Times New Roman"/>
          <w:color w:val="000000"/>
          <w:sz w:val="24"/>
          <w:szCs w:val="24"/>
        </w:rPr>
        <w:t>) were included in the target lesions. Left pleural effusion (</w:t>
      </w:r>
      <w:proofErr w:type="spellStart"/>
      <w:proofErr w:type="gramStart"/>
      <w:r w:rsidRPr="00BF3578">
        <w:rPr>
          <w:rFonts w:ascii="Times New Roman" w:hAnsi="Times New Roman" w:cs="Times New Roman"/>
          <w:color w:val="000000"/>
          <w:sz w:val="24"/>
          <w:szCs w:val="24"/>
        </w:rPr>
        <w:t>c,d</w:t>
      </w:r>
      <w:proofErr w:type="spellEnd"/>
      <w:proofErr w:type="gramEnd"/>
      <w:r w:rsidRPr="00BF3578">
        <w:rPr>
          <w:rFonts w:ascii="Times New Roman" w:hAnsi="Times New Roman" w:cs="Times New Roman"/>
          <w:color w:val="000000"/>
          <w:sz w:val="24"/>
          <w:szCs w:val="24"/>
        </w:rPr>
        <w:t>) was the non-target lesion. The median PFS for the patients was 6.77 months.</w:t>
      </w:r>
    </w:p>
    <w:p w14:paraId="2C81C3CA" w14:textId="77777777" w:rsidR="00AE676D" w:rsidRPr="00BF3578" w:rsidRDefault="00AE676D" w:rsidP="00AE676D">
      <w:pPr>
        <w:snapToGrid w:val="0"/>
        <w:spacing w:line="480" w:lineRule="auto"/>
        <w:rPr>
          <w:rFonts w:ascii="Times New Roman" w:hAnsi="Times New Roman" w:cs="Times New Roman"/>
          <w:color w:val="000000"/>
          <w:sz w:val="24"/>
          <w:szCs w:val="24"/>
        </w:rPr>
      </w:pPr>
      <w:r w:rsidRPr="00BF3578">
        <w:rPr>
          <w:rFonts w:ascii="Times New Roman" w:eastAsia="微软雅黑" w:hAnsi="Times New Roman" w:cs="Times New Roman"/>
          <w:color w:val="000000"/>
          <w:sz w:val="24"/>
          <w:szCs w:val="24"/>
        </w:rPr>
        <w:t xml:space="preserve">Abbreviations: </w:t>
      </w:r>
      <w:r w:rsidRPr="00BF3578">
        <w:rPr>
          <w:rFonts w:ascii="Times New Roman" w:hAnsi="Times New Roman" w:cs="Times New Roman"/>
          <w:color w:val="000000"/>
          <w:sz w:val="24"/>
          <w:szCs w:val="24"/>
        </w:rPr>
        <w:t>CT, computerized tomography; PFS, progression-free survival</w:t>
      </w:r>
    </w:p>
    <w:p w14:paraId="0940EBBC" w14:textId="77777777" w:rsidR="00AE676D" w:rsidRPr="00BF3578" w:rsidRDefault="00AE676D" w:rsidP="00AE676D">
      <w:pPr>
        <w:snapToGrid w:val="0"/>
        <w:spacing w:line="480" w:lineRule="auto"/>
        <w:rPr>
          <w:rFonts w:ascii="Times New Roman" w:hAnsi="Times New Roman" w:cs="Times New Roman" w:hint="eastAsia"/>
          <w:color w:val="000000"/>
          <w:sz w:val="24"/>
          <w:szCs w:val="24"/>
        </w:rPr>
      </w:pPr>
    </w:p>
    <w:p w14:paraId="1AA04C7D" w14:textId="77777777" w:rsidR="00AE676D" w:rsidRPr="00BF3578" w:rsidRDefault="00AE676D" w:rsidP="00AE676D">
      <w:pPr>
        <w:snapToGrid w:val="0"/>
        <w:spacing w:line="240" w:lineRule="auto"/>
        <w:rPr>
          <w:rFonts w:ascii="Times New Roman" w:hAnsi="Times New Roman" w:cs="Times New Roman"/>
          <w:color w:val="000000"/>
          <w:sz w:val="24"/>
          <w:szCs w:val="24"/>
        </w:rPr>
      </w:pPr>
      <w:r w:rsidRPr="00BF3578">
        <w:rPr>
          <w:rFonts w:ascii="Times New Roman" w:hAnsi="Times New Roman" w:cs="Times New Roman" w:hint="eastAsia"/>
          <w:b/>
          <w:bCs/>
          <w:color w:val="000000"/>
          <w:sz w:val="24"/>
          <w:szCs w:val="24"/>
        </w:rPr>
        <w:lastRenderedPageBreak/>
        <w:t>F</w:t>
      </w:r>
      <w:r w:rsidRPr="00BF3578">
        <w:rPr>
          <w:rFonts w:ascii="Times New Roman" w:hAnsi="Times New Roman" w:cs="Times New Roman"/>
          <w:b/>
          <w:bCs/>
          <w:color w:val="000000"/>
          <w:sz w:val="24"/>
          <w:szCs w:val="24"/>
        </w:rPr>
        <w:t xml:space="preserve">igure </w:t>
      </w:r>
      <w:r w:rsidRPr="00BF3578">
        <w:rPr>
          <w:rFonts w:ascii="Times New Roman" w:hAnsi="Times New Roman" w:cs="Times New Roman" w:hint="eastAsia"/>
          <w:b/>
          <w:bCs/>
          <w:color w:val="000000"/>
          <w:sz w:val="24"/>
          <w:szCs w:val="24"/>
        </w:rPr>
        <w:t>S</w:t>
      </w:r>
      <w:r w:rsidRPr="00BF3578">
        <w:rPr>
          <w:rFonts w:ascii="Times New Roman" w:hAnsi="Times New Roman" w:cs="Times New Roman"/>
          <w:b/>
          <w:bCs/>
          <w:color w:val="000000"/>
          <w:sz w:val="24"/>
          <w:szCs w:val="24"/>
        </w:rPr>
        <w:t xml:space="preserve">2. </w:t>
      </w:r>
      <w:r w:rsidRPr="00BF3578">
        <w:rPr>
          <w:rFonts w:ascii="Times New Roman" w:hAnsi="Times New Roman" w:cs="Times New Roman"/>
          <w:color w:val="000000"/>
          <w:sz w:val="24"/>
          <w:szCs w:val="24"/>
        </w:rPr>
        <w:t>PTEN shows a significant mutation bias in CDK12 non-amplification group from HER2+ breast cancer. Patients with loss-of-function mutations in PTEN are shown in red, otherwise in grey.</w:t>
      </w:r>
    </w:p>
    <w:p w14:paraId="12A30BF0" w14:textId="77777777" w:rsidR="00AE676D" w:rsidRPr="00BF3578" w:rsidRDefault="00AE676D" w:rsidP="00AE676D">
      <w:pPr>
        <w:snapToGrid w:val="0"/>
        <w:spacing w:line="240" w:lineRule="auto"/>
        <w:rPr>
          <w:rFonts w:ascii="Times New Roman" w:hAnsi="Times New Roman" w:cs="Times New Roman"/>
          <w:b/>
          <w:bCs/>
          <w:color w:val="000000"/>
          <w:sz w:val="24"/>
          <w:szCs w:val="24"/>
        </w:rPr>
      </w:pPr>
    </w:p>
    <w:p w14:paraId="53A1DDF4" w14:textId="140DB654" w:rsidR="007D1966" w:rsidRDefault="00AE676D" w:rsidP="00AE676D">
      <w:r w:rsidRPr="00BF3578">
        <w:rPr>
          <w:rFonts w:ascii="Times New Roman" w:hAnsi="Times New Roman" w:cs="Times New Roman" w:hint="eastAsia"/>
          <w:b/>
          <w:bCs/>
          <w:color w:val="000000"/>
          <w:sz w:val="24"/>
          <w:szCs w:val="24"/>
        </w:rPr>
        <w:t>F</w:t>
      </w:r>
      <w:r w:rsidRPr="00BF3578">
        <w:rPr>
          <w:rFonts w:ascii="Times New Roman" w:hAnsi="Times New Roman" w:cs="Times New Roman"/>
          <w:b/>
          <w:bCs/>
          <w:color w:val="000000"/>
          <w:sz w:val="24"/>
          <w:szCs w:val="24"/>
        </w:rPr>
        <w:t xml:space="preserve">igure </w:t>
      </w:r>
      <w:r w:rsidRPr="00BF3578">
        <w:rPr>
          <w:rFonts w:ascii="Times New Roman" w:hAnsi="Times New Roman" w:cs="Times New Roman" w:hint="eastAsia"/>
          <w:b/>
          <w:bCs/>
          <w:color w:val="000000"/>
          <w:sz w:val="24"/>
          <w:szCs w:val="24"/>
        </w:rPr>
        <w:t>S</w:t>
      </w:r>
      <w:r w:rsidRPr="00BF3578">
        <w:rPr>
          <w:rFonts w:ascii="Times New Roman" w:hAnsi="Times New Roman" w:cs="Times New Roman"/>
          <w:b/>
          <w:bCs/>
          <w:color w:val="000000"/>
          <w:sz w:val="24"/>
          <w:szCs w:val="24"/>
        </w:rPr>
        <w:t>3.</w:t>
      </w:r>
      <w:r w:rsidRPr="00BF3578">
        <w:rPr>
          <w:rFonts w:ascii="Times New Roman" w:hAnsi="Times New Roman" w:cs="Times New Roman"/>
          <w:color w:val="000000"/>
          <w:sz w:val="24"/>
          <w:szCs w:val="24"/>
        </w:rPr>
        <w:t xml:space="preserve"> </w:t>
      </w:r>
      <w:r w:rsidRPr="00BF3578">
        <w:rPr>
          <w:rFonts w:ascii="Times New Roman" w:hAnsi="Times New Roman" w:cs="Times New Roman"/>
          <w:b/>
          <w:bCs/>
          <w:color w:val="000000"/>
          <w:sz w:val="24"/>
          <w:szCs w:val="24"/>
        </w:rPr>
        <w:t xml:space="preserve">Tissue (A) and peripheral blood </w:t>
      </w:r>
      <w:proofErr w:type="spellStart"/>
      <w:r w:rsidRPr="00BF3578">
        <w:rPr>
          <w:rFonts w:ascii="Times New Roman" w:hAnsi="Times New Roman" w:cs="Times New Roman"/>
          <w:b/>
          <w:bCs/>
          <w:color w:val="000000"/>
          <w:sz w:val="24"/>
          <w:szCs w:val="24"/>
        </w:rPr>
        <w:t>ctDNA</w:t>
      </w:r>
      <w:proofErr w:type="spellEnd"/>
      <w:r w:rsidRPr="00BF3578">
        <w:rPr>
          <w:rFonts w:ascii="Times New Roman" w:hAnsi="Times New Roman" w:cs="Times New Roman"/>
          <w:b/>
          <w:bCs/>
          <w:color w:val="000000"/>
          <w:sz w:val="24"/>
          <w:szCs w:val="24"/>
        </w:rPr>
        <w:t xml:space="preserve"> (B) mutation profile of 22 patients.</w:t>
      </w:r>
      <w:r w:rsidRPr="00BF3578">
        <w:rPr>
          <w:rFonts w:ascii="Times New Roman" w:hAnsi="Times New Roman" w:cs="Times New Roman"/>
          <w:color w:val="000000"/>
          <w:sz w:val="24"/>
          <w:szCs w:val="24"/>
        </w:rPr>
        <w:t xml:space="preserve"> The bars located at the bottom of the </w:t>
      </w:r>
      <w:proofErr w:type="spellStart"/>
      <w:r w:rsidRPr="00BF3578">
        <w:rPr>
          <w:rFonts w:ascii="Times New Roman" w:hAnsi="Times New Roman" w:cs="Times New Roman"/>
          <w:color w:val="000000"/>
          <w:sz w:val="24"/>
          <w:szCs w:val="24"/>
        </w:rPr>
        <w:t>oncoprint</w:t>
      </w:r>
      <w:proofErr w:type="spellEnd"/>
      <w:r w:rsidRPr="00BF3578">
        <w:rPr>
          <w:rFonts w:ascii="Times New Roman" w:hAnsi="Times New Roman" w:cs="Times New Roman"/>
          <w:color w:val="000000"/>
          <w:sz w:val="24"/>
          <w:szCs w:val="24"/>
        </w:rPr>
        <w:t xml:space="preserve"> denote different groups of best response. Each column represents a </w:t>
      </w:r>
      <w:proofErr w:type="gramStart"/>
      <w:r w:rsidRPr="00BF3578">
        <w:rPr>
          <w:rFonts w:ascii="Times New Roman" w:hAnsi="Times New Roman" w:cs="Times New Roman"/>
          <w:color w:val="000000"/>
          <w:sz w:val="24"/>
          <w:szCs w:val="24"/>
        </w:rPr>
        <w:t>patient</w:t>
      </w:r>
      <w:proofErr w:type="gramEnd"/>
      <w:r w:rsidRPr="00BF3578">
        <w:rPr>
          <w:rFonts w:ascii="Times New Roman" w:hAnsi="Times New Roman" w:cs="Times New Roman"/>
          <w:color w:val="000000"/>
          <w:sz w:val="24"/>
          <w:szCs w:val="24"/>
        </w:rPr>
        <w:t xml:space="preserve"> and each row represents a gene. Values on the left represent the mutation rate of each gene. Values on the right indicate the genes. Top plot represents the overall number of mutations a patient carried. Different colors denote different types of mutation.</w:t>
      </w:r>
    </w:p>
    <w:sectPr w:rsidR="007D19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675A" w14:textId="77777777" w:rsidR="00044A03" w:rsidRDefault="00044A03" w:rsidP="00AE676D">
      <w:pPr>
        <w:spacing w:after="0" w:line="240" w:lineRule="auto"/>
      </w:pPr>
      <w:r>
        <w:separator/>
      </w:r>
    </w:p>
  </w:endnote>
  <w:endnote w:type="continuationSeparator" w:id="0">
    <w:p w14:paraId="397709C0" w14:textId="77777777" w:rsidR="00044A03" w:rsidRDefault="00044A03" w:rsidP="00AE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9957" w14:textId="77777777" w:rsidR="00044A03" w:rsidRDefault="00044A03" w:rsidP="00AE676D">
      <w:pPr>
        <w:spacing w:after="0" w:line="240" w:lineRule="auto"/>
      </w:pPr>
      <w:r>
        <w:separator/>
      </w:r>
    </w:p>
  </w:footnote>
  <w:footnote w:type="continuationSeparator" w:id="0">
    <w:p w14:paraId="41A41123" w14:textId="77777777" w:rsidR="00044A03" w:rsidRDefault="00044A03" w:rsidP="00AE6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FC"/>
    <w:rsid w:val="00044A03"/>
    <w:rsid w:val="00936CB5"/>
    <w:rsid w:val="00AE14AD"/>
    <w:rsid w:val="00AE676D"/>
    <w:rsid w:val="00CC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27CA59-65B9-4214-94E0-7278E98A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76D"/>
    <w:rPr>
      <w:rFonts w:ascii="Calibri" w:eastAsia="等线"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76D"/>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E676D"/>
    <w:rPr>
      <w:sz w:val="18"/>
      <w:szCs w:val="18"/>
    </w:rPr>
  </w:style>
  <w:style w:type="paragraph" w:styleId="a5">
    <w:name w:val="footer"/>
    <w:basedOn w:val="a"/>
    <w:link w:val="a6"/>
    <w:uiPriority w:val="99"/>
    <w:unhideWhenUsed/>
    <w:rsid w:val="00AE676D"/>
    <w:pP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a6">
    <w:name w:val="页脚 字符"/>
    <w:basedOn w:val="a0"/>
    <w:link w:val="a5"/>
    <w:uiPriority w:val="99"/>
    <w:rsid w:val="00AE67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剑</dc:creator>
  <cp:keywords/>
  <dc:description/>
  <cp:lastModifiedBy>张 剑</cp:lastModifiedBy>
  <cp:revision>2</cp:revision>
  <dcterms:created xsi:type="dcterms:W3CDTF">2021-11-10T00:38:00Z</dcterms:created>
  <dcterms:modified xsi:type="dcterms:W3CDTF">2021-11-10T00:38:00Z</dcterms:modified>
</cp:coreProperties>
</file>