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2ADD3" w14:textId="28D52E72" w:rsidR="00713360" w:rsidRDefault="00713360" w:rsidP="00713360">
      <w:pPr>
        <w:spacing w:line="360" w:lineRule="auto"/>
        <w:outlineLvl w:val="0"/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</w:pPr>
      <w:r w:rsidRPr="00BF20AD"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t>SUPPLEMENTA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t>RY</w:t>
      </w:r>
      <w:r w:rsidRPr="00BF20AD"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t>DATA</w:t>
      </w:r>
    </w:p>
    <w:p w14:paraId="5A5CE388" w14:textId="67CE8C18" w:rsidR="005F28EE" w:rsidRDefault="005F28EE" w:rsidP="00713360">
      <w:pPr>
        <w:spacing w:line="360" w:lineRule="auto"/>
        <w:outlineLvl w:val="0"/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</w:pPr>
      <w:r w:rsidRPr="00BF20AD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781574B" wp14:editId="47FEAE6A">
            <wp:extent cx="6781046" cy="2403504"/>
            <wp:effectExtent l="0" t="0" r="1270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80" cy="240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632C" w14:textId="46415778" w:rsidR="00713360" w:rsidRDefault="005F28EE" w:rsidP="005F28EE">
      <w:pPr>
        <w:pBdr>
          <w:bottom w:val="single" w:sz="6" w:space="1" w:color="auto"/>
        </w:pBdr>
        <w:outlineLvl w:val="0"/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</w:pPr>
      <w:r w:rsidRPr="00BF20AD">
        <w:rPr>
          <w:rFonts w:ascii="Arial" w:hAnsi="Arial" w:cs="Arial"/>
          <w:b/>
          <w:sz w:val="22"/>
          <w:szCs w:val="22"/>
        </w:rPr>
        <w:t xml:space="preserve">Supplementary Figure </w:t>
      </w:r>
      <w:r>
        <w:rPr>
          <w:rFonts w:ascii="Arial" w:hAnsi="Arial" w:cs="Arial"/>
          <w:b/>
          <w:sz w:val="22"/>
          <w:szCs w:val="22"/>
        </w:rPr>
        <w:t>1</w:t>
      </w:r>
      <w:r w:rsidRPr="00BF20AD">
        <w:rPr>
          <w:rFonts w:ascii="Arial" w:hAnsi="Arial" w:cs="Arial"/>
          <w:b/>
          <w:sz w:val="22"/>
          <w:szCs w:val="22"/>
        </w:rPr>
        <w:t>. A.</w:t>
      </w:r>
      <w:r w:rsidRPr="00BF20AD">
        <w:rPr>
          <w:rFonts w:ascii="Arial" w:hAnsi="Arial" w:cs="Arial"/>
          <w:sz w:val="22"/>
          <w:szCs w:val="22"/>
        </w:rPr>
        <w:t xml:space="preserve"> GIS distributions in </w:t>
      </w:r>
      <w:r w:rsidRPr="00BF20AD">
        <w:rPr>
          <w:rFonts w:ascii="Arial" w:hAnsi="Arial" w:cs="Arial"/>
          <w:i/>
          <w:iCs/>
          <w:sz w:val="22"/>
          <w:szCs w:val="22"/>
        </w:rPr>
        <w:t>BRCA1/2</w:t>
      </w:r>
      <w:r w:rsidRPr="00BF20AD">
        <w:rPr>
          <w:rFonts w:ascii="Arial" w:hAnsi="Arial" w:cs="Arial"/>
          <w:sz w:val="22"/>
          <w:szCs w:val="22"/>
        </w:rPr>
        <w:t xml:space="preserve"> mutant and WT tumors in our cohort (top) and in TCGA breast and ovarian cancers (bottom). </w:t>
      </w:r>
      <w:r w:rsidRPr="00BF20AD">
        <w:rPr>
          <w:rFonts w:ascii="Arial" w:hAnsi="Arial" w:cs="Arial"/>
          <w:b/>
          <w:sz w:val="22"/>
          <w:szCs w:val="22"/>
        </w:rPr>
        <w:t>B.</w:t>
      </w:r>
      <w:r w:rsidRPr="00BF20AD">
        <w:rPr>
          <w:rFonts w:ascii="Arial" w:hAnsi="Arial" w:cs="Arial"/>
          <w:sz w:val="22"/>
          <w:szCs w:val="22"/>
        </w:rPr>
        <w:t xml:space="preserve"> The Venn diagram showing the overlap between panel-Sig3, GIS and </w:t>
      </w:r>
      <w:r w:rsidRPr="00BF20AD">
        <w:rPr>
          <w:rFonts w:ascii="Arial" w:hAnsi="Arial" w:cs="Arial"/>
          <w:i/>
          <w:iCs/>
          <w:sz w:val="22"/>
          <w:szCs w:val="22"/>
        </w:rPr>
        <w:t>BRCA1/2</w:t>
      </w:r>
      <w:r w:rsidRPr="00BF20AD">
        <w:rPr>
          <w:rFonts w:ascii="Arial" w:hAnsi="Arial" w:cs="Arial"/>
          <w:sz w:val="22"/>
          <w:szCs w:val="22"/>
        </w:rPr>
        <w:t xml:space="preserve"> mutations. </w:t>
      </w:r>
      <w:r w:rsidRPr="00BF20AD">
        <w:rPr>
          <w:rFonts w:ascii="Arial" w:hAnsi="Arial" w:cs="Arial"/>
          <w:b/>
          <w:sz w:val="22"/>
          <w:szCs w:val="22"/>
        </w:rPr>
        <w:t>C.</w:t>
      </w:r>
      <w:r w:rsidRPr="00BF20AD">
        <w:rPr>
          <w:rFonts w:ascii="Arial" w:hAnsi="Arial" w:cs="Arial"/>
          <w:sz w:val="22"/>
          <w:szCs w:val="22"/>
        </w:rPr>
        <w:t xml:space="preserve"> PFS for two GIS categories using a threshold of 49 instead of 42. </w:t>
      </w:r>
      <w:r w:rsidRPr="00BF20AD">
        <w:rPr>
          <w:rFonts w:ascii="Arial" w:hAnsi="Arial" w:cs="Arial"/>
          <w:b/>
          <w:sz w:val="22"/>
          <w:szCs w:val="22"/>
        </w:rPr>
        <w:t>D-E.</w:t>
      </w:r>
      <w:r w:rsidRPr="00BF20AD">
        <w:rPr>
          <w:rFonts w:ascii="Arial" w:hAnsi="Arial" w:cs="Arial"/>
          <w:sz w:val="22"/>
          <w:szCs w:val="22"/>
        </w:rPr>
        <w:t xml:space="preserve"> Cox regression models with 49 GIS threshold without </w:t>
      </w:r>
      <w:r w:rsidRPr="00BF20AD">
        <w:rPr>
          <w:rFonts w:ascii="Arial" w:hAnsi="Arial" w:cs="Arial"/>
          <w:i/>
          <w:iCs/>
          <w:sz w:val="22"/>
          <w:szCs w:val="22"/>
        </w:rPr>
        <w:t>BRCA1/2</w:t>
      </w:r>
      <w:r w:rsidRPr="00BF20AD">
        <w:rPr>
          <w:rFonts w:ascii="Arial" w:hAnsi="Arial" w:cs="Arial"/>
          <w:sz w:val="22"/>
          <w:szCs w:val="22"/>
        </w:rPr>
        <w:t xml:space="preserve"> mutation status (top) and with </w:t>
      </w:r>
      <w:r w:rsidRPr="00BF20AD">
        <w:rPr>
          <w:rFonts w:ascii="Arial" w:hAnsi="Arial" w:cs="Arial"/>
          <w:i/>
          <w:iCs/>
          <w:sz w:val="22"/>
          <w:szCs w:val="22"/>
        </w:rPr>
        <w:t>BRCA1/2</w:t>
      </w:r>
      <w:r w:rsidRPr="00BF20AD">
        <w:rPr>
          <w:rFonts w:ascii="Arial" w:hAnsi="Arial" w:cs="Arial"/>
          <w:sz w:val="22"/>
          <w:szCs w:val="22"/>
        </w:rPr>
        <w:t xml:space="preserve"> mutation status (bottom).</w:t>
      </w:r>
    </w:p>
    <w:p w14:paraId="0CB3491A" w14:textId="55081AA0" w:rsidR="00805C03" w:rsidRDefault="00805C03">
      <w:pPr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softHyphen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234B5C" w:rsidRPr="00BF20AD" w14:paraId="531DEE94" w14:textId="77777777" w:rsidTr="007A401A">
        <w:tc>
          <w:tcPr>
            <w:tcW w:w="10800" w:type="dxa"/>
          </w:tcPr>
          <w:p w14:paraId="55BD1D67" w14:textId="77777777" w:rsidR="00234B5C" w:rsidRPr="00BF20AD" w:rsidRDefault="00234B5C" w:rsidP="007A401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BF20AD">
              <w:rPr>
                <w:rFonts w:ascii="Arial" w:hAnsi="Arial" w:cs="Arial"/>
                <w:b/>
                <w:bCs/>
                <w:noProof/>
                <w:color w:val="C00000"/>
                <w:sz w:val="22"/>
                <w:szCs w:val="22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inline distT="0" distB="0" distL="0" distR="0" wp14:anchorId="5E03860F" wp14:editId="483ADEBE">
                  <wp:extent cx="6790099" cy="6188421"/>
                  <wp:effectExtent l="0" t="0" r="4445" b="0"/>
                  <wp:docPr id="21" name="Picture 21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har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687" cy="619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B5C" w:rsidRPr="00BF20AD" w14:paraId="051A538A" w14:textId="77777777" w:rsidTr="007A401A">
        <w:tc>
          <w:tcPr>
            <w:tcW w:w="10800" w:type="dxa"/>
          </w:tcPr>
          <w:p w14:paraId="3E568EC3" w14:textId="77777777" w:rsidR="00234B5C" w:rsidRPr="00BF20AD" w:rsidRDefault="00234B5C" w:rsidP="007A401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>Supplementary Figure 2</w:t>
            </w:r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. A. The distribution and the cosine similarities with the most compatible signatures in COSMIC catalog of three signatures that was discovered with </w:t>
            </w:r>
            <w:proofErr w:type="spellStart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SigProfiler</w:t>
            </w:r>
            <w:proofErr w:type="spellEnd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from 37 WES tumors. </w:t>
            </w: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>B-C</w:t>
            </w:r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. KM curves comparing PFS of samples selected by different </w:t>
            </w:r>
            <w:proofErr w:type="spellStart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SigA</w:t>
            </w:r>
            <w:proofErr w:type="spellEnd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(the most </w:t>
            </w:r>
            <w:proofErr w:type="gramStart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similar to</w:t>
            </w:r>
            <w:proofErr w:type="gramEnd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Sig3) exposure thresholds; (top) larger than 25 and (bottom) zero. </w:t>
            </w: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>D.</w:t>
            </w:r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The </w:t>
            </w:r>
            <w:proofErr w:type="spellStart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SigA</w:t>
            </w:r>
            <w:proofErr w:type="spellEnd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exposures in the WES-Sig3+ (5% FPR) and WES-Sig3- patients.</w:t>
            </w: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E. </w:t>
            </w:r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Number of samples comparing categories based on </w:t>
            </w:r>
            <w:proofErr w:type="spellStart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SigA</w:t>
            </w:r>
            <w:proofErr w:type="spellEnd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exposures to other HRD measures.</w:t>
            </w:r>
          </w:p>
          <w:p w14:paraId="19AFB75E" w14:textId="77777777" w:rsidR="00234B5C" w:rsidRPr="00BF20AD" w:rsidRDefault="00234B5C" w:rsidP="007A401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</w:tbl>
    <w:p w14:paraId="5BD413CF" w14:textId="7474EDF2" w:rsidR="00234B5C" w:rsidRDefault="00234B5C" w:rsidP="005F28EE">
      <w:pPr>
        <w:pBdr>
          <w:bottom w:val="single" w:sz="6" w:space="1" w:color="auto"/>
        </w:pBdr>
        <w:outlineLvl w:val="0"/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</w:pPr>
    </w:p>
    <w:p w14:paraId="1B4D02E6" w14:textId="77777777" w:rsidR="00805C03" w:rsidRDefault="00805C03" w:rsidP="005F28EE">
      <w:pPr>
        <w:outlineLvl w:val="0"/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</w:pPr>
    </w:p>
    <w:p w14:paraId="794D8ED0" w14:textId="77777777" w:rsidR="00234B5C" w:rsidRDefault="00234B5C">
      <w:pPr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  <w:br w:type="page"/>
      </w:r>
    </w:p>
    <w:p w14:paraId="57671A9B" w14:textId="77777777" w:rsidR="005F28EE" w:rsidRPr="00BF20AD" w:rsidRDefault="005F28EE" w:rsidP="005F28EE">
      <w:pPr>
        <w:outlineLvl w:val="0"/>
        <w:rPr>
          <w:rFonts w:ascii="Arial" w:hAnsi="Arial" w:cs="Arial"/>
          <w:b/>
          <w:bCs/>
          <w:color w:val="000000" w:themeColor="text1"/>
          <w:sz w:val="22"/>
          <w:szCs w:val="22"/>
          <w:u w:color="C0504D"/>
        </w:rPr>
      </w:pPr>
    </w:p>
    <w:p w14:paraId="1E8081ED" w14:textId="600AF77F" w:rsidR="00713360" w:rsidRPr="00BF20AD" w:rsidRDefault="00713360" w:rsidP="00713360">
      <w:pPr>
        <w:pStyle w:val="Body"/>
        <w:rPr>
          <w:rFonts w:ascii="Arial" w:hAnsi="Arial" w:cs="Arial"/>
          <w:color w:val="auto"/>
          <w:sz w:val="22"/>
          <w:szCs w:val="22"/>
        </w:rPr>
      </w:pPr>
      <w:r w:rsidRPr="00BF20AD">
        <w:rPr>
          <w:rFonts w:ascii="Arial" w:hAnsi="Arial" w:cs="Arial"/>
          <w:b/>
          <w:noProof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2DE09513" wp14:editId="1BC3C907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4243070" cy="51073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4-27 at 4.18.15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0AD">
        <w:rPr>
          <w:rFonts w:ascii="Arial" w:hAnsi="Arial" w:cs="Arial"/>
          <w:b/>
          <w:color w:val="auto"/>
          <w:sz w:val="22"/>
          <w:szCs w:val="22"/>
        </w:rPr>
        <w:t xml:space="preserve">Supplementary Figure </w:t>
      </w:r>
      <w:r w:rsidR="00234B5C">
        <w:rPr>
          <w:rFonts w:ascii="Arial" w:hAnsi="Arial" w:cs="Arial"/>
          <w:b/>
          <w:color w:val="auto"/>
          <w:sz w:val="22"/>
          <w:szCs w:val="22"/>
        </w:rPr>
        <w:t>3</w:t>
      </w:r>
      <w:r w:rsidRPr="00BF20AD">
        <w:rPr>
          <w:rFonts w:ascii="Arial" w:hAnsi="Arial" w:cs="Arial"/>
          <w:b/>
          <w:color w:val="auto"/>
          <w:sz w:val="22"/>
          <w:szCs w:val="22"/>
        </w:rPr>
        <w:t>.</w:t>
      </w:r>
      <w:r w:rsidRPr="00BF20AD">
        <w:rPr>
          <w:rFonts w:ascii="Arial" w:hAnsi="Arial" w:cs="Arial"/>
          <w:color w:val="auto"/>
          <w:sz w:val="22"/>
          <w:szCs w:val="22"/>
        </w:rPr>
        <w:t xml:space="preserve"> </w:t>
      </w:r>
      <w:r w:rsidRPr="00BF20AD">
        <w:rPr>
          <w:rFonts w:ascii="Arial" w:hAnsi="Arial" w:cs="Arial"/>
          <w:b/>
          <w:color w:val="auto"/>
          <w:sz w:val="22"/>
          <w:szCs w:val="22"/>
        </w:rPr>
        <w:t xml:space="preserve">A. </w:t>
      </w:r>
      <w:r w:rsidRPr="00BF20AD">
        <w:rPr>
          <w:rFonts w:ascii="Arial" w:hAnsi="Arial" w:cs="Arial"/>
          <w:color w:val="auto"/>
          <w:sz w:val="22"/>
          <w:szCs w:val="22"/>
        </w:rPr>
        <w:t xml:space="preserve">Relative (left) and absolute (middle) Sig3 exposure calculated with NNLS, and GIS (right) from WES data for three groups of samples based on their </w:t>
      </w:r>
      <w:proofErr w:type="spellStart"/>
      <w:r w:rsidRPr="00BF20AD">
        <w:rPr>
          <w:rFonts w:ascii="Arial" w:hAnsi="Arial" w:cs="Arial"/>
          <w:color w:val="auto"/>
          <w:sz w:val="22"/>
          <w:szCs w:val="22"/>
        </w:rPr>
        <w:t>SigMA</w:t>
      </w:r>
      <w:proofErr w:type="spellEnd"/>
      <w:r w:rsidRPr="00BF20AD">
        <w:rPr>
          <w:rFonts w:ascii="Arial" w:hAnsi="Arial" w:cs="Arial"/>
          <w:color w:val="auto"/>
          <w:sz w:val="22"/>
          <w:szCs w:val="22"/>
        </w:rPr>
        <w:t xml:space="preserve"> score (Sig3- samples and Sig3+ samples defined by 10% and 5% FPR thresholds; 5% threshold is used in Fig1). </w:t>
      </w:r>
      <w:r w:rsidRPr="00BF20AD">
        <w:rPr>
          <w:rFonts w:ascii="Arial" w:hAnsi="Arial" w:cs="Arial"/>
          <w:b/>
          <w:color w:val="auto"/>
          <w:sz w:val="22"/>
          <w:szCs w:val="22"/>
        </w:rPr>
        <w:t>B.</w:t>
      </w:r>
      <w:r w:rsidRPr="00BF20AD">
        <w:rPr>
          <w:rFonts w:ascii="Arial" w:hAnsi="Arial" w:cs="Arial"/>
          <w:color w:val="auto"/>
          <w:sz w:val="22"/>
          <w:szCs w:val="22"/>
        </w:rPr>
        <w:t xml:space="preserve"> Same as panel A but with groups on x-axis are based on </w:t>
      </w:r>
      <w:proofErr w:type="spellStart"/>
      <w:r w:rsidRPr="00BF20AD">
        <w:rPr>
          <w:rFonts w:ascii="Arial" w:hAnsi="Arial" w:cs="Arial"/>
          <w:color w:val="auto"/>
          <w:sz w:val="22"/>
          <w:szCs w:val="22"/>
        </w:rPr>
        <w:t>SigMA</w:t>
      </w:r>
      <w:proofErr w:type="spellEnd"/>
      <w:r w:rsidRPr="00BF20AD">
        <w:rPr>
          <w:rFonts w:ascii="Arial" w:hAnsi="Arial" w:cs="Arial"/>
          <w:color w:val="auto"/>
          <w:sz w:val="22"/>
          <w:szCs w:val="22"/>
        </w:rPr>
        <w:t xml:space="preserve"> scores from panels. The 10% FPR threshold is used in Fig1-3. The values on the y-axis are still calculated from WES data. </w:t>
      </w:r>
      <w:r w:rsidRPr="00BF20AD">
        <w:rPr>
          <w:rFonts w:ascii="Arial" w:hAnsi="Arial" w:cs="Arial"/>
          <w:b/>
          <w:color w:val="auto"/>
          <w:sz w:val="22"/>
          <w:szCs w:val="22"/>
        </w:rPr>
        <w:t>C.</w:t>
      </w:r>
      <w:r w:rsidRPr="00BF20AD">
        <w:rPr>
          <w:rFonts w:ascii="Arial" w:hAnsi="Arial" w:cs="Arial"/>
          <w:color w:val="auto"/>
          <w:sz w:val="22"/>
          <w:szCs w:val="22"/>
        </w:rPr>
        <w:t xml:space="preserve"> The absolute Sig3 exposure (left) and GIS (right) from WES data in the groups based on the Sig3 status from WES and panels.  </w:t>
      </w:r>
      <w:r w:rsidRPr="00BF20AD">
        <w:rPr>
          <w:rFonts w:ascii="Arial" w:hAnsi="Arial" w:cs="Arial"/>
          <w:b/>
          <w:color w:val="auto"/>
          <w:sz w:val="22"/>
          <w:szCs w:val="22"/>
        </w:rPr>
        <w:t>D.</w:t>
      </w:r>
      <w:r w:rsidRPr="00BF20AD">
        <w:rPr>
          <w:rFonts w:ascii="Arial" w:hAnsi="Arial" w:cs="Arial"/>
          <w:color w:val="auto"/>
          <w:sz w:val="22"/>
          <w:szCs w:val="22"/>
        </w:rPr>
        <w:t xml:space="preserve"> The </w:t>
      </w:r>
      <w:r w:rsidRPr="00BF20AD">
        <w:rPr>
          <w:rFonts w:ascii="Arial" w:hAnsi="Arial" w:cs="Arial"/>
          <w:i/>
          <w:iCs/>
          <w:color w:val="auto"/>
          <w:sz w:val="22"/>
          <w:szCs w:val="22"/>
        </w:rPr>
        <w:t>BRCA1/2</w:t>
      </w:r>
      <w:r w:rsidRPr="00BF20AD">
        <w:rPr>
          <w:rFonts w:ascii="Arial" w:hAnsi="Arial" w:cs="Arial"/>
          <w:color w:val="auto"/>
          <w:sz w:val="22"/>
          <w:szCs w:val="22"/>
        </w:rPr>
        <w:t>mut Sig3- samples are compared to WT Sig3- and Sig3+ samples. All the distributions in each panel are compared but only the significant ones are marked.</w:t>
      </w:r>
    </w:p>
    <w:p w14:paraId="43052D26" w14:textId="77777777" w:rsidR="00713360" w:rsidRPr="00BF20AD" w:rsidRDefault="00713360" w:rsidP="00713360">
      <w:pPr>
        <w:pStyle w:val="Body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713360" w:rsidRPr="00BF20AD" w14:paraId="37E6E76E" w14:textId="77777777" w:rsidTr="00920CEE">
        <w:tc>
          <w:tcPr>
            <w:tcW w:w="10800" w:type="dxa"/>
          </w:tcPr>
          <w:p w14:paraId="38A1F2A8" w14:textId="5C209F05" w:rsidR="00713360" w:rsidRPr="00BF20AD" w:rsidRDefault="00713360" w:rsidP="00920CE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</w:tc>
      </w:tr>
    </w:tbl>
    <w:p w14:paraId="4D5F1797" w14:textId="55B09B2B" w:rsidR="00234B5C" w:rsidRDefault="00234B5C"/>
    <w:tbl>
      <w:tblPr>
        <w:tblStyle w:val="TableGrid"/>
        <w:tblW w:w="15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  <w:gridCol w:w="4504"/>
      </w:tblGrid>
      <w:tr w:rsidR="00713360" w:rsidRPr="00BF20AD" w14:paraId="361BAE68" w14:textId="77777777" w:rsidTr="00234B5C">
        <w:trPr>
          <w:gridAfter w:val="1"/>
          <w:wAfter w:w="4504" w:type="dxa"/>
        </w:trPr>
        <w:tc>
          <w:tcPr>
            <w:tcW w:w="10800" w:type="dxa"/>
          </w:tcPr>
          <w:p w14:paraId="62F344FA" w14:textId="29AA1C30" w:rsidR="00713360" w:rsidRDefault="00713360" w:rsidP="00920CEE">
            <w:pPr>
              <w:pStyle w:val="Body"/>
              <w:pBdr>
                <w:top w:val="none" w:sz="0" w:space="0" w:color="auto"/>
                <w:left w:val="none" w:sz="0" w:space="0" w:color="auto"/>
                <w:bottom w:val="single" w:sz="6" w:space="1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4B530BE" w14:textId="5711DA5F" w:rsidR="00805C03" w:rsidRPr="00BF20AD" w:rsidRDefault="00805C03" w:rsidP="00920CE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234B5C" w:rsidRPr="00BF20AD" w14:paraId="6B49C93D" w14:textId="1320455C" w:rsidTr="00234B5C">
        <w:trPr>
          <w:trHeight w:val="828"/>
        </w:trPr>
        <w:tc>
          <w:tcPr>
            <w:tcW w:w="10800" w:type="dxa"/>
          </w:tcPr>
          <w:p w14:paraId="5EFEAD43" w14:textId="5AFB9A47" w:rsidR="00234B5C" w:rsidRPr="00BF20AD" w:rsidRDefault="00234B5C" w:rsidP="00234B5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noProof/>
                <w:color w:val="auto"/>
                <w:sz w:val="22"/>
                <w:szCs w:val="22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504" w:type="dxa"/>
          </w:tcPr>
          <w:p w14:paraId="5811831B" w14:textId="4DA6AD77" w:rsidR="00234B5C" w:rsidRPr="00BF20AD" w:rsidRDefault="00234B5C" w:rsidP="00234B5C">
            <w:pPr>
              <w:spacing w:after="160" w:line="259" w:lineRule="auto"/>
            </w:pPr>
          </w:p>
        </w:tc>
      </w:tr>
    </w:tbl>
    <w:p w14:paraId="08BA2A91" w14:textId="015A7F5F" w:rsidR="00713360" w:rsidRDefault="00234B5C" w:rsidP="00713360">
      <w:pPr>
        <w:pStyle w:val="Body"/>
        <w:spacing w:line="360" w:lineRule="auto"/>
        <w:ind w:left="180"/>
        <w:rPr>
          <w:rFonts w:ascii="Arial" w:hAnsi="Arial" w:cs="Arial"/>
          <w:color w:val="auto"/>
          <w:sz w:val="22"/>
          <w:szCs w:val="22"/>
        </w:rPr>
      </w:pPr>
      <w:r w:rsidRPr="00BF20AD">
        <w:rPr>
          <w:rFonts w:ascii="Arial" w:hAnsi="Arial" w:cs="Arial"/>
          <w:b/>
          <w:noProof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7D5105E" wp14:editId="6B363799">
            <wp:extent cx="3848100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ementary Figure 7 new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BF4A" w14:textId="2351E8B8" w:rsidR="00234B5C" w:rsidRDefault="00234B5C" w:rsidP="00234B5C">
      <w:pPr>
        <w:pStyle w:val="Body"/>
        <w:rPr>
          <w:rFonts w:ascii="Arial" w:hAnsi="Arial" w:cs="Arial"/>
          <w:color w:val="auto"/>
          <w:sz w:val="22"/>
          <w:szCs w:val="22"/>
        </w:rPr>
      </w:pPr>
      <w:r w:rsidRPr="00BF20AD">
        <w:rPr>
          <w:rFonts w:ascii="Arial" w:hAnsi="Arial" w:cs="Arial"/>
          <w:b/>
          <w:color w:val="auto"/>
          <w:sz w:val="22"/>
          <w:szCs w:val="22"/>
        </w:rPr>
        <w:t xml:space="preserve">Supplementary Figure </w:t>
      </w:r>
      <w:r>
        <w:rPr>
          <w:rFonts w:ascii="Arial" w:hAnsi="Arial" w:cs="Arial"/>
          <w:b/>
          <w:color w:val="auto"/>
          <w:sz w:val="22"/>
          <w:szCs w:val="22"/>
        </w:rPr>
        <w:t>4</w:t>
      </w:r>
      <w:r w:rsidRPr="00BF20AD">
        <w:rPr>
          <w:rFonts w:ascii="Arial" w:hAnsi="Arial" w:cs="Arial"/>
          <w:b/>
          <w:color w:val="auto"/>
          <w:sz w:val="22"/>
          <w:szCs w:val="22"/>
        </w:rPr>
        <w:t xml:space="preserve">. </w:t>
      </w:r>
      <w:r w:rsidRPr="00BF20AD">
        <w:rPr>
          <w:rFonts w:ascii="Arial" w:hAnsi="Arial" w:cs="Arial"/>
          <w:color w:val="auto"/>
          <w:sz w:val="22"/>
          <w:szCs w:val="22"/>
        </w:rPr>
        <w:t xml:space="preserve">The number of patients that are </w:t>
      </w:r>
      <w:r w:rsidRPr="00BF20AD">
        <w:rPr>
          <w:rFonts w:ascii="Arial" w:hAnsi="Arial" w:cs="Arial"/>
          <w:i/>
          <w:iCs/>
          <w:color w:val="auto"/>
          <w:sz w:val="22"/>
          <w:szCs w:val="22"/>
        </w:rPr>
        <w:t>BRCA1/2</w:t>
      </w:r>
      <w:r w:rsidRPr="00BF20AD">
        <w:rPr>
          <w:rFonts w:ascii="Arial" w:hAnsi="Arial" w:cs="Arial"/>
          <w:color w:val="auto"/>
          <w:sz w:val="22"/>
          <w:szCs w:val="22"/>
        </w:rPr>
        <w:t>mut in different Sig3 categories. (Left) Panel-Sig3, (Right) WES-Sig3.</w:t>
      </w:r>
    </w:p>
    <w:p w14:paraId="733822D1" w14:textId="51DC35BB" w:rsidR="00234B5C" w:rsidRDefault="00234B5C" w:rsidP="00713360">
      <w:pPr>
        <w:pStyle w:val="Body"/>
        <w:pBdr>
          <w:bottom w:val="single" w:sz="6" w:space="1" w:color="auto"/>
        </w:pBdr>
        <w:spacing w:line="360" w:lineRule="auto"/>
        <w:ind w:left="180"/>
        <w:rPr>
          <w:rFonts w:ascii="Arial" w:hAnsi="Arial" w:cs="Arial"/>
          <w:color w:val="auto"/>
          <w:sz w:val="22"/>
          <w:szCs w:val="22"/>
        </w:rPr>
      </w:pPr>
    </w:p>
    <w:p w14:paraId="2489B472" w14:textId="77777777" w:rsidR="00805C03" w:rsidRDefault="00805C03" w:rsidP="00713360">
      <w:pPr>
        <w:pStyle w:val="Body"/>
        <w:pBdr>
          <w:top w:val="none" w:sz="0" w:space="0" w:color="auto"/>
        </w:pBdr>
        <w:spacing w:line="360" w:lineRule="auto"/>
        <w:ind w:left="180"/>
        <w:rPr>
          <w:rFonts w:ascii="Arial" w:hAnsi="Arial" w:cs="Arial"/>
          <w:color w:val="auto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713360" w:rsidRPr="00BF20AD" w14:paraId="32552E04" w14:textId="77777777" w:rsidTr="00920CEE">
        <w:tc>
          <w:tcPr>
            <w:tcW w:w="10800" w:type="dxa"/>
          </w:tcPr>
          <w:p w14:paraId="68FFA476" w14:textId="77777777" w:rsidR="00713360" w:rsidRPr="00BF20AD" w:rsidRDefault="00713360" w:rsidP="00920CE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F20AD">
              <w:rPr>
                <w:rFonts w:ascii="Arial" w:hAnsi="Arial" w:cs="Arial"/>
                <w:b/>
                <w:noProof/>
                <w:color w:val="auto"/>
                <w:sz w:val="22"/>
                <w:szCs w:val="22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192B2449" wp14:editId="271BBFB7">
                  <wp:extent cx="6654297" cy="2392466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21-04-27 at 4.21.18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643" cy="23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60" w:rsidRPr="00BF20AD" w14:paraId="266E44BB" w14:textId="77777777" w:rsidTr="00920CEE">
        <w:tc>
          <w:tcPr>
            <w:tcW w:w="10800" w:type="dxa"/>
          </w:tcPr>
          <w:p w14:paraId="08D31F8E" w14:textId="7D051798" w:rsidR="00713360" w:rsidRPr="00BF20AD" w:rsidRDefault="00713360" w:rsidP="00805C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Supplementary Figure </w:t>
            </w:r>
            <w:r w:rsidR="00234B5C">
              <w:rPr>
                <w:rFonts w:ascii="Arial" w:hAnsi="Arial" w:cs="Arial"/>
                <w:b/>
                <w:color w:val="auto"/>
                <w:sz w:val="22"/>
                <w:szCs w:val="22"/>
              </w:rPr>
              <w:t>5</w:t>
            </w: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. </w:t>
            </w:r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A-B. Comparison of PFS according to GIS and Sig3 from panel for GIS thresholds of 42 and 49, respectively</w:t>
            </w: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. </w:t>
            </w:r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Sig3+/GIS- group contains 1 and 2 patients respectively for </w:t>
            </w:r>
            <w:proofErr w:type="spellStart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paels</w:t>
            </w:r>
            <w:proofErr w:type="spellEnd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A-B, both were censored and had low PFS values. As a result, they were not informative and are not shown</w:t>
            </w: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>. C,</w:t>
            </w:r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grouping based on Sig3 exposure calculated with NNLS is compared to </w:t>
            </w:r>
            <w:proofErr w:type="spellStart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SigMA</w:t>
            </w:r>
            <w:proofErr w:type="spellEnd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classification. NNLS+ indicates a Sig3 exposure greater than zero.</w:t>
            </w:r>
          </w:p>
        </w:tc>
      </w:tr>
    </w:tbl>
    <w:p w14:paraId="6F4F91F9" w14:textId="16755115" w:rsidR="00713360" w:rsidRDefault="00713360" w:rsidP="00805C03">
      <w:pPr>
        <w:pStyle w:val="Body"/>
        <w:pBdr>
          <w:bottom w:val="single" w:sz="6" w:space="1" w:color="auto"/>
        </w:pBd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61806A27" w14:textId="77777777" w:rsidR="00805C03" w:rsidRPr="00BF20AD" w:rsidRDefault="00805C03" w:rsidP="00805C03">
      <w:pPr>
        <w:pStyle w:val="Body"/>
        <w:pBdr>
          <w:top w:val="none" w:sz="0" w:space="0" w:color="auto"/>
        </w:pBd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713360" w:rsidRPr="00BF20AD" w14:paraId="733E0957" w14:textId="77777777" w:rsidTr="00920CEE">
        <w:tc>
          <w:tcPr>
            <w:tcW w:w="10800" w:type="dxa"/>
          </w:tcPr>
          <w:p w14:paraId="4388D41C" w14:textId="20D4F3D0" w:rsidR="00713360" w:rsidRPr="00BF20AD" w:rsidRDefault="00713360" w:rsidP="00920CE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F20AD">
              <w:rPr>
                <w:rFonts w:ascii="Arial" w:hAnsi="Arial" w:cs="Arial"/>
                <w:noProof/>
                <w:color w:val="auto"/>
                <w:sz w:val="22"/>
                <w:szCs w:val="22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E9695FC" wp14:editId="2204E1D4">
                  <wp:extent cx="6651568" cy="128905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1-04-27 at 4.22.14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626" cy="129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60" w:rsidRPr="00BF20AD" w14:paraId="4E238609" w14:textId="77777777" w:rsidTr="00920CEE">
        <w:tc>
          <w:tcPr>
            <w:tcW w:w="10800" w:type="dxa"/>
          </w:tcPr>
          <w:p w14:paraId="2DF94046" w14:textId="4C533C32" w:rsidR="00713360" w:rsidRPr="00BF20AD" w:rsidRDefault="00713360" w:rsidP="00920CE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Supplementary Figure </w:t>
            </w:r>
            <w:r w:rsidR="009B2DCB">
              <w:rPr>
                <w:rFonts w:ascii="Arial" w:hAnsi="Arial" w:cs="Arial"/>
                <w:b/>
                <w:color w:val="auto"/>
                <w:sz w:val="22"/>
                <w:szCs w:val="22"/>
              </w:rPr>
              <w:t>6</w:t>
            </w:r>
            <w:r w:rsidRPr="00BF20AD">
              <w:rPr>
                <w:rFonts w:ascii="Arial" w:hAnsi="Arial" w:cs="Arial"/>
                <w:b/>
                <w:color w:val="auto"/>
                <w:sz w:val="22"/>
                <w:szCs w:val="22"/>
              </w:rPr>
              <w:t>.</w:t>
            </w:r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 Cox regression where each of the HRD measure (Sig3 status from panel with </w:t>
            </w:r>
            <w:proofErr w:type="spellStart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SigMA</w:t>
            </w:r>
            <w:proofErr w:type="spellEnd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, Sig3 status from WES with </w:t>
            </w:r>
            <w:proofErr w:type="spellStart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SigMA</w:t>
            </w:r>
            <w:proofErr w:type="spellEnd"/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 xml:space="preserve">, GIS from WES and </w:t>
            </w:r>
            <w:r w:rsidRPr="00BF20AD">
              <w:rPr>
                <w:rFonts w:ascii="Arial" w:hAnsi="Arial" w:cs="Arial"/>
                <w:i/>
                <w:color w:val="auto"/>
                <w:sz w:val="22"/>
                <w:szCs w:val="22"/>
              </w:rPr>
              <w:t>BRCA1/2</w:t>
            </w:r>
            <w:r w:rsidRPr="00BF20AD">
              <w:rPr>
                <w:rFonts w:ascii="Arial" w:hAnsi="Arial" w:cs="Arial"/>
                <w:color w:val="auto"/>
                <w:sz w:val="22"/>
                <w:szCs w:val="22"/>
              </w:rPr>
              <w:t>mut status (from left to right) is combined with the same potentially confounding covariates.</w:t>
            </w:r>
          </w:p>
        </w:tc>
      </w:tr>
    </w:tbl>
    <w:p w14:paraId="43D9E17C" w14:textId="0DE19F9A" w:rsidR="00713360" w:rsidRDefault="00713360" w:rsidP="00713360">
      <w:pPr>
        <w:pStyle w:val="Body"/>
        <w:pBdr>
          <w:bottom w:val="single" w:sz="6" w:space="1" w:color="auto"/>
        </w:pBdr>
        <w:spacing w:line="360" w:lineRule="auto"/>
        <w:ind w:left="180"/>
        <w:rPr>
          <w:rFonts w:ascii="Arial" w:hAnsi="Arial" w:cs="Arial"/>
          <w:color w:val="auto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713360" w:rsidRPr="00BF20AD" w14:paraId="4BDE1229" w14:textId="77777777" w:rsidTr="00805C03">
        <w:trPr>
          <w:trHeight w:val="441"/>
        </w:trPr>
        <w:tc>
          <w:tcPr>
            <w:tcW w:w="10800" w:type="dxa"/>
          </w:tcPr>
          <w:p w14:paraId="1E5C0950" w14:textId="77777777" w:rsidR="00713360" w:rsidRPr="00BF20AD" w:rsidRDefault="00713360" w:rsidP="00920CE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BF20AD">
              <w:rPr>
                <w:rFonts w:ascii="Arial" w:hAnsi="Arial" w:cs="Arial"/>
                <w:noProof/>
                <w:color w:val="auto"/>
                <w:sz w:val="22"/>
                <w:szCs w:val="22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30585078" wp14:editId="4713C5E3">
                  <wp:extent cx="6858000" cy="164719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21-04-27 at 4.32.34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60" w:rsidRPr="00BF20AD" w14:paraId="36693A76" w14:textId="77777777" w:rsidTr="00805C03">
        <w:trPr>
          <w:trHeight w:val="855"/>
        </w:trPr>
        <w:tc>
          <w:tcPr>
            <w:tcW w:w="10800" w:type="dxa"/>
          </w:tcPr>
          <w:p w14:paraId="216B8F68" w14:textId="0B170718" w:rsidR="00713360" w:rsidRPr="00BF20AD" w:rsidRDefault="00713360" w:rsidP="00920CEE">
            <w:pPr>
              <w:pStyle w:val="Body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BF20A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Supplementary Figure </w:t>
            </w:r>
            <w:r w:rsidR="009B2DC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7</w:t>
            </w:r>
            <w:r w:rsidRPr="00BF20A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r w:rsidRPr="00BF20A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Influence of gene amplification implicated in resistance to PARP</w:t>
            </w:r>
            <w:r w:rsidRPr="00BF20AD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i</w:t>
            </w:r>
            <w:r w:rsidRPr="00BF20A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on PFS. </w:t>
            </w:r>
            <w:r w:rsidRPr="00BF20A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A,</w:t>
            </w:r>
            <w:r w:rsidRPr="00BF20A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KM curves for four other genes that have a non-significant negative influence on PFS. </w:t>
            </w:r>
            <w:r w:rsidRPr="00BF20A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B, </w:t>
            </w:r>
            <w:r w:rsidRPr="00BF20A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Comparison of PFS in four categories based on </w:t>
            </w:r>
            <w:r w:rsidRPr="00BF20AD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ATR</w:t>
            </w:r>
            <w:r w:rsidRPr="00BF20A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amplification and Sig3 status.</w:t>
            </w:r>
          </w:p>
        </w:tc>
      </w:tr>
    </w:tbl>
    <w:p w14:paraId="49613EBE" w14:textId="77777777" w:rsidR="00B50916" w:rsidRDefault="00B50916" w:rsidP="00805C03"/>
    <w:sectPr w:rsidR="00B50916" w:rsidSect="007F778A">
      <w:footerReference w:type="even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912EB" w14:textId="77777777" w:rsidR="00540387" w:rsidRDefault="00540387">
      <w:r>
        <w:separator/>
      </w:r>
    </w:p>
  </w:endnote>
  <w:endnote w:type="continuationSeparator" w:id="0">
    <w:p w14:paraId="4F56360D" w14:textId="77777777" w:rsidR="00540387" w:rsidRDefault="00540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24640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8AD927" w14:textId="77777777" w:rsidR="00DE6891" w:rsidRDefault="00713360" w:rsidP="007F778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B99F10" w14:textId="77777777" w:rsidR="00DE6891" w:rsidRDefault="005403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792208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F4CE5A" w14:textId="77777777" w:rsidR="00DE6891" w:rsidRDefault="00713360" w:rsidP="007F778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09CFFBA" w14:textId="77777777" w:rsidR="00DE6891" w:rsidRDefault="005403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5C717" w14:textId="77777777" w:rsidR="00540387" w:rsidRDefault="00540387">
      <w:r>
        <w:separator/>
      </w:r>
    </w:p>
  </w:footnote>
  <w:footnote w:type="continuationSeparator" w:id="0">
    <w:p w14:paraId="2CDA85F0" w14:textId="77777777" w:rsidR="00540387" w:rsidRDefault="005403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60"/>
    <w:rsid w:val="00234B5C"/>
    <w:rsid w:val="00540387"/>
    <w:rsid w:val="005F28EE"/>
    <w:rsid w:val="00713360"/>
    <w:rsid w:val="00805C03"/>
    <w:rsid w:val="009B2DCB"/>
    <w:rsid w:val="00B5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E8F63"/>
  <w15:chartTrackingRefBased/>
  <w15:docId w15:val="{191D5140-BE9C-47A6-900C-0A5C38EC6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36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71336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zh-CN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71336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1336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713360"/>
    <w:rPr>
      <w:rFonts w:ascii="Times New Roman" w:eastAsia="Arial Unicode MS" w:hAnsi="Times New Roman" w:cs="Times New Roman"/>
      <w:sz w:val="24"/>
      <w:szCs w:val="24"/>
      <w:bdr w:val="nil"/>
    </w:rPr>
  </w:style>
  <w:style w:type="character" w:styleId="PageNumber">
    <w:name w:val="page number"/>
    <w:basedOn w:val="DefaultParagraphFont"/>
    <w:uiPriority w:val="99"/>
    <w:semiHidden/>
    <w:unhideWhenUsed/>
    <w:rsid w:val="00713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Batalini, Felipe, M.D.</dc:creator>
  <cp:keywords/>
  <dc:description/>
  <cp:lastModifiedBy>Batalini, Felipe, M.D.</cp:lastModifiedBy>
  <cp:revision>2</cp:revision>
  <dcterms:created xsi:type="dcterms:W3CDTF">2022-03-08T16:12:00Z</dcterms:created>
  <dcterms:modified xsi:type="dcterms:W3CDTF">2022-08-23T16:33:00Z</dcterms:modified>
</cp:coreProperties>
</file>