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D87B" w14:textId="77777777" w:rsidR="00191833" w:rsidRDefault="00191833" w:rsidP="00191833">
      <w:pPr>
        <w:pStyle w:val="Heading1"/>
        <w:rPr>
          <w:rStyle w:val="Heading2Char"/>
          <w:b/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764AAD89" wp14:editId="29F05236">
            <wp:extent cx="5019040" cy="82296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9BA4E" w14:textId="77777777" w:rsidR="00191833" w:rsidRPr="00954496" w:rsidRDefault="00191833" w:rsidP="00191833">
      <w:pPr>
        <w:pStyle w:val="Heading1"/>
        <w:rPr>
          <w:rStyle w:val="Heading2Char"/>
          <w:b/>
          <w:sz w:val="22"/>
          <w:szCs w:val="22"/>
        </w:rPr>
      </w:pPr>
      <w:r w:rsidRPr="00954496">
        <w:rPr>
          <w:rStyle w:val="Heading2Char"/>
          <w:b/>
          <w:bCs/>
          <w:sz w:val="22"/>
          <w:szCs w:val="22"/>
        </w:rPr>
        <w:lastRenderedPageBreak/>
        <w:t>Figure S1.</w:t>
      </w:r>
      <w:r w:rsidRPr="00954496">
        <w:rPr>
          <w:rStyle w:val="Heading2Char"/>
          <w:sz w:val="22"/>
          <w:szCs w:val="22"/>
        </w:rPr>
        <w:t xml:space="preserve">  Forest plots for subgroup analyses of OS by age (&lt; 70 vs ≥ 70), primary refractory patients (Yes vs No), number of prior therapies (1 vs ≥ 2), prior ASCT (Yes vs No) and refractoriness by last therapy line (Yes vs No). A: Tafasitamab plus lenalidomide versus systemic therapies pooled. B: Tafasitamab plus lenalidomide versus BR. C: Tafasitamab plus lenalidomide versus R-GemOx. HR &lt; 1 indicates that treatment effect favors the cohort of patients treated by tafasitamab plus lenalidomide. The x-axis of the forest plot is presented in logarithmic scale. CI, confidence interval; HR, hazard ratio; N/N, number of patients in the tafasitamab plus lenalidomide and observational cohort, respectively; E/E, number of events in tafasitamab plus lenalidomide and observational cohort, respectively.</w:t>
      </w:r>
    </w:p>
    <w:p w14:paraId="6E8D1115" w14:textId="77777777" w:rsidR="00191833" w:rsidRPr="00954496" w:rsidRDefault="00191833" w:rsidP="00191833">
      <w:r>
        <w:rPr>
          <w:noProof/>
        </w:rPr>
        <w:lastRenderedPageBreak/>
        <w:drawing>
          <wp:inline distT="0" distB="0" distL="0" distR="0" wp14:anchorId="038EBBC3" wp14:editId="15C5C8A9">
            <wp:extent cx="5019040" cy="82296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4F29" w14:textId="77777777" w:rsidR="00191833" w:rsidRPr="00954496" w:rsidRDefault="00191833" w:rsidP="00191833">
      <w:pPr>
        <w:pStyle w:val="Heading1"/>
        <w:rPr>
          <w:sz w:val="22"/>
          <w:szCs w:val="22"/>
        </w:rPr>
      </w:pPr>
      <w:r w:rsidRPr="00954496">
        <w:rPr>
          <w:sz w:val="22"/>
          <w:szCs w:val="22"/>
        </w:rPr>
        <w:lastRenderedPageBreak/>
        <w:t>Figure S2.</w:t>
      </w:r>
      <w:r w:rsidRPr="00954496">
        <w:rPr>
          <w:rStyle w:val="Heading2Char"/>
          <w:b/>
          <w:sz w:val="22"/>
          <w:szCs w:val="22"/>
        </w:rPr>
        <w:t xml:space="preserve">  </w:t>
      </w:r>
      <w:r w:rsidRPr="00954496">
        <w:rPr>
          <w:rStyle w:val="Heading2Char"/>
          <w:sz w:val="22"/>
          <w:szCs w:val="22"/>
        </w:rPr>
        <w:t xml:space="preserve">Forest plots for subgroup analyses of PFS by age (&lt; 70 vs ≥ 70), primary refractory patients (Yes vs No), number of prior therapies (1 vs ≥ 2), prior ASCT (Yes vs No) and refractoriness by last therapy line (Yes vs No). </w:t>
      </w:r>
      <w:r w:rsidRPr="00954496">
        <w:rPr>
          <w:rStyle w:val="Heading2Char"/>
          <w:b/>
          <w:bCs/>
          <w:sz w:val="22"/>
          <w:szCs w:val="22"/>
        </w:rPr>
        <w:t>A</w:t>
      </w:r>
      <w:r w:rsidRPr="00954496">
        <w:rPr>
          <w:rStyle w:val="Heading2Char"/>
          <w:sz w:val="22"/>
          <w:szCs w:val="22"/>
        </w:rPr>
        <w:t xml:space="preserve">: Tafasitamab plus lenalidomide versus systemic therapies pooled. </w:t>
      </w:r>
      <w:r w:rsidRPr="00954496">
        <w:rPr>
          <w:rStyle w:val="Heading2Char"/>
          <w:b/>
          <w:bCs/>
          <w:sz w:val="22"/>
          <w:szCs w:val="22"/>
        </w:rPr>
        <w:t>B</w:t>
      </w:r>
      <w:r w:rsidRPr="00954496">
        <w:rPr>
          <w:rStyle w:val="Heading2Char"/>
          <w:sz w:val="22"/>
          <w:szCs w:val="22"/>
        </w:rPr>
        <w:t xml:space="preserve">: Tafasitamab plus lenalidomide versus BR. </w:t>
      </w:r>
      <w:r w:rsidRPr="00954496">
        <w:rPr>
          <w:rStyle w:val="Heading2Char"/>
          <w:b/>
          <w:bCs/>
          <w:sz w:val="22"/>
          <w:szCs w:val="22"/>
        </w:rPr>
        <w:t>C</w:t>
      </w:r>
      <w:r w:rsidRPr="00954496">
        <w:rPr>
          <w:rStyle w:val="Heading2Char"/>
          <w:sz w:val="22"/>
          <w:szCs w:val="22"/>
        </w:rPr>
        <w:t>: Tafasitamab plus lenalidomide versus R-GemOx. HR &lt; 1 indicates that treatment effect favors the cohort of patients treated by tafasitamab plus lenalidomide. The x-axis of the forest plot is presented in logarithmic scale. CI, confidence interval; HR, hazard ratio; N/N, number of patients in the tafasitamab plus lenalidomide and observational cohort, respectively; E/E, number of events in tafasitamab plus lenalidomide and observational cohort, respectively.</w:t>
      </w:r>
    </w:p>
    <w:p w14:paraId="682EFE66" w14:textId="77777777" w:rsidR="00290A83" w:rsidRDefault="00290A83"/>
    <w:sectPr w:rsidR="00290A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E95F" w14:textId="77777777" w:rsidR="00191833" w:rsidRDefault="00191833" w:rsidP="00191833">
      <w:pPr>
        <w:spacing w:after="0" w:line="240" w:lineRule="auto"/>
      </w:pPr>
      <w:r>
        <w:separator/>
      </w:r>
    </w:p>
  </w:endnote>
  <w:endnote w:type="continuationSeparator" w:id="0">
    <w:p w14:paraId="0C76C2F6" w14:textId="77777777" w:rsidR="00191833" w:rsidRDefault="00191833" w:rsidP="0019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41B5" w14:textId="77777777" w:rsidR="00191833" w:rsidRDefault="00191833" w:rsidP="00191833">
      <w:pPr>
        <w:spacing w:after="0" w:line="240" w:lineRule="auto"/>
      </w:pPr>
      <w:r>
        <w:separator/>
      </w:r>
    </w:p>
  </w:footnote>
  <w:footnote w:type="continuationSeparator" w:id="0">
    <w:p w14:paraId="2FE92DDC" w14:textId="77777777" w:rsidR="00191833" w:rsidRDefault="00191833" w:rsidP="0019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5FA" w14:textId="6489C35B" w:rsidR="00191833" w:rsidRDefault="00191833" w:rsidP="00191833">
    <w:pPr>
      <w:pStyle w:val="Header"/>
    </w:pPr>
    <w:r w:rsidRPr="00FA0A5C">
      <w:t>RE-MIND2: tafasitamab + LEN vs systemic therapies</w:t>
    </w:r>
    <w:r>
      <w:br/>
    </w:r>
    <w:r w:rsidRPr="00FA0A5C">
      <w:t xml:space="preserve">in R/R DLBCL </w:t>
    </w:r>
    <w:r>
      <w:tab/>
    </w:r>
    <w:r>
      <w:tab/>
      <w:t xml:space="preserve">Nowakowski et al, 2022  </w:t>
    </w:r>
  </w:p>
  <w:p w14:paraId="75EBF440" w14:textId="77777777" w:rsidR="00191833" w:rsidRDefault="00191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33"/>
    <w:rsid w:val="00191833"/>
    <w:rsid w:val="00222266"/>
    <w:rsid w:val="002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6109"/>
  <w15:chartTrackingRefBased/>
  <w15:docId w15:val="{94A81774-7942-48B5-B3B4-190A5DD8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33"/>
    <w:pPr>
      <w:spacing w:line="480" w:lineRule="auto"/>
    </w:pPr>
    <w:rPr>
      <w:rFonts w:ascii="Arial" w:eastAsiaTheme="minorEastAsia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833"/>
    <w:pPr>
      <w:spacing w:afterLines="60" w:after="144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833"/>
    <w:pPr>
      <w:spacing w:afterLines="60" w:after="144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833"/>
    <w:rPr>
      <w:rFonts w:ascii="Arial" w:eastAsiaTheme="minorEastAsia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1833"/>
    <w:rPr>
      <w:rFonts w:ascii="Arial" w:eastAsiaTheme="minorEastAsia" w:hAnsi="Arial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19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33"/>
    <w:rPr>
      <w:rFonts w:ascii="Arial" w:eastAsiaTheme="minorEastAsia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33"/>
    <w:rPr>
      <w:rFonts w:ascii="Arial" w:eastAsiaTheme="minorEastAsia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1377</Characters>
  <Application>Microsoft Office Word</Application>
  <DocSecurity>0</DocSecurity>
  <Lines>11</Lines>
  <Paragraphs>3</Paragraphs>
  <ScaleCrop>false</ScaleCrop>
  <Company>Syneos Health 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Eoin</dc:creator>
  <cp:keywords/>
  <dc:description/>
  <cp:lastModifiedBy>Duffy, Eoin</cp:lastModifiedBy>
  <cp:revision>1</cp:revision>
  <dcterms:created xsi:type="dcterms:W3CDTF">2022-04-28T12:10:00Z</dcterms:created>
  <dcterms:modified xsi:type="dcterms:W3CDTF">2022-04-28T12:11:00Z</dcterms:modified>
</cp:coreProperties>
</file>