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402C" w14:textId="77777777" w:rsidR="00EC619C" w:rsidRPr="000024AE" w:rsidRDefault="00EC619C" w:rsidP="00EC619C">
      <w:pPr>
        <w:spacing w:after="120" w:line="360" w:lineRule="auto"/>
        <w:rPr>
          <w:rFonts w:ascii="Times New Roman" w:hAnsi="Times New Roman" w:cs="Times New Roman"/>
          <w:b/>
          <w:bCs/>
          <w:color w:val="000000"/>
          <w:lang w:val="en-US"/>
        </w:rPr>
      </w:pPr>
      <w:r w:rsidRPr="000024AE">
        <w:rPr>
          <w:rFonts w:ascii="Times New Roman" w:hAnsi="Times New Roman" w:cs="Times New Roman"/>
          <w:b/>
          <w:lang w:val="en-US"/>
        </w:rPr>
        <w:t xml:space="preserve">Table S1. </w:t>
      </w:r>
      <w:r w:rsidRPr="000024AE">
        <w:rPr>
          <w:rFonts w:ascii="Times New Roman" w:hAnsi="Times New Roman" w:cs="Times New Roman"/>
          <w:bCs/>
          <w:color w:val="000000"/>
          <w:lang w:val="en-US"/>
        </w:rPr>
        <w:t>Progression-free survival per investigator review using RANO criteria and the Kaplan-Meier method (Full analysis set)</w:t>
      </w:r>
    </w:p>
    <w:tbl>
      <w:tblPr>
        <w:tblW w:w="0" w:type="auto"/>
        <w:jc w:val="center"/>
        <w:tblLayout w:type="fixed"/>
        <w:tblCellMar>
          <w:left w:w="0" w:type="dxa"/>
          <w:right w:w="0" w:type="dxa"/>
        </w:tblCellMar>
        <w:tblLook w:val="0000" w:firstRow="0" w:lastRow="0" w:firstColumn="0" w:lastColumn="0" w:noHBand="0" w:noVBand="0"/>
      </w:tblPr>
      <w:tblGrid>
        <w:gridCol w:w="5664"/>
        <w:gridCol w:w="3267"/>
      </w:tblGrid>
      <w:tr w:rsidR="00EC619C" w:rsidRPr="000024AE" w14:paraId="2D085F61" w14:textId="77777777" w:rsidTr="00674B61">
        <w:trPr>
          <w:cantSplit/>
          <w:tblHeader/>
          <w:jc w:val="center"/>
        </w:trPr>
        <w:tc>
          <w:tcPr>
            <w:tcW w:w="5664" w:type="dxa"/>
            <w:tcBorders>
              <w:top w:val="single" w:sz="6" w:space="0" w:color="000000"/>
              <w:left w:val="nil"/>
              <w:bottom w:val="single" w:sz="6" w:space="0" w:color="000000"/>
              <w:right w:val="nil"/>
            </w:tcBorders>
            <w:shd w:val="clear" w:color="auto" w:fill="FFFFFF"/>
            <w:tcMar>
              <w:left w:w="60" w:type="dxa"/>
              <w:right w:w="60" w:type="dxa"/>
            </w:tcMar>
            <w:vAlign w:val="bottom"/>
          </w:tcPr>
          <w:p w14:paraId="4651B8B7" w14:textId="77777777" w:rsidR="00EC619C" w:rsidRPr="000024AE" w:rsidRDefault="00EC619C" w:rsidP="00674B61">
            <w:pPr>
              <w:adjustRightInd w:val="0"/>
              <w:spacing w:before="60" w:after="60"/>
              <w:rPr>
                <w:rFonts w:ascii="Times New Roman" w:hAnsi="Times New Roman" w:cs="Times New Roman"/>
                <w:b/>
                <w:bCs/>
                <w:color w:val="000000"/>
                <w:sz w:val="20"/>
                <w:szCs w:val="20"/>
                <w:lang w:val="en-US"/>
              </w:rPr>
            </w:pPr>
          </w:p>
        </w:tc>
        <w:tc>
          <w:tcPr>
            <w:tcW w:w="3267" w:type="dxa"/>
            <w:tcBorders>
              <w:top w:val="single" w:sz="6" w:space="0" w:color="000000"/>
              <w:left w:val="nil"/>
              <w:bottom w:val="single" w:sz="6" w:space="0" w:color="000000"/>
              <w:right w:val="nil"/>
            </w:tcBorders>
            <w:shd w:val="clear" w:color="auto" w:fill="FFFFFF"/>
            <w:tcMar>
              <w:left w:w="60" w:type="dxa"/>
              <w:right w:w="60" w:type="dxa"/>
            </w:tcMar>
            <w:vAlign w:val="bottom"/>
          </w:tcPr>
          <w:p w14:paraId="4828316D" w14:textId="77777777" w:rsidR="00EC619C" w:rsidRPr="000024AE" w:rsidRDefault="00EC619C" w:rsidP="00674B61">
            <w:pPr>
              <w:spacing w:after="0" w:line="360" w:lineRule="auto"/>
              <w:jc w:val="center"/>
              <w:rPr>
                <w:rFonts w:ascii="Times New Roman" w:hAnsi="Times New Roman" w:cs="Times New Roman"/>
                <w:b/>
                <w:sz w:val="20"/>
                <w:szCs w:val="20"/>
                <w:lang w:val="en-US"/>
              </w:rPr>
            </w:pPr>
            <w:proofErr w:type="spellStart"/>
            <w:r w:rsidRPr="000024AE">
              <w:rPr>
                <w:rFonts w:ascii="Times New Roman" w:hAnsi="Times New Roman" w:cs="Times New Roman"/>
                <w:b/>
                <w:sz w:val="20"/>
                <w:szCs w:val="20"/>
                <w:lang w:val="en-US"/>
              </w:rPr>
              <w:t>Infigratinib</w:t>
            </w:r>
            <w:proofErr w:type="spellEnd"/>
          </w:p>
          <w:p w14:paraId="48FD007C" w14:textId="77777777" w:rsidR="00EC619C" w:rsidRPr="000024AE" w:rsidRDefault="00EC619C" w:rsidP="00674B61">
            <w:pPr>
              <w:adjustRightInd w:val="0"/>
              <w:spacing w:before="60" w:after="60"/>
              <w:jc w:val="center"/>
              <w:rPr>
                <w:rFonts w:ascii="Times New Roman" w:hAnsi="Times New Roman" w:cs="Times New Roman"/>
                <w:b/>
                <w:bCs/>
                <w:color w:val="000000"/>
                <w:sz w:val="20"/>
                <w:szCs w:val="20"/>
                <w:lang w:val="en-US"/>
              </w:rPr>
            </w:pPr>
            <w:r w:rsidRPr="000024AE">
              <w:rPr>
                <w:rFonts w:ascii="Times New Roman" w:hAnsi="Times New Roman" w:cs="Times New Roman"/>
                <w:b/>
                <w:sz w:val="20"/>
                <w:szCs w:val="20"/>
                <w:lang w:val="en-US"/>
              </w:rPr>
              <w:t>(N=26)</w:t>
            </w:r>
          </w:p>
        </w:tc>
      </w:tr>
      <w:tr w:rsidR="00EC619C" w:rsidRPr="000024AE" w14:paraId="2C5CE410" w14:textId="77777777" w:rsidTr="00674B61">
        <w:trPr>
          <w:cantSplit/>
          <w:jc w:val="center"/>
        </w:trPr>
        <w:tc>
          <w:tcPr>
            <w:tcW w:w="5664" w:type="dxa"/>
            <w:tcBorders>
              <w:top w:val="nil"/>
              <w:left w:val="nil"/>
              <w:bottom w:val="nil"/>
              <w:right w:val="nil"/>
            </w:tcBorders>
            <w:shd w:val="clear" w:color="auto" w:fill="FFFFFF"/>
            <w:tcMar>
              <w:left w:w="60" w:type="dxa"/>
              <w:right w:w="60" w:type="dxa"/>
            </w:tcMar>
          </w:tcPr>
          <w:p w14:paraId="353FC6E8" w14:textId="77777777" w:rsidR="00EC619C" w:rsidRPr="000024AE" w:rsidRDefault="00EC619C" w:rsidP="00674B61">
            <w:pPr>
              <w:adjustRightInd w:val="0"/>
              <w:spacing w:before="60" w:after="60"/>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Progression-free survival events, n (%)</w:t>
            </w:r>
          </w:p>
        </w:tc>
        <w:tc>
          <w:tcPr>
            <w:tcW w:w="3267" w:type="dxa"/>
            <w:tcBorders>
              <w:top w:val="nil"/>
              <w:left w:val="nil"/>
              <w:bottom w:val="nil"/>
              <w:right w:val="nil"/>
            </w:tcBorders>
            <w:shd w:val="clear" w:color="auto" w:fill="FFFFFF"/>
            <w:tcMar>
              <w:left w:w="60" w:type="dxa"/>
              <w:right w:w="60" w:type="dxa"/>
            </w:tcMar>
          </w:tcPr>
          <w:p w14:paraId="6ABE94BC" w14:textId="77777777" w:rsidR="00EC619C" w:rsidRPr="000024AE" w:rsidRDefault="00EC619C" w:rsidP="00674B61">
            <w:pPr>
              <w:adjustRightInd w:val="0"/>
              <w:spacing w:before="60" w:after="60"/>
              <w:jc w:val="center"/>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 xml:space="preserve"> 24 (92.3)</w:t>
            </w:r>
          </w:p>
        </w:tc>
      </w:tr>
      <w:tr w:rsidR="00EC619C" w:rsidRPr="000024AE" w14:paraId="65E5EC71" w14:textId="77777777" w:rsidTr="00674B61">
        <w:trPr>
          <w:cantSplit/>
          <w:jc w:val="center"/>
        </w:trPr>
        <w:tc>
          <w:tcPr>
            <w:tcW w:w="5664" w:type="dxa"/>
            <w:tcBorders>
              <w:top w:val="nil"/>
              <w:left w:val="nil"/>
              <w:bottom w:val="nil"/>
              <w:right w:val="nil"/>
            </w:tcBorders>
            <w:shd w:val="clear" w:color="auto" w:fill="FFFFFF"/>
            <w:tcMar>
              <w:left w:w="60" w:type="dxa"/>
              <w:right w:w="60" w:type="dxa"/>
            </w:tcMar>
          </w:tcPr>
          <w:p w14:paraId="02A605A5" w14:textId="77777777" w:rsidR="00EC619C" w:rsidRPr="000024AE" w:rsidRDefault="00EC619C" w:rsidP="00674B61">
            <w:pPr>
              <w:adjustRightInd w:val="0"/>
              <w:spacing w:before="60" w:after="60"/>
              <w:ind w:left="224"/>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Progression</w:t>
            </w:r>
          </w:p>
        </w:tc>
        <w:tc>
          <w:tcPr>
            <w:tcW w:w="3267" w:type="dxa"/>
            <w:tcBorders>
              <w:top w:val="nil"/>
              <w:left w:val="nil"/>
              <w:bottom w:val="nil"/>
              <w:right w:val="nil"/>
            </w:tcBorders>
            <w:shd w:val="clear" w:color="auto" w:fill="FFFFFF"/>
            <w:tcMar>
              <w:left w:w="60" w:type="dxa"/>
              <w:right w:w="60" w:type="dxa"/>
            </w:tcMar>
          </w:tcPr>
          <w:p w14:paraId="36333786" w14:textId="77777777" w:rsidR="00EC619C" w:rsidRPr="000024AE" w:rsidRDefault="00EC619C" w:rsidP="00674B61">
            <w:pPr>
              <w:adjustRightInd w:val="0"/>
              <w:spacing w:before="60" w:after="60"/>
              <w:jc w:val="center"/>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20 (76.9)</w:t>
            </w:r>
          </w:p>
        </w:tc>
      </w:tr>
      <w:tr w:rsidR="00EC619C" w:rsidRPr="000024AE" w14:paraId="65CAE78A" w14:textId="77777777" w:rsidTr="00674B61">
        <w:trPr>
          <w:cantSplit/>
          <w:jc w:val="center"/>
        </w:trPr>
        <w:tc>
          <w:tcPr>
            <w:tcW w:w="5664" w:type="dxa"/>
            <w:tcBorders>
              <w:top w:val="nil"/>
              <w:left w:val="nil"/>
              <w:bottom w:val="nil"/>
              <w:right w:val="nil"/>
            </w:tcBorders>
            <w:shd w:val="clear" w:color="auto" w:fill="FFFFFF"/>
            <w:tcMar>
              <w:left w:w="60" w:type="dxa"/>
              <w:right w:w="60" w:type="dxa"/>
            </w:tcMar>
          </w:tcPr>
          <w:p w14:paraId="40AC96F3" w14:textId="77777777" w:rsidR="00EC619C" w:rsidRPr="000024AE" w:rsidRDefault="00EC619C" w:rsidP="00674B61">
            <w:pPr>
              <w:adjustRightInd w:val="0"/>
              <w:spacing w:before="60" w:after="60"/>
              <w:ind w:left="224"/>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Death</w:t>
            </w:r>
          </w:p>
        </w:tc>
        <w:tc>
          <w:tcPr>
            <w:tcW w:w="3267" w:type="dxa"/>
            <w:tcBorders>
              <w:top w:val="nil"/>
              <w:left w:val="nil"/>
              <w:bottom w:val="nil"/>
              <w:right w:val="nil"/>
            </w:tcBorders>
            <w:shd w:val="clear" w:color="auto" w:fill="FFFFFF"/>
            <w:tcMar>
              <w:left w:w="60" w:type="dxa"/>
              <w:right w:w="60" w:type="dxa"/>
            </w:tcMar>
          </w:tcPr>
          <w:p w14:paraId="3827B155" w14:textId="77777777" w:rsidR="00EC619C" w:rsidRPr="000024AE" w:rsidRDefault="00EC619C" w:rsidP="00674B61">
            <w:pPr>
              <w:adjustRightInd w:val="0"/>
              <w:spacing w:before="60" w:after="60"/>
              <w:jc w:val="center"/>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 xml:space="preserve">  4 (15.4)</w:t>
            </w:r>
          </w:p>
        </w:tc>
      </w:tr>
      <w:tr w:rsidR="00EC619C" w:rsidRPr="000024AE" w14:paraId="4DE76889" w14:textId="77777777" w:rsidTr="00674B61">
        <w:trPr>
          <w:cantSplit/>
          <w:jc w:val="center"/>
        </w:trPr>
        <w:tc>
          <w:tcPr>
            <w:tcW w:w="5664" w:type="dxa"/>
            <w:tcBorders>
              <w:top w:val="nil"/>
              <w:left w:val="nil"/>
              <w:bottom w:val="nil"/>
              <w:right w:val="nil"/>
            </w:tcBorders>
            <w:shd w:val="clear" w:color="auto" w:fill="FFFFFF"/>
            <w:tcMar>
              <w:left w:w="60" w:type="dxa"/>
              <w:right w:w="60" w:type="dxa"/>
            </w:tcMar>
          </w:tcPr>
          <w:p w14:paraId="342174EC" w14:textId="77777777" w:rsidR="00EC619C" w:rsidRPr="000024AE" w:rsidRDefault="00EC619C" w:rsidP="00674B61">
            <w:pPr>
              <w:adjustRightInd w:val="0"/>
              <w:spacing w:before="60" w:after="60"/>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Censored, n (%)</w:t>
            </w:r>
          </w:p>
        </w:tc>
        <w:tc>
          <w:tcPr>
            <w:tcW w:w="3267" w:type="dxa"/>
            <w:tcBorders>
              <w:top w:val="nil"/>
              <w:left w:val="nil"/>
              <w:bottom w:val="nil"/>
              <w:right w:val="nil"/>
            </w:tcBorders>
            <w:shd w:val="clear" w:color="auto" w:fill="FFFFFF"/>
            <w:tcMar>
              <w:left w:w="60" w:type="dxa"/>
              <w:right w:w="60" w:type="dxa"/>
            </w:tcMar>
          </w:tcPr>
          <w:p w14:paraId="028F48C5" w14:textId="77777777" w:rsidR="00EC619C" w:rsidRPr="000024AE" w:rsidRDefault="00EC619C" w:rsidP="00674B61">
            <w:pPr>
              <w:adjustRightInd w:val="0"/>
              <w:spacing w:before="60" w:after="60"/>
              <w:jc w:val="center"/>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 xml:space="preserve">  2 (7.7)</w:t>
            </w:r>
          </w:p>
        </w:tc>
      </w:tr>
      <w:tr w:rsidR="00EC619C" w:rsidRPr="000024AE" w14:paraId="6CD58563" w14:textId="77777777" w:rsidTr="00674B61">
        <w:trPr>
          <w:cantSplit/>
          <w:jc w:val="center"/>
        </w:trPr>
        <w:tc>
          <w:tcPr>
            <w:tcW w:w="5664" w:type="dxa"/>
            <w:tcBorders>
              <w:top w:val="nil"/>
              <w:left w:val="nil"/>
              <w:bottom w:val="nil"/>
              <w:right w:val="nil"/>
            </w:tcBorders>
            <w:shd w:val="clear" w:color="auto" w:fill="FFFFFF"/>
            <w:tcMar>
              <w:left w:w="60" w:type="dxa"/>
              <w:right w:w="60" w:type="dxa"/>
            </w:tcMar>
          </w:tcPr>
          <w:p w14:paraId="41A227BD" w14:textId="77777777" w:rsidR="00EC619C" w:rsidRPr="000024AE" w:rsidRDefault="00EC619C" w:rsidP="00674B61">
            <w:pPr>
              <w:adjustRightInd w:val="0"/>
              <w:spacing w:before="60" w:after="60"/>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Progression-free survival rate estimates, % [95% CI]</w:t>
            </w:r>
          </w:p>
        </w:tc>
        <w:tc>
          <w:tcPr>
            <w:tcW w:w="3267" w:type="dxa"/>
            <w:tcBorders>
              <w:top w:val="nil"/>
              <w:left w:val="nil"/>
              <w:bottom w:val="nil"/>
              <w:right w:val="nil"/>
            </w:tcBorders>
            <w:shd w:val="clear" w:color="auto" w:fill="FFFFFF"/>
            <w:tcMar>
              <w:left w:w="60" w:type="dxa"/>
              <w:right w:w="60" w:type="dxa"/>
            </w:tcMar>
          </w:tcPr>
          <w:p w14:paraId="04DB5195" w14:textId="77777777" w:rsidR="00EC619C" w:rsidRPr="000024AE" w:rsidRDefault="00EC619C" w:rsidP="00674B61">
            <w:pPr>
              <w:adjustRightInd w:val="0"/>
              <w:spacing w:before="60" w:after="60"/>
              <w:jc w:val="center"/>
              <w:rPr>
                <w:rFonts w:ascii="Times New Roman" w:hAnsi="Times New Roman" w:cs="Times New Roman"/>
                <w:color w:val="000000"/>
                <w:sz w:val="20"/>
                <w:szCs w:val="20"/>
                <w:lang w:val="en-US"/>
              </w:rPr>
            </w:pPr>
          </w:p>
        </w:tc>
      </w:tr>
      <w:tr w:rsidR="00EC619C" w:rsidRPr="000024AE" w14:paraId="7BFE87C9" w14:textId="77777777" w:rsidTr="00674B61">
        <w:trPr>
          <w:cantSplit/>
          <w:jc w:val="center"/>
        </w:trPr>
        <w:tc>
          <w:tcPr>
            <w:tcW w:w="5664" w:type="dxa"/>
            <w:tcBorders>
              <w:top w:val="nil"/>
              <w:left w:val="nil"/>
              <w:bottom w:val="nil"/>
              <w:right w:val="nil"/>
            </w:tcBorders>
            <w:shd w:val="clear" w:color="auto" w:fill="FFFFFF"/>
            <w:tcMar>
              <w:left w:w="60" w:type="dxa"/>
              <w:right w:w="60" w:type="dxa"/>
            </w:tcMar>
          </w:tcPr>
          <w:p w14:paraId="566B1303" w14:textId="77777777" w:rsidR="00EC619C" w:rsidRPr="000024AE" w:rsidRDefault="00EC619C" w:rsidP="00674B61">
            <w:pPr>
              <w:adjustRightInd w:val="0"/>
              <w:spacing w:before="60" w:after="60"/>
              <w:ind w:left="224"/>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6 months</w:t>
            </w:r>
          </w:p>
        </w:tc>
        <w:tc>
          <w:tcPr>
            <w:tcW w:w="3267" w:type="dxa"/>
            <w:tcBorders>
              <w:top w:val="nil"/>
              <w:left w:val="nil"/>
              <w:bottom w:val="nil"/>
              <w:right w:val="nil"/>
            </w:tcBorders>
            <w:shd w:val="clear" w:color="auto" w:fill="FFFFFF"/>
            <w:tcMar>
              <w:left w:w="60" w:type="dxa"/>
              <w:right w:w="60" w:type="dxa"/>
            </w:tcMar>
          </w:tcPr>
          <w:p w14:paraId="64C5313B" w14:textId="77777777" w:rsidR="00EC619C" w:rsidRPr="000024AE" w:rsidRDefault="00EC619C" w:rsidP="00674B61">
            <w:pPr>
              <w:adjustRightInd w:val="0"/>
              <w:spacing w:before="60" w:after="60"/>
              <w:jc w:val="center"/>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16.0 [5.0, 32.5]</w:t>
            </w:r>
          </w:p>
        </w:tc>
      </w:tr>
      <w:tr w:rsidR="00EC619C" w:rsidRPr="000024AE" w14:paraId="135D0CAB" w14:textId="77777777" w:rsidTr="00674B61">
        <w:trPr>
          <w:cantSplit/>
          <w:jc w:val="center"/>
        </w:trPr>
        <w:tc>
          <w:tcPr>
            <w:tcW w:w="5664" w:type="dxa"/>
            <w:tcBorders>
              <w:top w:val="nil"/>
              <w:left w:val="nil"/>
              <w:bottom w:val="nil"/>
              <w:right w:val="nil"/>
            </w:tcBorders>
            <w:shd w:val="clear" w:color="auto" w:fill="FFFFFF"/>
            <w:tcMar>
              <w:left w:w="60" w:type="dxa"/>
              <w:right w:w="60" w:type="dxa"/>
            </w:tcMar>
          </w:tcPr>
          <w:p w14:paraId="6EAC24AD" w14:textId="77777777" w:rsidR="00EC619C" w:rsidRPr="000024AE" w:rsidRDefault="00EC619C" w:rsidP="00674B61">
            <w:pPr>
              <w:adjustRightInd w:val="0"/>
              <w:spacing w:before="60" w:after="60"/>
              <w:ind w:left="224"/>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12 months</w:t>
            </w:r>
          </w:p>
        </w:tc>
        <w:tc>
          <w:tcPr>
            <w:tcW w:w="3267" w:type="dxa"/>
            <w:tcBorders>
              <w:top w:val="nil"/>
              <w:left w:val="nil"/>
              <w:bottom w:val="nil"/>
              <w:right w:val="nil"/>
            </w:tcBorders>
            <w:shd w:val="clear" w:color="auto" w:fill="FFFFFF"/>
            <w:tcMar>
              <w:left w:w="60" w:type="dxa"/>
              <w:right w:w="60" w:type="dxa"/>
            </w:tcMar>
          </w:tcPr>
          <w:p w14:paraId="5D07E806" w14:textId="77777777" w:rsidR="00EC619C" w:rsidRPr="000024AE" w:rsidRDefault="00EC619C" w:rsidP="00674B61">
            <w:pPr>
              <w:adjustRightInd w:val="0"/>
              <w:spacing w:before="60" w:after="60"/>
              <w:jc w:val="center"/>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16.0 [5.0, 32.5]</w:t>
            </w:r>
          </w:p>
        </w:tc>
      </w:tr>
      <w:tr w:rsidR="00EC619C" w:rsidRPr="000024AE" w14:paraId="09DCB859" w14:textId="77777777" w:rsidTr="00674B61">
        <w:trPr>
          <w:cantSplit/>
          <w:jc w:val="center"/>
        </w:trPr>
        <w:tc>
          <w:tcPr>
            <w:tcW w:w="5664" w:type="dxa"/>
            <w:tcBorders>
              <w:top w:val="nil"/>
              <w:left w:val="nil"/>
              <w:bottom w:val="nil"/>
              <w:right w:val="nil"/>
            </w:tcBorders>
            <w:shd w:val="clear" w:color="auto" w:fill="FFFFFF"/>
            <w:tcMar>
              <w:left w:w="60" w:type="dxa"/>
              <w:right w:w="60" w:type="dxa"/>
            </w:tcMar>
          </w:tcPr>
          <w:p w14:paraId="73BBB178" w14:textId="77777777" w:rsidR="00EC619C" w:rsidRPr="000024AE" w:rsidRDefault="00EC619C" w:rsidP="00674B61">
            <w:pPr>
              <w:adjustRightInd w:val="0"/>
              <w:spacing w:before="60" w:after="60"/>
              <w:ind w:left="224"/>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18 months</w:t>
            </w:r>
          </w:p>
        </w:tc>
        <w:tc>
          <w:tcPr>
            <w:tcW w:w="3267" w:type="dxa"/>
            <w:tcBorders>
              <w:top w:val="nil"/>
              <w:left w:val="nil"/>
              <w:bottom w:val="nil"/>
              <w:right w:val="nil"/>
            </w:tcBorders>
            <w:shd w:val="clear" w:color="auto" w:fill="FFFFFF"/>
            <w:tcMar>
              <w:left w:w="60" w:type="dxa"/>
              <w:right w:w="60" w:type="dxa"/>
            </w:tcMar>
          </w:tcPr>
          <w:p w14:paraId="02942F06" w14:textId="77777777" w:rsidR="00EC619C" w:rsidRPr="000024AE" w:rsidRDefault="00EC619C" w:rsidP="00674B61">
            <w:pPr>
              <w:adjustRightInd w:val="0"/>
              <w:spacing w:before="60" w:after="60"/>
              <w:jc w:val="center"/>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8.0 [1.4, 22.5]</w:t>
            </w:r>
          </w:p>
        </w:tc>
      </w:tr>
      <w:tr w:rsidR="00EC619C" w:rsidRPr="000024AE" w14:paraId="22CAD6F3" w14:textId="77777777" w:rsidTr="00674B61">
        <w:trPr>
          <w:cantSplit/>
          <w:jc w:val="center"/>
        </w:trPr>
        <w:tc>
          <w:tcPr>
            <w:tcW w:w="5664" w:type="dxa"/>
            <w:tcBorders>
              <w:top w:val="nil"/>
              <w:left w:val="nil"/>
              <w:bottom w:val="nil"/>
              <w:right w:val="nil"/>
            </w:tcBorders>
            <w:shd w:val="clear" w:color="auto" w:fill="FFFFFF"/>
            <w:tcMar>
              <w:left w:w="60" w:type="dxa"/>
              <w:right w:w="60" w:type="dxa"/>
            </w:tcMar>
          </w:tcPr>
          <w:p w14:paraId="7398E687" w14:textId="77777777" w:rsidR="00EC619C" w:rsidRPr="000024AE" w:rsidRDefault="00EC619C" w:rsidP="00674B61">
            <w:pPr>
              <w:adjustRightInd w:val="0"/>
              <w:spacing w:before="60" w:after="60"/>
              <w:ind w:left="224"/>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24 months</w:t>
            </w:r>
          </w:p>
        </w:tc>
        <w:tc>
          <w:tcPr>
            <w:tcW w:w="3267" w:type="dxa"/>
            <w:tcBorders>
              <w:top w:val="nil"/>
              <w:left w:val="nil"/>
              <w:bottom w:val="nil"/>
              <w:right w:val="nil"/>
            </w:tcBorders>
            <w:shd w:val="clear" w:color="auto" w:fill="FFFFFF"/>
            <w:tcMar>
              <w:left w:w="60" w:type="dxa"/>
              <w:right w:w="60" w:type="dxa"/>
            </w:tcMar>
          </w:tcPr>
          <w:p w14:paraId="4BD0C2B7" w14:textId="77777777" w:rsidR="00EC619C" w:rsidRPr="000024AE" w:rsidRDefault="00EC619C" w:rsidP="00674B61">
            <w:pPr>
              <w:adjustRightInd w:val="0"/>
              <w:spacing w:before="60" w:after="60"/>
              <w:jc w:val="center"/>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4.0 [0.3; 17.0]</w:t>
            </w:r>
          </w:p>
        </w:tc>
      </w:tr>
      <w:tr w:rsidR="00EC619C" w:rsidRPr="000024AE" w14:paraId="29FFAA70" w14:textId="77777777" w:rsidTr="00674B61">
        <w:trPr>
          <w:cantSplit/>
          <w:jc w:val="center"/>
        </w:trPr>
        <w:tc>
          <w:tcPr>
            <w:tcW w:w="5664" w:type="dxa"/>
            <w:tcBorders>
              <w:top w:val="nil"/>
              <w:left w:val="nil"/>
              <w:bottom w:val="nil"/>
              <w:right w:val="nil"/>
            </w:tcBorders>
            <w:shd w:val="clear" w:color="auto" w:fill="FFFFFF"/>
            <w:tcMar>
              <w:left w:w="60" w:type="dxa"/>
              <w:right w:w="60" w:type="dxa"/>
            </w:tcMar>
          </w:tcPr>
          <w:p w14:paraId="5AA4F467" w14:textId="77777777" w:rsidR="00EC619C" w:rsidRPr="000024AE" w:rsidRDefault="00EC619C" w:rsidP="00674B61">
            <w:pPr>
              <w:adjustRightInd w:val="0"/>
              <w:spacing w:before="60" w:after="60"/>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Progression-free survival, months [95% CI]</w:t>
            </w:r>
          </w:p>
        </w:tc>
        <w:tc>
          <w:tcPr>
            <w:tcW w:w="3267" w:type="dxa"/>
            <w:tcBorders>
              <w:top w:val="nil"/>
              <w:left w:val="nil"/>
              <w:bottom w:val="nil"/>
              <w:right w:val="nil"/>
            </w:tcBorders>
            <w:shd w:val="clear" w:color="auto" w:fill="FFFFFF"/>
            <w:tcMar>
              <w:left w:w="60" w:type="dxa"/>
              <w:right w:w="60" w:type="dxa"/>
            </w:tcMar>
          </w:tcPr>
          <w:p w14:paraId="0541023E" w14:textId="77777777" w:rsidR="00EC619C" w:rsidRPr="000024AE" w:rsidRDefault="00EC619C" w:rsidP="00674B61">
            <w:pPr>
              <w:adjustRightInd w:val="0"/>
              <w:spacing w:before="60" w:after="60"/>
              <w:jc w:val="center"/>
              <w:rPr>
                <w:rFonts w:ascii="Times New Roman" w:hAnsi="Times New Roman" w:cs="Times New Roman"/>
                <w:color w:val="000000"/>
                <w:sz w:val="20"/>
                <w:szCs w:val="20"/>
                <w:lang w:val="en-US"/>
              </w:rPr>
            </w:pPr>
          </w:p>
        </w:tc>
      </w:tr>
      <w:tr w:rsidR="00EC619C" w:rsidRPr="000024AE" w14:paraId="42F71EE6" w14:textId="77777777" w:rsidTr="00674B61">
        <w:trPr>
          <w:cantSplit/>
          <w:jc w:val="center"/>
        </w:trPr>
        <w:tc>
          <w:tcPr>
            <w:tcW w:w="5664" w:type="dxa"/>
            <w:tcBorders>
              <w:top w:val="nil"/>
              <w:left w:val="nil"/>
              <w:bottom w:val="single" w:sz="4" w:space="0" w:color="auto"/>
              <w:right w:val="nil"/>
            </w:tcBorders>
            <w:shd w:val="clear" w:color="auto" w:fill="FFFFFF"/>
            <w:tcMar>
              <w:left w:w="60" w:type="dxa"/>
              <w:right w:w="60" w:type="dxa"/>
            </w:tcMar>
          </w:tcPr>
          <w:p w14:paraId="503A6114" w14:textId="77777777" w:rsidR="00EC619C" w:rsidRPr="000024AE" w:rsidRDefault="00EC619C" w:rsidP="00674B61">
            <w:pPr>
              <w:adjustRightInd w:val="0"/>
              <w:spacing w:before="60" w:after="60"/>
              <w:ind w:left="224"/>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Median</w:t>
            </w:r>
          </w:p>
        </w:tc>
        <w:tc>
          <w:tcPr>
            <w:tcW w:w="3267" w:type="dxa"/>
            <w:tcBorders>
              <w:top w:val="nil"/>
              <w:left w:val="nil"/>
              <w:bottom w:val="single" w:sz="4" w:space="0" w:color="auto"/>
              <w:right w:val="nil"/>
            </w:tcBorders>
            <w:shd w:val="clear" w:color="auto" w:fill="FFFFFF"/>
            <w:tcMar>
              <w:left w:w="60" w:type="dxa"/>
              <w:right w:w="60" w:type="dxa"/>
            </w:tcMar>
          </w:tcPr>
          <w:p w14:paraId="6AAB26A9" w14:textId="77777777" w:rsidR="00EC619C" w:rsidRPr="000024AE" w:rsidRDefault="00EC619C" w:rsidP="00674B61">
            <w:pPr>
              <w:adjustRightInd w:val="0"/>
              <w:spacing w:before="60" w:after="60"/>
              <w:jc w:val="center"/>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 xml:space="preserve">  1.7 [1.1, 2.8]</w:t>
            </w:r>
          </w:p>
        </w:tc>
      </w:tr>
    </w:tbl>
    <w:p w14:paraId="1D6940E9" w14:textId="77777777" w:rsidR="00EC619C" w:rsidRPr="00F65A0A" w:rsidRDefault="00EC619C" w:rsidP="00EC619C">
      <w:pPr>
        <w:spacing w:before="120" w:after="120" w:line="240" w:lineRule="auto"/>
        <w:rPr>
          <w:rFonts w:ascii="Times New Roman" w:hAnsi="Times New Roman" w:cs="Times New Roman"/>
          <w:sz w:val="20"/>
          <w:lang w:val="en-US"/>
        </w:rPr>
      </w:pPr>
      <w:r w:rsidRPr="00F65A0A">
        <w:rPr>
          <w:rFonts w:ascii="Times New Roman" w:hAnsi="Times New Roman" w:cs="Times New Roman"/>
          <w:i/>
          <w:sz w:val="20"/>
          <w:lang w:val="en-US"/>
        </w:rPr>
        <w:t xml:space="preserve">Abbreviations: </w:t>
      </w:r>
      <w:r w:rsidRPr="00F65A0A">
        <w:rPr>
          <w:rFonts w:ascii="Times New Roman" w:hAnsi="Times New Roman" w:cs="Times New Roman"/>
          <w:sz w:val="20"/>
          <w:lang w:val="en-US"/>
        </w:rPr>
        <w:t>CI, confidence interval; RANO, Response Assessment in Neuro-Oncology.</w:t>
      </w:r>
    </w:p>
    <w:p w14:paraId="69EBFEF0" w14:textId="77777777" w:rsidR="00EC619C" w:rsidRPr="00F65A0A" w:rsidRDefault="00EC619C" w:rsidP="00EC619C">
      <w:pPr>
        <w:rPr>
          <w:rFonts w:ascii="Times New Roman" w:hAnsi="Times New Roman" w:cs="Times New Roman"/>
          <w:b/>
          <w:sz w:val="24"/>
          <w:lang w:val="en-US"/>
        </w:rPr>
      </w:pPr>
      <w:r w:rsidRPr="00F65A0A">
        <w:rPr>
          <w:rFonts w:ascii="Times New Roman" w:hAnsi="Times New Roman" w:cs="Times New Roman"/>
          <w:b/>
          <w:sz w:val="24"/>
          <w:lang w:val="en-US"/>
        </w:rPr>
        <w:br w:type="page"/>
      </w:r>
    </w:p>
    <w:p w14:paraId="1DA0244B" w14:textId="77777777" w:rsidR="00EC619C" w:rsidRPr="000024AE" w:rsidRDefault="00EC619C" w:rsidP="00EC619C">
      <w:pPr>
        <w:spacing w:after="120" w:line="360" w:lineRule="auto"/>
        <w:rPr>
          <w:rFonts w:ascii="Times New Roman" w:hAnsi="Times New Roman" w:cs="Times New Roman"/>
          <w:bCs/>
          <w:color w:val="000000"/>
          <w:lang w:val="en-US"/>
        </w:rPr>
      </w:pPr>
      <w:r w:rsidRPr="000024AE">
        <w:rPr>
          <w:rFonts w:ascii="Times New Roman" w:hAnsi="Times New Roman" w:cs="Times New Roman"/>
          <w:b/>
          <w:lang w:val="en-US"/>
        </w:rPr>
        <w:lastRenderedPageBreak/>
        <w:t xml:space="preserve">Table S2. </w:t>
      </w:r>
      <w:r w:rsidRPr="000024AE">
        <w:rPr>
          <w:rFonts w:ascii="Times New Roman" w:hAnsi="Times New Roman" w:cs="Times New Roman"/>
          <w:bCs/>
          <w:color w:val="000000"/>
          <w:lang w:val="en-US"/>
        </w:rPr>
        <w:t xml:space="preserve">Overall survival using the Kaplan-Meier method (Full analysis set) </w:t>
      </w:r>
    </w:p>
    <w:tbl>
      <w:tblPr>
        <w:tblW w:w="0" w:type="auto"/>
        <w:jc w:val="center"/>
        <w:tblLayout w:type="fixed"/>
        <w:tblCellMar>
          <w:left w:w="0" w:type="dxa"/>
          <w:right w:w="0" w:type="dxa"/>
        </w:tblCellMar>
        <w:tblLook w:val="0000" w:firstRow="0" w:lastRow="0" w:firstColumn="0" w:lastColumn="0" w:noHBand="0" w:noVBand="0"/>
      </w:tblPr>
      <w:tblGrid>
        <w:gridCol w:w="5388"/>
        <w:gridCol w:w="3548"/>
      </w:tblGrid>
      <w:tr w:rsidR="00EC619C" w:rsidRPr="000024AE" w14:paraId="5ADFD4B9" w14:textId="77777777" w:rsidTr="00674B61">
        <w:trPr>
          <w:cantSplit/>
          <w:tblHeader/>
          <w:jc w:val="center"/>
        </w:trPr>
        <w:tc>
          <w:tcPr>
            <w:tcW w:w="5388" w:type="dxa"/>
            <w:tcBorders>
              <w:top w:val="single" w:sz="6" w:space="0" w:color="000000"/>
              <w:left w:val="nil"/>
              <w:bottom w:val="single" w:sz="6" w:space="0" w:color="000000"/>
              <w:right w:val="nil"/>
            </w:tcBorders>
            <w:shd w:val="clear" w:color="auto" w:fill="FFFFFF"/>
            <w:tcMar>
              <w:left w:w="60" w:type="dxa"/>
              <w:right w:w="60" w:type="dxa"/>
            </w:tcMar>
            <w:vAlign w:val="bottom"/>
          </w:tcPr>
          <w:p w14:paraId="239D0254" w14:textId="77777777" w:rsidR="00EC619C" w:rsidRPr="000024AE" w:rsidRDefault="00EC619C" w:rsidP="00674B61">
            <w:pPr>
              <w:adjustRightInd w:val="0"/>
              <w:spacing w:before="60" w:after="60"/>
              <w:rPr>
                <w:rFonts w:ascii="Times New Roman" w:hAnsi="Times New Roman" w:cs="Times New Roman"/>
                <w:b/>
                <w:bCs/>
                <w:color w:val="000000"/>
                <w:sz w:val="20"/>
                <w:szCs w:val="20"/>
                <w:lang w:val="en-US"/>
              </w:rPr>
            </w:pPr>
          </w:p>
        </w:tc>
        <w:tc>
          <w:tcPr>
            <w:tcW w:w="3548" w:type="dxa"/>
            <w:tcBorders>
              <w:top w:val="single" w:sz="6" w:space="0" w:color="000000"/>
              <w:left w:val="nil"/>
              <w:bottom w:val="single" w:sz="6" w:space="0" w:color="000000"/>
              <w:right w:val="nil"/>
            </w:tcBorders>
            <w:shd w:val="clear" w:color="auto" w:fill="FFFFFF"/>
            <w:tcMar>
              <w:left w:w="60" w:type="dxa"/>
              <w:right w:w="60" w:type="dxa"/>
            </w:tcMar>
            <w:vAlign w:val="bottom"/>
          </w:tcPr>
          <w:p w14:paraId="596F0304" w14:textId="77777777" w:rsidR="00EC619C" w:rsidRPr="000024AE" w:rsidRDefault="00EC619C" w:rsidP="00674B61">
            <w:pPr>
              <w:spacing w:after="0" w:line="360" w:lineRule="auto"/>
              <w:jc w:val="center"/>
              <w:rPr>
                <w:rFonts w:ascii="Times New Roman" w:hAnsi="Times New Roman" w:cs="Times New Roman"/>
                <w:b/>
                <w:sz w:val="20"/>
                <w:szCs w:val="20"/>
                <w:lang w:val="en-US"/>
              </w:rPr>
            </w:pPr>
            <w:proofErr w:type="spellStart"/>
            <w:r w:rsidRPr="000024AE">
              <w:rPr>
                <w:rFonts w:ascii="Times New Roman" w:hAnsi="Times New Roman" w:cs="Times New Roman"/>
                <w:b/>
                <w:sz w:val="20"/>
                <w:szCs w:val="20"/>
                <w:lang w:val="en-US"/>
              </w:rPr>
              <w:t>Infigratinib</w:t>
            </w:r>
            <w:proofErr w:type="spellEnd"/>
          </w:p>
          <w:p w14:paraId="12D39AA1" w14:textId="77777777" w:rsidR="00EC619C" w:rsidRPr="000024AE" w:rsidRDefault="00EC619C" w:rsidP="00674B61">
            <w:pPr>
              <w:adjustRightInd w:val="0"/>
              <w:spacing w:before="60" w:after="60"/>
              <w:jc w:val="center"/>
              <w:rPr>
                <w:rFonts w:ascii="Times New Roman" w:hAnsi="Times New Roman" w:cs="Times New Roman"/>
                <w:b/>
                <w:bCs/>
                <w:color w:val="000000"/>
                <w:sz w:val="20"/>
                <w:szCs w:val="20"/>
                <w:lang w:val="en-US"/>
              </w:rPr>
            </w:pPr>
            <w:r w:rsidRPr="000024AE">
              <w:rPr>
                <w:rFonts w:ascii="Times New Roman" w:hAnsi="Times New Roman" w:cs="Times New Roman"/>
                <w:b/>
                <w:sz w:val="20"/>
                <w:szCs w:val="20"/>
                <w:lang w:val="en-US"/>
              </w:rPr>
              <w:t>(N=26)</w:t>
            </w:r>
          </w:p>
        </w:tc>
      </w:tr>
      <w:tr w:rsidR="00EC619C" w:rsidRPr="000024AE" w14:paraId="3783C95F" w14:textId="77777777" w:rsidTr="00674B61">
        <w:trPr>
          <w:cantSplit/>
          <w:jc w:val="center"/>
        </w:trPr>
        <w:tc>
          <w:tcPr>
            <w:tcW w:w="5388" w:type="dxa"/>
            <w:tcBorders>
              <w:top w:val="nil"/>
              <w:left w:val="nil"/>
              <w:bottom w:val="nil"/>
              <w:right w:val="nil"/>
            </w:tcBorders>
            <w:shd w:val="clear" w:color="auto" w:fill="FFFFFF"/>
            <w:tcMar>
              <w:left w:w="60" w:type="dxa"/>
              <w:right w:w="60" w:type="dxa"/>
            </w:tcMar>
          </w:tcPr>
          <w:p w14:paraId="57F0ACED" w14:textId="77777777" w:rsidR="00EC619C" w:rsidRPr="000024AE" w:rsidRDefault="00EC619C" w:rsidP="00674B61">
            <w:pPr>
              <w:adjustRightInd w:val="0"/>
              <w:spacing w:before="60" w:after="60"/>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Deaths, n (%)</w:t>
            </w:r>
          </w:p>
        </w:tc>
        <w:tc>
          <w:tcPr>
            <w:tcW w:w="3548" w:type="dxa"/>
            <w:tcBorders>
              <w:top w:val="nil"/>
              <w:left w:val="nil"/>
              <w:bottom w:val="nil"/>
              <w:right w:val="nil"/>
            </w:tcBorders>
            <w:shd w:val="clear" w:color="auto" w:fill="FFFFFF"/>
            <w:tcMar>
              <w:left w:w="60" w:type="dxa"/>
              <w:right w:w="60" w:type="dxa"/>
            </w:tcMar>
          </w:tcPr>
          <w:p w14:paraId="4726D345" w14:textId="77777777" w:rsidR="00EC619C" w:rsidRPr="000024AE" w:rsidRDefault="00EC619C" w:rsidP="00674B61">
            <w:pPr>
              <w:adjustRightInd w:val="0"/>
              <w:spacing w:before="60" w:after="60"/>
              <w:jc w:val="center"/>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 xml:space="preserve"> 23 (88.5)</w:t>
            </w:r>
          </w:p>
        </w:tc>
      </w:tr>
      <w:tr w:rsidR="00EC619C" w:rsidRPr="000024AE" w14:paraId="40D0EBCC" w14:textId="77777777" w:rsidTr="00674B61">
        <w:trPr>
          <w:cantSplit/>
          <w:jc w:val="center"/>
        </w:trPr>
        <w:tc>
          <w:tcPr>
            <w:tcW w:w="5388" w:type="dxa"/>
            <w:tcBorders>
              <w:top w:val="nil"/>
              <w:left w:val="nil"/>
              <w:bottom w:val="nil"/>
              <w:right w:val="nil"/>
            </w:tcBorders>
            <w:shd w:val="clear" w:color="auto" w:fill="FFFFFF"/>
            <w:tcMar>
              <w:left w:w="60" w:type="dxa"/>
              <w:right w:w="60" w:type="dxa"/>
            </w:tcMar>
          </w:tcPr>
          <w:p w14:paraId="55D10A0B" w14:textId="77777777" w:rsidR="00EC619C" w:rsidRPr="000024AE" w:rsidRDefault="00EC619C" w:rsidP="00674B61">
            <w:pPr>
              <w:adjustRightInd w:val="0"/>
              <w:spacing w:before="60" w:after="60"/>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Censored, n (%)</w:t>
            </w:r>
          </w:p>
        </w:tc>
        <w:tc>
          <w:tcPr>
            <w:tcW w:w="3548" w:type="dxa"/>
            <w:tcBorders>
              <w:top w:val="nil"/>
              <w:left w:val="nil"/>
              <w:bottom w:val="nil"/>
              <w:right w:val="nil"/>
            </w:tcBorders>
            <w:shd w:val="clear" w:color="auto" w:fill="FFFFFF"/>
            <w:tcMar>
              <w:left w:w="60" w:type="dxa"/>
              <w:right w:w="60" w:type="dxa"/>
            </w:tcMar>
          </w:tcPr>
          <w:p w14:paraId="4F7B1B3E" w14:textId="77777777" w:rsidR="00EC619C" w:rsidRPr="000024AE" w:rsidRDefault="00EC619C" w:rsidP="00674B61">
            <w:pPr>
              <w:adjustRightInd w:val="0"/>
              <w:spacing w:before="60" w:after="60"/>
              <w:jc w:val="center"/>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 xml:space="preserve">  3 (11.5)</w:t>
            </w:r>
          </w:p>
        </w:tc>
      </w:tr>
      <w:tr w:rsidR="00EC619C" w:rsidRPr="000024AE" w14:paraId="7CEDFFEF" w14:textId="77777777" w:rsidTr="00674B61">
        <w:trPr>
          <w:cantSplit/>
          <w:jc w:val="center"/>
        </w:trPr>
        <w:tc>
          <w:tcPr>
            <w:tcW w:w="5388" w:type="dxa"/>
            <w:tcBorders>
              <w:top w:val="nil"/>
              <w:left w:val="nil"/>
              <w:bottom w:val="nil"/>
              <w:right w:val="nil"/>
            </w:tcBorders>
            <w:shd w:val="clear" w:color="auto" w:fill="FFFFFF"/>
            <w:tcMar>
              <w:left w:w="60" w:type="dxa"/>
              <w:right w:w="60" w:type="dxa"/>
            </w:tcMar>
          </w:tcPr>
          <w:p w14:paraId="29F2B585" w14:textId="77777777" w:rsidR="00EC619C" w:rsidRPr="000024AE" w:rsidRDefault="00EC619C" w:rsidP="00674B61">
            <w:pPr>
              <w:adjustRightInd w:val="0"/>
              <w:spacing w:before="60" w:after="60"/>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Overall survival rate, % [95% CI]</w:t>
            </w:r>
          </w:p>
        </w:tc>
        <w:tc>
          <w:tcPr>
            <w:tcW w:w="3548" w:type="dxa"/>
            <w:tcBorders>
              <w:top w:val="nil"/>
              <w:left w:val="nil"/>
              <w:bottom w:val="nil"/>
              <w:right w:val="nil"/>
            </w:tcBorders>
            <w:shd w:val="clear" w:color="auto" w:fill="FFFFFF"/>
            <w:tcMar>
              <w:left w:w="60" w:type="dxa"/>
              <w:right w:w="60" w:type="dxa"/>
            </w:tcMar>
          </w:tcPr>
          <w:p w14:paraId="5F2A82EF" w14:textId="77777777" w:rsidR="00EC619C" w:rsidRPr="000024AE" w:rsidRDefault="00EC619C" w:rsidP="00674B61">
            <w:pPr>
              <w:adjustRightInd w:val="0"/>
              <w:spacing w:before="60" w:after="60"/>
              <w:jc w:val="center"/>
              <w:rPr>
                <w:rFonts w:ascii="Times New Roman" w:hAnsi="Times New Roman" w:cs="Times New Roman"/>
                <w:color w:val="000000"/>
                <w:sz w:val="20"/>
                <w:szCs w:val="20"/>
                <w:lang w:val="en-US"/>
              </w:rPr>
            </w:pPr>
          </w:p>
        </w:tc>
      </w:tr>
      <w:tr w:rsidR="00EC619C" w:rsidRPr="000024AE" w14:paraId="421D4C78" w14:textId="77777777" w:rsidTr="00674B61">
        <w:trPr>
          <w:cantSplit/>
          <w:jc w:val="center"/>
        </w:trPr>
        <w:tc>
          <w:tcPr>
            <w:tcW w:w="5388" w:type="dxa"/>
            <w:tcBorders>
              <w:top w:val="nil"/>
              <w:left w:val="nil"/>
              <w:bottom w:val="nil"/>
              <w:right w:val="nil"/>
            </w:tcBorders>
            <w:shd w:val="clear" w:color="auto" w:fill="FFFFFF"/>
            <w:tcMar>
              <w:left w:w="60" w:type="dxa"/>
              <w:right w:w="60" w:type="dxa"/>
            </w:tcMar>
          </w:tcPr>
          <w:p w14:paraId="5180705B" w14:textId="77777777" w:rsidR="00EC619C" w:rsidRPr="000024AE" w:rsidRDefault="00EC619C" w:rsidP="00674B61">
            <w:pPr>
              <w:adjustRightInd w:val="0"/>
              <w:spacing w:before="60" w:after="60"/>
              <w:ind w:left="224"/>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6 months</w:t>
            </w:r>
          </w:p>
        </w:tc>
        <w:tc>
          <w:tcPr>
            <w:tcW w:w="3548" w:type="dxa"/>
            <w:tcBorders>
              <w:top w:val="nil"/>
              <w:left w:val="nil"/>
              <w:bottom w:val="nil"/>
              <w:right w:val="nil"/>
            </w:tcBorders>
            <w:shd w:val="clear" w:color="auto" w:fill="FFFFFF"/>
            <w:tcMar>
              <w:left w:w="60" w:type="dxa"/>
              <w:right w:w="60" w:type="dxa"/>
            </w:tcMar>
          </w:tcPr>
          <w:p w14:paraId="476328B4" w14:textId="77777777" w:rsidR="00EC619C" w:rsidRPr="000024AE" w:rsidRDefault="00EC619C" w:rsidP="00674B61">
            <w:pPr>
              <w:adjustRightInd w:val="0"/>
              <w:spacing w:before="60" w:after="60"/>
              <w:jc w:val="center"/>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 xml:space="preserve"> 53.8 [33.3, 70.6]</w:t>
            </w:r>
          </w:p>
        </w:tc>
      </w:tr>
      <w:tr w:rsidR="00EC619C" w:rsidRPr="000024AE" w14:paraId="7BED63CE" w14:textId="77777777" w:rsidTr="00674B61">
        <w:trPr>
          <w:cantSplit/>
          <w:jc w:val="center"/>
        </w:trPr>
        <w:tc>
          <w:tcPr>
            <w:tcW w:w="5388" w:type="dxa"/>
            <w:tcBorders>
              <w:top w:val="nil"/>
              <w:left w:val="nil"/>
              <w:bottom w:val="nil"/>
              <w:right w:val="nil"/>
            </w:tcBorders>
            <w:shd w:val="clear" w:color="auto" w:fill="FFFFFF"/>
            <w:tcMar>
              <w:left w:w="60" w:type="dxa"/>
              <w:right w:w="60" w:type="dxa"/>
            </w:tcMar>
          </w:tcPr>
          <w:p w14:paraId="790B7194" w14:textId="77777777" w:rsidR="00EC619C" w:rsidRPr="000024AE" w:rsidRDefault="00EC619C" w:rsidP="00674B61">
            <w:pPr>
              <w:adjustRightInd w:val="0"/>
              <w:spacing w:before="60" w:after="60"/>
              <w:ind w:left="224"/>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12 months</w:t>
            </w:r>
          </w:p>
        </w:tc>
        <w:tc>
          <w:tcPr>
            <w:tcW w:w="3548" w:type="dxa"/>
            <w:tcBorders>
              <w:top w:val="nil"/>
              <w:left w:val="nil"/>
              <w:bottom w:val="nil"/>
              <w:right w:val="nil"/>
            </w:tcBorders>
            <w:shd w:val="clear" w:color="auto" w:fill="FFFFFF"/>
            <w:tcMar>
              <w:left w:w="60" w:type="dxa"/>
              <w:right w:w="60" w:type="dxa"/>
            </w:tcMar>
          </w:tcPr>
          <w:p w14:paraId="471140BD" w14:textId="77777777" w:rsidR="00EC619C" w:rsidRPr="000024AE" w:rsidRDefault="00EC619C" w:rsidP="00674B61">
            <w:pPr>
              <w:adjustRightInd w:val="0"/>
              <w:spacing w:before="60" w:after="60"/>
              <w:jc w:val="center"/>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 xml:space="preserve"> 29.6 [13.5, 47.7]</w:t>
            </w:r>
          </w:p>
        </w:tc>
      </w:tr>
      <w:tr w:rsidR="00EC619C" w:rsidRPr="000024AE" w14:paraId="2D85C252" w14:textId="77777777" w:rsidTr="00674B61">
        <w:trPr>
          <w:cantSplit/>
          <w:jc w:val="center"/>
        </w:trPr>
        <w:tc>
          <w:tcPr>
            <w:tcW w:w="5388" w:type="dxa"/>
            <w:tcBorders>
              <w:top w:val="nil"/>
              <w:left w:val="nil"/>
              <w:bottom w:val="nil"/>
              <w:right w:val="nil"/>
            </w:tcBorders>
            <w:shd w:val="clear" w:color="auto" w:fill="FFFFFF"/>
            <w:tcMar>
              <w:left w:w="60" w:type="dxa"/>
              <w:right w:w="60" w:type="dxa"/>
            </w:tcMar>
          </w:tcPr>
          <w:p w14:paraId="5D1ACB2C" w14:textId="77777777" w:rsidR="00EC619C" w:rsidRPr="000024AE" w:rsidRDefault="00EC619C" w:rsidP="00674B61">
            <w:pPr>
              <w:adjustRightInd w:val="0"/>
              <w:spacing w:before="60" w:after="60"/>
              <w:ind w:left="224"/>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18 months</w:t>
            </w:r>
          </w:p>
        </w:tc>
        <w:tc>
          <w:tcPr>
            <w:tcW w:w="3548" w:type="dxa"/>
            <w:tcBorders>
              <w:top w:val="nil"/>
              <w:left w:val="nil"/>
              <w:bottom w:val="nil"/>
              <w:right w:val="nil"/>
            </w:tcBorders>
            <w:shd w:val="clear" w:color="auto" w:fill="FFFFFF"/>
            <w:tcMar>
              <w:left w:w="60" w:type="dxa"/>
              <w:right w:w="60" w:type="dxa"/>
            </w:tcMar>
          </w:tcPr>
          <w:p w14:paraId="67F14234" w14:textId="77777777" w:rsidR="00EC619C" w:rsidRPr="000024AE" w:rsidRDefault="00EC619C" w:rsidP="00674B61">
            <w:pPr>
              <w:adjustRightInd w:val="0"/>
              <w:spacing w:before="60" w:after="60"/>
              <w:jc w:val="center"/>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 xml:space="preserve"> 25.4 [10.6, 43.3]</w:t>
            </w:r>
          </w:p>
        </w:tc>
      </w:tr>
      <w:tr w:rsidR="00EC619C" w:rsidRPr="000024AE" w14:paraId="54853D91" w14:textId="77777777" w:rsidTr="00674B61">
        <w:trPr>
          <w:cantSplit/>
          <w:jc w:val="center"/>
        </w:trPr>
        <w:tc>
          <w:tcPr>
            <w:tcW w:w="5388" w:type="dxa"/>
            <w:tcBorders>
              <w:top w:val="nil"/>
              <w:left w:val="nil"/>
              <w:bottom w:val="nil"/>
              <w:right w:val="nil"/>
            </w:tcBorders>
            <w:shd w:val="clear" w:color="auto" w:fill="FFFFFF"/>
            <w:tcMar>
              <w:left w:w="60" w:type="dxa"/>
              <w:right w:w="60" w:type="dxa"/>
            </w:tcMar>
          </w:tcPr>
          <w:p w14:paraId="7F7CA02C" w14:textId="77777777" w:rsidR="00EC619C" w:rsidRPr="000024AE" w:rsidRDefault="00EC619C" w:rsidP="00674B61">
            <w:pPr>
              <w:adjustRightInd w:val="0"/>
              <w:spacing w:before="60" w:after="60"/>
              <w:ind w:left="224"/>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24 months</w:t>
            </w:r>
          </w:p>
        </w:tc>
        <w:tc>
          <w:tcPr>
            <w:tcW w:w="3548" w:type="dxa"/>
            <w:tcBorders>
              <w:top w:val="nil"/>
              <w:left w:val="nil"/>
              <w:bottom w:val="nil"/>
              <w:right w:val="nil"/>
            </w:tcBorders>
            <w:shd w:val="clear" w:color="auto" w:fill="FFFFFF"/>
            <w:tcMar>
              <w:left w:w="60" w:type="dxa"/>
              <w:right w:w="60" w:type="dxa"/>
            </w:tcMar>
          </w:tcPr>
          <w:p w14:paraId="6B19B6C3" w14:textId="77777777" w:rsidR="00EC619C" w:rsidRPr="000024AE" w:rsidRDefault="00EC619C" w:rsidP="00674B61">
            <w:pPr>
              <w:adjustRightInd w:val="0"/>
              <w:spacing w:before="60" w:after="60"/>
              <w:jc w:val="center"/>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 xml:space="preserve"> 10.2 [1.9; 26.9]</w:t>
            </w:r>
          </w:p>
        </w:tc>
      </w:tr>
      <w:tr w:rsidR="00EC619C" w:rsidRPr="000024AE" w14:paraId="77C56BC3" w14:textId="77777777" w:rsidTr="00674B61">
        <w:trPr>
          <w:cantSplit/>
          <w:jc w:val="center"/>
        </w:trPr>
        <w:tc>
          <w:tcPr>
            <w:tcW w:w="5388" w:type="dxa"/>
            <w:tcBorders>
              <w:top w:val="nil"/>
              <w:left w:val="nil"/>
              <w:bottom w:val="nil"/>
              <w:right w:val="nil"/>
            </w:tcBorders>
            <w:shd w:val="clear" w:color="auto" w:fill="FFFFFF"/>
            <w:tcMar>
              <w:left w:w="60" w:type="dxa"/>
              <w:right w:w="60" w:type="dxa"/>
            </w:tcMar>
          </w:tcPr>
          <w:p w14:paraId="1697BEB7" w14:textId="77777777" w:rsidR="00EC619C" w:rsidRPr="000024AE" w:rsidRDefault="00EC619C" w:rsidP="00674B61">
            <w:pPr>
              <w:adjustRightInd w:val="0"/>
              <w:spacing w:before="60" w:after="60"/>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 xml:space="preserve">Overall survival, months </w:t>
            </w:r>
          </w:p>
        </w:tc>
        <w:tc>
          <w:tcPr>
            <w:tcW w:w="3548" w:type="dxa"/>
            <w:tcBorders>
              <w:top w:val="nil"/>
              <w:left w:val="nil"/>
              <w:bottom w:val="nil"/>
              <w:right w:val="nil"/>
            </w:tcBorders>
            <w:shd w:val="clear" w:color="auto" w:fill="FFFFFF"/>
            <w:tcMar>
              <w:left w:w="60" w:type="dxa"/>
              <w:right w:w="60" w:type="dxa"/>
            </w:tcMar>
          </w:tcPr>
          <w:p w14:paraId="567C408E" w14:textId="77777777" w:rsidR="00EC619C" w:rsidRPr="000024AE" w:rsidRDefault="00EC619C" w:rsidP="00674B61">
            <w:pPr>
              <w:adjustRightInd w:val="0"/>
              <w:spacing w:before="60" w:after="60"/>
              <w:jc w:val="center"/>
              <w:rPr>
                <w:rFonts w:ascii="Times New Roman" w:hAnsi="Times New Roman" w:cs="Times New Roman"/>
                <w:color w:val="000000"/>
                <w:sz w:val="20"/>
                <w:szCs w:val="20"/>
                <w:lang w:val="en-US"/>
              </w:rPr>
            </w:pPr>
          </w:p>
        </w:tc>
      </w:tr>
      <w:tr w:rsidR="00EC619C" w:rsidRPr="000024AE" w14:paraId="111F86CA" w14:textId="77777777" w:rsidTr="00674B61">
        <w:trPr>
          <w:cantSplit/>
          <w:jc w:val="center"/>
        </w:trPr>
        <w:tc>
          <w:tcPr>
            <w:tcW w:w="5388" w:type="dxa"/>
            <w:tcBorders>
              <w:top w:val="nil"/>
              <w:left w:val="nil"/>
              <w:bottom w:val="single" w:sz="4" w:space="0" w:color="auto"/>
              <w:right w:val="nil"/>
            </w:tcBorders>
            <w:shd w:val="clear" w:color="auto" w:fill="FFFFFF"/>
            <w:tcMar>
              <w:left w:w="60" w:type="dxa"/>
              <w:right w:w="60" w:type="dxa"/>
            </w:tcMar>
          </w:tcPr>
          <w:p w14:paraId="6BC4126C" w14:textId="77777777" w:rsidR="00EC619C" w:rsidRPr="000024AE" w:rsidRDefault="00EC619C" w:rsidP="00674B61">
            <w:pPr>
              <w:adjustRightInd w:val="0"/>
              <w:spacing w:before="60" w:after="60"/>
              <w:ind w:left="224"/>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Median [95% CI]</w:t>
            </w:r>
          </w:p>
        </w:tc>
        <w:tc>
          <w:tcPr>
            <w:tcW w:w="3548" w:type="dxa"/>
            <w:tcBorders>
              <w:top w:val="nil"/>
              <w:left w:val="nil"/>
              <w:bottom w:val="single" w:sz="4" w:space="0" w:color="auto"/>
              <w:right w:val="nil"/>
            </w:tcBorders>
            <w:shd w:val="clear" w:color="auto" w:fill="FFFFFF"/>
            <w:tcMar>
              <w:left w:w="60" w:type="dxa"/>
              <w:right w:w="60" w:type="dxa"/>
            </w:tcMar>
          </w:tcPr>
          <w:p w14:paraId="5C03995E" w14:textId="77777777" w:rsidR="00EC619C" w:rsidRPr="000024AE" w:rsidRDefault="00EC619C" w:rsidP="00674B61">
            <w:pPr>
              <w:adjustRightInd w:val="0"/>
              <w:spacing w:before="60" w:after="60"/>
              <w:jc w:val="center"/>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 xml:space="preserve"> 6.7 [4.2, 11.7]</w:t>
            </w:r>
          </w:p>
        </w:tc>
      </w:tr>
    </w:tbl>
    <w:p w14:paraId="0182AC7B" w14:textId="77777777" w:rsidR="00EC619C" w:rsidRPr="000024AE" w:rsidRDefault="00EC619C" w:rsidP="00EC619C">
      <w:pPr>
        <w:adjustRightInd w:val="0"/>
        <w:spacing w:before="120"/>
        <w:rPr>
          <w:rFonts w:ascii="Times New Roman" w:hAnsi="Times New Roman" w:cs="Times New Roman"/>
          <w:color w:val="000000"/>
          <w:lang w:val="en-US"/>
        </w:rPr>
      </w:pPr>
      <w:r w:rsidRPr="00F65A0A">
        <w:rPr>
          <w:rFonts w:ascii="Times New Roman" w:hAnsi="Times New Roman" w:cs="Times New Roman"/>
          <w:i/>
          <w:sz w:val="20"/>
          <w:lang w:val="en-US"/>
        </w:rPr>
        <w:t xml:space="preserve">Abbreviation: </w:t>
      </w:r>
      <w:r w:rsidRPr="00F65A0A">
        <w:rPr>
          <w:rFonts w:ascii="Times New Roman" w:hAnsi="Times New Roman" w:cs="Times New Roman"/>
          <w:sz w:val="20"/>
          <w:lang w:val="en-US"/>
        </w:rPr>
        <w:t>CI, confidence interval.</w:t>
      </w:r>
    </w:p>
    <w:p w14:paraId="0D1FADE6" w14:textId="77777777" w:rsidR="00EC619C" w:rsidRPr="000024AE" w:rsidRDefault="00EC619C" w:rsidP="00EC619C">
      <w:pPr>
        <w:rPr>
          <w:rFonts w:ascii="Times New Roman" w:hAnsi="Times New Roman" w:cs="Times New Roman"/>
          <w:bCs/>
          <w:color w:val="000000"/>
          <w:lang w:val="en-US"/>
        </w:rPr>
      </w:pPr>
      <w:r w:rsidRPr="000024AE">
        <w:rPr>
          <w:rFonts w:ascii="Times New Roman" w:hAnsi="Times New Roman" w:cs="Times New Roman"/>
          <w:bCs/>
          <w:color w:val="000000"/>
          <w:lang w:val="en-US"/>
        </w:rPr>
        <w:br w:type="page"/>
      </w:r>
    </w:p>
    <w:p w14:paraId="135F016A" w14:textId="77777777" w:rsidR="00EC619C" w:rsidRPr="00DB3790" w:rsidRDefault="00EC619C" w:rsidP="00EC619C">
      <w:pPr>
        <w:rPr>
          <w:rFonts w:ascii="Times New Roman" w:hAnsi="Times New Roman" w:cs="Times New Roman"/>
          <w:bCs/>
          <w:lang w:val="en-US"/>
        </w:rPr>
      </w:pPr>
      <w:r w:rsidRPr="000024AE">
        <w:rPr>
          <w:rFonts w:ascii="Times New Roman" w:hAnsi="Times New Roman" w:cs="Times New Roman"/>
          <w:b/>
          <w:lang w:val="en-US"/>
        </w:rPr>
        <w:lastRenderedPageBreak/>
        <w:t>Table S3.</w:t>
      </w:r>
      <w:r w:rsidRPr="000024AE">
        <w:rPr>
          <w:rFonts w:ascii="Times New Roman" w:hAnsi="Times New Roman" w:cs="Times New Roman"/>
          <w:bCs/>
          <w:lang w:val="en-US"/>
        </w:rPr>
        <w:t xml:space="preserve"> Details of biomarker testing (</w:t>
      </w:r>
      <w:r w:rsidRPr="000024AE">
        <w:rPr>
          <w:rFonts w:ascii="Times New Roman" w:hAnsi="Times New Roman" w:cs="Times New Roman"/>
          <w:bCs/>
          <w:i/>
          <w:iCs/>
          <w:lang w:val="en-US"/>
        </w:rPr>
        <w:t xml:space="preserve">n </w:t>
      </w:r>
      <w:r w:rsidRPr="000024AE">
        <w:rPr>
          <w:rFonts w:ascii="Times New Roman" w:hAnsi="Times New Roman" w:cs="Times New Roman"/>
          <w:bCs/>
          <w:lang w:val="en-US"/>
        </w:rPr>
        <w:t>= 16)</w:t>
      </w:r>
    </w:p>
    <w:tbl>
      <w:tblPr>
        <w:tblStyle w:val="PlainTable1"/>
        <w:tblpPr w:leftFromText="180" w:rightFromText="180" w:vertAnchor="text" w:horzAnchor="margin" w:tblpY="114"/>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985"/>
        <w:gridCol w:w="1134"/>
        <w:gridCol w:w="1134"/>
        <w:gridCol w:w="1984"/>
        <w:gridCol w:w="2127"/>
      </w:tblGrid>
      <w:tr w:rsidR="00EC619C" w:rsidRPr="000024AE" w14:paraId="157621C8" w14:textId="77777777" w:rsidTr="00674B61">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bottom w:val="single" w:sz="4" w:space="0" w:color="auto"/>
            </w:tcBorders>
            <w:noWrap/>
            <w:hideMark/>
          </w:tcPr>
          <w:p w14:paraId="3EC5E89B" w14:textId="77777777" w:rsidR="00EC619C" w:rsidRPr="000024AE" w:rsidRDefault="00EC619C" w:rsidP="00674B61">
            <w:pPr>
              <w:spacing w:before="60" w:after="60"/>
              <w:contextualSpacing/>
              <w:jc w:val="center"/>
              <w:rPr>
                <w:rFonts w:ascii="Times New Roman" w:eastAsia="Times New Roman" w:hAnsi="Times New Roman" w:cs="Times New Roman"/>
                <w:b w:val="0"/>
                <w:bCs w:val="0"/>
                <w:color w:val="000000"/>
                <w:sz w:val="20"/>
                <w:szCs w:val="20"/>
              </w:rPr>
            </w:pPr>
            <w:bookmarkStart w:id="0" w:name="_Hlk89894595"/>
            <w:r w:rsidRPr="000024AE">
              <w:rPr>
                <w:rFonts w:ascii="Times New Roman" w:eastAsia="Times New Roman" w:hAnsi="Times New Roman" w:cs="Times New Roman"/>
                <w:color w:val="000000"/>
                <w:sz w:val="20"/>
                <w:szCs w:val="20"/>
              </w:rPr>
              <w:t>Patient number</w:t>
            </w:r>
          </w:p>
        </w:tc>
        <w:tc>
          <w:tcPr>
            <w:tcW w:w="1985" w:type="dxa"/>
            <w:tcBorders>
              <w:top w:val="single" w:sz="4" w:space="0" w:color="auto"/>
              <w:bottom w:val="single" w:sz="4" w:space="0" w:color="auto"/>
            </w:tcBorders>
            <w:noWrap/>
            <w:hideMark/>
          </w:tcPr>
          <w:p w14:paraId="49796121" w14:textId="77777777" w:rsidR="00EC619C" w:rsidRPr="000024AE" w:rsidRDefault="00EC619C" w:rsidP="00674B61">
            <w:pPr>
              <w:tabs>
                <w:tab w:val="left" w:pos="967"/>
              </w:tabs>
              <w:spacing w:before="60" w:after="60"/>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rPr>
            </w:pPr>
            <w:r w:rsidRPr="000024AE">
              <w:rPr>
                <w:rFonts w:ascii="Times New Roman" w:eastAsia="Times New Roman" w:hAnsi="Times New Roman" w:cs="Times New Roman"/>
                <w:color w:val="000000"/>
                <w:sz w:val="20"/>
                <w:szCs w:val="20"/>
              </w:rPr>
              <w:t xml:space="preserve">Local </w:t>
            </w:r>
            <w:r w:rsidRPr="000024AE">
              <w:rPr>
                <w:rFonts w:ascii="Times New Roman" w:eastAsia="Times New Roman" w:hAnsi="Times New Roman" w:cs="Times New Roman"/>
                <w:i/>
                <w:iCs/>
                <w:color w:val="000000"/>
                <w:sz w:val="20"/>
                <w:szCs w:val="20"/>
              </w:rPr>
              <w:t xml:space="preserve">FGFR </w:t>
            </w:r>
            <w:r w:rsidRPr="000024AE">
              <w:rPr>
                <w:rFonts w:ascii="Times New Roman" w:eastAsia="Times New Roman" w:hAnsi="Times New Roman" w:cs="Times New Roman"/>
                <w:color w:val="000000"/>
                <w:sz w:val="20"/>
                <w:szCs w:val="20"/>
              </w:rPr>
              <w:t>genotype</w:t>
            </w:r>
          </w:p>
        </w:tc>
        <w:tc>
          <w:tcPr>
            <w:tcW w:w="1134" w:type="dxa"/>
            <w:tcBorders>
              <w:top w:val="single" w:sz="4" w:space="0" w:color="auto"/>
              <w:bottom w:val="single" w:sz="4" w:space="0" w:color="auto"/>
            </w:tcBorders>
            <w:noWrap/>
            <w:hideMark/>
          </w:tcPr>
          <w:p w14:paraId="509016D7" w14:textId="77777777" w:rsidR="00EC619C" w:rsidRPr="000024AE" w:rsidRDefault="00EC619C" w:rsidP="00674B61">
            <w:pPr>
              <w:spacing w:before="60" w:after="60"/>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rPr>
            </w:pPr>
            <w:r w:rsidRPr="000024AE">
              <w:rPr>
                <w:rFonts w:ascii="Times New Roman" w:eastAsia="Times New Roman" w:hAnsi="Times New Roman" w:cs="Times New Roman"/>
                <w:color w:val="000000"/>
                <w:sz w:val="20"/>
                <w:szCs w:val="20"/>
              </w:rPr>
              <w:t>Local laboratory name</w:t>
            </w:r>
          </w:p>
        </w:tc>
        <w:tc>
          <w:tcPr>
            <w:tcW w:w="1134" w:type="dxa"/>
            <w:tcBorders>
              <w:top w:val="single" w:sz="4" w:space="0" w:color="auto"/>
              <w:bottom w:val="single" w:sz="4" w:space="0" w:color="auto"/>
            </w:tcBorders>
            <w:noWrap/>
            <w:hideMark/>
          </w:tcPr>
          <w:p w14:paraId="42C90681" w14:textId="77777777" w:rsidR="00EC619C" w:rsidRPr="000024AE" w:rsidRDefault="00EC619C" w:rsidP="00674B61">
            <w:pPr>
              <w:spacing w:before="60" w:after="60"/>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rPr>
            </w:pPr>
            <w:r w:rsidRPr="000024AE">
              <w:rPr>
                <w:rFonts w:ascii="Times New Roman" w:eastAsia="Times New Roman" w:hAnsi="Times New Roman" w:cs="Times New Roman"/>
                <w:color w:val="000000"/>
                <w:sz w:val="20"/>
                <w:szCs w:val="20"/>
              </w:rPr>
              <w:t>Local laboratory method</w:t>
            </w:r>
          </w:p>
        </w:tc>
        <w:tc>
          <w:tcPr>
            <w:tcW w:w="1984" w:type="dxa"/>
            <w:tcBorders>
              <w:top w:val="single" w:sz="4" w:space="0" w:color="auto"/>
              <w:bottom w:val="single" w:sz="4" w:space="0" w:color="auto"/>
            </w:tcBorders>
          </w:tcPr>
          <w:p w14:paraId="350B58E2" w14:textId="77777777" w:rsidR="00EC619C" w:rsidRPr="000024AE" w:rsidDel="006A71DE" w:rsidRDefault="00EC619C" w:rsidP="00674B61">
            <w:pPr>
              <w:spacing w:before="60" w:after="60"/>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color w:val="000000"/>
                <w:sz w:val="20"/>
                <w:szCs w:val="20"/>
              </w:rPr>
              <w:t xml:space="preserve">Quest </w:t>
            </w:r>
            <w:r w:rsidRPr="000024AE">
              <w:rPr>
                <w:rFonts w:ascii="Times New Roman" w:eastAsia="Times New Roman" w:hAnsi="Times New Roman" w:cs="Times New Roman"/>
                <w:i/>
                <w:iCs/>
                <w:color w:val="000000"/>
                <w:sz w:val="20"/>
                <w:szCs w:val="20"/>
              </w:rPr>
              <w:t>FGFR</w:t>
            </w:r>
            <w:r w:rsidRPr="000024AE">
              <w:rPr>
                <w:rFonts w:ascii="Times New Roman" w:eastAsia="Times New Roman" w:hAnsi="Times New Roman" w:cs="Times New Roman"/>
                <w:color w:val="000000"/>
                <w:sz w:val="20"/>
                <w:szCs w:val="20"/>
              </w:rPr>
              <w:t xml:space="preserve"> genotype (by PCR)</w:t>
            </w:r>
          </w:p>
        </w:tc>
        <w:tc>
          <w:tcPr>
            <w:tcW w:w="2127" w:type="dxa"/>
            <w:tcBorders>
              <w:top w:val="single" w:sz="4" w:space="0" w:color="auto"/>
              <w:bottom w:val="single" w:sz="4" w:space="0" w:color="auto"/>
            </w:tcBorders>
          </w:tcPr>
          <w:p w14:paraId="0F5D9DA9" w14:textId="77777777" w:rsidR="00EC619C" w:rsidRPr="000024AE" w:rsidRDefault="00EC619C" w:rsidP="00674B61">
            <w:pPr>
              <w:spacing w:before="60" w:after="60"/>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BFBFBF" w:themeColor="background1" w:themeShade="BF"/>
                <w:sz w:val="20"/>
                <w:szCs w:val="20"/>
              </w:rPr>
            </w:pPr>
            <w:r w:rsidRPr="000024AE">
              <w:rPr>
                <w:rFonts w:ascii="Times New Roman" w:eastAsia="Times New Roman" w:hAnsi="Times New Roman" w:cs="Times New Roman"/>
                <w:sz w:val="20"/>
                <w:szCs w:val="20"/>
              </w:rPr>
              <w:t xml:space="preserve">Foundation Medicine </w:t>
            </w:r>
            <w:r w:rsidRPr="000024AE">
              <w:rPr>
                <w:rFonts w:ascii="Times New Roman" w:eastAsia="Times New Roman" w:hAnsi="Times New Roman" w:cs="Times New Roman"/>
                <w:i/>
                <w:iCs/>
                <w:sz w:val="20"/>
                <w:szCs w:val="20"/>
              </w:rPr>
              <w:t>FGFR</w:t>
            </w:r>
            <w:r w:rsidRPr="000024AE">
              <w:rPr>
                <w:rFonts w:ascii="Times New Roman" w:eastAsia="Times New Roman" w:hAnsi="Times New Roman" w:cs="Times New Roman"/>
                <w:sz w:val="20"/>
                <w:szCs w:val="20"/>
              </w:rPr>
              <w:t xml:space="preserve"> genotype (by NGS)</w:t>
            </w:r>
          </w:p>
        </w:tc>
      </w:tr>
      <w:tr w:rsidR="00EC619C" w:rsidRPr="000024AE" w14:paraId="48F40C99" w14:textId="77777777" w:rsidTr="00674B61">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tcBorders>
            <w:shd w:val="clear" w:color="auto" w:fill="auto"/>
            <w:noWrap/>
          </w:tcPr>
          <w:p w14:paraId="6FFAB0C6" w14:textId="77777777" w:rsidR="00EC619C" w:rsidRPr="000024AE" w:rsidRDefault="00EC619C" w:rsidP="00674B61">
            <w:pPr>
              <w:spacing w:before="60" w:after="60"/>
              <w:contextualSpacing/>
              <w:rPr>
                <w:rFonts w:ascii="Times New Roman" w:eastAsia="Times New Roman" w:hAnsi="Times New Roman" w:cs="Times New Roman"/>
                <w:b w:val="0"/>
                <w:bCs w:val="0"/>
                <w:color w:val="000000" w:themeColor="text1"/>
                <w:sz w:val="20"/>
                <w:szCs w:val="20"/>
              </w:rPr>
            </w:pPr>
            <w:r w:rsidRPr="000024AE">
              <w:rPr>
                <w:rFonts w:ascii="Times New Roman" w:eastAsia="Times New Roman" w:hAnsi="Times New Roman" w:cs="Times New Roman"/>
                <w:b w:val="0"/>
                <w:bCs w:val="0"/>
                <w:color w:val="000000" w:themeColor="text1"/>
                <w:sz w:val="20"/>
                <w:szCs w:val="20"/>
              </w:rPr>
              <w:t>2</w:t>
            </w:r>
          </w:p>
        </w:tc>
        <w:tc>
          <w:tcPr>
            <w:tcW w:w="1985" w:type="dxa"/>
            <w:tcBorders>
              <w:top w:val="single" w:sz="4" w:space="0" w:color="auto"/>
            </w:tcBorders>
            <w:shd w:val="clear" w:color="auto" w:fill="auto"/>
            <w:noWrap/>
            <w:hideMark/>
          </w:tcPr>
          <w:p w14:paraId="7F5C81D4" w14:textId="77777777" w:rsidR="00EC619C" w:rsidRPr="000024AE" w:rsidRDefault="00EC619C" w:rsidP="00674B61">
            <w:pPr>
              <w:tabs>
                <w:tab w:val="left" w:pos="967"/>
              </w:tabs>
              <w:spacing w:before="60" w:after="6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0024AE">
              <w:rPr>
                <w:rFonts w:ascii="Times New Roman" w:eastAsia="Times New Roman" w:hAnsi="Times New Roman" w:cs="Times New Roman"/>
                <w:color w:val="000000" w:themeColor="text1"/>
                <w:sz w:val="20"/>
                <w:szCs w:val="20"/>
              </w:rPr>
              <w:t>N/A</w:t>
            </w:r>
          </w:p>
        </w:tc>
        <w:tc>
          <w:tcPr>
            <w:tcW w:w="1134" w:type="dxa"/>
            <w:tcBorders>
              <w:top w:val="single" w:sz="4" w:space="0" w:color="auto"/>
            </w:tcBorders>
            <w:shd w:val="clear" w:color="auto" w:fill="auto"/>
            <w:noWrap/>
            <w:hideMark/>
          </w:tcPr>
          <w:p w14:paraId="1AEDA36B" w14:textId="77777777" w:rsidR="00EC619C" w:rsidRPr="000024AE" w:rsidRDefault="00EC619C" w:rsidP="00674B61">
            <w:pPr>
              <w:spacing w:before="60" w:after="6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color w:val="000000"/>
                <w:sz w:val="20"/>
                <w:szCs w:val="20"/>
              </w:rPr>
              <w:t>N/A</w:t>
            </w:r>
          </w:p>
        </w:tc>
        <w:tc>
          <w:tcPr>
            <w:tcW w:w="1134" w:type="dxa"/>
            <w:tcBorders>
              <w:top w:val="single" w:sz="4" w:space="0" w:color="auto"/>
            </w:tcBorders>
            <w:shd w:val="clear" w:color="auto" w:fill="auto"/>
            <w:noWrap/>
            <w:hideMark/>
          </w:tcPr>
          <w:p w14:paraId="29A30E06" w14:textId="77777777" w:rsidR="00EC619C" w:rsidRPr="000024AE" w:rsidRDefault="00EC619C" w:rsidP="00674B61">
            <w:pPr>
              <w:spacing w:before="60" w:after="6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color w:val="000000"/>
                <w:sz w:val="20"/>
                <w:szCs w:val="20"/>
              </w:rPr>
              <w:t>N/A</w:t>
            </w:r>
          </w:p>
        </w:tc>
        <w:tc>
          <w:tcPr>
            <w:tcW w:w="1984" w:type="dxa"/>
            <w:tcBorders>
              <w:top w:val="single" w:sz="4" w:space="0" w:color="auto"/>
            </w:tcBorders>
            <w:shd w:val="clear" w:color="auto" w:fill="auto"/>
          </w:tcPr>
          <w:p w14:paraId="6F5DC0F6" w14:textId="77777777" w:rsidR="00EC619C" w:rsidRPr="000024AE" w:rsidRDefault="00EC619C" w:rsidP="00674B61">
            <w:pPr>
              <w:spacing w:before="60" w:after="6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i/>
                <w:iCs/>
                <w:color w:val="FF0000"/>
                <w:sz w:val="20"/>
                <w:szCs w:val="20"/>
              </w:rPr>
              <w:t>FGFR3</w:t>
            </w:r>
            <w:r w:rsidRPr="000024AE">
              <w:rPr>
                <w:rFonts w:ascii="Times New Roman" w:eastAsia="Times New Roman" w:hAnsi="Times New Roman" w:cs="Times New Roman"/>
                <w:color w:val="FF0000"/>
                <w:sz w:val="20"/>
                <w:szCs w:val="20"/>
              </w:rPr>
              <w:t xml:space="preserve"> amplification</w:t>
            </w:r>
          </w:p>
        </w:tc>
        <w:tc>
          <w:tcPr>
            <w:tcW w:w="2127" w:type="dxa"/>
            <w:tcBorders>
              <w:top w:val="single" w:sz="4" w:space="0" w:color="auto"/>
            </w:tcBorders>
            <w:shd w:val="clear" w:color="auto" w:fill="auto"/>
          </w:tcPr>
          <w:p w14:paraId="7AC093D3" w14:textId="77777777" w:rsidR="00EC619C" w:rsidRPr="000024AE" w:rsidRDefault="00EC619C" w:rsidP="00674B61">
            <w:pPr>
              <w:spacing w:before="60" w:after="6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BFBFBF" w:themeColor="background1" w:themeShade="BF"/>
                <w:sz w:val="20"/>
                <w:szCs w:val="20"/>
              </w:rPr>
            </w:pPr>
            <w:r w:rsidRPr="000024AE">
              <w:rPr>
                <w:rFonts w:ascii="Times New Roman" w:eastAsia="Times New Roman" w:hAnsi="Times New Roman" w:cs="Times New Roman"/>
                <w:color w:val="000000"/>
                <w:sz w:val="20"/>
                <w:szCs w:val="20"/>
              </w:rPr>
              <w:t xml:space="preserve">No </w:t>
            </w:r>
            <w:r w:rsidRPr="000024AE">
              <w:rPr>
                <w:rFonts w:ascii="Times New Roman" w:eastAsia="Times New Roman" w:hAnsi="Times New Roman" w:cs="Times New Roman"/>
                <w:i/>
                <w:iCs/>
                <w:color w:val="000000"/>
                <w:sz w:val="20"/>
                <w:szCs w:val="20"/>
              </w:rPr>
              <w:t>FGFR</w:t>
            </w:r>
            <w:r w:rsidRPr="000024AE">
              <w:rPr>
                <w:rFonts w:ascii="Times New Roman" w:eastAsia="Times New Roman" w:hAnsi="Times New Roman" w:cs="Times New Roman"/>
                <w:color w:val="000000"/>
                <w:sz w:val="20"/>
                <w:szCs w:val="20"/>
              </w:rPr>
              <w:t xml:space="preserve"> alterations</w:t>
            </w:r>
          </w:p>
        </w:tc>
      </w:tr>
      <w:tr w:rsidR="00EC619C" w:rsidRPr="000024AE" w14:paraId="02DAC89C" w14:textId="77777777" w:rsidTr="00674B61">
        <w:trPr>
          <w:trHeight w:val="297"/>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tcPr>
          <w:p w14:paraId="559428AA" w14:textId="77777777" w:rsidR="00EC619C" w:rsidRPr="000024AE" w:rsidRDefault="00EC619C" w:rsidP="00674B61">
            <w:pPr>
              <w:spacing w:before="60" w:after="60"/>
              <w:contextualSpacing/>
              <w:rPr>
                <w:rFonts w:ascii="Times New Roman" w:eastAsia="Times New Roman" w:hAnsi="Times New Roman" w:cs="Times New Roman"/>
                <w:b w:val="0"/>
                <w:bCs w:val="0"/>
                <w:color w:val="000000"/>
                <w:sz w:val="20"/>
                <w:szCs w:val="20"/>
              </w:rPr>
            </w:pPr>
            <w:r w:rsidRPr="000024AE">
              <w:rPr>
                <w:rFonts w:ascii="Times New Roman" w:eastAsia="Times New Roman" w:hAnsi="Times New Roman" w:cs="Times New Roman"/>
                <w:b w:val="0"/>
                <w:bCs w:val="0"/>
                <w:color w:val="000000"/>
                <w:sz w:val="20"/>
                <w:szCs w:val="20"/>
              </w:rPr>
              <w:t>5</w:t>
            </w:r>
          </w:p>
        </w:tc>
        <w:tc>
          <w:tcPr>
            <w:tcW w:w="1985" w:type="dxa"/>
            <w:shd w:val="clear" w:color="auto" w:fill="auto"/>
            <w:noWrap/>
            <w:hideMark/>
          </w:tcPr>
          <w:p w14:paraId="2FE8EEDB" w14:textId="77777777" w:rsidR="00EC619C" w:rsidRPr="000024AE" w:rsidRDefault="00EC619C" w:rsidP="00674B61">
            <w:pPr>
              <w:tabs>
                <w:tab w:val="left" w:pos="967"/>
              </w:tabs>
              <w:spacing w:before="60" w:after="6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color w:val="000000"/>
                <w:sz w:val="20"/>
                <w:szCs w:val="20"/>
              </w:rPr>
              <w:t>N/A</w:t>
            </w:r>
          </w:p>
        </w:tc>
        <w:tc>
          <w:tcPr>
            <w:tcW w:w="1134" w:type="dxa"/>
            <w:shd w:val="clear" w:color="auto" w:fill="auto"/>
            <w:noWrap/>
            <w:hideMark/>
          </w:tcPr>
          <w:p w14:paraId="16200D05" w14:textId="77777777" w:rsidR="00EC619C" w:rsidRPr="000024AE" w:rsidRDefault="00EC619C" w:rsidP="00674B61">
            <w:pPr>
              <w:spacing w:before="60" w:after="6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color w:val="000000"/>
                <w:sz w:val="20"/>
                <w:szCs w:val="20"/>
              </w:rPr>
              <w:t>N/A</w:t>
            </w:r>
          </w:p>
        </w:tc>
        <w:tc>
          <w:tcPr>
            <w:tcW w:w="1134" w:type="dxa"/>
            <w:shd w:val="clear" w:color="auto" w:fill="auto"/>
            <w:noWrap/>
            <w:hideMark/>
          </w:tcPr>
          <w:p w14:paraId="66A03AE7" w14:textId="77777777" w:rsidR="00EC619C" w:rsidRPr="000024AE" w:rsidRDefault="00EC619C" w:rsidP="00674B61">
            <w:pPr>
              <w:spacing w:before="60" w:after="6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0024AE">
              <w:rPr>
                <w:rFonts w:ascii="Times New Roman" w:eastAsia="Times New Roman" w:hAnsi="Times New Roman" w:cs="Times New Roman"/>
                <w:color w:val="000000" w:themeColor="text1"/>
                <w:sz w:val="20"/>
                <w:szCs w:val="20"/>
              </w:rPr>
              <w:t>N/A</w:t>
            </w:r>
          </w:p>
        </w:tc>
        <w:tc>
          <w:tcPr>
            <w:tcW w:w="1984" w:type="dxa"/>
            <w:shd w:val="clear" w:color="auto" w:fill="auto"/>
          </w:tcPr>
          <w:p w14:paraId="2C0091B3" w14:textId="77777777" w:rsidR="00EC619C" w:rsidRPr="000024AE" w:rsidRDefault="00EC619C" w:rsidP="00674B61">
            <w:pPr>
              <w:spacing w:before="60" w:after="6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0024AE">
              <w:rPr>
                <w:rFonts w:ascii="Times New Roman" w:eastAsia="Times New Roman" w:hAnsi="Times New Roman" w:cs="Times New Roman"/>
                <w:color w:val="000000" w:themeColor="text1"/>
                <w:sz w:val="20"/>
                <w:szCs w:val="20"/>
              </w:rPr>
              <w:t>N/A</w:t>
            </w:r>
          </w:p>
        </w:tc>
        <w:tc>
          <w:tcPr>
            <w:tcW w:w="2127" w:type="dxa"/>
            <w:shd w:val="clear" w:color="auto" w:fill="auto"/>
          </w:tcPr>
          <w:p w14:paraId="2CE25B71" w14:textId="77777777" w:rsidR="00EC619C" w:rsidRPr="000024AE" w:rsidRDefault="00EC619C" w:rsidP="00674B61">
            <w:pPr>
              <w:spacing w:before="60" w:after="6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BFBFBF" w:themeColor="background1" w:themeShade="BF"/>
                <w:sz w:val="20"/>
                <w:szCs w:val="20"/>
              </w:rPr>
            </w:pPr>
            <w:r w:rsidRPr="000024AE">
              <w:rPr>
                <w:rFonts w:ascii="Times New Roman" w:eastAsia="Times New Roman" w:hAnsi="Times New Roman" w:cs="Times New Roman"/>
                <w:i/>
                <w:iCs/>
                <w:color w:val="FF0000"/>
                <w:sz w:val="20"/>
                <w:szCs w:val="20"/>
              </w:rPr>
              <w:t>FGFR1-ARHGEF18</w:t>
            </w:r>
            <w:r w:rsidRPr="000024AE">
              <w:rPr>
                <w:rFonts w:ascii="Times New Roman" w:eastAsia="Times New Roman" w:hAnsi="Times New Roman" w:cs="Times New Roman"/>
                <w:color w:val="FF0000"/>
                <w:sz w:val="20"/>
                <w:szCs w:val="20"/>
              </w:rPr>
              <w:t xml:space="preserve"> fusion</w:t>
            </w:r>
          </w:p>
        </w:tc>
      </w:tr>
      <w:tr w:rsidR="00EC619C" w:rsidRPr="000024AE" w14:paraId="36E7B914" w14:textId="77777777" w:rsidTr="00674B61">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tcPr>
          <w:p w14:paraId="1E4EB1E3" w14:textId="77777777" w:rsidR="00EC619C" w:rsidRPr="000024AE" w:rsidRDefault="00EC619C" w:rsidP="00674B61">
            <w:pPr>
              <w:spacing w:before="60" w:after="60"/>
              <w:contextualSpacing/>
              <w:rPr>
                <w:rFonts w:ascii="Times New Roman" w:eastAsia="Times New Roman" w:hAnsi="Times New Roman" w:cs="Times New Roman"/>
                <w:b w:val="0"/>
                <w:bCs w:val="0"/>
                <w:color w:val="000000"/>
                <w:sz w:val="20"/>
                <w:szCs w:val="20"/>
              </w:rPr>
            </w:pPr>
            <w:r w:rsidRPr="000024AE">
              <w:rPr>
                <w:rFonts w:ascii="Times New Roman" w:eastAsia="Times New Roman" w:hAnsi="Times New Roman" w:cs="Times New Roman"/>
                <w:b w:val="0"/>
                <w:bCs w:val="0"/>
                <w:color w:val="000000"/>
                <w:sz w:val="20"/>
                <w:szCs w:val="20"/>
              </w:rPr>
              <w:t>8</w:t>
            </w:r>
          </w:p>
        </w:tc>
        <w:tc>
          <w:tcPr>
            <w:tcW w:w="1985" w:type="dxa"/>
            <w:shd w:val="clear" w:color="auto" w:fill="auto"/>
            <w:noWrap/>
            <w:hideMark/>
          </w:tcPr>
          <w:p w14:paraId="4C0B0132" w14:textId="77777777" w:rsidR="00EC619C" w:rsidRPr="000024AE" w:rsidRDefault="00EC619C" w:rsidP="00674B61">
            <w:pPr>
              <w:tabs>
                <w:tab w:val="left" w:pos="967"/>
              </w:tabs>
              <w:spacing w:before="60" w:after="6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0"/>
                <w:szCs w:val="20"/>
              </w:rPr>
            </w:pPr>
            <w:r w:rsidRPr="000024AE">
              <w:rPr>
                <w:rFonts w:ascii="Times New Roman" w:eastAsia="Times New Roman" w:hAnsi="Times New Roman" w:cs="Times New Roman"/>
                <w:i/>
                <w:iCs/>
                <w:color w:val="FF0000"/>
                <w:sz w:val="20"/>
                <w:szCs w:val="20"/>
              </w:rPr>
              <w:t>FGFR3</w:t>
            </w:r>
            <w:r w:rsidRPr="000024AE">
              <w:rPr>
                <w:rFonts w:ascii="Times New Roman" w:eastAsia="Times New Roman" w:hAnsi="Times New Roman" w:cs="Times New Roman"/>
                <w:color w:val="FF0000"/>
                <w:sz w:val="20"/>
                <w:szCs w:val="20"/>
              </w:rPr>
              <w:t xml:space="preserve"> amplification</w:t>
            </w:r>
          </w:p>
        </w:tc>
        <w:tc>
          <w:tcPr>
            <w:tcW w:w="1134" w:type="dxa"/>
            <w:shd w:val="clear" w:color="auto" w:fill="auto"/>
            <w:noWrap/>
            <w:hideMark/>
          </w:tcPr>
          <w:p w14:paraId="5D39C0B1" w14:textId="77777777" w:rsidR="00EC619C" w:rsidRPr="000024AE" w:rsidRDefault="00EC619C" w:rsidP="00674B61">
            <w:pPr>
              <w:spacing w:before="60" w:after="6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color w:val="000000"/>
                <w:sz w:val="20"/>
                <w:szCs w:val="20"/>
              </w:rPr>
              <w:t>Utrecht University</w:t>
            </w:r>
          </w:p>
        </w:tc>
        <w:tc>
          <w:tcPr>
            <w:tcW w:w="1134" w:type="dxa"/>
            <w:shd w:val="clear" w:color="auto" w:fill="auto"/>
            <w:noWrap/>
            <w:hideMark/>
          </w:tcPr>
          <w:p w14:paraId="0BA224DD" w14:textId="77777777" w:rsidR="00EC619C" w:rsidRPr="000024AE" w:rsidRDefault="00EC619C" w:rsidP="00674B61">
            <w:pPr>
              <w:spacing w:before="60" w:after="6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color w:val="000000"/>
                <w:sz w:val="20"/>
                <w:szCs w:val="20"/>
              </w:rPr>
              <w:t>RT-PCR</w:t>
            </w:r>
          </w:p>
        </w:tc>
        <w:tc>
          <w:tcPr>
            <w:tcW w:w="1984" w:type="dxa"/>
            <w:shd w:val="clear" w:color="auto" w:fill="auto"/>
          </w:tcPr>
          <w:p w14:paraId="666CEE9A" w14:textId="77777777" w:rsidR="00EC619C" w:rsidRPr="000024AE" w:rsidRDefault="00EC619C" w:rsidP="00674B61">
            <w:pPr>
              <w:spacing w:before="60" w:after="6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color w:val="000000"/>
                <w:sz w:val="20"/>
                <w:szCs w:val="20"/>
              </w:rPr>
              <w:t>N/A</w:t>
            </w:r>
          </w:p>
        </w:tc>
        <w:tc>
          <w:tcPr>
            <w:tcW w:w="2127" w:type="dxa"/>
            <w:shd w:val="clear" w:color="auto" w:fill="auto"/>
          </w:tcPr>
          <w:p w14:paraId="7C0A6C3F" w14:textId="77777777" w:rsidR="00EC619C" w:rsidRPr="000024AE" w:rsidRDefault="00EC619C" w:rsidP="00674B61">
            <w:pPr>
              <w:spacing w:before="60" w:after="6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BFBFBF" w:themeColor="background1" w:themeShade="BF"/>
                <w:sz w:val="20"/>
                <w:szCs w:val="20"/>
              </w:rPr>
            </w:pPr>
            <w:r w:rsidRPr="000024AE">
              <w:rPr>
                <w:rFonts w:ascii="Times New Roman" w:eastAsia="Times New Roman" w:hAnsi="Times New Roman" w:cs="Times New Roman"/>
                <w:color w:val="000000"/>
                <w:sz w:val="20"/>
                <w:szCs w:val="20"/>
              </w:rPr>
              <w:t xml:space="preserve">No </w:t>
            </w:r>
            <w:r w:rsidRPr="000024AE">
              <w:rPr>
                <w:rFonts w:ascii="Times New Roman" w:eastAsia="Times New Roman" w:hAnsi="Times New Roman" w:cs="Times New Roman"/>
                <w:i/>
                <w:iCs/>
                <w:color w:val="000000"/>
                <w:sz w:val="20"/>
                <w:szCs w:val="20"/>
              </w:rPr>
              <w:t xml:space="preserve">FGFR </w:t>
            </w:r>
            <w:r w:rsidRPr="000024AE">
              <w:rPr>
                <w:rFonts w:ascii="Times New Roman" w:eastAsia="Times New Roman" w:hAnsi="Times New Roman" w:cs="Times New Roman"/>
                <w:color w:val="000000"/>
                <w:sz w:val="20"/>
                <w:szCs w:val="20"/>
              </w:rPr>
              <w:t>alterations</w:t>
            </w:r>
          </w:p>
        </w:tc>
      </w:tr>
      <w:tr w:rsidR="00EC619C" w:rsidRPr="000024AE" w14:paraId="094A4C2A" w14:textId="77777777" w:rsidTr="00674B61">
        <w:trPr>
          <w:trHeight w:val="297"/>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tcPr>
          <w:p w14:paraId="72B40868" w14:textId="77777777" w:rsidR="00EC619C" w:rsidRPr="000024AE" w:rsidRDefault="00EC619C" w:rsidP="00674B61">
            <w:pPr>
              <w:spacing w:before="60" w:after="60"/>
              <w:contextualSpacing/>
              <w:rPr>
                <w:rFonts w:ascii="Times New Roman" w:eastAsia="Times New Roman" w:hAnsi="Times New Roman" w:cs="Times New Roman"/>
                <w:b w:val="0"/>
                <w:bCs w:val="0"/>
                <w:color w:val="000000" w:themeColor="text1"/>
                <w:sz w:val="20"/>
                <w:szCs w:val="20"/>
              </w:rPr>
            </w:pPr>
            <w:r w:rsidRPr="000024AE">
              <w:rPr>
                <w:rFonts w:ascii="Times New Roman" w:eastAsia="Times New Roman" w:hAnsi="Times New Roman" w:cs="Times New Roman"/>
                <w:b w:val="0"/>
                <w:bCs w:val="0"/>
                <w:color w:val="000000" w:themeColor="text1"/>
                <w:sz w:val="20"/>
                <w:szCs w:val="20"/>
              </w:rPr>
              <w:t>10</w:t>
            </w:r>
          </w:p>
        </w:tc>
        <w:tc>
          <w:tcPr>
            <w:tcW w:w="1985" w:type="dxa"/>
            <w:shd w:val="clear" w:color="auto" w:fill="auto"/>
            <w:noWrap/>
            <w:hideMark/>
          </w:tcPr>
          <w:p w14:paraId="7FB37D4E" w14:textId="77777777" w:rsidR="00EC619C" w:rsidRPr="000024AE" w:rsidRDefault="00EC619C" w:rsidP="00674B61">
            <w:pPr>
              <w:tabs>
                <w:tab w:val="left" w:pos="967"/>
              </w:tabs>
              <w:spacing w:before="60" w:after="6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0024AE">
              <w:rPr>
                <w:rFonts w:ascii="Times New Roman" w:eastAsia="Times New Roman" w:hAnsi="Times New Roman" w:cs="Times New Roman"/>
                <w:color w:val="000000" w:themeColor="text1"/>
                <w:sz w:val="20"/>
                <w:szCs w:val="20"/>
              </w:rPr>
              <w:t>N/A</w:t>
            </w:r>
          </w:p>
        </w:tc>
        <w:tc>
          <w:tcPr>
            <w:tcW w:w="1134" w:type="dxa"/>
            <w:shd w:val="clear" w:color="auto" w:fill="auto"/>
            <w:noWrap/>
            <w:hideMark/>
          </w:tcPr>
          <w:p w14:paraId="23DB1F89" w14:textId="77777777" w:rsidR="00EC619C" w:rsidRPr="000024AE" w:rsidRDefault="00EC619C" w:rsidP="00674B61">
            <w:pPr>
              <w:spacing w:before="60" w:after="6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color w:val="000000"/>
                <w:sz w:val="20"/>
                <w:szCs w:val="20"/>
              </w:rPr>
              <w:t>N/A</w:t>
            </w:r>
          </w:p>
        </w:tc>
        <w:tc>
          <w:tcPr>
            <w:tcW w:w="1134" w:type="dxa"/>
            <w:shd w:val="clear" w:color="auto" w:fill="auto"/>
            <w:noWrap/>
            <w:hideMark/>
          </w:tcPr>
          <w:p w14:paraId="28558A89" w14:textId="77777777" w:rsidR="00EC619C" w:rsidRPr="000024AE" w:rsidRDefault="00EC619C" w:rsidP="00674B61">
            <w:pPr>
              <w:spacing w:before="60" w:after="6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color w:val="000000"/>
                <w:sz w:val="20"/>
                <w:szCs w:val="20"/>
              </w:rPr>
              <w:t>N/A</w:t>
            </w:r>
          </w:p>
        </w:tc>
        <w:tc>
          <w:tcPr>
            <w:tcW w:w="1984" w:type="dxa"/>
            <w:shd w:val="clear" w:color="auto" w:fill="auto"/>
          </w:tcPr>
          <w:p w14:paraId="74B07359" w14:textId="77777777" w:rsidR="00EC619C" w:rsidRPr="000024AE" w:rsidRDefault="00EC619C" w:rsidP="00674B61">
            <w:pPr>
              <w:spacing w:before="60" w:after="6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color w:val="000000"/>
                <w:sz w:val="20"/>
                <w:szCs w:val="20"/>
              </w:rPr>
              <w:t>N/A</w:t>
            </w:r>
          </w:p>
        </w:tc>
        <w:tc>
          <w:tcPr>
            <w:tcW w:w="2127" w:type="dxa"/>
            <w:shd w:val="clear" w:color="auto" w:fill="auto"/>
          </w:tcPr>
          <w:p w14:paraId="30460569" w14:textId="77777777" w:rsidR="00EC619C" w:rsidRPr="000024AE" w:rsidRDefault="00EC619C" w:rsidP="00674B61">
            <w:pPr>
              <w:spacing w:before="60" w:after="6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BFBFBF" w:themeColor="background1" w:themeShade="BF"/>
                <w:sz w:val="20"/>
                <w:szCs w:val="20"/>
              </w:rPr>
            </w:pPr>
            <w:r w:rsidRPr="000024AE">
              <w:rPr>
                <w:rFonts w:ascii="Times New Roman" w:eastAsia="Times New Roman" w:hAnsi="Times New Roman" w:cs="Times New Roman"/>
                <w:i/>
                <w:iCs/>
                <w:color w:val="FF0000"/>
                <w:sz w:val="20"/>
                <w:szCs w:val="20"/>
              </w:rPr>
              <w:t>FGFR3-TACC3</w:t>
            </w:r>
            <w:r w:rsidRPr="000024AE">
              <w:rPr>
                <w:rFonts w:ascii="Times New Roman" w:eastAsia="Times New Roman" w:hAnsi="Times New Roman" w:cs="Times New Roman"/>
                <w:color w:val="FF0000"/>
                <w:sz w:val="20"/>
                <w:szCs w:val="20"/>
              </w:rPr>
              <w:t xml:space="preserve"> fusion</w:t>
            </w:r>
          </w:p>
        </w:tc>
      </w:tr>
      <w:tr w:rsidR="00EC619C" w:rsidRPr="000024AE" w14:paraId="696ABFDB" w14:textId="77777777" w:rsidTr="00674B61">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tcPr>
          <w:p w14:paraId="02589185" w14:textId="77777777" w:rsidR="00EC619C" w:rsidRPr="000024AE" w:rsidRDefault="00EC619C" w:rsidP="00674B61">
            <w:pPr>
              <w:spacing w:before="60" w:after="60"/>
              <w:contextualSpacing/>
              <w:rPr>
                <w:rFonts w:ascii="Times New Roman" w:eastAsia="Times New Roman" w:hAnsi="Times New Roman" w:cs="Times New Roman"/>
                <w:b w:val="0"/>
                <w:bCs w:val="0"/>
                <w:color w:val="000000" w:themeColor="text1"/>
                <w:sz w:val="20"/>
                <w:szCs w:val="20"/>
              </w:rPr>
            </w:pPr>
            <w:r w:rsidRPr="000024AE">
              <w:rPr>
                <w:rFonts w:ascii="Times New Roman" w:eastAsia="Times New Roman" w:hAnsi="Times New Roman" w:cs="Times New Roman"/>
                <w:b w:val="0"/>
                <w:bCs w:val="0"/>
                <w:color w:val="000000" w:themeColor="text1"/>
                <w:sz w:val="20"/>
                <w:szCs w:val="20"/>
              </w:rPr>
              <w:t>11</w:t>
            </w:r>
          </w:p>
        </w:tc>
        <w:tc>
          <w:tcPr>
            <w:tcW w:w="1985" w:type="dxa"/>
            <w:shd w:val="clear" w:color="auto" w:fill="auto"/>
            <w:noWrap/>
            <w:hideMark/>
          </w:tcPr>
          <w:p w14:paraId="1AD35FE1" w14:textId="77777777" w:rsidR="00EC619C" w:rsidRPr="000024AE" w:rsidRDefault="00EC619C" w:rsidP="00674B61">
            <w:pPr>
              <w:tabs>
                <w:tab w:val="left" w:pos="967"/>
              </w:tabs>
              <w:spacing w:before="60" w:after="6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0024AE">
              <w:rPr>
                <w:rFonts w:ascii="Times New Roman" w:eastAsia="Times New Roman" w:hAnsi="Times New Roman" w:cs="Times New Roman"/>
                <w:color w:val="000000" w:themeColor="text1"/>
                <w:sz w:val="20"/>
                <w:szCs w:val="20"/>
              </w:rPr>
              <w:t>N/A</w:t>
            </w:r>
          </w:p>
        </w:tc>
        <w:tc>
          <w:tcPr>
            <w:tcW w:w="1134" w:type="dxa"/>
            <w:shd w:val="clear" w:color="auto" w:fill="auto"/>
            <w:noWrap/>
            <w:hideMark/>
          </w:tcPr>
          <w:p w14:paraId="3A11F5EF" w14:textId="77777777" w:rsidR="00EC619C" w:rsidRPr="000024AE" w:rsidRDefault="00EC619C" w:rsidP="00674B61">
            <w:pPr>
              <w:spacing w:before="60" w:after="6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color w:val="000000"/>
                <w:sz w:val="20"/>
                <w:szCs w:val="20"/>
              </w:rPr>
              <w:t>N/A</w:t>
            </w:r>
          </w:p>
        </w:tc>
        <w:tc>
          <w:tcPr>
            <w:tcW w:w="1134" w:type="dxa"/>
            <w:shd w:val="clear" w:color="auto" w:fill="auto"/>
            <w:noWrap/>
            <w:hideMark/>
          </w:tcPr>
          <w:p w14:paraId="5E14AF55" w14:textId="77777777" w:rsidR="00EC619C" w:rsidRPr="000024AE" w:rsidRDefault="00EC619C" w:rsidP="00674B61">
            <w:pPr>
              <w:spacing w:before="60" w:after="6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color w:val="000000"/>
                <w:sz w:val="20"/>
                <w:szCs w:val="20"/>
              </w:rPr>
              <w:t>N/A</w:t>
            </w:r>
          </w:p>
        </w:tc>
        <w:tc>
          <w:tcPr>
            <w:tcW w:w="1984" w:type="dxa"/>
            <w:shd w:val="clear" w:color="auto" w:fill="auto"/>
          </w:tcPr>
          <w:p w14:paraId="5A974417" w14:textId="77777777" w:rsidR="00EC619C" w:rsidRPr="000024AE" w:rsidRDefault="00EC619C" w:rsidP="00674B61">
            <w:pPr>
              <w:spacing w:before="60" w:after="6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i/>
                <w:iCs/>
                <w:color w:val="FF0000"/>
                <w:sz w:val="20"/>
                <w:szCs w:val="20"/>
              </w:rPr>
              <w:t>FGFR</w:t>
            </w:r>
            <w:r w:rsidRPr="000024AE">
              <w:rPr>
                <w:rFonts w:ascii="Times New Roman" w:eastAsia="Times New Roman" w:hAnsi="Times New Roman" w:cs="Times New Roman"/>
                <w:color w:val="FF0000"/>
                <w:sz w:val="20"/>
                <w:szCs w:val="20"/>
              </w:rPr>
              <w:t>3 amplification</w:t>
            </w:r>
          </w:p>
        </w:tc>
        <w:tc>
          <w:tcPr>
            <w:tcW w:w="2127" w:type="dxa"/>
            <w:shd w:val="clear" w:color="auto" w:fill="auto"/>
          </w:tcPr>
          <w:p w14:paraId="781C1BFD" w14:textId="77777777" w:rsidR="00EC619C" w:rsidRPr="000024AE" w:rsidRDefault="00EC619C" w:rsidP="00674B61">
            <w:pPr>
              <w:spacing w:before="60" w:after="6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BFBFBF" w:themeColor="background1" w:themeShade="BF"/>
                <w:sz w:val="20"/>
                <w:szCs w:val="20"/>
              </w:rPr>
            </w:pPr>
            <w:r w:rsidRPr="000024AE">
              <w:rPr>
                <w:rFonts w:ascii="Times New Roman" w:eastAsia="Times New Roman" w:hAnsi="Times New Roman" w:cs="Times New Roman"/>
                <w:color w:val="000000"/>
                <w:sz w:val="20"/>
                <w:szCs w:val="20"/>
              </w:rPr>
              <w:t xml:space="preserve">No </w:t>
            </w:r>
            <w:r w:rsidRPr="000024AE">
              <w:rPr>
                <w:rFonts w:ascii="Times New Roman" w:eastAsia="Times New Roman" w:hAnsi="Times New Roman" w:cs="Times New Roman"/>
                <w:i/>
                <w:iCs/>
                <w:color w:val="000000"/>
                <w:sz w:val="20"/>
                <w:szCs w:val="20"/>
              </w:rPr>
              <w:t>FGFR</w:t>
            </w:r>
            <w:r w:rsidRPr="000024AE">
              <w:rPr>
                <w:rFonts w:ascii="Times New Roman" w:eastAsia="Times New Roman" w:hAnsi="Times New Roman" w:cs="Times New Roman"/>
                <w:color w:val="000000"/>
                <w:sz w:val="20"/>
                <w:szCs w:val="20"/>
              </w:rPr>
              <w:t xml:space="preserve"> alterations</w:t>
            </w:r>
          </w:p>
        </w:tc>
      </w:tr>
      <w:tr w:rsidR="00EC619C" w:rsidRPr="000024AE" w14:paraId="00E8DB06" w14:textId="77777777" w:rsidTr="00674B61">
        <w:trPr>
          <w:trHeight w:val="297"/>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tcPr>
          <w:p w14:paraId="3F4F13A5" w14:textId="77777777" w:rsidR="00EC619C" w:rsidRPr="000024AE" w:rsidRDefault="00EC619C" w:rsidP="00674B61">
            <w:pPr>
              <w:spacing w:before="60" w:after="60"/>
              <w:contextualSpacing/>
              <w:rPr>
                <w:rFonts w:ascii="Times New Roman" w:eastAsia="Times New Roman" w:hAnsi="Times New Roman" w:cs="Times New Roman"/>
                <w:b w:val="0"/>
                <w:bCs w:val="0"/>
                <w:color w:val="000000"/>
                <w:sz w:val="20"/>
                <w:szCs w:val="20"/>
              </w:rPr>
            </w:pPr>
            <w:r w:rsidRPr="000024AE">
              <w:rPr>
                <w:rFonts w:ascii="Times New Roman" w:eastAsia="Times New Roman" w:hAnsi="Times New Roman" w:cs="Times New Roman"/>
                <w:b w:val="0"/>
                <w:bCs w:val="0"/>
                <w:color w:val="000000"/>
                <w:sz w:val="20"/>
                <w:szCs w:val="20"/>
              </w:rPr>
              <w:t>13</w:t>
            </w:r>
          </w:p>
        </w:tc>
        <w:tc>
          <w:tcPr>
            <w:tcW w:w="1985" w:type="dxa"/>
            <w:shd w:val="clear" w:color="auto" w:fill="auto"/>
            <w:noWrap/>
            <w:hideMark/>
          </w:tcPr>
          <w:p w14:paraId="57B167AC" w14:textId="77777777" w:rsidR="00EC619C" w:rsidRPr="000024AE" w:rsidRDefault="00EC619C" w:rsidP="00674B61">
            <w:pPr>
              <w:tabs>
                <w:tab w:val="left" w:pos="967"/>
              </w:tabs>
              <w:spacing w:before="60" w:after="6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i/>
                <w:iCs/>
                <w:color w:val="FF0000"/>
                <w:sz w:val="20"/>
                <w:szCs w:val="20"/>
              </w:rPr>
              <w:t>FGFR3-TACC3</w:t>
            </w:r>
            <w:r w:rsidRPr="000024AE">
              <w:rPr>
                <w:rFonts w:ascii="Times New Roman" w:eastAsia="Times New Roman" w:hAnsi="Times New Roman" w:cs="Times New Roman"/>
                <w:color w:val="FF0000"/>
                <w:sz w:val="20"/>
                <w:szCs w:val="20"/>
              </w:rPr>
              <w:t xml:space="preserve"> fusion</w:t>
            </w:r>
            <w:r w:rsidRPr="000024AE">
              <w:rPr>
                <w:rFonts w:ascii="Times New Roman" w:eastAsia="Times New Roman" w:hAnsi="Times New Roman" w:cs="Times New Roman"/>
                <w:color w:val="000000"/>
                <w:sz w:val="20"/>
                <w:szCs w:val="20"/>
              </w:rPr>
              <w:t xml:space="preserve"> and </w:t>
            </w:r>
            <w:r w:rsidRPr="000024AE">
              <w:rPr>
                <w:rFonts w:ascii="Times New Roman" w:eastAsia="Times New Roman" w:hAnsi="Times New Roman" w:cs="Times New Roman"/>
                <w:i/>
                <w:iCs/>
                <w:color w:val="000000"/>
                <w:sz w:val="20"/>
                <w:szCs w:val="20"/>
              </w:rPr>
              <w:t>FGFR1</w:t>
            </w:r>
            <w:r w:rsidRPr="000024AE">
              <w:rPr>
                <w:rFonts w:ascii="Times New Roman" w:eastAsia="Times New Roman" w:hAnsi="Times New Roman" w:cs="Times New Roman"/>
                <w:color w:val="000000"/>
                <w:sz w:val="20"/>
                <w:szCs w:val="20"/>
              </w:rPr>
              <w:t xml:space="preserve"> fusion</w:t>
            </w:r>
          </w:p>
        </w:tc>
        <w:tc>
          <w:tcPr>
            <w:tcW w:w="1134" w:type="dxa"/>
            <w:shd w:val="clear" w:color="auto" w:fill="auto"/>
            <w:noWrap/>
            <w:hideMark/>
          </w:tcPr>
          <w:p w14:paraId="4BE31D4E" w14:textId="77777777" w:rsidR="00EC619C" w:rsidRPr="000024AE" w:rsidRDefault="00EC619C" w:rsidP="00674B61">
            <w:pPr>
              <w:spacing w:before="60" w:after="6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bookmarkStart w:id="1" w:name="_Hlk91091908"/>
            <w:r w:rsidRPr="000024AE">
              <w:rPr>
                <w:rFonts w:ascii="Times New Roman" w:eastAsia="Times New Roman" w:hAnsi="Times New Roman" w:cs="Times New Roman"/>
                <w:color w:val="000000"/>
                <w:sz w:val="20"/>
                <w:szCs w:val="20"/>
              </w:rPr>
              <w:t>University of Washington</w:t>
            </w:r>
            <w:bookmarkEnd w:id="1"/>
          </w:p>
        </w:tc>
        <w:tc>
          <w:tcPr>
            <w:tcW w:w="1134" w:type="dxa"/>
            <w:shd w:val="clear" w:color="auto" w:fill="auto"/>
            <w:noWrap/>
            <w:hideMark/>
          </w:tcPr>
          <w:p w14:paraId="62E821C9" w14:textId="77777777" w:rsidR="00EC619C" w:rsidRPr="000024AE" w:rsidRDefault="00EC619C" w:rsidP="00674B61">
            <w:pPr>
              <w:spacing w:before="60" w:after="6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color w:val="000000"/>
                <w:sz w:val="20"/>
                <w:szCs w:val="20"/>
              </w:rPr>
              <w:t>IHC</w:t>
            </w:r>
          </w:p>
        </w:tc>
        <w:tc>
          <w:tcPr>
            <w:tcW w:w="1984" w:type="dxa"/>
            <w:shd w:val="clear" w:color="auto" w:fill="auto"/>
          </w:tcPr>
          <w:p w14:paraId="7E64FDCC" w14:textId="77777777" w:rsidR="00EC619C" w:rsidRPr="000024AE" w:rsidRDefault="00EC619C" w:rsidP="00674B61">
            <w:pPr>
              <w:spacing w:before="60" w:after="6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color w:val="000000"/>
                <w:sz w:val="20"/>
                <w:szCs w:val="20"/>
              </w:rPr>
              <w:t>N/A</w:t>
            </w:r>
          </w:p>
        </w:tc>
        <w:tc>
          <w:tcPr>
            <w:tcW w:w="2127" w:type="dxa"/>
            <w:shd w:val="clear" w:color="auto" w:fill="auto"/>
          </w:tcPr>
          <w:p w14:paraId="03697CE4" w14:textId="77777777" w:rsidR="00EC619C" w:rsidRPr="000024AE" w:rsidRDefault="00EC619C" w:rsidP="00674B61">
            <w:pPr>
              <w:spacing w:before="60" w:after="6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BFBFBF" w:themeColor="background1" w:themeShade="BF"/>
                <w:sz w:val="20"/>
                <w:szCs w:val="20"/>
              </w:rPr>
            </w:pPr>
            <w:r w:rsidRPr="000024AE">
              <w:rPr>
                <w:rFonts w:ascii="Times New Roman" w:eastAsia="Times New Roman" w:hAnsi="Times New Roman" w:cs="Times New Roman"/>
                <w:i/>
                <w:iCs/>
                <w:color w:val="000000"/>
                <w:sz w:val="20"/>
                <w:szCs w:val="20"/>
              </w:rPr>
              <w:t>FGFR3-TACC3</w:t>
            </w:r>
            <w:r w:rsidRPr="000024AE">
              <w:rPr>
                <w:rFonts w:ascii="Times New Roman" w:eastAsia="Times New Roman" w:hAnsi="Times New Roman" w:cs="Times New Roman"/>
                <w:color w:val="000000"/>
                <w:sz w:val="20"/>
                <w:szCs w:val="20"/>
              </w:rPr>
              <w:t xml:space="preserve"> fusion</w:t>
            </w:r>
          </w:p>
        </w:tc>
      </w:tr>
      <w:tr w:rsidR="00EC619C" w:rsidRPr="000024AE" w14:paraId="57556A48" w14:textId="77777777" w:rsidTr="00674B61">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tcPr>
          <w:p w14:paraId="00271E65" w14:textId="77777777" w:rsidR="00EC619C" w:rsidRPr="000024AE" w:rsidRDefault="00EC619C" w:rsidP="00674B61">
            <w:pPr>
              <w:spacing w:before="60" w:after="60"/>
              <w:contextualSpacing/>
              <w:rPr>
                <w:rFonts w:ascii="Times New Roman" w:eastAsia="Times New Roman" w:hAnsi="Times New Roman" w:cs="Times New Roman"/>
                <w:b w:val="0"/>
                <w:bCs w:val="0"/>
                <w:color w:val="000000"/>
                <w:sz w:val="20"/>
                <w:szCs w:val="20"/>
              </w:rPr>
            </w:pPr>
            <w:r w:rsidRPr="000024AE">
              <w:rPr>
                <w:rFonts w:ascii="Times New Roman" w:eastAsia="Times New Roman" w:hAnsi="Times New Roman" w:cs="Times New Roman"/>
                <w:b w:val="0"/>
                <w:bCs w:val="0"/>
                <w:color w:val="000000"/>
                <w:sz w:val="20"/>
                <w:szCs w:val="20"/>
              </w:rPr>
              <w:t>14</w:t>
            </w:r>
          </w:p>
        </w:tc>
        <w:tc>
          <w:tcPr>
            <w:tcW w:w="1985" w:type="dxa"/>
            <w:shd w:val="clear" w:color="auto" w:fill="auto"/>
            <w:noWrap/>
            <w:hideMark/>
          </w:tcPr>
          <w:p w14:paraId="77C5B86B" w14:textId="77777777" w:rsidR="00EC619C" w:rsidRPr="000024AE" w:rsidRDefault="00EC619C" w:rsidP="00674B61">
            <w:pPr>
              <w:tabs>
                <w:tab w:val="left" w:pos="967"/>
              </w:tabs>
              <w:spacing w:before="60" w:after="6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color w:val="000000"/>
                <w:sz w:val="20"/>
                <w:szCs w:val="20"/>
              </w:rPr>
              <w:t>N/A</w:t>
            </w:r>
          </w:p>
        </w:tc>
        <w:tc>
          <w:tcPr>
            <w:tcW w:w="1134" w:type="dxa"/>
            <w:shd w:val="clear" w:color="auto" w:fill="auto"/>
            <w:noWrap/>
            <w:hideMark/>
          </w:tcPr>
          <w:p w14:paraId="7740E141" w14:textId="77777777" w:rsidR="00EC619C" w:rsidRPr="000024AE" w:rsidRDefault="00EC619C" w:rsidP="00674B61">
            <w:pPr>
              <w:spacing w:before="60" w:after="6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color w:val="000000"/>
                <w:sz w:val="20"/>
                <w:szCs w:val="20"/>
              </w:rPr>
              <w:t>N/A</w:t>
            </w:r>
          </w:p>
        </w:tc>
        <w:tc>
          <w:tcPr>
            <w:tcW w:w="1134" w:type="dxa"/>
            <w:shd w:val="clear" w:color="auto" w:fill="auto"/>
            <w:noWrap/>
            <w:hideMark/>
          </w:tcPr>
          <w:p w14:paraId="0F0E8336" w14:textId="77777777" w:rsidR="00EC619C" w:rsidRPr="000024AE" w:rsidRDefault="00EC619C" w:rsidP="00674B61">
            <w:pPr>
              <w:spacing w:before="60" w:after="6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color w:val="000000"/>
                <w:sz w:val="20"/>
                <w:szCs w:val="20"/>
              </w:rPr>
              <w:t>N/A</w:t>
            </w:r>
          </w:p>
        </w:tc>
        <w:tc>
          <w:tcPr>
            <w:tcW w:w="1984" w:type="dxa"/>
            <w:shd w:val="clear" w:color="auto" w:fill="auto"/>
          </w:tcPr>
          <w:p w14:paraId="3ACC6730" w14:textId="77777777" w:rsidR="00EC619C" w:rsidRPr="000024AE" w:rsidRDefault="00EC619C" w:rsidP="00674B61">
            <w:pPr>
              <w:spacing w:before="60" w:after="6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0"/>
                <w:szCs w:val="20"/>
              </w:rPr>
            </w:pPr>
            <w:r w:rsidRPr="000024AE">
              <w:rPr>
                <w:rFonts w:ascii="Times New Roman" w:eastAsia="Times New Roman" w:hAnsi="Times New Roman" w:cs="Times New Roman"/>
                <w:color w:val="000000" w:themeColor="text1"/>
                <w:sz w:val="20"/>
                <w:szCs w:val="20"/>
              </w:rPr>
              <w:t>N/A</w:t>
            </w:r>
          </w:p>
        </w:tc>
        <w:tc>
          <w:tcPr>
            <w:tcW w:w="2127" w:type="dxa"/>
            <w:shd w:val="clear" w:color="auto" w:fill="auto"/>
          </w:tcPr>
          <w:p w14:paraId="4E9F7B99" w14:textId="77777777" w:rsidR="00EC619C" w:rsidRPr="000024AE" w:rsidDel="00F771CC" w:rsidRDefault="00EC619C" w:rsidP="00674B61">
            <w:pPr>
              <w:spacing w:before="60" w:after="6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BFBFBF" w:themeColor="background1" w:themeShade="BF"/>
                <w:sz w:val="20"/>
                <w:szCs w:val="20"/>
              </w:rPr>
            </w:pPr>
            <w:r w:rsidRPr="000024AE">
              <w:rPr>
                <w:rFonts w:ascii="Times New Roman" w:eastAsia="Times New Roman" w:hAnsi="Times New Roman" w:cs="Times New Roman"/>
                <w:i/>
                <w:iCs/>
                <w:color w:val="FF0000"/>
                <w:sz w:val="20"/>
                <w:szCs w:val="20"/>
              </w:rPr>
              <w:t>FGFR3-TACC3</w:t>
            </w:r>
            <w:r w:rsidRPr="000024AE">
              <w:rPr>
                <w:rFonts w:ascii="Times New Roman" w:eastAsia="Times New Roman" w:hAnsi="Times New Roman" w:cs="Times New Roman"/>
                <w:color w:val="FF0000"/>
                <w:sz w:val="20"/>
                <w:szCs w:val="20"/>
              </w:rPr>
              <w:t xml:space="preserve"> fusion</w:t>
            </w:r>
          </w:p>
        </w:tc>
      </w:tr>
      <w:tr w:rsidR="00EC619C" w:rsidRPr="000024AE" w14:paraId="5A16F8F8" w14:textId="77777777" w:rsidTr="00674B61">
        <w:trPr>
          <w:trHeight w:val="297"/>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tcPr>
          <w:p w14:paraId="02DB33DC" w14:textId="77777777" w:rsidR="00EC619C" w:rsidRPr="000024AE" w:rsidRDefault="00EC619C" w:rsidP="00674B61">
            <w:pPr>
              <w:spacing w:before="60" w:after="60"/>
              <w:contextualSpacing/>
              <w:rPr>
                <w:rFonts w:ascii="Times New Roman" w:eastAsia="Times New Roman" w:hAnsi="Times New Roman" w:cs="Times New Roman"/>
                <w:b w:val="0"/>
                <w:bCs w:val="0"/>
                <w:color w:val="000000"/>
                <w:sz w:val="20"/>
                <w:szCs w:val="20"/>
              </w:rPr>
            </w:pPr>
            <w:r w:rsidRPr="000024AE">
              <w:rPr>
                <w:rFonts w:ascii="Times New Roman" w:eastAsia="Times New Roman" w:hAnsi="Times New Roman" w:cs="Times New Roman"/>
                <w:b w:val="0"/>
                <w:bCs w:val="0"/>
                <w:color w:val="000000"/>
                <w:sz w:val="20"/>
                <w:szCs w:val="20"/>
              </w:rPr>
              <w:t>15</w:t>
            </w:r>
          </w:p>
        </w:tc>
        <w:tc>
          <w:tcPr>
            <w:tcW w:w="1985" w:type="dxa"/>
            <w:shd w:val="clear" w:color="auto" w:fill="auto"/>
            <w:noWrap/>
            <w:hideMark/>
          </w:tcPr>
          <w:p w14:paraId="2E614162" w14:textId="77777777" w:rsidR="00EC619C" w:rsidRPr="000024AE" w:rsidRDefault="00EC619C" w:rsidP="00674B61">
            <w:pPr>
              <w:tabs>
                <w:tab w:val="left" w:pos="967"/>
              </w:tabs>
              <w:spacing w:before="60" w:after="6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i/>
                <w:iCs/>
                <w:color w:val="FF0000"/>
                <w:sz w:val="20"/>
                <w:szCs w:val="20"/>
              </w:rPr>
              <w:t>FGFR3</w:t>
            </w:r>
            <w:r w:rsidRPr="000024AE">
              <w:rPr>
                <w:rFonts w:ascii="Times New Roman" w:eastAsia="Times New Roman" w:hAnsi="Times New Roman" w:cs="Times New Roman"/>
                <w:color w:val="FF0000"/>
                <w:sz w:val="20"/>
                <w:szCs w:val="20"/>
              </w:rPr>
              <w:t xml:space="preserve"> amplification and </w:t>
            </w:r>
            <w:r w:rsidRPr="000024AE">
              <w:rPr>
                <w:rFonts w:ascii="Times New Roman" w:eastAsia="Times New Roman" w:hAnsi="Times New Roman" w:cs="Times New Roman"/>
                <w:i/>
                <w:iCs/>
                <w:color w:val="FF0000"/>
                <w:sz w:val="20"/>
                <w:szCs w:val="20"/>
              </w:rPr>
              <w:t>FGFR3-TACC3</w:t>
            </w:r>
            <w:r w:rsidRPr="000024AE">
              <w:rPr>
                <w:rFonts w:ascii="Times New Roman" w:eastAsia="Times New Roman" w:hAnsi="Times New Roman" w:cs="Times New Roman"/>
                <w:color w:val="FF0000"/>
                <w:sz w:val="20"/>
                <w:szCs w:val="20"/>
              </w:rPr>
              <w:t xml:space="preserve"> fusion</w:t>
            </w:r>
          </w:p>
        </w:tc>
        <w:tc>
          <w:tcPr>
            <w:tcW w:w="1134" w:type="dxa"/>
            <w:shd w:val="clear" w:color="auto" w:fill="auto"/>
            <w:noWrap/>
            <w:hideMark/>
          </w:tcPr>
          <w:p w14:paraId="64162ADD" w14:textId="77777777" w:rsidR="00EC619C" w:rsidRPr="000024AE" w:rsidRDefault="00EC619C" w:rsidP="00674B61">
            <w:pPr>
              <w:spacing w:before="60" w:after="6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color w:val="000000"/>
                <w:sz w:val="20"/>
                <w:szCs w:val="20"/>
              </w:rPr>
              <w:t>Tulane University</w:t>
            </w:r>
          </w:p>
        </w:tc>
        <w:tc>
          <w:tcPr>
            <w:tcW w:w="1134" w:type="dxa"/>
            <w:shd w:val="clear" w:color="auto" w:fill="auto"/>
            <w:noWrap/>
            <w:hideMark/>
          </w:tcPr>
          <w:p w14:paraId="41773E18" w14:textId="77777777" w:rsidR="00EC619C" w:rsidRPr="000024AE" w:rsidRDefault="00EC619C" w:rsidP="00674B61">
            <w:pPr>
              <w:spacing w:before="60" w:after="6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color w:val="000000"/>
                <w:sz w:val="20"/>
                <w:szCs w:val="20"/>
              </w:rPr>
              <w:t>Other, not specified</w:t>
            </w:r>
          </w:p>
        </w:tc>
        <w:tc>
          <w:tcPr>
            <w:tcW w:w="1984" w:type="dxa"/>
            <w:shd w:val="clear" w:color="auto" w:fill="auto"/>
          </w:tcPr>
          <w:p w14:paraId="16960872" w14:textId="77777777" w:rsidR="00EC619C" w:rsidRPr="000024AE" w:rsidRDefault="00EC619C" w:rsidP="00674B61">
            <w:pPr>
              <w:spacing w:before="60" w:after="6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color w:val="000000"/>
                <w:sz w:val="20"/>
                <w:szCs w:val="20"/>
              </w:rPr>
              <w:t>N/A</w:t>
            </w:r>
          </w:p>
        </w:tc>
        <w:tc>
          <w:tcPr>
            <w:tcW w:w="2127" w:type="dxa"/>
            <w:shd w:val="clear" w:color="auto" w:fill="auto"/>
          </w:tcPr>
          <w:p w14:paraId="14CEBC35" w14:textId="77777777" w:rsidR="00EC619C" w:rsidRPr="000024AE" w:rsidRDefault="00EC619C" w:rsidP="00674B61">
            <w:pPr>
              <w:spacing w:before="60" w:after="6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BFBFBF" w:themeColor="background1" w:themeShade="BF"/>
                <w:sz w:val="20"/>
                <w:szCs w:val="20"/>
              </w:rPr>
            </w:pPr>
            <w:r w:rsidRPr="000024AE">
              <w:rPr>
                <w:rFonts w:ascii="Times New Roman" w:eastAsia="Times New Roman" w:hAnsi="Times New Roman" w:cs="Times New Roman"/>
                <w:color w:val="000000"/>
                <w:sz w:val="20"/>
                <w:szCs w:val="20"/>
              </w:rPr>
              <w:t xml:space="preserve">No </w:t>
            </w:r>
            <w:r w:rsidRPr="000024AE">
              <w:rPr>
                <w:rFonts w:ascii="Times New Roman" w:eastAsia="Times New Roman" w:hAnsi="Times New Roman" w:cs="Times New Roman"/>
                <w:i/>
                <w:iCs/>
                <w:color w:val="000000"/>
                <w:sz w:val="20"/>
                <w:szCs w:val="20"/>
              </w:rPr>
              <w:t xml:space="preserve">FGFR </w:t>
            </w:r>
            <w:r w:rsidRPr="000024AE">
              <w:rPr>
                <w:rFonts w:ascii="Times New Roman" w:eastAsia="Times New Roman" w:hAnsi="Times New Roman" w:cs="Times New Roman"/>
                <w:color w:val="000000"/>
                <w:sz w:val="20"/>
                <w:szCs w:val="20"/>
              </w:rPr>
              <w:t>alterations</w:t>
            </w:r>
          </w:p>
        </w:tc>
      </w:tr>
      <w:tr w:rsidR="00EC619C" w:rsidRPr="000024AE" w14:paraId="6357EF49" w14:textId="77777777" w:rsidTr="00674B61">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tcPr>
          <w:p w14:paraId="3E5A3961" w14:textId="77777777" w:rsidR="00EC619C" w:rsidRPr="000024AE" w:rsidRDefault="00EC619C" w:rsidP="00674B61">
            <w:pPr>
              <w:spacing w:before="60" w:after="60"/>
              <w:contextualSpacing/>
              <w:rPr>
                <w:rFonts w:ascii="Times New Roman" w:eastAsia="Times New Roman" w:hAnsi="Times New Roman" w:cs="Times New Roman"/>
                <w:b w:val="0"/>
                <w:bCs w:val="0"/>
                <w:color w:val="000000"/>
                <w:sz w:val="20"/>
                <w:szCs w:val="20"/>
              </w:rPr>
            </w:pPr>
            <w:r w:rsidRPr="000024AE">
              <w:rPr>
                <w:rFonts w:ascii="Times New Roman" w:eastAsia="Times New Roman" w:hAnsi="Times New Roman" w:cs="Times New Roman"/>
                <w:b w:val="0"/>
                <w:bCs w:val="0"/>
                <w:color w:val="000000"/>
                <w:sz w:val="20"/>
                <w:szCs w:val="20"/>
              </w:rPr>
              <w:t>16</w:t>
            </w:r>
          </w:p>
        </w:tc>
        <w:tc>
          <w:tcPr>
            <w:tcW w:w="1985" w:type="dxa"/>
            <w:shd w:val="clear" w:color="auto" w:fill="auto"/>
            <w:noWrap/>
            <w:hideMark/>
          </w:tcPr>
          <w:p w14:paraId="26581EAC" w14:textId="77777777" w:rsidR="00EC619C" w:rsidRPr="000024AE" w:rsidRDefault="00EC619C" w:rsidP="00674B61">
            <w:pPr>
              <w:tabs>
                <w:tab w:val="left" w:pos="967"/>
              </w:tabs>
              <w:spacing w:before="60" w:after="6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color w:val="000000"/>
                <w:sz w:val="20"/>
                <w:szCs w:val="20"/>
              </w:rPr>
              <w:t>N/A</w:t>
            </w:r>
          </w:p>
        </w:tc>
        <w:tc>
          <w:tcPr>
            <w:tcW w:w="1134" w:type="dxa"/>
            <w:shd w:val="clear" w:color="auto" w:fill="auto"/>
            <w:noWrap/>
            <w:hideMark/>
          </w:tcPr>
          <w:p w14:paraId="1D9D7D8F" w14:textId="77777777" w:rsidR="00EC619C" w:rsidRPr="000024AE" w:rsidRDefault="00EC619C" w:rsidP="00674B61">
            <w:pPr>
              <w:spacing w:before="60" w:after="6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color w:val="000000"/>
                <w:sz w:val="20"/>
                <w:szCs w:val="20"/>
              </w:rPr>
              <w:t>N/A</w:t>
            </w:r>
          </w:p>
        </w:tc>
        <w:tc>
          <w:tcPr>
            <w:tcW w:w="1134" w:type="dxa"/>
            <w:shd w:val="clear" w:color="auto" w:fill="auto"/>
            <w:noWrap/>
            <w:hideMark/>
          </w:tcPr>
          <w:p w14:paraId="3DE69EF5" w14:textId="77777777" w:rsidR="00EC619C" w:rsidRPr="000024AE" w:rsidRDefault="00EC619C" w:rsidP="00674B61">
            <w:pPr>
              <w:spacing w:before="60" w:after="6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color w:val="000000"/>
                <w:sz w:val="20"/>
                <w:szCs w:val="20"/>
              </w:rPr>
              <w:t>N/A</w:t>
            </w:r>
          </w:p>
        </w:tc>
        <w:tc>
          <w:tcPr>
            <w:tcW w:w="1984" w:type="dxa"/>
            <w:shd w:val="clear" w:color="auto" w:fill="auto"/>
          </w:tcPr>
          <w:p w14:paraId="536CE5D5" w14:textId="77777777" w:rsidR="00EC619C" w:rsidRPr="000024AE" w:rsidRDefault="00EC619C" w:rsidP="00674B61">
            <w:pPr>
              <w:spacing w:before="60" w:after="6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0"/>
                <w:szCs w:val="20"/>
              </w:rPr>
            </w:pPr>
            <w:r w:rsidRPr="000024AE">
              <w:rPr>
                <w:rFonts w:ascii="Times New Roman" w:eastAsia="Times New Roman" w:hAnsi="Times New Roman" w:cs="Times New Roman"/>
                <w:i/>
                <w:iCs/>
                <w:color w:val="FF0000"/>
                <w:sz w:val="20"/>
                <w:szCs w:val="20"/>
              </w:rPr>
              <w:t>FGFR</w:t>
            </w:r>
            <w:r w:rsidRPr="000024AE">
              <w:rPr>
                <w:rFonts w:ascii="Times New Roman" w:eastAsia="Times New Roman" w:hAnsi="Times New Roman" w:cs="Times New Roman"/>
                <w:color w:val="FF0000"/>
                <w:sz w:val="20"/>
                <w:szCs w:val="20"/>
              </w:rPr>
              <w:t>3 amplification</w:t>
            </w:r>
          </w:p>
        </w:tc>
        <w:tc>
          <w:tcPr>
            <w:tcW w:w="2127" w:type="dxa"/>
            <w:shd w:val="clear" w:color="auto" w:fill="auto"/>
          </w:tcPr>
          <w:p w14:paraId="13BA0B80" w14:textId="77777777" w:rsidR="00EC619C" w:rsidRPr="000024AE" w:rsidRDefault="00EC619C" w:rsidP="00674B61">
            <w:pPr>
              <w:spacing w:before="60" w:after="60"/>
              <w:ind w:right="-55"/>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BFBFBF" w:themeColor="background1" w:themeShade="BF"/>
                <w:sz w:val="20"/>
                <w:szCs w:val="20"/>
              </w:rPr>
            </w:pPr>
            <w:r w:rsidRPr="000024AE">
              <w:rPr>
                <w:rFonts w:ascii="Times New Roman" w:eastAsia="Times New Roman" w:hAnsi="Times New Roman" w:cs="Times New Roman"/>
                <w:i/>
                <w:iCs/>
                <w:color w:val="FF0000"/>
                <w:sz w:val="20"/>
                <w:szCs w:val="20"/>
              </w:rPr>
              <w:t>FGFR3-TACC3</w:t>
            </w:r>
            <w:r w:rsidRPr="000024AE">
              <w:rPr>
                <w:rFonts w:ascii="Times New Roman" w:eastAsia="Times New Roman" w:hAnsi="Times New Roman" w:cs="Times New Roman"/>
                <w:color w:val="FF0000"/>
                <w:sz w:val="20"/>
                <w:szCs w:val="20"/>
              </w:rPr>
              <w:t xml:space="preserve"> fusion</w:t>
            </w:r>
          </w:p>
        </w:tc>
      </w:tr>
      <w:tr w:rsidR="00EC619C" w:rsidRPr="000024AE" w14:paraId="2644CC3A" w14:textId="77777777" w:rsidTr="00674B61">
        <w:trPr>
          <w:trHeight w:val="297"/>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tcPr>
          <w:p w14:paraId="3F83AFCB" w14:textId="77777777" w:rsidR="00EC619C" w:rsidRPr="000024AE" w:rsidRDefault="00EC619C" w:rsidP="00674B61">
            <w:pPr>
              <w:spacing w:before="60" w:after="60"/>
              <w:contextualSpacing/>
              <w:rPr>
                <w:rFonts w:ascii="Times New Roman" w:eastAsia="Times New Roman" w:hAnsi="Times New Roman" w:cs="Times New Roman"/>
                <w:b w:val="0"/>
                <w:bCs w:val="0"/>
                <w:color w:val="000000"/>
                <w:sz w:val="20"/>
                <w:szCs w:val="20"/>
              </w:rPr>
            </w:pPr>
            <w:bookmarkStart w:id="2" w:name="_Hlk91091934"/>
            <w:r w:rsidRPr="000024AE">
              <w:rPr>
                <w:rFonts w:ascii="Times New Roman" w:eastAsia="Times New Roman" w:hAnsi="Times New Roman" w:cs="Times New Roman"/>
                <w:b w:val="0"/>
                <w:bCs w:val="0"/>
                <w:color w:val="000000"/>
                <w:sz w:val="20"/>
                <w:szCs w:val="20"/>
              </w:rPr>
              <w:t>17</w:t>
            </w:r>
          </w:p>
        </w:tc>
        <w:tc>
          <w:tcPr>
            <w:tcW w:w="1985" w:type="dxa"/>
            <w:shd w:val="clear" w:color="auto" w:fill="auto"/>
            <w:noWrap/>
            <w:hideMark/>
          </w:tcPr>
          <w:p w14:paraId="39FBC448" w14:textId="77777777" w:rsidR="00EC619C" w:rsidRPr="000024AE" w:rsidRDefault="00EC619C" w:rsidP="00674B61">
            <w:pPr>
              <w:tabs>
                <w:tab w:val="left" w:pos="967"/>
              </w:tabs>
              <w:spacing w:before="60" w:after="6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i/>
                <w:iCs/>
                <w:color w:val="FF0000"/>
                <w:sz w:val="20"/>
                <w:szCs w:val="20"/>
              </w:rPr>
              <w:t>FGFR3</w:t>
            </w:r>
            <w:r w:rsidRPr="000024AE">
              <w:rPr>
                <w:rFonts w:ascii="Times New Roman" w:eastAsia="Times New Roman" w:hAnsi="Times New Roman" w:cs="Times New Roman"/>
                <w:color w:val="FF0000"/>
                <w:sz w:val="20"/>
                <w:szCs w:val="20"/>
              </w:rPr>
              <w:t xml:space="preserve"> amplification and </w:t>
            </w:r>
            <w:r w:rsidRPr="000024AE">
              <w:rPr>
                <w:rFonts w:ascii="Times New Roman" w:eastAsia="Times New Roman" w:hAnsi="Times New Roman" w:cs="Times New Roman"/>
                <w:i/>
                <w:iCs/>
                <w:color w:val="FF0000"/>
                <w:sz w:val="20"/>
                <w:szCs w:val="20"/>
              </w:rPr>
              <w:t>FGFR3-TACC3</w:t>
            </w:r>
            <w:r w:rsidRPr="000024AE">
              <w:rPr>
                <w:rFonts w:ascii="Times New Roman" w:eastAsia="Times New Roman" w:hAnsi="Times New Roman" w:cs="Times New Roman"/>
                <w:color w:val="FF0000"/>
                <w:sz w:val="20"/>
                <w:szCs w:val="20"/>
              </w:rPr>
              <w:t xml:space="preserve"> fusion</w:t>
            </w:r>
          </w:p>
        </w:tc>
        <w:tc>
          <w:tcPr>
            <w:tcW w:w="1134" w:type="dxa"/>
            <w:shd w:val="clear" w:color="auto" w:fill="auto"/>
            <w:noWrap/>
            <w:hideMark/>
          </w:tcPr>
          <w:p w14:paraId="0AA5C737" w14:textId="77777777" w:rsidR="00EC619C" w:rsidRPr="000024AE" w:rsidRDefault="00EC619C" w:rsidP="00674B61">
            <w:pPr>
              <w:spacing w:before="60" w:after="6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bookmarkStart w:id="3" w:name="_Hlk91091986"/>
            <w:r w:rsidRPr="000024AE">
              <w:rPr>
                <w:rFonts w:ascii="Times New Roman" w:eastAsia="Times New Roman" w:hAnsi="Times New Roman" w:cs="Times New Roman"/>
                <w:color w:val="000000"/>
                <w:sz w:val="20"/>
                <w:szCs w:val="20"/>
              </w:rPr>
              <w:t>Brigham and Women's Hospital</w:t>
            </w:r>
            <w:bookmarkEnd w:id="3"/>
          </w:p>
        </w:tc>
        <w:tc>
          <w:tcPr>
            <w:tcW w:w="1134" w:type="dxa"/>
            <w:shd w:val="clear" w:color="auto" w:fill="auto"/>
            <w:noWrap/>
            <w:hideMark/>
          </w:tcPr>
          <w:p w14:paraId="14D84048" w14:textId="77777777" w:rsidR="00EC619C" w:rsidRPr="000024AE" w:rsidRDefault="00EC619C" w:rsidP="00674B61">
            <w:pPr>
              <w:spacing w:before="60" w:after="6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color w:val="000000"/>
                <w:sz w:val="20"/>
                <w:szCs w:val="20"/>
              </w:rPr>
              <w:t xml:space="preserve">Other, not specified </w:t>
            </w:r>
          </w:p>
        </w:tc>
        <w:tc>
          <w:tcPr>
            <w:tcW w:w="1984" w:type="dxa"/>
            <w:shd w:val="clear" w:color="auto" w:fill="auto"/>
          </w:tcPr>
          <w:p w14:paraId="4726BF94" w14:textId="77777777" w:rsidR="00EC619C" w:rsidRPr="000024AE" w:rsidRDefault="00EC619C" w:rsidP="00674B61">
            <w:pPr>
              <w:spacing w:before="60" w:after="6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color w:val="000000"/>
                <w:sz w:val="20"/>
                <w:szCs w:val="20"/>
              </w:rPr>
              <w:t>N/A</w:t>
            </w:r>
          </w:p>
        </w:tc>
        <w:tc>
          <w:tcPr>
            <w:tcW w:w="2127" w:type="dxa"/>
            <w:shd w:val="clear" w:color="auto" w:fill="auto"/>
          </w:tcPr>
          <w:p w14:paraId="34907E29" w14:textId="77777777" w:rsidR="00EC619C" w:rsidRPr="000024AE" w:rsidRDefault="00EC619C" w:rsidP="00674B61">
            <w:pPr>
              <w:spacing w:before="60" w:after="6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BFBFBF" w:themeColor="background1" w:themeShade="BF"/>
                <w:sz w:val="20"/>
                <w:szCs w:val="20"/>
              </w:rPr>
            </w:pPr>
            <w:r w:rsidRPr="000024AE">
              <w:rPr>
                <w:rFonts w:ascii="Times New Roman" w:eastAsia="Times New Roman" w:hAnsi="Times New Roman" w:cs="Times New Roman"/>
                <w:i/>
                <w:iCs/>
                <w:color w:val="000000"/>
                <w:sz w:val="20"/>
                <w:szCs w:val="20"/>
              </w:rPr>
              <w:t>FGFR3</w:t>
            </w:r>
            <w:r w:rsidRPr="000024AE">
              <w:rPr>
                <w:rFonts w:ascii="Times New Roman" w:eastAsia="Times New Roman" w:hAnsi="Times New Roman" w:cs="Times New Roman"/>
                <w:color w:val="000000"/>
                <w:sz w:val="20"/>
                <w:szCs w:val="20"/>
              </w:rPr>
              <w:t xml:space="preserve"> amplification (equivocal) and </w:t>
            </w:r>
            <w:r w:rsidRPr="000024AE">
              <w:rPr>
                <w:rFonts w:ascii="Times New Roman" w:eastAsia="Times New Roman" w:hAnsi="Times New Roman" w:cs="Times New Roman"/>
                <w:i/>
                <w:iCs/>
                <w:color w:val="000000"/>
                <w:sz w:val="20"/>
                <w:szCs w:val="20"/>
              </w:rPr>
              <w:t>FGFR3</w:t>
            </w:r>
            <w:r w:rsidRPr="000024AE">
              <w:rPr>
                <w:rFonts w:ascii="Times New Roman" w:eastAsia="Times New Roman" w:hAnsi="Times New Roman" w:cs="Times New Roman"/>
                <w:color w:val="000000"/>
                <w:sz w:val="20"/>
                <w:szCs w:val="20"/>
              </w:rPr>
              <w:t xml:space="preserve"> rearrangement (N/A partner)</w:t>
            </w:r>
          </w:p>
        </w:tc>
      </w:tr>
      <w:bookmarkEnd w:id="2"/>
      <w:tr w:rsidR="00EC619C" w:rsidRPr="000024AE" w14:paraId="0269E124" w14:textId="77777777" w:rsidTr="00674B61">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tcPr>
          <w:p w14:paraId="385BA509" w14:textId="77777777" w:rsidR="00EC619C" w:rsidRPr="000024AE" w:rsidRDefault="00EC619C" w:rsidP="00674B61">
            <w:pPr>
              <w:spacing w:before="60" w:after="60"/>
              <w:contextualSpacing/>
              <w:rPr>
                <w:rFonts w:ascii="Times New Roman" w:eastAsia="Times New Roman" w:hAnsi="Times New Roman" w:cs="Times New Roman"/>
                <w:b w:val="0"/>
                <w:bCs w:val="0"/>
                <w:color w:val="000000"/>
                <w:sz w:val="20"/>
                <w:szCs w:val="20"/>
              </w:rPr>
            </w:pPr>
            <w:r w:rsidRPr="000024AE">
              <w:rPr>
                <w:rFonts w:ascii="Times New Roman" w:eastAsia="Times New Roman" w:hAnsi="Times New Roman" w:cs="Times New Roman"/>
                <w:b w:val="0"/>
                <w:bCs w:val="0"/>
                <w:color w:val="000000"/>
                <w:sz w:val="20"/>
                <w:szCs w:val="20"/>
              </w:rPr>
              <w:t>19</w:t>
            </w:r>
          </w:p>
        </w:tc>
        <w:tc>
          <w:tcPr>
            <w:tcW w:w="1985" w:type="dxa"/>
            <w:shd w:val="clear" w:color="auto" w:fill="auto"/>
            <w:noWrap/>
            <w:hideMark/>
          </w:tcPr>
          <w:p w14:paraId="2ED72D8D" w14:textId="77777777" w:rsidR="00EC619C" w:rsidRPr="000024AE" w:rsidRDefault="00EC619C" w:rsidP="00674B61">
            <w:pPr>
              <w:tabs>
                <w:tab w:val="left" w:pos="967"/>
              </w:tabs>
              <w:spacing w:before="60" w:after="6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color w:val="000000"/>
                <w:sz w:val="20"/>
                <w:szCs w:val="20"/>
              </w:rPr>
              <w:t>N/A</w:t>
            </w:r>
          </w:p>
        </w:tc>
        <w:tc>
          <w:tcPr>
            <w:tcW w:w="1134" w:type="dxa"/>
            <w:shd w:val="clear" w:color="auto" w:fill="auto"/>
            <w:noWrap/>
            <w:hideMark/>
          </w:tcPr>
          <w:p w14:paraId="0FFB478D" w14:textId="77777777" w:rsidR="00EC619C" w:rsidRPr="000024AE" w:rsidRDefault="00EC619C" w:rsidP="00674B61">
            <w:pPr>
              <w:spacing w:before="60" w:after="6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color w:val="000000"/>
                <w:sz w:val="20"/>
                <w:szCs w:val="20"/>
              </w:rPr>
              <w:t>N/A</w:t>
            </w:r>
          </w:p>
        </w:tc>
        <w:tc>
          <w:tcPr>
            <w:tcW w:w="1134" w:type="dxa"/>
            <w:shd w:val="clear" w:color="auto" w:fill="auto"/>
            <w:noWrap/>
            <w:hideMark/>
          </w:tcPr>
          <w:p w14:paraId="35F4B115" w14:textId="77777777" w:rsidR="00EC619C" w:rsidRPr="000024AE" w:rsidRDefault="00EC619C" w:rsidP="00674B61">
            <w:pPr>
              <w:spacing w:before="60" w:after="6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0024AE">
              <w:rPr>
                <w:rFonts w:ascii="Times New Roman" w:eastAsia="Times New Roman" w:hAnsi="Times New Roman" w:cs="Times New Roman"/>
                <w:color w:val="000000" w:themeColor="text1"/>
                <w:sz w:val="20"/>
                <w:szCs w:val="20"/>
              </w:rPr>
              <w:t>N/A</w:t>
            </w:r>
          </w:p>
        </w:tc>
        <w:tc>
          <w:tcPr>
            <w:tcW w:w="1984" w:type="dxa"/>
            <w:shd w:val="clear" w:color="auto" w:fill="auto"/>
          </w:tcPr>
          <w:p w14:paraId="073A49B3" w14:textId="77777777" w:rsidR="00EC619C" w:rsidRPr="000024AE" w:rsidRDefault="00EC619C" w:rsidP="00674B61">
            <w:pPr>
              <w:spacing w:before="60" w:after="6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0024AE">
              <w:rPr>
                <w:rFonts w:ascii="Times New Roman" w:eastAsia="Times New Roman" w:hAnsi="Times New Roman" w:cs="Times New Roman"/>
                <w:color w:val="000000" w:themeColor="text1"/>
                <w:sz w:val="20"/>
                <w:szCs w:val="20"/>
              </w:rPr>
              <w:t>N/A</w:t>
            </w:r>
          </w:p>
        </w:tc>
        <w:tc>
          <w:tcPr>
            <w:tcW w:w="2127" w:type="dxa"/>
            <w:shd w:val="clear" w:color="auto" w:fill="auto"/>
          </w:tcPr>
          <w:p w14:paraId="622A0E0D" w14:textId="77777777" w:rsidR="00EC619C" w:rsidRPr="000024AE" w:rsidRDefault="00EC619C" w:rsidP="00674B61">
            <w:pPr>
              <w:spacing w:before="60" w:after="6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BFBFBF" w:themeColor="background1" w:themeShade="BF"/>
                <w:sz w:val="20"/>
                <w:szCs w:val="20"/>
              </w:rPr>
            </w:pPr>
            <w:r w:rsidRPr="000024AE">
              <w:rPr>
                <w:rFonts w:ascii="Times New Roman" w:eastAsia="Times New Roman" w:hAnsi="Times New Roman" w:cs="Times New Roman"/>
                <w:i/>
                <w:iCs/>
                <w:color w:val="FF0000"/>
                <w:sz w:val="20"/>
                <w:szCs w:val="20"/>
              </w:rPr>
              <w:t>FGFR3-TACC3</w:t>
            </w:r>
            <w:r w:rsidRPr="000024AE">
              <w:rPr>
                <w:rFonts w:ascii="Times New Roman" w:eastAsia="Times New Roman" w:hAnsi="Times New Roman" w:cs="Times New Roman"/>
                <w:color w:val="FF0000"/>
                <w:sz w:val="20"/>
                <w:szCs w:val="20"/>
              </w:rPr>
              <w:t xml:space="preserve"> fusion</w:t>
            </w:r>
          </w:p>
        </w:tc>
      </w:tr>
      <w:tr w:rsidR="00EC619C" w:rsidRPr="000024AE" w14:paraId="7242A3F5" w14:textId="77777777" w:rsidTr="00674B61">
        <w:trPr>
          <w:trHeight w:val="297"/>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tcPr>
          <w:p w14:paraId="32EEE271" w14:textId="77777777" w:rsidR="00EC619C" w:rsidRPr="000024AE" w:rsidRDefault="00EC619C" w:rsidP="00674B61">
            <w:pPr>
              <w:spacing w:before="60" w:after="60"/>
              <w:contextualSpacing/>
              <w:rPr>
                <w:rFonts w:ascii="Times New Roman" w:eastAsia="Times New Roman" w:hAnsi="Times New Roman" w:cs="Times New Roman"/>
                <w:b w:val="0"/>
                <w:bCs w:val="0"/>
                <w:color w:val="000000"/>
                <w:sz w:val="20"/>
                <w:szCs w:val="20"/>
              </w:rPr>
            </w:pPr>
            <w:r w:rsidRPr="000024AE">
              <w:rPr>
                <w:rFonts w:ascii="Times New Roman" w:eastAsia="Times New Roman" w:hAnsi="Times New Roman" w:cs="Times New Roman"/>
                <w:b w:val="0"/>
                <w:bCs w:val="0"/>
                <w:color w:val="000000"/>
                <w:sz w:val="20"/>
                <w:szCs w:val="20"/>
              </w:rPr>
              <w:t>20</w:t>
            </w:r>
          </w:p>
        </w:tc>
        <w:tc>
          <w:tcPr>
            <w:tcW w:w="1985" w:type="dxa"/>
            <w:shd w:val="clear" w:color="auto" w:fill="auto"/>
            <w:noWrap/>
            <w:hideMark/>
          </w:tcPr>
          <w:p w14:paraId="1171E405" w14:textId="77777777" w:rsidR="00EC619C" w:rsidRPr="000024AE" w:rsidRDefault="00EC619C" w:rsidP="00674B61">
            <w:pPr>
              <w:tabs>
                <w:tab w:val="left" w:pos="967"/>
              </w:tabs>
              <w:spacing w:before="60" w:after="6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color w:val="000000"/>
                <w:sz w:val="20"/>
                <w:szCs w:val="20"/>
              </w:rPr>
              <w:t>N/A</w:t>
            </w:r>
          </w:p>
        </w:tc>
        <w:tc>
          <w:tcPr>
            <w:tcW w:w="1134" w:type="dxa"/>
            <w:shd w:val="clear" w:color="auto" w:fill="auto"/>
            <w:noWrap/>
            <w:hideMark/>
          </w:tcPr>
          <w:p w14:paraId="59454B90" w14:textId="77777777" w:rsidR="00EC619C" w:rsidRPr="000024AE" w:rsidRDefault="00EC619C" w:rsidP="00674B61">
            <w:pPr>
              <w:spacing w:before="60" w:after="6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color w:val="000000"/>
                <w:sz w:val="20"/>
                <w:szCs w:val="20"/>
              </w:rPr>
              <w:t>N/A</w:t>
            </w:r>
          </w:p>
        </w:tc>
        <w:tc>
          <w:tcPr>
            <w:tcW w:w="1134" w:type="dxa"/>
            <w:shd w:val="clear" w:color="auto" w:fill="auto"/>
            <w:noWrap/>
            <w:hideMark/>
          </w:tcPr>
          <w:p w14:paraId="5270B28C" w14:textId="77777777" w:rsidR="00EC619C" w:rsidRPr="000024AE" w:rsidRDefault="00EC619C" w:rsidP="00674B61">
            <w:pPr>
              <w:spacing w:before="60" w:after="6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color w:val="000000"/>
                <w:sz w:val="20"/>
                <w:szCs w:val="20"/>
              </w:rPr>
              <w:t>N/A</w:t>
            </w:r>
          </w:p>
        </w:tc>
        <w:tc>
          <w:tcPr>
            <w:tcW w:w="1984" w:type="dxa"/>
            <w:shd w:val="clear" w:color="auto" w:fill="auto"/>
          </w:tcPr>
          <w:p w14:paraId="487E7987" w14:textId="77777777" w:rsidR="00EC619C" w:rsidRPr="000024AE" w:rsidRDefault="00EC619C" w:rsidP="00674B61">
            <w:pPr>
              <w:spacing w:before="60" w:after="6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0024AE">
              <w:rPr>
                <w:rFonts w:ascii="Times New Roman" w:eastAsia="Times New Roman" w:hAnsi="Times New Roman" w:cs="Times New Roman"/>
                <w:color w:val="000000" w:themeColor="text1"/>
                <w:sz w:val="20"/>
                <w:szCs w:val="20"/>
              </w:rPr>
              <w:t>N/A</w:t>
            </w:r>
          </w:p>
        </w:tc>
        <w:tc>
          <w:tcPr>
            <w:tcW w:w="2127" w:type="dxa"/>
            <w:shd w:val="clear" w:color="auto" w:fill="auto"/>
          </w:tcPr>
          <w:p w14:paraId="370913A0" w14:textId="77777777" w:rsidR="00EC619C" w:rsidRPr="000024AE" w:rsidRDefault="00EC619C" w:rsidP="00674B61">
            <w:pPr>
              <w:spacing w:before="60" w:after="6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BFBFBF" w:themeColor="background1" w:themeShade="BF"/>
                <w:sz w:val="20"/>
                <w:szCs w:val="20"/>
              </w:rPr>
            </w:pPr>
            <w:r w:rsidRPr="000024AE">
              <w:rPr>
                <w:rFonts w:ascii="Times New Roman" w:eastAsia="Times New Roman" w:hAnsi="Times New Roman" w:cs="Times New Roman"/>
                <w:i/>
                <w:iCs/>
                <w:color w:val="FF0000"/>
                <w:sz w:val="20"/>
                <w:szCs w:val="20"/>
              </w:rPr>
              <w:t>FGFR3-TACC3</w:t>
            </w:r>
            <w:r w:rsidRPr="000024AE">
              <w:rPr>
                <w:rFonts w:ascii="Times New Roman" w:eastAsia="Times New Roman" w:hAnsi="Times New Roman" w:cs="Times New Roman"/>
                <w:color w:val="FF0000"/>
                <w:sz w:val="20"/>
                <w:szCs w:val="20"/>
              </w:rPr>
              <w:t xml:space="preserve"> fusion</w:t>
            </w:r>
          </w:p>
        </w:tc>
      </w:tr>
      <w:tr w:rsidR="00EC619C" w:rsidRPr="000024AE" w14:paraId="755E62FC" w14:textId="77777777" w:rsidTr="00674B61">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tcPr>
          <w:p w14:paraId="0198EF1C" w14:textId="77777777" w:rsidR="00EC619C" w:rsidRPr="000024AE" w:rsidRDefault="00EC619C" w:rsidP="00674B61">
            <w:pPr>
              <w:spacing w:before="60" w:after="60"/>
              <w:contextualSpacing/>
              <w:rPr>
                <w:rFonts w:ascii="Times New Roman" w:eastAsia="Times New Roman" w:hAnsi="Times New Roman" w:cs="Times New Roman"/>
                <w:b w:val="0"/>
                <w:bCs w:val="0"/>
                <w:color w:val="000000"/>
                <w:sz w:val="20"/>
                <w:szCs w:val="20"/>
              </w:rPr>
            </w:pPr>
            <w:r w:rsidRPr="000024AE">
              <w:rPr>
                <w:rFonts w:ascii="Times New Roman" w:eastAsia="Times New Roman" w:hAnsi="Times New Roman" w:cs="Times New Roman"/>
                <w:b w:val="0"/>
                <w:bCs w:val="0"/>
                <w:color w:val="000000"/>
                <w:sz w:val="20"/>
                <w:szCs w:val="20"/>
              </w:rPr>
              <w:t>22</w:t>
            </w:r>
          </w:p>
        </w:tc>
        <w:tc>
          <w:tcPr>
            <w:tcW w:w="1985" w:type="dxa"/>
            <w:shd w:val="clear" w:color="auto" w:fill="auto"/>
            <w:noWrap/>
            <w:hideMark/>
          </w:tcPr>
          <w:p w14:paraId="6319B772" w14:textId="77777777" w:rsidR="00EC619C" w:rsidRPr="000024AE" w:rsidRDefault="00EC619C" w:rsidP="00674B61">
            <w:pPr>
              <w:tabs>
                <w:tab w:val="left" w:pos="967"/>
              </w:tabs>
              <w:spacing w:before="60" w:after="6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0024AE">
              <w:rPr>
                <w:rFonts w:ascii="Times New Roman" w:eastAsia="Times New Roman" w:hAnsi="Times New Roman" w:cs="Times New Roman"/>
                <w:color w:val="000000" w:themeColor="text1"/>
                <w:sz w:val="20"/>
                <w:szCs w:val="20"/>
              </w:rPr>
              <w:t>N/A</w:t>
            </w:r>
          </w:p>
        </w:tc>
        <w:tc>
          <w:tcPr>
            <w:tcW w:w="1134" w:type="dxa"/>
            <w:shd w:val="clear" w:color="auto" w:fill="auto"/>
            <w:noWrap/>
            <w:hideMark/>
          </w:tcPr>
          <w:p w14:paraId="6C9F8C0B" w14:textId="77777777" w:rsidR="00EC619C" w:rsidRPr="000024AE" w:rsidRDefault="00EC619C" w:rsidP="00674B61">
            <w:pPr>
              <w:spacing w:before="60" w:after="6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color w:val="000000"/>
                <w:sz w:val="20"/>
                <w:szCs w:val="20"/>
              </w:rPr>
              <w:t>N/A</w:t>
            </w:r>
          </w:p>
        </w:tc>
        <w:tc>
          <w:tcPr>
            <w:tcW w:w="1134" w:type="dxa"/>
            <w:shd w:val="clear" w:color="auto" w:fill="auto"/>
            <w:noWrap/>
            <w:hideMark/>
          </w:tcPr>
          <w:p w14:paraId="3FCC826C" w14:textId="77777777" w:rsidR="00EC619C" w:rsidRPr="000024AE" w:rsidRDefault="00EC619C" w:rsidP="00674B61">
            <w:pPr>
              <w:spacing w:before="60" w:after="6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color w:val="000000"/>
                <w:sz w:val="20"/>
                <w:szCs w:val="20"/>
              </w:rPr>
              <w:t>N/A</w:t>
            </w:r>
          </w:p>
        </w:tc>
        <w:tc>
          <w:tcPr>
            <w:tcW w:w="1984" w:type="dxa"/>
            <w:shd w:val="clear" w:color="auto" w:fill="auto"/>
          </w:tcPr>
          <w:p w14:paraId="23B44FF7" w14:textId="77777777" w:rsidR="00EC619C" w:rsidRPr="000024AE" w:rsidRDefault="00EC619C" w:rsidP="00674B61">
            <w:pPr>
              <w:spacing w:before="60" w:after="6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i/>
                <w:iCs/>
                <w:color w:val="FF0000"/>
                <w:sz w:val="20"/>
                <w:szCs w:val="20"/>
              </w:rPr>
              <w:t>FGFR3</w:t>
            </w:r>
            <w:r w:rsidRPr="000024AE">
              <w:rPr>
                <w:rFonts w:ascii="Times New Roman" w:eastAsia="Times New Roman" w:hAnsi="Times New Roman" w:cs="Times New Roman"/>
                <w:color w:val="FF0000"/>
                <w:sz w:val="20"/>
                <w:szCs w:val="20"/>
              </w:rPr>
              <w:t xml:space="preserve"> amplification</w:t>
            </w:r>
          </w:p>
        </w:tc>
        <w:tc>
          <w:tcPr>
            <w:tcW w:w="2127" w:type="dxa"/>
            <w:shd w:val="clear" w:color="auto" w:fill="auto"/>
          </w:tcPr>
          <w:p w14:paraId="576C6B54" w14:textId="77777777" w:rsidR="00EC619C" w:rsidRPr="000024AE" w:rsidRDefault="00EC619C" w:rsidP="00674B61">
            <w:pPr>
              <w:spacing w:before="60" w:after="6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BFBFBF" w:themeColor="background1" w:themeShade="BF"/>
                <w:sz w:val="20"/>
                <w:szCs w:val="20"/>
              </w:rPr>
            </w:pPr>
            <w:r w:rsidRPr="000024AE">
              <w:rPr>
                <w:rFonts w:ascii="Times New Roman" w:eastAsia="Times New Roman" w:hAnsi="Times New Roman" w:cs="Times New Roman"/>
                <w:color w:val="000000"/>
                <w:sz w:val="20"/>
                <w:szCs w:val="20"/>
              </w:rPr>
              <w:t>No FGFR alterations</w:t>
            </w:r>
          </w:p>
        </w:tc>
      </w:tr>
      <w:tr w:rsidR="00EC619C" w:rsidRPr="000024AE" w14:paraId="2E4D5F35" w14:textId="77777777" w:rsidTr="00674B61">
        <w:trPr>
          <w:trHeight w:val="297"/>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tcPr>
          <w:p w14:paraId="410845D9" w14:textId="77777777" w:rsidR="00EC619C" w:rsidRPr="000024AE" w:rsidRDefault="00EC619C" w:rsidP="00674B61">
            <w:pPr>
              <w:spacing w:before="60" w:after="60"/>
              <w:contextualSpacing/>
              <w:rPr>
                <w:rFonts w:ascii="Times New Roman" w:eastAsia="Times New Roman" w:hAnsi="Times New Roman" w:cs="Times New Roman"/>
                <w:b w:val="0"/>
                <w:bCs w:val="0"/>
                <w:color w:val="000000"/>
                <w:sz w:val="20"/>
                <w:szCs w:val="20"/>
              </w:rPr>
            </w:pPr>
            <w:r w:rsidRPr="000024AE">
              <w:rPr>
                <w:rFonts w:ascii="Times New Roman" w:eastAsia="Times New Roman" w:hAnsi="Times New Roman" w:cs="Times New Roman"/>
                <w:b w:val="0"/>
                <w:bCs w:val="0"/>
                <w:color w:val="000000"/>
                <w:sz w:val="20"/>
                <w:szCs w:val="20"/>
              </w:rPr>
              <w:t>23</w:t>
            </w:r>
          </w:p>
        </w:tc>
        <w:tc>
          <w:tcPr>
            <w:tcW w:w="1985" w:type="dxa"/>
            <w:shd w:val="clear" w:color="auto" w:fill="auto"/>
            <w:noWrap/>
            <w:hideMark/>
          </w:tcPr>
          <w:p w14:paraId="756C69AD" w14:textId="77777777" w:rsidR="00EC619C" w:rsidRPr="000024AE" w:rsidRDefault="00EC619C" w:rsidP="00674B61">
            <w:pPr>
              <w:tabs>
                <w:tab w:val="left" w:pos="967"/>
              </w:tabs>
              <w:spacing w:before="60" w:after="6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color w:val="000000"/>
                <w:sz w:val="20"/>
                <w:szCs w:val="20"/>
              </w:rPr>
              <w:t>N/A</w:t>
            </w:r>
          </w:p>
        </w:tc>
        <w:tc>
          <w:tcPr>
            <w:tcW w:w="1134" w:type="dxa"/>
            <w:shd w:val="clear" w:color="auto" w:fill="auto"/>
            <w:noWrap/>
            <w:hideMark/>
          </w:tcPr>
          <w:p w14:paraId="5B1EF580" w14:textId="77777777" w:rsidR="00EC619C" w:rsidRPr="000024AE" w:rsidRDefault="00EC619C" w:rsidP="00674B61">
            <w:pPr>
              <w:spacing w:before="60" w:after="6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color w:val="000000"/>
                <w:sz w:val="20"/>
                <w:szCs w:val="20"/>
              </w:rPr>
              <w:t>N/A</w:t>
            </w:r>
          </w:p>
        </w:tc>
        <w:tc>
          <w:tcPr>
            <w:tcW w:w="1134" w:type="dxa"/>
            <w:shd w:val="clear" w:color="auto" w:fill="auto"/>
            <w:noWrap/>
            <w:hideMark/>
          </w:tcPr>
          <w:p w14:paraId="4DBD1FD1" w14:textId="77777777" w:rsidR="00EC619C" w:rsidRPr="000024AE" w:rsidRDefault="00EC619C" w:rsidP="00674B61">
            <w:pPr>
              <w:spacing w:before="60" w:after="6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color w:val="000000"/>
                <w:sz w:val="20"/>
                <w:szCs w:val="20"/>
              </w:rPr>
              <w:t>N/A</w:t>
            </w:r>
          </w:p>
        </w:tc>
        <w:tc>
          <w:tcPr>
            <w:tcW w:w="1984" w:type="dxa"/>
            <w:shd w:val="clear" w:color="auto" w:fill="auto"/>
          </w:tcPr>
          <w:p w14:paraId="6B7A797A" w14:textId="77777777" w:rsidR="00EC619C" w:rsidRPr="000024AE" w:rsidRDefault="00EC619C" w:rsidP="00674B61">
            <w:pPr>
              <w:spacing w:before="60" w:after="6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color w:val="000000"/>
                <w:sz w:val="20"/>
                <w:szCs w:val="20"/>
              </w:rPr>
              <w:t>N/A</w:t>
            </w:r>
          </w:p>
        </w:tc>
        <w:tc>
          <w:tcPr>
            <w:tcW w:w="2127" w:type="dxa"/>
            <w:shd w:val="clear" w:color="auto" w:fill="auto"/>
          </w:tcPr>
          <w:p w14:paraId="54933461" w14:textId="77777777" w:rsidR="00EC619C" w:rsidRPr="000024AE" w:rsidRDefault="00EC619C" w:rsidP="00674B61">
            <w:pPr>
              <w:spacing w:before="60" w:after="6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BFBFBF" w:themeColor="background1" w:themeShade="BF"/>
                <w:sz w:val="20"/>
                <w:szCs w:val="20"/>
              </w:rPr>
            </w:pPr>
            <w:r w:rsidRPr="000024AE">
              <w:rPr>
                <w:rFonts w:ascii="Times New Roman" w:eastAsia="Times New Roman" w:hAnsi="Times New Roman" w:cs="Times New Roman"/>
                <w:i/>
                <w:iCs/>
                <w:color w:val="FF0000"/>
                <w:sz w:val="20"/>
                <w:szCs w:val="20"/>
              </w:rPr>
              <w:t xml:space="preserve">FGFR3 </w:t>
            </w:r>
            <w:r w:rsidRPr="000024AE">
              <w:rPr>
                <w:rFonts w:ascii="Times New Roman" w:eastAsia="Times New Roman" w:hAnsi="Times New Roman" w:cs="Times New Roman"/>
                <w:color w:val="FF0000"/>
                <w:sz w:val="20"/>
                <w:szCs w:val="20"/>
              </w:rPr>
              <w:t>K650E</w:t>
            </w:r>
          </w:p>
        </w:tc>
      </w:tr>
      <w:tr w:rsidR="00EC619C" w:rsidRPr="000024AE" w14:paraId="26EDAF5D" w14:textId="77777777" w:rsidTr="00674B61">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tcPr>
          <w:p w14:paraId="694A324B" w14:textId="77777777" w:rsidR="00EC619C" w:rsidRPr="000024AE" w:rsidRDefault="00EC619C" w:rsidP="00674B61">
            <w:pPr>
              <w:spacing w:before="60" w:after="60"/>
              <w:contextualSpacing/>
              <w:rPr>
                <w:rFonts w:ascii="Times New Roman" w:eastAsia="Times New Roman" w:hAnsi="Times New Roman" w:cs="Times New Roman"/>
                <w:b w:val="0"/>
                <w:bCs w:val="0"/>
                <w:color w:val="000000"/>
                <w:sz w:val="20"/>
                <w:szCs w:val="20"/>
              </w:rPr>
            </w:pPr>
            <w:r w:rsidRPr="000024AE">
              <w:rPr>
                <w:rFonts w:ascii="Times New Roman" w:eastAsia="Times New Roman" w:hAnsi="Times New Roman" w:cs="Times New Roman"/>
                <w:b w:val="0"/>
                <w:bCs w:val="0"/>
                <w:color w:val="000000"/>
                <w:sz w:val="20"/>
                <w:szCs w:val="20"/>
              </w:rPr>
              <w:t>25</w:t>
            </w:r>
          </w:p>
        </w:tc>
        <w:tc>
          <w:tcPr>
            <w:tcW w:w="1985" w:type="dxa"/>
            <w:shd w:val="clear" w:color="auto" w:fill="auto"/>
            <w:noWrap/>
          </w:tcPr>
          <w:p w14:paraId="5E78505E" w14:textId="77777777" w:rsidR="00EC619C" w:rsidRPr="000024AE" w:rsidRDefault="00EC619C" w:rsidP="00674B61">
            <w:pPr>
              <w:tabs>
                <w:tab w:val="left" w:pos="967"/>
              </w:tabs>
              <w:spacing w:before="60" w:after="6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color w:val="000000"/>
                <w:sz w:val="20"/>
                <w:szCs w:val="20"/>
              </w:rPr>
              <w:t>N/A</w:t>
            </w:r>
          </w:p>
        </w:tc>
        <w:tc>
          <w:tcPr>
            <w:tcW w:w="1134" w:type="dxa"/>
            <w:shd w:val="clear" w:color="auto" w:fill="auto"/>
            <w:noWrap/>
          </w:tcPr>
          <w:p w14:paraId="48B02048" w14:textId="77777777" w:rsidR="00EC619C" w:rsidRPr="000024AE" w:rsidRDefault="00EC619C" w:rsidP="00674B61">
            <w:pPr>
              <w:spacing w:before="60" w:after="6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color w:val="000000"/>
                <w:sz w:val="20"/>
                <w:szCs w:val="20"/>
              </w:rPr>
              <w:t>N/A</w:t>
            </w:r>
          </w:p>
        </w:tc>
        <w:tc>
          <w:tcPr>
            <w:tcW w:w="1134" w:type="dxa"/>
            <w:shd w:val="clear" w:color="auto" w:fill="auto"/>
            <w:noWrap/>
          </w:tcPr>
          <w:p w14:paraId="27D346D8" w14:textId="77777777" w:rsidR="00EC619C" w:rsidRPr="000024AE" w:rsidRDefault="00EC619C" w:rsidP="00674B61">
            <w:pPr>
              <w:spacing w:before="60" w:after="6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color w:val="000000"/>
                <w:sz w:val="20"/>
                <w:szCs w:val="20"/>
              </w:rPr>
              <w:t>N/A</w:t>
            </w:r>
          </w:p>
        </w:tc>
        <w:tc>
          <w:tcPr>
            <w:tcW w:w="1984" w:type="dxa"/>
            <w:shd w:val="clear" w:color="auto" w:fill="auto"/>
          </w:tcPr>
          <w:p w14:paraId="6F519A64" w14:textId="77777777" w:rsidR="00EC619C" w:rsidRPr="000024AE" w:rsidRDefault="00EC619C" w:rsidP="00674B61">
            <w:pPr>
              <w:spacing w:before="60" w:after="6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color w:val="000000"/>
                <w:sz w:val="20"/>
                <w:szCs w:val="20"/>
              </w:rPr>
              <w:t>N/A</w:t>
            </w:r>
          </w:p>
        </w:tc>
        <w:tc>
          <w:tcPr>
            <w:tcW w:w="2127" w:type="dxa"/>
            <w:shd w:val="clear" w:color="auto" w:fill="auto"/>
          </w:tcPr>
          <w:p w14:paraId="289CEAF0" w14:textId="77777777" w:rsidR="00EC619C" w:rsidRPr="000024AE" w:rsidRDefault="00EC619C" w:rsidP="00674B61">
            <w:pPr>
              <w:spacing w:before="60" w:after="6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BFBFBF" w:themeColor="background1" w:themeShade="BF"/>
                <w:sz w:val="20"/>
                <w:szCs w:val="20"/>
              </w:rPr>
            </w:pPr>
            <w:r w:rsidRPr="000024AE">
              <w:rPr>
                <w:rFonts w:ascii="Times New Roman" w:eastAsia="Times New Roman" w:hAnsi="Times New Roman" w:cs="Times New Roman"/>
                <w:i/>
                <w:iCs/>
                <w:color w:val="FF0000"/>
                <w:sz w:val="20"/>
                <w:szCs w:val="20"/>
              </w:rPr>
              <w:t xml:space="preserve">FGFR1 </w:t>
            </w:r>
            <w:r w:rsidRPr="000024AE">
              <w:rPr>
                <w:rFonts w:ascii="Times New Roman" w:eastAsia="Times New Roman" w:hAnsi="Times New Roman" w:cs="Times New Roman"/>
                <w:color w:val="FF0000"/>
                <w:sz w:val="20"/>
                <w:szCs w:val="20"/>
              </w:rPr>
              <w:t>K656E</w:t>
            </w:r>
          </w:p>
        </w:tc>
      </w:tr>
      <w:tr w:rsidR="00EC619C" w:rsidRPr="000024AE" w14:paraId="00EC1E96" w14:textId="77777777" w:rsidTr="00674B61">
        <w:trPr>
          <w:trHeight w:val="297"/>
        </w:trPr>
        <w:tc>
          <w:tcPr>
            <w:cnfStyle w:val="001000000000" w:firstRow="0" w:lastRow="0" w:firstColumn="1" w:lastColumn="0" w:oddVBand="0" w:evenVBand="0" w:oddHBand="0" w:evenHBand="0" w:firstRowFirstColumn="0" w:firstRowLastColumn="0" w:lastRowFirstColumn="0" w:lastRowLastColumn="0"/>
            <w:tcW w:w="1134" w:type="dxa"/>
            <w:tcBorders>
              <w:bottom w:val="single" w:sz="4" w:space="0" w:color="auto"/>
            </w:tcBorders>
            <w:shd w:val="clear" w:color="auto" w:fill="auto"/>
            <w:noWrap/>
          </w:tcPr>
          <w:p w14:paraId="076D42C7" w14:textId="77777777" w:rsidR="00EC619C" w:rsidRPr="000024AE" w:rsidRDefault="00EC619C" w:rsidP="00674B61">
            <w:pPr>
              <w:spacing w:before="60" w:after="60"/>
              <w:contextualSpacing/>
              <w:rPr>
                <w:rFonts w:ascii="Times New Roman" w:eastAsia="Times New Roman" w:hAnsi="Times New Roman" w:cs="Times New Roman"/>
                <w:b w:val="0"/>
                <w:bCs w:val="0"/>
                <w:color w:val="000000"/>
                <w:sz w:val="20"/>
                <w:szCs w:val="20"/>
              </w:rPr>
            </w:pPr>
            <w:r w:rsidRPr="000024AE">
              <w:rPr>
                <w:rFonts w:ascii="Times New Roman" w:eastAsia="Times New Roman" w:hAnsi="Times New Roman" w:cs="Times New Roman"/>
                <w:b w:val="0"/>
                <w:bCs w:val="0"/>
                <w:color w:val="000000"/>
                <w:sz w:val="20"/>
                <w:szCs w:val="20"/>
              </w:rPr>
              <w:t>26</w:t>
            </w:r>
          </w:p>
        </w:tc>
        <w:tc>
          <w:tcPr>
            <w:tcW w:w="1985" w:type="dxa"/>
            <w:tcBorders>
              <w:bottom w:val="single" w:sz="4" w:space="0" w:color="auto"/>
            </w:tcBorders>
            <w:shd w:val="clear" w:color="auto" w:fill="auto"/>
            <w:noWrap/>
          </w:tcPr>
          <w:p w14:paraId="05A7846B" w14:textId="77777777" w:rsidR="00EC619C" w:rsidRPr="000024AE" w:rsidRDefault="00EC619C" w:rsidP="00674B61">
            <w:pPr>
              <w:tabs>
                <w:tab w:val="left" w:pos="967"/>
              </w:tabs>
              <w:spacing w:before="60" w:after="6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color w:val="000000"/>
                <w:sz w:val="20"/>
                <w:szCs w:val="20"/>
              </w:rPr>
              <w:t>N/A</w:t>
            </w:r>
          </w:p>
        </w:tc>
        <w:tc>
          <w:tcPr>
            <w:tcW w:w="1134" w:type="dxa"/>
            <w:tcBorders>
              <w:bottom w:val="single" w:sz="4" w:space="0" w:color="auto"/>
            </w:tcBorders>
            <w:shd w:val="clear" w:color="auto" w:fill="auto"/>
            <w:noWrap/>
          </w:tcPr>
          <w:p w14:paraId="068FB239" w14:textId="77777777" w:rsidR="00EC619C" w:rsidRPr="000024AE" w:rsidRDefault="00EC619C" w:rsidP="00674B61">
            <w:pPr>
              <w:spacing w:before="60" w:after="6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color w:val="000000"/>
                <w:sz w:val="20"/>
                <w:szCs w:val="20"/>
              </w:rPr>
              <w:t>N/A</w:t>
            </w:r>
          </w:p>
        </w:tc>
        <w:tc>
          <w:tcPr>
            <w:tcW w:w="1134" w:type="dxa"/>
            <w:tcBorders>
              <w:bottom w:val="single" w:sz="4" w:space="0" w:color="auto"/>
            </w:tcBorders>
            <w:shd w:val="clear" w:color="auto" w:fill="auto"/>
            <w:noWrap/>
          </w:tcPr>
          <w:p w14:paraId="51B4F4C5" w14:textId="77777777" w:rsidR="00EC619C" w:rsidRPr="000024AE" w:rsidRDefault="00EC619C" w:rsidP="00674B61">
            <w:pPr>
              <w:spacing w:before="60" w:after="6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color w:val="000000"/>
                <w:sz w:val="20"/>
                <w:szCs w:val="20"/>
              </w:rPr>
              <w:t>N/A</w:t>
            </w:r>
          </w:p>
        </w:tc>
        <w:tc>
          <w:tcPr>
            <w:tcW w:w="1984" w:type="dxa"/>
            <w:tcBorders>
              <w:bottom w:val="single" w:sz="4" w:space="0" w:color="auto"/>
            </w:tcBorders>
            <w:shd w:val="clear" w:color="auto" w:fill="auto"/>
          </w:tcPr>
          <w:p w14:paraId="261F0F05" w14:textId="77777777" w:rsidR="00EC619C" w:rsidRPr="000024AE" w:rsidRDefault="00EC619C" w:rsidP="00674B61">
            <w:pPr>
              <w:spacing w:before="60" w:after="6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024AE">
              <w:rPr>
                <w:rFonts w:ascii="Times New Roman" w:eastAsia="Times New Roman" w:hAnsi="Times New Roman" w:cs="Times New Roman"/>
                <w:color w:val="000000"/>
                <w:sz w:val="20"/>
                <w:szCs w:val="20"/>
              </w:rPr>
              <w:t>N/A</w:t>
            </w:r>
          </w:p>
        </w:tc>
        <w:tc>
          <w:tcPr>
            <w:tcW w:w="2127" w:type="dxa"/>
            <w:tcBorders>
              <w:bottom w:val="single" w:sz="4" w:space="0" w:color="auto"/>
            </w:tcBorders>
            <w:shd w:val="clear" w:color="auto" w:fill="auto"/>
          </w:tcPr>
          <w:p w14:paraId="10900A69" w14:textId="77777777" w:rsidR="00EC619C" w:rsidRPr="000024AE" w:rsidRDefault="00EC619C" w:rsidP="00674B61">
            <w:pPr>
              <w:spacing w:before="60" w:after="6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BFBFBF" w:themeColor="background1" w:themeShade="BF"/>
                <w:sz w:val="20"/>
                <w:szCs w:val="20"/>
              </w:rPr>
            </w:pPr>
            <w:r w:rsidRPr="000024AE">
              <w:rPr>
                <w:rFonts w:ascii="Times New Roman" w:eastAsia="Times New Roman" w:hAnsi="Times New Roman" w:cs="Times New Roman"/>
                <w:i/>
                <w:iCs/>
                <w:color w:val="FF0000"/>
                <w:sz w:val="20"/>
                <w:szCs w:val="20"/>
              </w:rPr>
              <w:t>FGFR3-TACC3</w:t>
            </w:r>
            <w:r w:rsidRPr="000024AE">
              <w:rPr>
                <w:rFonts w:ascii="Times New Roman" w:eastAsia="Times New Roman" w:hAnsi="Times New Roman" w:cs="Times New Roman"/>
                <w:color w:val="FF0000"/>
                <w:sz w:val="20"/>
                <w:szCs w:val="20"/>
              </w:rPr>
              <w:t xml:space="preserve"> fusion</w:t>
            </w:r>
          </w:p>
        </w:tc>
      </w:tr>
    </w:tbl>
    <w:bookmarkEnd w:id="0"/>
    <w:p w14:paraId="7D5E1C0F" w14:textId="77777777" w:rsidR="00EC619C" w:rsidRPr="007844E2" w:rsidRDefault="00EC619C" w:rsidP="00EC619C">
      <w:pPr>
        <w:spacing w:before="120" w:after="120" w:line="360" w:lineRule="auto"/>
        <w:rPr>
          <w:rFonts w:ascii="Times New Roman" w:hAnsi="Times New Roman" w:cs="Times New Roman"/>
          <w:sz w:val="20"/>
          <w:szCs w:val="20"/>
          <w:lang w:val="en-US"/>
        </w:rPr>
      </w:pPr>
      <w:r w:rsidRPr="007844E2">
        <w:rPr>
          <w:rFonts w:ascii="Times New Roman" w:hAnsi="Times New Roman" w:cs="Times New Roman"/>
          <w:bCs/>
          <w:i/>
          <w:iCs/>
          <w:sz w:val="20"/>
          <w:szCs w:val="20"/>
          <w:lang w:val="en-US"/>
        </w:rPr>
        <w:t>Abbreviations:</w:t>
      </w:r>
      <w:r w:rsidRPr="007844E2">
        <w:rPr>
          <w:rFonts w:ascii="Times New Roman" w:hAnsi="Times New Roman" w:cs="Times New Roman"/>
          <w:i/>
          <w:iCs/>
          <w:sz w:val="20"/>
          <w:szCs w:val="20"/>
          <w:lang w:val="en-US"/>
        </w:rPr>
        <w:t xml:space="preserve"> </w:t>
      </w:r>
      <w:r w:rsidRPr="007844E2">
        <w:rPr>
          <w:rFonts w:ascii="Times New Roman" w:hAnsi="Times New Roman" w:cs="Times New Roman"/>
          <w:sz w:val="20"/>
          <w:szCs w:val="20"/>
          <w:lang w:val="en-US"/>
        </w:rPr>
        <w:t>FGFR, fibroblast growth factor receptor; IHC, immunohistochemistry; N/A, not applicable: NGS, next-generation sequencing; PCR, polymerase chain reaction; RT-PCR, reverse transcription</w:t>
      </w:r>
      <w:r w:rsidRPr="007844E2">
        <w:rPr>
          <w:lang w:val="en-US"/>
        </w:rPr>
        <w:t xml:space="preserve"> </w:t>
      </w:r>
      <w:r w:rsidRPr="007844E2">
        <w:rPr>
          <w:rFonts w:ascii="Times New Roman" w:hAnsi="Times New Roman" w:cs="Times New Roman"/>
          <w:sz w:val="20"/>
          <w:szCs w:val="20"/>
          <w:lang w:val="en-US"/>
        </w:rPr>
        <w:t>polymerase chain reaction.</w:t>
      </w:r>
    </w:p>
    <w:p w14:paraId="1E6754CD" w14:textId="77777777" w:rsidR="00EC619C" w:rsidRPr="007844E2" w:rsidRDefault="00EC619C" w:rsidP="00EC619C">
      <w:pPr>
        <w:pStyle w:val="ListParagraph"/>
        <w:spacing w:after="120" w:line="360" w:lineRule="auto"/>
        <w:ind w:left="0"/>
        <w:contextualSpacing w:val="0"/>
        <w:rPr>
          <w:rFonts w:ascii="Times New Roman" w:hAnsi="Times New Roman" w:cs="Times New Roman"/>
          <w:sz w:val="20"/>
          <w:szCs w:val="20"/>
          <w:lang w:val="en-US"/>
        </w:rPr>
      </w:pPr>
      <w:r w:rsidRPr="007844E2">
        <w:rPr>
          <w:rFonts w:ascii="Times New Roman" w:hAnsi="Times New Roman" w:cs="Times New Roman"/>
          <w:i/>
          <w:iCs/>
          <w:color w:val="FF0000"/>
          <w:sz w:val="20"/>
          <w:szCs w:val="20"/>
          <w:lang w:val="en-US"/>
        </w:rPr>
        <w:t>FGFR</w:t>
      </w:r>
      <w:r w:rsidRPr="007844E2">
        <w:rPr>
          <w:rFonts w:ascii="Times New Roman" w:hAnsi="Times New Roman" w:cs="Times New Roman"/>
          <w:color w:val="FF0000"/>
          <w:sz w:val="20"/>
          <w:szCs w:val="20"/>
          <w:lang w:val="en-US"/>
        </w:rPr>
        <w:t xml:space="preserve"> abnormalities in red </w:t>
      </w:r>
      <w:r w:rsidRPr="007844E2">
        <w:rPr>
          <w:rFonts w:ascii="Times New Roman" w:hAnsi="Times New Roman" w:cs="Times New Roman"/>
          <w:sz w:val="20"/>
          <w:szCs w:val="20"/>
          <w:lang w:val="en-US"/>
        </w:rPr>
        <w:t xml:space="preserve">are those which were used to fulfil eligibility </w:t>
      </w:r>
      <w:r>
        <w:rPr>
          <w:rFonts w:ascii="Times New Roman" w:hAnsi="Times New Roman" w:cs="Times New Roman"/>
          <w:sz w:val="20"/>
          <w:szCs w:val="20"/>
          <w:lang w:val="en-US"/>
        </w:rPr>
        <w:t xml:space="preserve">(except case 16 with amplification detected during screening and fusion detected on post-hoc analysis of pre-treatment tissue) </w:t>
      </w:r>
      <w:r w:rsidRPr="007844E2">
        <w:rPr>
          <w:rFonts w:ascii="Times New Roman" w:hAnsi="Times New Roman" w:cs="Times New Roman"/>
          <w:sz w:val="20"/>
          <w:szCs w:val="20"/>
          <w:lang w:val="en-US"/>
        </w:rPr>
        <w:t xml:space="preserve">and are shown in the </w:t>
      </w:r>
      <w:proofErr w:type="spellStart"/>
      <w:r w:rsidRPr="007844E2">
        <w:rPr>
          <w:rFonts w:ascii="Times New Roman" w:hAnsi="Times New Roman" w:cs="Times New Roman"/>
          <w:sz w:val="20"/>
          <w:szCs w:val="20"/>
          <w:lang w:val="en-US"/>
        </w:rPr>
        <w:t>Oncoplot</w:t>
      </w:r>
      <w:proofErr w:type="spellEnd"/>
      <w:r w:rsidRPr="007844E2">
        <w:rPr>
          <w:rFonts w:ascii="Times New Roman" w:hAnsi="Times New Roman" w:cs="Times New Roman"/>
          <w:sz w:val="20"/>
          <w:szCs w:val="20"/>
          <w:lang w:val="en-US"/>
        </w:rPr>
        <w:t xml:space="preserve"> (Supplementary Fig. S3).</w:t>
      </w:r>
    </w:p>
    <w:p w14:paraId="7D2D0A52" w14:textId="77777777" w:rsidR="00EC619C" w:rsidRPr="007844E2" w:rsidRDefault="00EC619C" w:rsidP="00EC619C">
      <w:pPr>
        <w:spacing w:after="120" w:line="480" w:lineRule="auto"/>
        <w:rPr>
          <w:rFonts w:ascii="Times New Roman" w:hAnsi="Times New Roman" w:cs="Times New Roman"/>
          <w:sz w:val="20"/>
          <w:szCs w:val="20"/>
          <w:lang w:val="en-US"/>
        </w:rPr>
      </w:pPr>
    </w:p>
    <w:p w14:paraId="43F1E16D" w14:textId="77777777" w:rsidR="00EC619C" w:rsidRPr="007844E2" w:rsidRDefault="00EC619C" w:rsidP="00EC619C">
      <w:pPr>
        <w:spacing w:after="120" w:line="480" w:lineRule="auto"/>
        <w:rPr>
          <w:rFonts w:ascii="Times New Roman" w:hAnsi="Times New Roman" w:cs="Times New Roman"/>
          <w:lang w:val="en-US"/>
        </w:rPr>
      </w:pPr>
      <w:r w:rsidRPr="007844E2">
        <w:rPr>
          <w:rFonts w:ascii="Times New Roman" w:hAnsi="Times New Roman" w:cs="Times New Roman"/>
          <w:lang w:val="en-US"/>
        </w:rPr>
        <w:t xml:space="preserve">Molecular testing methodology and the types of </w:t>
      </w:r>
      <w:r w:rsidRPr="007844E2">
        <w:rPr>
          <w:rFonts w:ascii="Times New Roman" w:hAnsi="Times New Roman" w:cs="Times New Roman"/>
          <w:i/>
          <w:iCs/>
          <w:lang w:val="en-US"/>
        </w:rPr>
        <w:t>FGFR</w:t>
      </w:r>
      <w:r w:rsidRPr="007844E2">
        <w:rPr>
          <w:rFonts w:ascii="Times New Roman" w:hAnsi="Times New Roman" w:cs="Times New Roman"/>
          <w:lang w:val="en-US"/>
        </w:rPr>
        <w:t xml:space="preserve"> alterations allowed for eligibility evolved over the lifespan of the clinical trial. First, the understanding of FGFR biology in brain and other solid tumors advanced, such as the recognition that amplification was poorly predictive of benefit from </w:t>
      </w:r>
      <w:proofErr w:type="spellStart"/>
      <w:r w:rsidRPr="007844E2">
        <w:rPr>
          <w:rFonts w:ascii="Times New Roman" w:hAnsi="Times New Roman" w:cs="Times New Roman"/>
          <w:lang w:val="en-US"/>
        </w:rPr>
        <w:t>infigratinib</w:t>
      </w:r>
      <w:proofErr w:type="spellEnd"/>
      <w:r w:rsidRPr="007844E2">
        <w:rPr>
          <w:rFonts w:ascii="Times New Roman" w:hAnsi="Times New Roman" w:cs="Times New Roman"/>
          <w:lang w:val="en-US"/>
        </w:rPr>
        <w:t xml:space="preserve"> and a poor surrogate for fusion (resulting in a protocol amendment excluding amplification alone as sufficient </w:t>
      </w:r>
      <w:r w:rsidRPr="007844E2">
        <w:rPr>
          <w:rFonts w:ascii="Times New Roman" w:hAnsi="Times New Roman" w:cs="Times New Roman"/>
          <w:lang w:val="en-US"/>
        </w:rPr>
        <w:lastRenderedPageBreak/>
        <w:t xml:space="preserve">for eligibility as described in the manuscript Methods; see also Table A12 in report by </w:t>
      </w:r>
      <w:proofErr w:type="spellStart"/>
      <w:r w:rsidRPr="007844E2">
        <w:rPr>
          <w:rFonts w:ascii="Times New Roman" w:hAnsi="Times New Roman" w:cs="Times New Roman"/>
          <w:lang w:val="en-US"/>
        </w:rPr>
        <w:t>Nogova</w:t>
      </w:r>
      <w:proofErr w:type="spellEnd"/>
      <w:r w:rsidRPr="007844E2">
        <w:rPr>
          <w:rFonts w:ascii="Times New Roman" w:hAnsi="Times New Roman" w:cs="Times New Roman"/>
          <w:lang w:val="en-US"/>
        </w:rPr>
        <w:t xml:space="preserve"> et al. of a concurrently conducted multi</w:t>
      </w:r>
      <w:r>
        <w:rPr>
          <w:rFonts w:ascii="Times New Roman" w:hAnsi="Times New Roman" w:cs="Times New Roman"/>
          <w:lang w:val="en-US"/>
        </w:rPr>
        <w:t>-</w:t>
      </w:r>
      <w:r w:rsidRPr="007844E2">
        <w:rPr>
          <w:rFonts w:ascii="Times New Roman" w:hAnsi="Times New Roman" w:cs="Times New Roman"/>
          <w:lang w:val="en-US"/>
        </w:rPr>
        <w:t>histology study that followed an analogous process of amendments as the science and available assays evolved</w:t>
      </w:r>
      <w:r w:rsidRPr="007844E2">
        <w:rPr>
          <w:rFonts w:ascii="Times New Roman" w:hAnsi="Times New Roman" w:cs="Times New Roman"/>
          <w:vertAlign w:val="superscript"/>
          <w:lang w:val="en-US"/>
        </w:rPr>
        <w:t>1</w:t>
      </w:r>
      <w:r w:rsidRPr="007844E2">
        <w:rPr>
          <w:rFonts w:ascii="Times New Roman" w:hAnsi="Times New Roman" w:cs="Times New Roman"/>
          <w:lang w:val="en-US"/>
        </w:rPr>
        <w:t xml:space="preserve">). Second, use of next-generation sequencing (NGS) assays that could detect various types of </w:t>
      </w:r>
      <w:r w:rsidRPr="007844E2">
        <w:rPr>
          <w:rFonts w:ascii="Times New Roman" w:hAnsi="Times New Roman" w:cs="Times New Roman"/>
          <w:i/>
          <w:iCs/>
          <w:lang w:val="en-US"/>
        </w:rPr>
        <w:t>FGFR</w:t>
      </w:r>
      <w:r w:rsidRPr="007844E2">
        <w:rPr>
          <w:rFonts w:ascii="Times New Roman" w:hAnsi="Times New Roman" w:cs="Times New Roman"/>
          <w:lang w:val="en-US"/>
        </w:rPr>
        <w:t xml:space="preserve"> alterations, particularly </w:t>
      </w:r>
      <w:r w:rsidRPr="00541F42">
        <w:rPr>
          <w:rFonts w:ascii="Times New Roman" w:hAnsi="Times New Roman" w:cs="Times New Roman"/>
          <w:i/>
          <w:iCs/>
          <w:lang w:val="en-US"/>
        </w:rPr>
        <w:t>FGFR</w:t>
      </w:r>
      <w:r w:rsidRPr="007844E2">
        <w:rPr>
          <w:rFonts w:ascii="Times New Roman" w:hAnsi="Times New Roman" w:cs="Times New Roman"/>
          <w:lang w:val="en-US"/>
        </w:rPr>
        <w:t xml:space="preserve"> fusions, became more widespread.</w:t>
      </w:r>
    </w:p>
    <w:p w14:paraId="3161F355" w14:textId="77777777" w:rsidR="00EC619C" w:rsidRPr="007844E2" w:rsidRDefault="00EC619C" w:rsidP="00EC619C">
      <w:pPr>
        <w:spacing w:after="120" w:line="480" w:lineRule="auto"/>
        <w:rPr>
          <w:rFonts w:ascii="Times New Roman" w:hAnsi="Times New Roman" w:cs="Times New Roman"/>
          <w:lang w:val="en-US"/>
        </w:rPr>
      </w:pPr>
      <w:r>
        <w:rPr>
          <w:rFonts w:ascii="Times New Roman" w:hAnsi="Times New Roman" w:cs="Times New Roman"/>
          <w:lang w:val="en-US"/>
        </w:rPr>
        <w:t>Therefore, t</w:t>
      </w:r>
      <w:r w:rsidRPr="007844E2">
        <w:rPr>
          <w:rFonts w:ascii="Times New Roman" w:hAnsi="Times New Roman" w:cs="Times New Roman"/>
          <w:lang w:val="en-US"/>
        </w:rPr>
        <w:t xml:space="preserve">he protocol allowed for 3 testing options to identify allowable </w:t>
      </w:r>
      <w:r w:rsidRPr="007844E2">
        <w:rPr>
          <w:rFonts w:ascii="Times New Roman" w:hAnsi="Times New Roman" w:cs="Times New Roman"/>
          <w:i/>
          <w:iCs/>
          <w:lang w:val="en-US"/>
        </w:rPr>
        <w:t xml:space="preserve">FGFR </w:t>
      </w:r>
      <w:r w:rsidRPr="007844E2">
        <w:rPr>
          <w:rFonts w:ascii="Times New Roman" w:hAnsi="Times New Roman" w:cs="Times New Roman"/>
          <w:lang w:val="en-US"/>
        </w:rPr>
        <w:t>alterations for eligibility: 1) a “local” assay performed by an academic institution, such as that of the participating investigator; 2) a commercial assay, such as NGS (</w:t>
      </w:r>
      <w:proofErr w:type="gramStart"/>
      <w:r w:rsidRPr="007844E2">
        <w:rPr>
          <w:rFonts w:ascii="Times New Roman" w:hAnsi="Times New Roman" w:cs="Times New Roman"/>
          <w:lang w:val="en-US"/>
        </w:rPr>
        <w:t>e.g.</w:t>
      </w:r>
      <w:proofErr w:type="gramEnd"/>
      <w:r w:rsidRPr="007844E2">
        <w:rPr>
          <w:rFonts w:ascii="Times New Roman" w:hAnsi="Times New Roman" w:cs="Times New Roman"/>
          <w:lang w:val="en-US"/>
        </w:rPr>
        <w:t xml:space="preserve"> </w:t>
      </w:r>
      <w:proofErr w:type="spellStart"/>
      <w:r w:rsidRPr="007844E2">
        <w:rPr>
          <w:rFonts w:ascii="Times New Roman" w:hAnsi="Times New Roman" w:cs="Times New Roman"/>
          <w:lang w:val="en-US"/>
        </w:rPr>
        <w:t>FoundationOne</w:t>
      </w:r>
      <w:proofErr w:type="spellEnd"/>
      <w:r w:rsidRPr="007844E2">
        <w:rPr>
          <w:rFonts w:ascii="Times New Roman" w:hAnsi="Times New Roman" w:cs="Times New Roman"/>
          <w:lang w:val="en-US"/>
        </w:rPr>
        <w:t xml:space="preserve">) ordered as part of routine care; or 3) a “central” laboratory option if neither a local institutional assay nor commercial assay were performed as part of routine care. Initially, a quantitative polymerase chain reaction (PCR) assay (Quest Diagnostics) for </w:t>
      </w:r>
      <w:r w:rsidRPr="007844E2">
        <w:rPr>
          <w:rFonts w:ascii="Times New Roman" w:hAnsi="Times New Roman" w:cs="Times New Roman"/>
          <w:i/>
          <w:iCs/>
          <w:lang w:val="en-US"/>
        </w:rPr>
        <w:t>FGFR</w:t>
      </w:r>
      <w:r w:rsidRPr="007844E2">
        <w:rPr>
          <w:rFonts w:ascii="Times New Roman" w:hAnsi="Times New Roman" w:cs="Times New Roman"/>
          <w:lang w:val="en-US"/>
        </w:rPr>
        <w:t xml:space="preserve"> amplification and </w:t>
      </w:r>
      <w:r w:rsidRPr="007844E2">
        <w:rPr>
          <w:rFonts w:ascii="Times New Roman" w:hAnsi="Times New Roman" w:cs="Times New Roman"/>
          <w:i/>
          <w:iCs/>
          <w:lang w:val="en-US"/>
        </w:rPr>
        <w:t>FGFR3</w:t>
      </w:r>
      <w:r w:rsidRPr="007844E2">
        <w:rPr>
          <w:rFonts w:ascii="Times New Roman" w:hAnsi="Times New Roman" w:cs="Times New Roman"/>
          <w:lang w:val="en-US"/>
        </w:rPr>
        <w:t xml:space="preserve"> point mutations, but not fusions, was the centrally available assay for screening patients whose </w:t>
      </w:r>
      <w:r w:rsidRPr="007844E2">
        <w:rPr>
          <w:rFonts w:ascii="Times New Roman" w:hAnsi="Times New Roman" w:cs="Times New Roman"/>
          <w:i/>
          <w:iCs/>
          <w:lang w:val="en-US"/>
        </w:rPr>
        <w:t>FGFR</w:t>
      </w:r>
      <w:r w:rsidRPr="007844E2">
        <w:rPr>
          <w:rFonts w:ascii="Times New Roman" w:hAnsi="Times New Roman" w:cs="Times New Roman"/>
          <w:lang w:val="en-US"/>
        </w:rPr>
        <w:t xml:space="preserve"> status </w:t>
      </w:r>
      <w:r>
        <w:rPr>
          <w:rFonts w:ascii="Times New Roman" w:hAnsi="Times New Roman" w:cs="Times New Roman"/>
          <w:lang w:val="en-US"/>
        </w:rPr>
        <w:t>were</w:t>
      </w:r>
      <w:r w:rsidRPr="007844E2">
        <w:rPr>
          <w:rFonts w:ascii="Times New Roman" w:hAnsi="Times New Roman" w:cs="Times New Roman"/>
          <w:lang w:val="en-US"/>
        </w:rPr>
        <w:t xml:space="preserve"> otherwise unknown. As the technology advanced, and it </w:t>
      </w:r>
      <w:r>
        <w:rPr>
          <w:rFonts w:ascii="Times New Roman" w:hAnsi="Times New Roman" w:cs="Times New Roman"/>
          <w:lang w:val="en-US"/>
        </w:rPr>
        <w:t xml:space="preserve">emerged </w:t>
      </w:r>
      <w:r w:rsidRPr="007844E2">
        <w:rPr>
          <w:rFonts w:ascii="Times New Roman" w:hAnsi="Times New Roman" w:cs="Times New Roman"/>
          <w:lang w:val="en-US"/>
        </w:rPr>
        <w:t xml:space="preserve">that amplification alone was neither a surrogate for fusion nor likely to predict response to </w:t>
      </w:r>
      <w:proofErr w:type="spellStart"/>
      <w:r w:rsidRPr="007844E2">
        <w:rPr>
          <w:rFonts w:ascii="Times New Roman" w:hAnsi="Times New Roman" w:cs="Times New Roman"/>
          <w:lang w:val="en-US"/>
        </w:rPr>
        <w:t>infigratinib</w:t>
      </w:r>
      <w:proofErr w:type="spellEnd"/>
      <w:r w:rsidRPr="007844E2">
        <w:rPr>
          <w:rFonts w:ascii="Times New Roman" w:hAnsi="Times New Roman" w:cs="Times New Roman"/>
          <w:lang w:val="en-US"/>
        </w:rPr>
        <w:t xml:space="preserve">, the qPCR assay was abandoned in favor of the </w:t>
      </w:r>
      <w:proofErr w:type="spellStart"/>
      <w:r w:rsidRPr="007844E2">
        <w:rPr>
          <w:rFonts w:ascii="Times New Roman" w:hAnsi="Times New Roman" w:cs="Times New Roman"/>
          <w:lang w:val="en-US"/>
        </w:rPr>
        <w:t>FoundationOne</w:t>
      </w:r>
      <w:proofErr w:type="spellEnd"/>
      <w:r w:rsidRPr="007844E2">
        <w:rPr>
          <w:rFonts w:ascii="Times New Roman" w:hAnsi="Times New Roman" w:cs="Times New Roman"/>
          <w:lang w:val="en-US"/>
        </w:rPr>
        <w:t xml:space="preserve"> NGS test that could identify amplification, point mutations, and fusions. In addition, the protocol requested that additional archival tumor tissue (which could have been from a different surgical procedure in location or</w:t>
      </w:r>
      <w:r>
        <w:rPr>
          <w:rFonts w:ascii="Times New Roman" w:hAnsi="Times New Roman" w:cs="Times New Roman"/>
          <w:lang w:val="en-US"/>
        </w:rPr>
        <w:t xml:space="preserve"> date </w:t>
      </w:r>
      <w:r w:rsidRPr="007844E2">
        <w:rPr>
          <w:rFonts w:ascii="Times New Roman" w:hAnsi="Times New Roman" w:cs="Times New Roman"/>
          <w:lang w:val="en-US"/>
        </w:rPr>
        <w:t xml:space="preserve">than the tissue assayed for eligibility), if available, be submitted for post-hoc </w:t>
      </w:r>
      <w:proofErr w:type="spellStart"/>
      <w:r w:rsidRPr="007844E2">
        <w:rPr>
          <w:rFonts w:ascii="Times New Roman" w:hAnsi="Times New Roman" w:cs="Times New Roman"/>
          <w:lang w:val="en-US"/>
        </w:rPr>
        <w:t>FoundationOne</w:t>
      </w:r>
      <w:proofErr w:type="spellEnd"/>
      <w:r w:rsidRPr="007844E2">
        <w:rPr>
          <w:rFonts w:ascii="Times New Roman" w:hAnsi="Times New Roman" w:cs="Times New Roman"/>
          <w:lang w:val="en-US"/>
        </w:rPr>
        <w:t xml:space="preserve"> NGS to support exploratory analysis of biomarkers associated with response. </w:t>
      </w:r>
      <w:r>
        <w:rPr>
          <w:rFonts w:ascii="Times New Roman" w:hAnsi="Times New Roman" w:cs="Times New Roman"/>
          <w:lang w:val="en-US"/>
        </w:rPr>
        <w:t>Although s</w:t>
      </w:r>
      <w:r w:rsidRPr="007844E2">
        <w:rPr>
          <w:rFonts w:ascii="Times New Roman" w:hAnsi="Times New Roman" w:cs="Times New Roman"/>
          <w:lang w:val="en-US"/>
        </w:rPr>
        <w:t xml:space="preserve">uch post-hoc analyses were exploratory rather than pre-specified or explicitly mandated to confirm (or refute) prospectively detected </w:t>
      </w:r>
      <w:r w:rsidRPr="007844E2">
        <w:rPr>
          <w:rFonts w:ascii="Times New Roman" w:hAnsi="Times New Roman" w:cs="Times New Roman"/>
          <w:i/>
          <w:iCs/>
          <w:lang w:val="en-US"/>
        </w:rPr>
        <w:t>FGFR</w:t>
      </w:r>
      <w:r w:rsidRPr="007844E2">
        <w:rPr>
          <w:rFonts w:ascii="Times New Roman" w:hAnsi="Times New Roman" w:cs="Times New Roman"/>
          <w:lang w:val="en-US"/>
        </w:rPr>
        <w:t xml:space="preserve"> alterations that fulfilled eligibility criteria in real time, they represent an opportunity to compare </w:t>
      </w:r>
      <w:r w:rsidRPr="007844E2">
        <w:rPr>
          <w:rFonts w:ascii="Times New Roman" w:hAnsi="Times New Roman" w:cs="Times New Roman"/>
          <w:i/>
          <w:iCs/>
          <w:lang w:val="en-US"/>
        </w:rPr>
        <w:t>FGFR</w:t>
      </w:r>
      <w:r w:rsidRPr="007844E2">
        <w:rPr>
          <w:rFonts w:ascii="Times New Roman" w:hAnsi="Times New Roman" w:cs="Times New Roman"/>
          <w:lang w:val="en-US"/>
        </w:rPr>
        <w:t xml:space="preserve"> results among different assays. </w:t>
      </w:r>
    </w:p>
    <w:p w14:paraId="15C0CA77" w14:textId="77777777" w:rsidR="00EC619C" w:rsidRPr="007844E2" w:rsidRDefault="00EC619C" w:rsidP="00EC619C">
      <w:pPr>
        <w:spacing w:after="120" w:line="480" w:lineRule="auto"/>
        <w:rPr>
          <w:rFonts w:ascii="Times New Roman" w:hAnsi="Times New Roman" w:cs="Times New Roman"/>
          <w:lang w:val="en-US"/>
        </w:rPr>
      </w:pPr>
      <w:r w:rsidRPr="007844E2">
        <w:rPr>
          <w:rFonts w:ascii="Times New Roman" w:hAnsi="Times New Roman" w:cs="Times New Roman"/>
          <w:lang w:val="en-US"/>
        </w:rPr>
        <w:t xml:space="preserve">To that end, there were a total of 16 cases (Supplementary Table S3 above, Fig. S1 and Fig. S3 below) with both response assessments and informative NGS analysis (either during screening or post-hoc); among these, 8 were also subjected to another assay (either locally at an academic institution with a variety of methods, or centrally by Quest using qPCR) during screening. Results were discordant in 6 </w:t>
      </w:r>
      <w:r>
        <w:rPr>
          <w:rFonts w:ascii="Times New Roman" w:hAnsi="Times New Roman" w:cs="Times New Roman"/>
          <w:lang w:val="en-US"/>
        </w:rPr>
        <w:t xml:space="preserve">of the 8 </w:t>
      </w:r>
      <w:r w:rsidRPr="007844E2">
        <w:rPr>
          <w:rFonts w:ascii="Times New Roman" w:hAnsi="Times New Roman" w:cs="Times New Roman"/>
          <w:lang w:val="en-US"/>
        </w:rPr>
        <w:t xml:space="preserve">cases. </w:t>
      </w:r>
    </w:p>
    <w:p w14:paraId="2023EEC1" w14:textId="77777777" w:rsidR="00EC619C" w:rsidRPr="007844E2" w:rsidRDefault="00EC619C" w:rsidP="00EC619C">
      <w:pPr>
        <w:spacing w:after="120" w:line="480" w:lineRule="auto"/>
        <w:rPr>
          <w:rFonts w:ascii="Times New Roman" w:hAnsi="Times New Roman" w:cs="Times New Roman"/>
          <w:lang w:val="en-US"/>
        </w:rPr>
      </w:pPr>
      <w:r w:rsidRPr="007844E2">
        <w:rPr>
          <w:rFonts w:ascii="Times New Roman" w:hAnsi="Times New Roman" w:cs="Times New Roman"/>
          <w:lang w:val="en-US"/>
        </w:rPr>
        <w:lastRenderedPageBreak/>
        <w:t>In 4 cases</w:t>
      </w:r>
      <w:r>
        <w:rPr>
          <w:rFonts w:ascii="Times New Roman" w:hAnsi="Times New Roman" w:cs="Times New Roman"/>
          <w:lang w:val="en-US"/>
        </w:rPr>
        <w:t xml:space="preserve"> (2, 11, 16, 22)</w:t>
      </w:r>
      <w:proofErr w:type="gramStart"/>
      <w:r>
        <w:rPr>
          <w:rFonts w:ascii="Times New Roman" w:hAnsi="Times New Roman" w:cs="Times New Roman"/>
          <w:lang w:val="en-US"/>
        </w:rPr>
        <w:t xml:space="preserve">, </w:t>
      </w:r>
      <w:r w:rsidRPr="007844E2">
        <w:rPr>
          <w:rFonts w:ascii="Times New Roman" w:hAnsi="Times New Roman" w:cs="Times New Roman"/>
          <w:lang w:val="en-US"/>
        </w:rPr>
        <w:t>,</w:t>
      </w:r>
      <w:proofErr w:type="gramEnd"/>
      <w:r w:rsidRPr="007844E2">
        <w:rPr>
          <w:rFonts w:ascii="Times New Roman" w:hAnsi="Times New Roman" w:cs="Times New Roman"/>
          <w:lang w:val="en-US"/>
        </w:rPr>
        <w:t xml:space="preserve"> the </w:t>
      </w:r>
      <w:proofErr w:type="spellStart"/>
      <w:r w:rsidRPr="007844E2">
        <w:rPr>
          <w:rFonts w:ascii="Times New Roman" w:hAnsi="Times New Roman" w:cs="Times New Roman"/>
          <w:lang w:val="en-US"/>
        </w:rPr>
        <w:t>FoundationOne</w:t>
      </w:r>
      <w:proofErr w:type="spellEnd"/>
      <w:r w:rsidRPr="007844E2">
        <w:rPr>
          <w:rFonts w:ascii="Times New Roman" w:hAnsi="Times New Roman" w:cs="Times New Roman"/>
          <w:lang w:val="en-US"/>
        </w:rPr>
        <w:t xml:space="preserve"> assay did not report the </w:t>
      </w:r>
      <w:r w:rsidRPr="007844E2">
        <w:rPr>
          <w:rFonts w:ascii="Times New Roman" w:hAnsi="Times New Roman" w:cs="Times New Roman"/>
          <w:i/>
          <w:iCs/>
          <w:lang w:val="en-US"/>
        </w:rPr>
        <w:t>FGFR3</w:t>
      </w:r>
      <w:r w:rsidRPr="007844E2">
        <w:rPr>
          <w:rFonts w:ascii="Times New Roman" w:hAnsi="Times New Roman" w:cs="Times New Roman"/>
          <w:lang w:val="en-US"/>
        </w:rPr>
        <w:t xml:space="preserve"> amplification despite </w:t>
      </w:r>
      <w:r w:rsidRPr="007844E2">
        <w:rPr>
          <w:rFonts w:ascii="Times New Roman" w:hAnsi="Times New Roman" w:cs="Times New Roman"/>
          <w:i/>
          <w:iCs/>
          <w:lang w:val="en-US"/>
        </w:rPr>
        <w:t>FGFR3</w:t>
      </w:r>
      <w:r w:rsidRPr="007844E2">
        <w:rPr>
          <w:rFonts w:ascii="Times New Roman" w:hAnsi="Times New Roman" w:cs="Times New Roman"/>
          <w:lang w:val="en-US"/>
        </w:rPr>
        <w:t xml:space="preserve"> amplification detect</w:t>
      </w:r>
      <w:r>
        <w:rPr>
          <w:rFonts w:ascii="Times New Roman" w:hAnsi="Times New Roman" w:cs="Times New Roman"/>
          <w:lang w:val="en-US"/>
        </w:rPr>
        <w:t>ion</w:t>
      </w:r>
      <w:r w:rsidRPr="007844E2">
        <w:rPr>
          <w:rFonts w:ascii="Times New Roman" w:hAnsi="Times New Roman" w:cs="Times New Roman"/>
          <w:lang w:val="en-US"/>
        </w:rPr>
        <w:t xml:space="preserve"> by the Quest qPCR assay as part of molecular screening for trial eligibility. (</w:t>
      </w:r>
      <w:r>
        <w:rPr>
          <w:rFonts w:ascii="Times New Roman" w:hAnsi="Times New Roman" w:cs="Times New Roman"/>
          <w:lang w:val="en-US"/>
        </w:rPr>
        <w:t>O</w:t>
      </w:r>
      <w:r w:rsidRPr="007844E2">
        <w:rPr>
          <w:rFonts w:ascii="Times New Roman" w:hAnsi="Times New Roman" w:cs="Times New Roman"/>
          <w:lang w:val="en-US"/>
        </w:rPr>
        <w:t xml:space="preserve">f note, the </w:t>
      </w:r>
      <w:proofErr w:type="spellStart"/>
      <w:r w:rsidRPr="007844E2">
        <w:rPr>
          <w:rFonts w:ascii="Times New Roman" w:hAnsi="Times New Roman" w:cs="Times New Roman"/>
          <w:lang w:val="en-US"/>
        </w:rPr>
        <w:t>FoundationOne</w:t>
      </w:r>
      <w:proofErr w:type="spellEnd"/>
      <w:r w:rsidRPr="007844E2">
        <w:rPr>
          <w:rFonts w:ascii="Times New Roman" w:hAnsi="Times New Roman" w:cs="Times New Roman"/>
          <w:lang w:val="en-US"/>
        </w:rPr>
        <w:t xml:space="preserve"> assay detected an </w:t>
      </w:r>
      <w:r w:rsidRPr="007844E2">
        <w:rPr>
          <w:rFonts w:ascii="Times New Roman" w:hAnsi="Times New Roman" w:cs="Times New Roman"/>
          <w:i/>
          <w:iCs/>
          <w:lang w:val="en-US"/>
        </w:rPr>
        <w:t>FGFR3-TACC3</w:t>
      </w:r>
      <w:r w:rsidRPr="007844E2">
        <w:rPr>
          <w:rFonts w:ascii="Times New Roman" w:hAnsi="Times New Roman" w:cs="Times New Roman"/>
          <w:lang w:val="en-US"/>
        </w:rPr>
        <w:t xml:space="preserve"> fusion, but no concomitant amplification, in one </w:t>
      </w:r>
      <w:r>
        <w:rPr>
          <w:rFonts w:ascii="Times New Roman" w:hAnsi="Times New Roman" w:cs="Times New Roman"/>
          <w:lang w:val="en-US"/>
        </w:rPr>
        <w:t xml:space="preserve">of these </w:t>
      </w:r>
      <w:r w:rsidRPr="007844E2">
        <w:rPr>
          <w:rFonts w:ascii="Times New Roman" w:hAnsi="Times New Roman" w:cs="Times New Roman"/>
          <w:lang w:val="en-US"/>
        </w:rPr>
        <w:t>case</w:t>
      </w:r>
      <w:r>
        <w:rPr>
          <w:rFonts w:ascii="Times New Roman" w:hAnsi="Times New Roman" w:cs="Times New Roman"/>
          <w:lang w:val="en-US"/>
        </w:rPr>
        <w:t>s</w:t>
      </w:r>
      <w:r w:rsidRPr="007844E2">
        <w:rPr>
          <w:rFonts w:ascii="Times New Roman" w:hAnsi="Times New Roman" w:cs="Times New Roman"/>
          <w:lang w:val="en-US"/>
        </w:rPr>
        <w:t xml:space="preserve"> </w:t>
      </w:r>
      <w:r>
        <w:rPr>
          <w:rFonts w:ascii="Times New Roman" w:hAnsi="Times New Roman" w:cs="Times New Roman"/>
          <w:lang w:val="en-US"/>
        </w:rPr>
        <w:t xml:space="preserve">(16) </w:t>
      </w:r>
      <w:r w:rsidRPr="007844E2">
        <w:rPr>
          <w:rFonts w:ascii="Times New Roman" w:hAnsi="Times New Roman" w:cs="Times New Roman"/>
          <w:lang w:val="en-US"/>
        </w:rPr>
        <w:t xml:space="preserve">that was identified by qPCR as </w:t>
      </w:r>
      <w:r w:rsidRPr="007844E2">
        <w:rPr>
          <w:rFonts w:ascii="Times New Roman" w:hAnsi="Times New Roman" w:cs="Times New Roman"/>
          <w:i/>
          <w:iCs/>
          <w:lang w:val="en-US"/>
        </w:rPr>
        <w:t>FGFR3</w:t>
      </w:r>
      <w:r w:rsidRPr="007844E2">
        <w:rPr>
          <w:rFonts w:ascii="Times New Roman" w:hAnsi="Times New Roman" w:cs="Times New Roman"/>
          <w:lang w:val="en-US"/>
        </w:rPr>
        <w:t>-amplified; thus, presence of fusion does not appear to depend on concomitant detection of amplification; see also Supplementary Fig. S2).</w:t>
      </w:r>
    </w:p>
    <w:p w14:paraId="1D8B2C72" w14:textId="77777777" w:rsidR="00EC619C" w:rsidRPr="007844E2" w:rsidRDefault="00EC619C" w:rsidP="00EC619C">
      <w:pPr>
        <w:spacing w:after="120" w:line="480" w:lineRule="auto"/>
        <w:rPr>
          <w:rFonts w:ascii="Times New Roman" w:hAnsi="Times New Roman" w:cs="Times New Roman"/>
          <w:lang w:val="en-US"/>
        </w:rPr>
      </w:pPr>
      <w:r w:rsidRPr="007844E2">
        <w:rPr>
          <w:rFonts w:ascii="Times New Roman" w:hAnsi="Times New Roman" w:cs="Times New Roman"/>
          <w:lang w:val="en-US"/>
        </w:rPr>
        <w:t xml:space="preserve">In the other 4 cases, assays performed at local academic institutions (University of Washington, Tulane University, Brigham and Women’s Hospital, and Utrecht University; </w:t>
      </w:r>
      <w:r w:rsidRPr="007844E2">
        <w:rPr>
          <w:rFonts w:ascii="Times New Roman" w:hAnsi="Times New Roman" w:cs="Times New Roman"/>
          <w:i/>
          <w:iCs/>
          <w:lang w:val="en-US"/>
        </w:rPr>
        <w:t>n</w:t>
      </w:r>
      <w:r w:rsidRPr="007844E2">
        <w:rPr>
          <w:rFonts w:ascii="Times New Roman" w:hAnsi="Times New Roman" w:cs="Times New Roman"/>
          <w:lang w:val="en-US"/>
        </w:rPr>
        <w:t xml:space="preserve"> = 1 each) were used for molecular screening and trial eligibility. In 2 </w:t>
      </w:r>
      <w:r>
        <w:rPr>
          <w:rFonts w:ascii="Times New Roman" w:hAnsi="Times New Roman" w:cs="Times New Roman"/>
          <w:lang w:val="en-US"/>
        </w:rPr>
        <w:t xml:space="preserve">(13 and 17) </w:t>
      </w:r>
      <w:r w:rsidRPr="007844E2">
        <w:rPr>
          <w:rFonts w:ascii="Times New Roman" w:hAnsi="Times New Roman" w:cs="Times New Roman"/>
          <w:lang w:val="en-US"/>
        </w:rPr>
        <w:t xml:space="preserve">of these 4, </w:t>
      </w:r>
      <w:r w:rsidRPr="007844E2">
        <w:rPr>
          <w:rFonts w:ascii="Times New Roman" w:hAnsi="Times New Roman" w:cs="Times New Roman"/>
          <w:i/>
          <w:iCs/>
          <w:lang w:val="en-US"/>
        </w:rPr>
        <w:t>FGFR3</w:t>
      </w:r>
      <w:r w:rsidRPr="007844E2">
        <w:rPr>
          <w:rFonts w:ascii="Times New Roman" w:hAnsi="Times New Roman" w:cs="Times New Roman"/>
          <w:lang w:val="en-US"/>
        </w:rPr>
        <w:t xml:space="preserve"> fusions were detected by both the local institution and NGS; in the other 2</w:t>
      </w:r>
      <w:r>
        <w:rPr>
          <w:rFonts w:ascii="Times New Roman" w:hAnsi="Times New Roman" w:cs="Times New Roman"/>
          <w:lang w:val="en-US"/>
        </w:rPr>
        <w:t xml:space="preserve"> (8 and 15)</w:t>
      </w:r>
      <w:r w:rsidRPr="007844E2">
        <w:rPr>
          <w:rFonts w:ascii="Times New Roman" w:hAnsi="Times New Roman" w:cs="Times New Roman"/>
          <w:lang w:val="en-US"/>
        </w:rPr>
        <w:t xml:space="preserve">, </w:t>
      </w:r>
      <w:r w:rsidRPr="007844E2">
        <w:rPr>
          <w:rFonts w:ascii="Times New Roman" w:hAnsi="Times New Roman" w:cs="Times New Roman"/>
          <w:i/>
          <w:iCs/>
          <w:lang w:val="en-US"/>
        </w:rPr>
        <w:t>FGFR3</w:t>
      </w:r>
      <w:r w:rsidRPr="007844E2">
        <w:rPr>
          <w:rFonts w:ascii="Times New Roman" w:hAnsi="Times New Roman" w:cs="Times New Roman"/>
          <w:lang w:val="en-US"/>
        </w:rPr>
        <w:t xml:space="preserve"> amplification and/or fusion was reported by the local institution but not identified by NGS.</w:t>
      </w:r>
    </w:p>
    <w:p w14:paraId="7F34CC14" w14:textId="77777777" w:rsidR="00EC619C" w:rsidRPr="007844E2" w:rsidRDefault="00EC619C" w:rsidP="00EC619C">
      <w:pPr>
        <w:pStyle w:val="ListParagraph"/>
        <w:spacing w:after="120" w:line="480" w:lineRule="auto"/>
        <w:ind w:left="0"/>
        <w:contextualSpacing w:val="0"/>
        <w:rPr>
          <w:rFonts w:ascii="Times New Roman" w:hAnsi="Times New Roman" w:cs="Times New Roman"/>
          <w:lang w:val="en-US"/>
        </w:rPr>
      </w:pPr>
      <w:r w:rsidRPr="007844E2">
        <w:rPr>
          <w:rFonts w:ascii="Times New Roman" w:hAnsi="Times New Roman" w:cs="Times New Roman"/>
          <w:lang w:val="en-US"/>
        </w:rPr>
        <w:t xml:space="preserve">Differences in assay methodology (qPCR vs RT-PCR vs NGS), discrepancies in the amplification threshold, tumor heterogeneity, and testing of different tissue samples (from different surgical dates or tumor foci) are factors that likely contribute to the observed discordance in </w:t>
      </w:r>
      <w:r w:rsidRPr="007844E2">
        <w:rPr>
          <w:rFonts w:ascii="Times New Roman" w:hAnsi="Times New Roman" w:cs="Times New Roman"/>
          <w:i/>
          <w:iCs/>
          <w:lang w:val="en-US"/>
        </w:rPr>
        <w:t>FGFR</w:t>
      </w:r>
      <w:r w:rsidRPr="007844E2">
        <w:rPr>
          <w:rFonts w:ascii="Times New Roman" w:hAnsi="Times New Roman" w:cs="Times New Roman"/>
          <w:lang w:val="en-US"/>
        </w:rPr>
        <w:t xml:space="preserve"> alterations among assays. </w:t>
      </w:r>
    </w:p>
    <w:p w14:paraId="27862416" w14:textId="77777777" w:rsidR="00EC619C" w:rsidRPr="007844E2" w:rsidRDefault="00EC619C" w:rsidP="00EC619C">
      <w:pPr>
        <w:pStyle w:val="ListParagraph"/>
        <w:spacing w:after="120" w:line="480" w:lineRule="auto"/>
        <w:ind w:left="0"/>
        <w:contextualSpacing w:val="0"/>
        <w:rPr>
          <w:rFonts w:ascii="Times New Roman" w:hAnsi="Times New Roman" w:cs="Times New Roman"/>
          <w:strike/>
          <w:lang w:val="en-US"/>
        </w:rPr>
      </w:pPr>
      <w:r w:rsidRPr="007844E2">
        <w:rPr>
          <w:rFonts w:ascii="Times New Roman" w:hAnsi="Times New Roman" w:cs="Times New Roman"/>
          <w:lang w:val="en-US"/>
        </w:rPr>
        <w:t xml:space="preserve">Perhaps most importantly, it is now clear the presence of </w:t>
      </w:r>
      <w:r w:rsidRPr="007844E2">
        <w:rPr>
          <w:rFonts w:ascii="Times New Roman" w:hAnsi="Times New Roman" w:cs="Times New Roman"/>
          <w:i/>
          <w:iCs/>
          <w:lang w:val="en-US"/>
        </w:rPr>
        <w:t>FGFR</w:t>
      </w:r>
      <w:r w:rsidRPr="007844E2">
        <w:rPr>
          <w:rFonts w:ascii="Times New Roman" w:hAnsi="Times New Roman" w:cs="Times New Roman"/>
          <w:lang w:val="en-US"/>
        </w:rPr>
        <w:t xml:space="preserve"> amplification alone neither predicts response to </w:t>
      </w:r>
      <w:proofErr w:type="spellStart"/>
      <w:r w:rsidRPr="007844E2">
        <w:rPr>
          <w:rFonts w:ascii="Times New Roman" w:hAnsi="Times New Roman" w:cs="Times New Roman"/>
          <w:lang w:val="en-US"/>
        </w:rPr>
        <w:t>infigratinib</w:t>
      </w:r>
      <w:proofErr w:type="spellEnd"/>
      <w:r w:rsidRPr="007844E2">
        <w:rPr>
          <w:rFonts w:ascii="Times New Roman" w:hAnsi="Times New Roman" w:cs="Times New Roman"/>
          <w:lang w:val="en-US"/>
        </w:rPr>
        <w:t xml:space="preserve">, nor is a good surrogate marker for tumors that are likely to harbor an </w:t>
      </w:r>
      <w:r w:rsidRPr="007844E2">
        <w:rPr>
          <w:rFonts w:ascii="Times New Roman" w:hAnsi="Times New Roman" w:cs="Times New Roman"/>
          <w:i/>
          <w:iCs/>
          <w:lang w:val="en-US"/>
        </w:rPr>
        <w:t>FGFR</w:t>
      </w:r>
      <w:r w:rsidRPr="007844E2">
        <w:rPr>
          <w:rFonts w:ascii="Times New Roman" w:hAnsi="Times New Roman" w:cs="Times New Roman"/>
          <w:lang w:val="en-US"/>
        </w:rPr>
        <w:t xml:space="preserve"> fusion gene. Therefore, use of local (or commercial) assays capable of detecting only gene amplification and not fusion/rearrangements (or activating point mutations, see Supplementary Fig. S2, S9 and S10) is not a recommended screening strategy for biomarkers predictive of response to </w:t>
      </w:r>
      <w:proofErr w:type="spellStart"/>
      <w:r w:rsidRPr="007844E2">
        <w:rPr>
          <w:rFonts w:ascii="Times New Roman" w:hAnsi="Times New Roman" w:cs="Times New Roman"/>
          <w:lang w:val="en-US"/>
        </w:rPr>
        <w:t>infigratinib</w:t>
      </w:r>
      <w:proofErr w:type="spellEnd"/>
      <w:r w:rsidRPr="007844E2">
        <w:rPr>
          <w:rFonts w:ascii="Times New Roman" w:hAnsi="Times New Roman" w:cs="Times New Roman"/>
          <w:lang w:val="en-US"/>
        </w:rPr>
        <w:t xml:space="preserve">, both because of discordance in identifying amplification among assays but more so because a test for amplification alone is not an effective screening method for capturing of cases of fusion or point mutation, and because amplification alone does not enrich for response to </w:t>
      </w:r>
      <w:proofErr w:type="spellStart"/>
      <w:r w:rsidRPr="007844E2">
        <w:rPr>
          <w:rFonts w:ascii="Times New Roman" w:hAnsi="Times New Roman" w:cs="Times New Roman"/>
          <w:lang w:val="en-US"/>
        </w:rPr>
        <w:t>infigratinib</w:t>
      </w:r>
      <w:proofErr w:type="spellEnd"/>
      <w:r w:rsidRPr="007844E2">
        <w:rPr>
          <w:rFonts w:ascii="Times New Roman" w:hAnsi="Times New Roman" w:cs="Times New Roman"/>
          <w:lang w:val="en-US"/>
        </w:rPr>
        <w:t xml:space="preserve">. </w:t>
      </w:r>
    </w:p>
    <w:p w14:paraId="60232D8B" w14:textId="77777777" w:rsidR="00EC619C" w:rsidRPr="007844E2" w:rsidRDefault="00EC619C" w:rsidP="00EC619C">
      <w:pPr>
        <w:spacing w:line="480" w:lineRule="auto"/>
        <w:rPr>
          <w:rFonts w:ascii="Times New Roman" w:hAnsi="Times New Roman" w:cs="Times New Roman"/>
          <w:lang w:val="en-US"/>
        </w:rPr>
      </w:pPr>
    </w:p>
    <w:p w14:paraId="40970743" w14:textId="77777777" w:rsidR="00EC619C" w:rsidRPr="005C0859" w:rsidRDefault="00EC619C" w:rsidP="00EC619C">
      <w:pPr>
        <w:spacing w:line="480" w:lineRule="auto"/>
        <w:rPr>
          <w:rFonts w:ascii="Times New Roman" w:hAnsi="Times New Roman" w:cs="Times New Roman"/>
          <w:lang w:val="en-US"/>
        </w:rPr>
      </w:pPr>
      <w:r w:rsidRPr="007844E2">
        <w:rPr>
          <w:rFonts w:ascii="Times New Roman" w:hAnsi="Times New Roman" w:cs="Times New Roman"/>
          <w:color w:val="000000"/>
          <w:lang w:val="en-US"/>
        </w:rPr>
        <w:lastRenderedPageBreak/>
        <w:t>1.</w:t>
      </w:r>
      <w:r w:rsidRPr="007844E2">
        <w:rPr>
          <w:rFonts w:ascii="Times New Roman" w:hAnsi="Times New Roman" w:cs="Times New Roman"/>
          <w:color w:val="000000"/>
          <w:lang w:val="en-US"/>
        </w:rPr>
        <w:tab/>
      </w:r>
      <w:proofErr w:type="spellStart"/>
      <w:r w:rsidRPr="007844E2">
        <w:rPr>
          <w:rFonts w:ascii="Times New Roman" w:hAnsi="Times New Roman" w:cs="Times New Roman"/>
          <w:color w:val="000000"/>
          <w:lang w:val="en-US"/>
        </w:rPr>
        <w:t>Nogova</w:t>
      </w:r>
      <w:proofErr w:type="spellEnd"/>
      <w:r w:rsidRPr="007844E2">
        <w:rPr>
          <w:rFonts w:ascii="Times New Roman" w:hAnsi="Times New Roman" w:cs="Times New Roman"/>
          <w:color w:val="000000"/>
          <w:lang w:val="en-US"/>
        </w:rPr>
        <w:t xml:space="preserve"> L, </w:t>
      </w:r>
      <w:proofErr w:type="spellStart"/>
      <w:r w:rsidRPr="007844E2">
        <w:rPr>
          <w:rFonts w:ascii="Times New Roman" w:hAnsi="Times New Roman" w:cs="Times New Roman"/>
          <w:color w:val="000000"/>
          <w:lang w:val="en-US"/>
        </w:rPr>
        <w:t>Sequist</w:t>
      </w:r>
      <w:proofErr w:type="spellEnd"/>
      <w:r w:rsidRPr="007844E2">
        <w:rPr>
          <w:rFonts w:ascii="Times New Roman" w:hAnsi="Times New Roman" w:cs="Times New Roman"/>
          <w:color w:val="000000"/>
          <w:lang w:val="en-US"/>
        </w:rPr>
        <w:t xml:space="preserve"> LV, Perez Garcia JM, et al. Evaluation of BGJ398, a fibroblast growth factor receptor 1-3 kinase inhibitor, in patients with advanced solid tumors harboring genetic alterations in fibroblast growth factor receptors</w:t>
      </w:r>
      <w:r w:rsidRPr="005C0859">
        <w:rPr>
          <w:rFonts w:ascii="Times New Roman" w:hAnsi="Times New Roman" w:cs="Times New Roman"/>
          <w:color w:val="000000"/>
          <w:lang w:val="en-US"/>
        </w:rPr>
        <w:t>: results of a global phase I, dose-escalation and dose-expansion study. J Clin Oncol 2017;</w:t>
      </w:r>
      <w:r w:rsidRPr="005C0859">
        <w:rPr>
          <w:rFonts w:ascii="Times New Roman" w:hAnsi="Times New Roman" w:cs="Times New Roman"/>
          <w:b/>
          <w:bCs/>
          <w:color w:val="000000"/>
          <w:lang w:val="en-US"/>
        </w:rPr>
        <w:t>35</w:t>
      </w:r>
      <w:r w:rsidRPr="005C0859">
        <w:rPr>
          <w:rFonts w:ascii="Times New Roman" w:hAnsi="Times New Roman" w:cs="Times New Roman"/>
          <w:color w:val="000000"/>
          <w:lang w:val="en-US"/>
        </w:rPr>
        <w:t>(2):157-65.</w:t>
      </w:r>
    </w:p>
    <w:p w14:paraId="7CFE600A" w14:textId="77777777" w:rsidR="00EC619C" w:rsidRPr="000024AE" w:rsidRDefault="00EC619C" w:rsidP="00EC619C">
      <w:pPr>
        <w:rPr>
          <w:rFonts w:ascii="Times New Roman" w:hAnsi="Times New Roman" w:cs="Times New Roman"/>
          <w:b/>
          <w:lang w:val="en-US"/>
        </w:rPr>
      </w:pPr>
      <w:r w:rsidRPr="000024AE">
        <w:rPr>
          <w:rFonts w:ascii="Times New Roman" w:hAnsi="Times New Roman" w:cs="Times New Roman"/>
          <w:b/>
          <w:lang w:val="en-US"/>
        </w:rPr>
        <w:br w:type="page"/>
      </w:r>
    </w:p>
    <w:p w14:paraId="45B76382" w14:textId="77777777" w:rsidR="00EC619C" w:rsidRPr="000024AE" w:rsidRDefault="00EC619C" w:rsidP="00EC619C">
      <w:pPr>
        <w:spacing w:after="120" w:line="360" w:lineRule="auto"/>
        <w:rPr>
          <w:rFonts w:ascii="Times New Roman" w:hAnsi="Times New Roman" w:cs="Times New Roman"/>
          <w:bCs/>
          <w:color w:val="000000"/>
          <w:lang w:val="en-US"/>
        </w:rPr>
      </w:pPr>
      <w:r w:rsidRPr="000024AE">
        <w:rPr>
          <w:rFonts w:ascii="Times New Roman" w:hAnsi="Times New Roman" w:cs="Times New Roman"/>
          <w:b/>
          <w:lang w:val="en-US"/>
        </w:rPr>
        <w:lastRenderedPageBreak/>
        <w:t xml:space="preserve">Table S4. </w:t>
      </w:r>
      <w:r w:rsidRPr="000024AE">
        <w:rPr>
          <w:rFonts w:ascii="Times New Roman" w:hAnsi="Times New Roman" w:cs="Times New Roman"/>
          <w:lang w:val="en-US"/>
        </w:rPr>
        <w:t xml:space="preserve">Overview of treatment-emergent adverse events (TEAE) </w:t>
      </w:r>
      <w:r w:rsidRPr="000024AE">
        <w:rPr>
          <w:rFonts w:ascii="Times New Roman" w:hAnsi="Times New Roman" w:cs="Times New Roman"/>
          <w:bCs/>
          <w:color w:val="000000"/>
          <w:lang w:val="en-US"/>
        </w:rPr>
        <w:t xml:space="preserve">[Safety set] </w:t>
      </w:r>
    </w:p>
    <w:tbl>
      <w:tblPr>
        <w:tblW w:w="0" w:type="auto"/>
        <w:jc w:val="center"/>
        <w:tblLayout w:type="fixed"/>
        <w:tblCellMar>
          <w:left w:w="0" w:type="dxa"/>
          <w:right w:w="0" w:type="dxa"/>
        </w:tblCellMar>
        <w:tblLook w:val="0000" w:firstRow="0" w:lastRow="0" w:firstColumn="0" w:lastColumn="0" w:noHBand="0" w:noVBand="0"/>
      </w:tblPr>
      <w:tblGrid>
        <w:gridCol w:w="6238"/>
        <w:gridCol w:w="2693"/>
      </w:tblGrid>
      <w:tr w:rsidR="00EC619C" w:rsidRPr="000024AE" w14:paraId="1C9EA4B8" w14:textId="77777777" w:rsidTr="00674B61">
        <w:trPr>
          <w:cantSplit/>
          <w:tblHeader/>
          <w:jc w:val="center"/>
        </w:trPr>
        <w:tc>
          <w:tcPr>
            <w:tcW w:w="6238" w:type="dxa"/>
            <w:tcBorders>
              <w:top w:val="single" w:sz="6" w:space="0" w:color="000000" w:themeColor="text1"/>
              <w:left w:val="nil"/>
              <w:bottom w:val="single" w:sz="4" w:space="0" w:color="auto"/>
              <w:right w:val="nil"/>
            </w:tcBorders>
            <w:shd w:val="clear" w:color="auto" w:fill="FFFFFF" w:themeFill="background1"/>
            <w:tcMar>
              <w:left w:w="60" w:type="dxa"/>
              <w:right w:w="60" w:type="dxa"/>
            </w:tcMar>
            <w:vAlign w:val="bottom"/>
          </w:tcPr>
          <w:p w14:paraId="27714014" w14:textId="77777777" w:rsidR="00EC619C" w:rsidRPr="000024AE" w:rsidRDefault="00EC619C" w:rsidP="00674B61">
            <w:pPr>
              <w:adjustRightInd w:val="0"/>
              <w:spacing w:before="60" w:after="60"/>
              <w:rPr>
                <w:rFonts w:ascii="Times New Roman" w:hAnsi="Times New Roman" w:cs="Times New Roman"/>
                <w:b/>
                <w:bCs/>
                <w:color w:val="000000"/>
                <w:sz w:val="20"/>
                <w:szCs w:val="20"/>
                <w:lang w:val="en-US"/>
              </w:rPr>
            </w:pPr>
            <w:r w:rsidRPr="000024AE">
              <w:rPr>
                <w:rFonts w:ascii="Times New Roman" w:hAnsi="Times New Roman" w:cs="Times New Roman"/>
                <w:b/>
                <w:bCs/>
                <w:color w:val="000000"/>
                <w:sz w:val="20"/>
                <w:szCs w:val="20"/>
                <w:lang w:val="en-US"/>
              </w:rPr>
              <w:t>Parameter, n (%)</w:t>
            </w:r>
          </w:p>
        </w:tc>
        <w:tc>
          <w:tcPr>
            <w:tcW w:w="2693" w:type="dxa"/>
            <w:tcBorders>
              <w:top w:val="single" w:sz="6" w:space="0" w:color="000000" w:themeColor="text1"/>
              <w:left w:val="nil"/>
              <w:bottom w:val="single" w:sz="4" w:space="0" w:color="auto"/>
              <w:right w:val="nil"/>
            </w:tcBorders>
            <w:shd w:val="clear" w:color="auto" w:fill="FFFFFF" w:themeFill="background1"/>
            <w:tcMar>
              <w:left w:w="60" w:type="dxa"/>
              <w:right w:w="60" w:type="dxa"/>
            </w:tcMar>
            <w:vAlign w:val="bottom"/>
          </w:tcPr>
          <w:p w14:paraId="3EB40E8A" w14:textId="77777777" w:rsidR="00EC619C" w:rsidRPr="000024AE" w:rsidRDefault="00EC619C" w:rsidP="00674B61">
            <w:pPr>
              <w:adjustRightInd w:val="0"/>
              <w:spacing w:before="60" w:after="60"/>
              <w:jc w:val="center"/>
              <w:rPr>
                <w:rFonts w:ascii="Times New Roman" w:hAnsi="Times New Roman" w:cs="Times New Roman"/>
                <w:b/>
                <w:bCs/>
                <w:color w:val="000000"/>
                <w:sz w:val="20"/>
                <w:szCs w:val="20"/>
                <w:lang w:val="en-US"/>
              </w:rPr>
            </w:pPr>
            <w:proofErr w:type="spellStart"/>
            <w:r w:rsidRPr="000024AE">
              <w:rPr>
                <w:rFonts w:ascii="Times New Roman" w:hAnsi="Times New Roman" w:cs="Times New Roman"/>
                <w:b/>
                <w:bCs/>
                <w:color w:val="000000"/>
                <w:sz w:val="20"/>
                <w:szCs w:val="20"/>
                <w:lang w:val="en-US"/>
              </w:rPr>
              <w:t>Infigratinib</w:t>
            </w:r>
            <w:proofErr w:type="spellEnd"/>
            <w:r w:rsidRPr="000024AE">
              <w:rPr>
                <w:rFonts w:ascii="Times New Roman" w:hAnsi="Times New Roman" w:cs="Times New Roman"/>
                <w:b/>
                <w:bCs/>
                <w:color w:val="000000"/>
                <w:sz w:val="20"/>
                <w:szCs w:val="20"/>
                <w:lang w:val="en-US"/>
              </w:rPr>
              <w:t xml:space="preserve"> (N=26)</w:t>
            </w:r>
          </w:p>
        </w:tc>
      </w:tr>
      <w:tr w:rsidR="00EC619C" w:rsidRPr="000024AE" w14:paraId="59C00BB6" w14:textId="77777777" w:rsidTr="00674B61">
        <w:trPr>
          <w:cantSplit/>
          <w:jc w:val="center"/>
        </w:trPr>
        <w:tc>
          <w:tcPr>
            <w:tcW w:w="6238" w:type="dxa"/>
            <w:tcBorders>
              <w:top w:val="single" w:sz="4" w:space="0" w:color="auto"/>
              <w:left w:val="nil"/>
              <w:bottom w:val="nil"/>
              <w:right w:val="nil"/>
            </w:tcBorders>
            <w:shd w:val="clear" w:color="auto" w:fill="FFFFFF" w:themeFill="background1"/>
            <w:tcMar>
              <w:left w:w="60" w:type="dxa"/>
              <w:right w:w="60" w:type="dxa"/>
            </w:tcMar>
          </w:tcPr>
          <w:p w14:paraId="0D21DF7E" w14:textId="77777777" w:rsidR="00EC619C" w:rsidRPr="000024AE" w:rsidRDefault="00EC619C" w:rsidP="00674B61">
            <w:pPr>
              <w:adjustRightInd w:val="0"/>
              <w:spacing w:before="60" w:after="60"/>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Any TEAE</w:t>
            </w:r>
          </w:p>
        </w:tc>
        <w:tc>
          <w:tcPr>
            <w:tcW w:w="2693" w:type="dxa"/>
            <w:tcBorders>
              <w:top w:val="nil"/>
              <w:left w:val="nil"/>
              <w:bottom w:val="nil"/>
              <w:right w:val="nil"/>
            </w:tcBorders>
            <w:shd w:val="clear" w:color="auto" w:fill="FFFFFF" w:themeFill="background1"/>
            <w:tcMar>
              <w:left w:w="60" w:type="dxa"/>
              <w:right w:w="60" w:type="dxa"/>
            </w:tcMar>
          </w:tcPr>
          <w:p w14:paraId="6787A489" w14:textId="77777777" w:rsidR="00EC619C" w:rsidRPr="000024AE" w:rsidRDefault="00EC619C" w:rsidP="00674B61">
            <w:pPr>
              <w:adjustRightInd w:val="0"/>
              <w:spacing w:before="60" w:after="60"/>
              <w:jc w:val="center"/>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26 (100)</w:t>
            </w:r>
          </w:p>
        </w:tc>
      </w:tr>
      <w:tr w:rsidR="00EC619C" w:rsidRPr="000024AE" w14:paraId="1B535377" w14:textId="77777777" w:rsidTr="00674B61">
        <w:trPr>
          <w:cantSplit/>
          <w:jc w:val="center"/>
        </w:trPr>
        <w:tc>
          <w:tcPr>
            <w:tcW w:w="6238" w:type="dxa"/>
            <w:tcBorders>
              <w:top w:val="nil"/>
              <w:left w:val="nil"/>
              <w:bottom w:val="nil"/>
              <w:right w:val="nil"/>
            </w:tcBorders>
            <w:shd w:val="clear" w:color="auto" w:fill="FFFFFF" w:themeFill="background1"/>
            <w:tcMar>
              <w:left w:w="60" w:type="dxa"/>
              <w:right w:w="60" w:type="dxa"/>
            </w:tcMar>
          </w:tcPr>
          <w:p w14:paraId="378E2D32" w14:textId="77777777" w:rsidR="00EC619C" w:rsidRPr="000024AE" w:rsidRDefault="00EC619C" w:rsidP="00674B61">
            <w:pPr>
              <w:adjustRightInd w:val="0"/>
              <w:spacing w:before="60" w:after="60"/>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Grade 3 or 4 TEAE</w:t>
            </w:r>
          </w:p>
        </w:tc>
        <w:tc>
          <w:tcPr>
            <w:tcW w:w="2693" w:type="dxa"/>
            <w:tcBorders>
              <w:top w:val="nil"/>
              <w:left w:val="nil"/>
              <w:bottom w:val="nil"/>
              <w:right w:val="nil"/>
            </w:tcBorders>
            <w:shd w:val="clear" w:color="auto" w:fill="FFFFFF" w:themeFill="background1"/>
            <w:tcMar>
              <w:left w:w="60" w:type="dxa"/>
              <w:right w:w="60" w:type="dxa"/>
            </w:tcMar>
          </w:tcPr>
          <w:p w14:paraId="6468961A" w14:textId="77777777" w:rsidR="00EC619C" w:rsidRPr="000024AE" w:rsidRDefault="00EC619C" w:rsidP="00674B61">
            <w:pPr>
              <w:adjustRightInd w:val="0"/>
              <w:spacing w:before="60" w:after="60"/>
              <w:jc w:val="center"/>
              <w:rPr>
                <w:rFonts w:ascii="Times New Roman" w:hAnsi="Times New Roman" w:cs="Times New Roman"/>
                <w:color w:val="000000"/>
                <w:sz w:val="20"/>
                <w:szCs w:val="20"/>
                <w:vertAlign w:val="superscript"/>
                <w:lang w:val="en-US"/>
              </w:rPr>
            </w:pPr>
            <w:r w:rsidRPr="000024AE">
              <w:rPr>
                <w:rFonts w:ascii="Times New Roman" w:hAnsi="Times New Roman" w:cs="Times New Roman"/>
                <w:color w:val="000000" w:themeColor="text1"/>
                <w:sz w:val="20"/>
                <w:szCs w:val="20"/>
                <w:lang w:val="en-US"/>
              </w:rPr>
              <w:t>14 (</w:t>
            </w:r>
            <w:proofErr w:type="gramStart"/>
            <w:r w:rsidRPr="000024AE">
              <w:rPr>
                <w:rFonts w:ascii="Times New Roman" w:hAnsi="Times New Roman" w:cs="Times New Roman"/>
                <w:color w:val="000000" w:themeColor="text1"/>
                <w:sz w:val="20"/>
                <w:szCs w:val="20"/>
                <w:lang w:val="en-US"/>
              </w:rPr>
              <w:t>53.8)</w:t>
            </w:r>
            <w:r w:rsidRPr="000024AE">
              <w:rPr>
                <w:rFonts w:ascii="Times New Roman" w:hAnsi="Times New Roman" w:cs="Times New Roman"/>
                <w:color w:val="000000" w:themeColor="text1"/>
                <w:sz w:val="20"/>
                <w:szCs w:val="20"/>
                <w:vertAlign w:val="superscript"/>
                <w:lang w:val="en-US"/>
              </w:rPr>
              <w:t>a</w:t>
            </w:r>
            <w:proofErr w:type="gramEnd"/>
          </w:p>
        </w:tc>
      </w:tr>
      <w:tr w:rsidR="00EC619C" w:rsidRPr="000024AE" w14:paraId="2616320C" w14:textId="77777777" w:rsidTr="00674B61">
        <w:trPr>
          <w:cantSplit/>
          <w:jc w:val="center"/>
        </w:trPr>
        <w:tc>
          <w:tcPr>
            <w:tcW w:w="6238" w:type="dxa"/>
            <w:tcBorders>
              <w:top w:val="nil"/>
              <w:left w:val="nil"/>
              <w:bottom w:val="nil"/>
              <w:right w:val="nil"/>
            </w:tcBorders>
            <w:shd w:val="clear" w:color="auto" w:fill="FFFFFF" w:themeFill="background1"/>
            <w:tcMar>
              <w:left w:w="60" w:type="dxa"/>
              <w:right w:w="60" w:type="dxa"/>
            </w:tcMar>
          </w:tcPr>
          <w:p w14:paraId="66B5C4E9" w14:textId="77777777" w:rsidR="00EC619C" w:rsidRPr="000024AE" w:rsidRDefault="00EC619C" w:rsidP="00674B61">
            <w:pPr>
              <w:adjustRightInd w:val="0"/>
              <w:spacing w:before="60" w:after="60"/>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Serious TEAE</w:t>
            </w:r>
          </w:p>
        </w:tc>
        <w:tc>
          <w:tcPr>
            <w:tcW w:w="2693" w:type="dxa"/>
            <w:tcBorders>
              <w:top w:val="nil"/>
              <w:left w:val="nil"/>
              <w:bottom w:val="nil"/>
              <w:right w:val="nil"/>
            </w:tcBorders>
            <w:shd w:val="clear" w:color="auto" w:fill="FFFFFF" w:themeFill="background1"/>
            <w:tcMar>
              <w:left w:w="60" w:type="dxa"/>
              <w:right w:w="60" w:type="dxa"/>
            </w:tcMar>
          </w:tcPr>
          <w:p w14:paraId="664FFFD3" w14:textId="77777777" w:rsidR="00EC619C" w:rsidRPr="000024AE" w:rsidRDefault="00EC619C" w:rsidP="00674B61">
            <w:pPr>
              <w:adjustRightInd w:val="0"/>
              <w:spacing w:before="60" w:after="60"/>
              <w:jc w:val="center"/>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9 (34.6)</w:t>
            </w:r>
          </w:p>
        </w:tc>
      </w:tr>
      <w:tr w:rsidR="00EC619C" w:rsidRPr="000024AE" w14:paraId="4BAA8218" w14:textId="77777777" w:rsidTr="00674B61">
        <w:trPr>
          <w:cantSplit/>
          <w:jc w:val="center"/>
        </w:trPr>
        <w:tc>
          <w:tcPr>
            <w:tcW w:w="6238" w:type="dxa"/>
            <w:tcBorders>
              <w:top w:val="nil"/>
              <w:left w:val="nil"/>
              <w:bottom w:val="nil"/>
              <w:right w:val="nil"/>
            </w:tcBorders>
            <w:shd w:val="clear" w:color="auto" w:fill="FFFFFF" w:themeFill="background1"/>
            <w:tcMar>
              <w:left w:w="60" w:type="dxa"/>
              <w:right w:w="60" w:type="dxa"/>
            </w:tcMar>
          </w:tcPr>
          <w:p w14:paraId="3C8ABB85" w14:textId="77777777" w:rsidR="00EC619C" w:rsidRPr="000024AE" w:rsidRDefault="00EC619C" w:rsidP="00674B61">
            <w:pPr>
              <w:adjustRightInd w:val="0"/>
              <w:spacing w:before="60" w:after="60"/>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Treatment-related TEAE</w:t>
            </w:r>
          </w:p>
        </w:tc>
        <w:tc>
          <w:tcPr>
            <w:tcW w:w="2693" w:type="dxa"/>
            <w:tcBorders>
              <w:top w:val="nil"/>
              <w:left w:val="nil"/>
              <w:bottom w:val="nil"/>
              <w:right w:val="nil"/>
            </w:tcBorders>
            <w:shd w:val="clear" w:color="auto" w:fill="FFFFFF" w:themeFill="background1"/>
            <w:tcMar>
              <w:left w:w="60" w:type="dxa"/>
              <w:right w:w="60" w:type="dxa"/>
            </w:tcMar>
          </w:tcPr>
          <w:p w14:paraId="3148A9E5" w14:textId="77777777" w:rsidR="00EC619C" w:rsidRPr="000024AE" w:rsidRDefault="00EC619C" w:rsidP="00674B61">
            <w:pPr>
              <w:adjustRightInd w:val="0"/>
              <w:spacing w:before="60" w:after="60"/>
              <w:jc w:val="center"/>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22 (84.6)</w:t>
            </w:r>
          </w:p>
        </w:tc>
      </w:tr>
      <w:tr w:rsidR="00EC619C" w:rsidRPr="000024AE" w14:paraId="422E060B" w14:textId="77777777" w:rsidTr="00674B61">
        <w:trPr>
          <w:cantSplit/>
          <w:jc w:val="center"/>
        </w:trPr>
        <w:tc>
          <w:tcPr>
            <w:tcW w:w="6238" w:type="dxa"/>
            <w:tcBorders>
              <w:top w:val="nil"/>
              <w:left w:val="nil"/>
              <w:bottom w:val="nil"/>
              <w:right w:val="nil"/>
            </w:tcBorders>
            <w:shd w:val="clear" w:color="auto" w:fill="FFFFFF" w:themeFill="background1"/>
            <w:tcMar>
              <w:left w:w="60" w:type="dxa"/>
              <w:right w:w="60" w:type="dxa"/>
            </w:tcMar>
          </w:tcPr>
          <w:p w14:paraId="674DACA1" w14:textId="77777777" w:rsidR="00EC619C" w:rsidRPr="000024AE" w:rsidRDefault="00EC619C" w:rsidP="00674B61">
            <w:pPr>
              <w:adjustRightInd w:val="0"/>
              <w:spacing w:before="60" w:after="60"/>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 xml:space="preserve">Serious </w:t>
            </w:r>
            <w:proofErr w:type="gramStart"/>
            <w:r w:rsidRPr="000024AE">
              <w:rPr>
                <w:rFonts w:ascii="Times New Roman" w:hAnsi="Times New Roman" w:cs="Times New Roman"/>
                <w:color w:val="000000"/>
                <w:sz w:val="20"/>
                <w:szCs w:val="20"/>
                <w:lang w:val="en-US"/>
              </w:rPr>
              <w:t>treatment-related</w:t>
            </w:r>
            <w:proofErr w:type="gramEnd"/>
            <w:r w:rsidRPr="000024AE">
              <w:rPr>
                <w:rFonts w:ascii="Times New Roman" w:hAnsi="Times New Roman" w:cs="Times New Roman"/>
                <w:color w:val="000000"/>
                <w:sz w:val="20"/>
                <w:szCs w:val="20"/>
                <w:lang w:val="en-US"/>
              </w:rPr>
              <w:t xml:space="preserve"> TEAE</w:t>
            </w:r>
          </w:p>
        </w:tc>
        <w:tc>
          <w:tcPr>
            <w:tcW w:w="2693" w:type="dxa"/>
            <w:tcBorders>
              <w:top w:val="nil"/>
              <w:left w:val="nil"/>
              <w:bottom w:val="nil"/>
              <w:right w:val="nil"/>
            </w:tcBorders>
            <w:shd w:val="clear" w:color="auto" w:fill="FFFFFF" w:themeFill="background1"/>
            <w:tcMar>
              <w:left w:w="60" w:type="dxa"/>
              <w:right w:w="60" w:type="dxa"/>
            </w:tcMar>
          </w:tcPr>
          <w:p w14:paraId="29E49B7E" w14:textId="77777777" w:rsidR="00EC619C" w:rsidRPr="000024AE" w:rsidRDefault="00EC619C" w:rsidP="00674B61">
            <w:pPr>
              <w:adjustRightInd w:val="0"/>
              <w:spacing w:before="60" w:after="60"/>
              <w:jc w:val="center"/>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1 (3.8)</w:t>
            </w:r>
          </w:p>
        </w:tc>
      </w:tr>
      <w:tr w:rsidR="00EC619C" w:rsidRPr="000024AE" w14:paraId="6B95FC4C" w14:textId="77777777" w:rsidTr="00674B61">
        <w:trPr>
          <w:cantSplit/>
          <w:jc w:val="center"/>
        </w:trPr>
        <w:tc>
          <w:tcPr>
            <w:tcW w:w="6238" w:type="dxa"/>
            <w:tcBorders>
              <w:top w:val="nil"/>
              <w:left w:val="nil"/>
              <w:bottom w:val="nil"/>
              <w:right w:val="nil"/>
            </w:tcBorders>
            <w:shd w:val="clear" w:color="auto" w:fill="FFFFFF" w:themeFill="background1"/>
            <w:tcMar>
              <w:left w:w="60" w:type="dxa"/>
              <w:right w:w="60" w:type="dxa"/>
            </w:tcMar>
          </w:tcPr>
          <w:p w14:paraId="7AAAA298" w14:textId="77777777" w:rsidR="00EC619C" w:rsidRPr="000024AE" w:rsidRDefault="00EC619C" w:rsidP="00674B61">
            <w:pPr>
              <w:adjustRightInd w:val="0"/>
              <w:spacing w:before="60" w:after="60"/>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TEAE leading to treatment discontinuation</w:t>
            </w:r>
          </w:p>
        </w:tc>
        <w:tc>
          <w:tcPr>
            <w:tcW w:w="2693" w:type="dxa"/>
            <w:tcBorders>
              <w:top w:val="nil"/>
              <w:left w:val="nil"/>
              <w:bottom w:val="nil"/>
              <w:right w:val="nil"/>
            </w:tcBorders>
            <w:shd w:val="clear" w:color="auto" w:fill="FFFFFF" w:themeFill="background1"/>
            <w:tcMar>
              <w:left w:w="60" w:type="dxa"/>
              <w:right w:w="60" w:type="dxa"/>
            </w:tcMar>
          </w:tcPr>
          <w:p w14:paraId="7F2C8FCF" w14:textId="77777777" w:rsidR="00EC619C" w:rsidRPr="000024AE" w:rsidRDefault="00EC619C" w:rsidP="00674B61">
            <w:pPr>
              <w:adjustRightInd w:val="0"/>
              <w:spacing w:before="60" w:after="60"/>
              <w:jc w:val="center"/>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1 (3.8)</w:t>
            </w:r>
          </w:p>
        </w:tc>
      </w:tr>
      <w:tr w:rsidR="00EC619C" w:rsidRPr="000024AE" w14:paraId="44DA21FE" w14:textId="77777777" w:rsidTr="00674B61">
        <w:trPr>
          <w:cantSplit/>
          <w:jc w:val="center"/>
        </w:trPr>
        <w:tc>
          <w:tcPr>
            <w:tcW w:w="6238" w:type="dxa"/>
            <w:tcBorders>
              <w:top w:val="nil"/>
              <w:left w:val="nil"/>
              <w:right w:val="nil"/>
            </w:tcBorders>
            <w:shd w:val="clear" w:color="auto" w:fill="FFFFFF" w:themeFill="background1"/>
            <w:tcMar>
              <w:left w:w="60" w:type="dxa"/>
              <w:right w:w="60" w:type="dxa"/>
            </w:tcMar>
          </w:tcPr>
          <w:p w14:paraId="73FCD270" w14:textId="77777777" w:rsidR="00EC619C" w:rsidRPr="000024AE" w:rsidRDefault="00EC619C" w:rsidP="00674B61">
            <w:pPr>
              <w:adjustRightInd w:val="0"/>
              <w:spacing w:before="60" w:after="60"/>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TEAE leading to dose interruption/dose adjustment</w:t>
            </w:r>
          </w:p>
        </w:tc>
        <w:tc>
          <w:tcPr>
            <w:tcW w:w="2693" w:type="dxa"/>
            <w:tcBorders>
              <w:top w:val="nil"/>
              <w:left w:val="nil"/>
              <w:right w:val="nil"/>
            </w:tcBorders>
            <w:shd w:val="clear" w:color="auto" w:fill="FFFFFF" w:themeFill="background1"/>
            <w:tcMar>
              <w:left w:w="60" w:type="dxa"/>
              <w:right w:w="60" w:type="dxa"/>
            </w:tcMar>
          </w:tcPr>
          <w:p w14:paraId="45220301" w14:textId="77777777" w:rsidR="00EC619C" w:rsidRPr="000024AE" w:rsidRDefault="00EC619C" w:rsidP="00674B61">
            <w:pPr>
              <w:adjustRightInd w:val="0"/>
              <w:spacing w:before="60" w:after="60"/>
              <w:jc w:val="center"/>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14 (53.8)</w:t>
            </w:r>
          </w:p>
        </w:tc>
      </w:tr>
      <w:tr w:rsidR="00EC619C" w:rsidRPr="000024AE" w14:paraId="7B596CE3" w14:textId="77777777" w:rsidTr="00674B61">
        <w:trPr>
          <w:cantSplit/>
          <w:jc w:val="center"/>
        </w:trPr>
        <w:tc>
          <w:tcPr>
            <w:tcW w:w="6238" w:type="dxa"/>
            <w:tcBorders>
              <w:top w:val="nil"/>
              <w:left w:val="nil"/>
              <w:bottom w:val="single" w:sz="4" w:space="0" w:color="auto"/>
              <w:right w:val="nil"/>
            </w:tcBorders>
            <w:shd w:val="clear" w:color="auto" w:fill="FFFFFF" w:themeFill="background1"/>
            <w:tcMar>
              <w:left w:w="60" w:type="dxa"/>
              <w:right w:w="60" w:type="dxa"/>
            </w:tcMar>
          </w:tcPr>
          <w:p w14:paraId="7F56E4F0" w14:textId="77777777" w:rsidR="00EC619C" w:rsidRPr="000024AE" w:rsidRDefault="00EC619C" w:rsidP="00674B61">
            <w:pPr>
              <w:adjustRightInd w:val="0"/>
              <w:spacing w:before="60" w:after="60"/>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TEAE leading to concomitant medications or other therapy</w:t>
            </w:r>
          </w:p>
        </w:tc>
        <w:tc>
          <w:tcPr>
            <w:tcW w:w="2693" w:type="dxa"/>
            <w:tcBorders>
              <w:top w:val="nil"/>
              <w:left w:val="nil"/>
              <w:bottom w:val="single" w:sz="4" w:space="0" w:color="auto"/>
              <w:right w:val="nil"/>
            </w:tcBorders>
            <w:shd w:val="clear" w:color="auto" w:fill="FFFFFF" w:themeFill="background1"/>
            <w:tcMar>
              <w:left w:w="60" w:type="dxa"/>
              <w:right w:w="60" w:type="dxa"/>
            </w:tcMar>
          </w:tcPr>
          <w:p w14:paraId="4399B8F5" w14:textId="77777777" w:rsidR="00EC619C" w:rsidRPr="000024AE" w:rsidRDefault="00EC619C" w:rsidP="00674B61">
            <w:pPr>
              <w:adjustRightInd w:val="0"/>
              <w:spacing w:before="60" w:after="60"/>
              <w:jc w:val="center"/>
              <w:rPr>
                <w:rFonts w:ascii="Times New Roman" w:hAnsi="Times New Roman" w:cs="Times New Roman"/>
                <w:color w:val="000000"/>
                <w:sz w:val="20"/>
                <w:szCs w:val="20"/>
                <w:lang w:val="en-US"/>
              </w:rPr>
            </w:pPr>
            <w:r w:rsidRPr="000024AE">
              <w:rPr>
                <w:rFonts w:ascii="Times New Roman" w:hAnsi="Times New Roman" w:cs="Times New Roman"/>
                <w:color w:val="000000"/>
                <w:sz w:val="20"/>
                <w:szCs w:val="20"/>
                <w:lang w:val="en-US"/>
              </w:rPr>
              <w:t>24 (92.3)</w:t>
            </w:r>
          </w:p>
        </w:tc>
      </w:tr>
    </w:tbl>
    <w:p w14:paraId="30B33129" w14:textId="77777777" w:rsidR="00EC619C" w:rsidRPr="000024AE" w:rsidRDefault="00EC619C" w:rsidP="00EC619C">
      <w:pPr>
        <w:spacing w:before="120" w:after="120" w:line="360" w:lineRule="auto"/>
        <w:rPr>
          <w:rFonts w:ascii="Times New Roman" w:hAnsi="Times New Roman" w:cs="Times New Roman"/>
          <w:bCs/>
          <w:color w:val="000000"/>
          <w:lang w:val="en-US"/>
        </w:rPr>
      </w:pPr>
      <w:proofErr w:type="spellStart"/>
      <w:r w:rsidRPr="000024AE">
        <w:rPr>
          <w:rFonts w:ascii="Times New Roman" w:hAnsi="Times New Roman" w:cs="Times New Roman"/>
          <w:sz w:val="20"/>
          <w:vertAlign w:val="superscript"/>
          <w:lang w:val="en-US"/>
        </w:rPr>
        <w:t>a</w:t>
      </w:r>
      <w:r w:rsidRPr="000024AE">
        <w:rPr>
          <w:rFonts w:ascii="Times New Roman" w:hAnsi="Times New Roman" w:cs="Times New Roman"/>
          <w:sz w:val="20"/>
          <w:lang w:val="en-US"/>
        </w:rPr>
        <w:t>No</w:t>
      </w:r>
      <w:proofErr w:type="spellEnd"/>
      <w:r w:rsidRPr="000024AE">
        <w:rPr>
          <w:rFonts w:ascii="Times New Roman" w:hAnsi="Times New Roman" w:cs="Times New Roman"/>
          <w:sz w:val="20"/>
          <w:lang w:val="en-US"/>
        </w:rPr>
        <w:t xml:space="preserve"> grade 4 treatment-emergent adverse events were reported.</w:t>
      </w:r>
    </w:p>
    <w:p w14:paraId="6571AC90" w14:textId="77777777" w:rsidR="00EC619C" w:rsidRPr="000024AE" w:rsidRDefault="00EC619C" w:rsidP="00EC619C">
      <w:pPr>
        <w:rPr>
          <w:rFonts w:ascii="Times New Roman" w:hAnsi="Times New Roman" w:cs="Times New Roman"/>
          <w:b/>
          <w:lang w:val="en-US"/>
        </w:rPr>
      </w:pPr>
      <w:r w:rsidRPr="000024AE">
        <w:rPr>
          <w:rFonts w:ascii="Times New Roman" w:hAnsi="Times New Roman" w:cs="Times New Roman"/>
          <w:b/>
          <w:lang w:val="en-US"/>
        </w:rPr>
        <w:br w:type="page"/>
      </w:r>
    </w:p>
    <w:p w14:paraId="54F5F2C4" w14:textId="77777777" w:rsidR="00EC619C" w:rsidRPr="000024AE" w:rsidRDefault="00EC619C" w:rsidP="00EC619C">
      <w:pPr>
        <w:spacing w:after="120" w:line="360" w:lineRule="auto"/>
        <w:jc w:val="both"/>
        <w:rPr>
          <w:rFonts w:ascii="Times New Roman" w:hAnsi="Times New Roman" w:cs="Times New Roman"/>
          <w:bCs/>
          <w:color w:val="000000"/>
          <w:lang w:val="en-US"/>
        </w:rPr>
      </w:pPr>
      <w:r w:rsidRPr="000024AE">
        <w:rPr>
          <w:rFonts w:ascii="Times New Roman" w:hAnsi="Times New Roman" w:cs="Times New Roman"/>
          <w:b/>
          <w:lang w:val="en-US"/>
        </w:rPr>
        <w:lastRenderedPageBreak/>
        <w:t xml:space="preserve">Table S5. </w:t>
      </w:r>
      <w:r w:rsidRPr="000024AE">
        <w:rPr>
          <w:rFonts w:ascii="Times New Roman" w:hAnsi="Times New Roman" w:cs="Times New Roman"/>
          <w:lang w:val="en-US"/>
        </w:rPr>
        <w:t>Details of 2</w:t>
      </w:r>
      <w:r w:rsidRPr="000024AE">
        <w:rPr>
          <w:rFonts w:ascii="Times New Roman" w:hAnsi="Times New Roman" w:cs="Times New Roman"/>
          <w:bCs/>
          <w:color w:val="000000"/>
          <w:lang w:val="en-US"/>
        </w:rPr>
        <w:t xml:space="preserve"> additional patients with recurrent glioblastoma and </w:t>
      </w:r>
      <w:r w:rsidRPr="000024AE">
        <w:rPr>
          <w:rFonts w:ascii="Times New Roman" w:hAnsi="Times New Roman" w:cs="Times New Roman"/>
          <w:bCs/>
          <w:i/>
          <w:color w:val="000000"/>
          <w:lang w:val="en-US"/>
        </w:rPr>
        <w:t>FGFR</w:t>
      </w:r>
      <w:r w:rsidRPr="000024AE">
        <w:rPr>
          <w:rFonts w:ascii="Times New Roman" w:hAnsi="Times New Roman" w:cs="Times New Roman"/>
          <w:bCs/>
          <w:color w:val="000000"/>
          <w:lang w:val="en-US"/>
        </w:rPr>
        <w:t xml:space="preserve"> alterations treated with </w:t>
      </w:r>
      <w:proofErr w:type="spellStart"/>
      <w:r w:rsidRPr="000024AE">
        <w:rPr>
          <w:rFonts w:ascii="Times New Roman" w:hAnsi="Times New Roman" w:cs="Times New Roman"/>
          <w:bCs/>
          <w:color w:val="000000"/>
          <w:lang w:val="en-US"/>
        </w:rPr>
        <w:t>infigratinib</w:t>
      </w:r>
      <w:proofErr w:type="spellEnd"/>
      <w:r w:rsidRPr="000024AE">
        <w:rPr>
          <w:rFonts w:ascii="Times New Roman" w:hAnsi="Times New Roman" w:cs="Times New Roman"/>
          <w:bCs/>
          <w:color w:val="000000"/>
          <w:lang w:val="en-US"/>
        </w:rPr>
        <w:t xml:space="preserve"> who were enrolled in a separate phase II study (NCT</w:t>
      </w:r>
      <w:proofErr w:type="gramStart"/>
      <w:r w:rsidRPr="000024AE">
        <w:rPr>
          <w:rFonts w:ascii="Times New Roman" w:hAnsi="Times New Roman" w:cs="Times New Roman"/>
          <w:bCs/>
          <w:color w:val="000000"/>
          <w:lang w:val="en-US"/>
        </w:rPr>
        <w:t>02160041)*</w:t>
      </w:r>
      <w:proofErr w:type="gramEnd"/>
      <w:r w:rsidRPr="000024AE">
        <w:rPr>
          <w:rFonts w:ascii="Times New Roman" w:hAnsi="Times New Roman" w:cs="Times New Roman"/>
          <w:bCs/>
          <w:color w:val="000000"/>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552"/>
        <w:gridCol w:w="3629"/>
      </w:tblGrid>
      <w:tr w:rsidR="00EC619C" w:rsidRPr="000024AE" w14:paraId="68EEE8F8" w14:textId="77777777" w:rsidTr="00674B61">
        <w:tc>
          <w:tcPr>
            <w:tcW w:w="2835" w:type="dxa"/>
            <w:tcBorders>
              <w:top w:val="single" w:sz="4" w:space="0" w:color="auto"/>
              <w:bottom w:val="single" w:sz="4" w:space="0" w:color="auto"/>
            </w:tcBorders>
          </w:tcPr>
          <w:p w14:paraId="7A6F3CF7" w14:textId="77777777" w:rsidR="00EC619C" w:rsidRPr="000024AE" w:rsidRDefault="00EC619C" w:rsidP="00674B61">
            <w:pPr>
              <w:spacing w:before="60" w:after="60" w:line="259" w:lineRule="auto"/>
              <w:jc w:val="both"/>
              <w:rPr>
                <w:rFonts w:ascii="Times New Roman" w:hAnsi="Times New Roman" w:cs="Times New Roman"/>
                <w:bCs/>
                <w:color w:val="000000"/>
                <w:sz w:val="20"/>
                <w:szCs w:val="20"/>
                <w:lang w:val="en-US"/>
              </w:rPr>
            </w:pPr>
            <w:r w:rsidRPr="000024AE">
              <w:rPr>
                <w:rFonts w:ascii="Times New Roman" w:eastAsia="Times New Roman" w:hAnsi="Times New Roman" w:cs="Times New Roman"/>
                <w:b/>
                <w:bCs/>
                <w:color w:val="000000" w:themeColor="text1"/>
                <w:kern w:val="24"/>
                <w:sz w:val="20"/>
                <w:szCs w:val="20"/>
                <w:lang w:val="en-US" w:eastAsia="en-NZ"/>
              </w:rPr>
              <w:t>Variable</w:t>
            </w:r>
          </w:p>
        </w:tc>
        <w:tc>
          <w:tcPr>
            <w:tcW w:w="2552" w:type="dxa"/>
            <w:tcBorders>
              <w:top w:val="single" w:sz="4" w:space="0" w:color="auto"/>
              <w:bottom w:val="single" w:sz="4" w:space="0" w:color="auto"/>
            </w:tcBorders>
          </w:tcPr>
          <w:p w14:paraId="1882C1ED" w14:textId="77777777" w:rsidR="00EC619C" w:rsidRPr="000024AE" w:rsidRDefault="00EC619C" w:rsidP="00674B61">
            <w:pPr>
              <w:spacing w:before="60" w:after="60" w:line="259" w:lineRule="auto"/>
              <w:rPr>
                <w:rFonts w:ascii="Times New Roman" w:hAnsi="Times New Roman" w:cs="Times New Roman"/>
                <w:bCs/>
                <w:color w:val="000000"/>
                <w:sz w:val="20"/>
                <w:szCs w:val="20"/>
                <w:lang w:val="en-US"/>
              </w:rPr>
            </w:pPr>
            <w:r w:rsidRPr="000024AE">
              <w:rPr>
                <w:rFonts w:ascii="Times New Roman" w:eastAsia="Times New Roman" w:hAnsi="Times New Roman" w:cs="Times New Roman"/>
                <w:b/>
                <w:bCs/>
                <w:color w:val="000000" w:themeColor="text1"/>
                <w:kern w:val="24"/>
                <w:sz w:val="20"/>
                <w:szCs w:val="20"/>
                <w:lang w:val="en-US" w:eastAsia="en-NZ"/>
              </w:rPr>
              <w:t>Patient #1</w:t>
            </w:r>
          </w:p>
        </w:tc>
        <w:tc>
          <w:tcPr>
            <w:tcW w:w="3629" w:type="dxa"/>
            <w:tcBorders>
              <w:top w:val="single" w:sz="4" w:space="0" w:color="auto"/>
              <w:bottom w:val="single" w:sz="4" w:space="0" w:color="auto"/>
            </w:tcBorders>
          </w:tcPr>
          <w:p w14:paraId="6B564DAD" w14:textId="77777777" w:rsidR="00EC619C" w:rsidRPr="000024AE" w:rsidRDefault="00EC619C" w:rsidP="00674B61">
            <w:pPr>
              <w:spacing w:before="60" w:after="60" w:line="259" w:lineRule="auto"/>
              <w:rPr>
                <w:rFonts w:ascii="Times New Roman" w:hAnsi="Times New Roman" w:cs="Times New Roman"/>
                <w:bCs/>
                <w:color w:val="000000"/>
                <w:sz w:val="20"/>
                <w:szCs w:val="20"/>
                <w:lang w:val="en-US"/>
              </w:rPr>
            </w:pPr>
            <w:r w:rsidRPr="000024AE">
              <w:rPr>
                <w:rFonts w:ascii="Times New Roman" w:eastAsia="Times New Roman" w:hAnsi="Times New Roman" w:cs="Times New Roman"/>
                <w:b/>
                <w:bCs/>
                <w:color w:val="000000" w:themeColor="text1"/>
                <w:kern w:val="24"/>
                <w:sz w:val="20"/>
                <w:szCs w:val="20"/>
                <w:lang w:val="en-US" w:eastAsia="en-NZ"/>
              </w:rPr>
              <w:t>Patient #2</w:t>
            </w:r>
          </w:p>
        </w:tc>
      </w:tr>
      <w:tr w:rsidR="00EC619C" w:rsidRPr="000024AE" w14:paraId="7326CA1B" w14:textId="77777777" w:rsidTr="00674B61">
        <w:tc>
          <w:tcPr>
            <w:tcW w:w="2835" w:type="dxa"/>
            <w:tcBorders>
              <w:top w:val="single" w:sz="4" w:space="0" w:color="auto"/>
            </w:tcBorders>
          </w:tcPr>
          <w:p w14:paraId="306C6D80" w14:textId="77777777" w:rsidR="00EC619C" w:rsidRPr="000024AE" w:rsidRDefault="00EC619C" w:rsidP="00674B61">
            <w:pPr>
              <w:spacing w:before="60" w:after="60" w:line="259" w:lineRule="auto"/>
              <w:rPr>
                <w:rFonts w:ascii="Times New Roman" w:hAnsi="Times New Roman" w:cs="Times New Roman"/>
                <w:bCs/>
                <w:color w:val="000000"/>
                <w:sz w:val="20"/>
                <w:szCs w:val="20"/>
                <w:lang w:val="en-US"/>
              </w:rPr>
            </w:pPr>
            <w:r w:rsidRPr="000024AE">
              <w:rPr>
                <w:rFonts w:ascii="Times New Roman" w:eastAsia="Times New Roman" w:hAnsi="Times New Roman" w:cs="Times New Roman"/>
                <w:color w:val="000000" w:themeColor="dark1"/>
                <w:kern w:val="24"/>
                <w:sz w:val="20"/>
                <w:szCs w:val="20"/>
                <w:lang w:val="en-US" w:eastAsia="en-NZ"/>
              </w:rPr>
              <w:t>Age, years</w:t>
            </w:r>
          </w:p>
        </w:tc>
        <w:tc>
          <w:tcPr>
            <w:tcW w:w="2552" w:type="dxa"/>
            <w:tcBorders>
              <w:top w:val="single" w:sz="4" w:space="0" w:color="auto"/>
            </w:tcBorders>
          </w:tcPr>
          <w:p w14:paraId="4AB1A78F" w14:textId="77777777" w:rsidR="00EC619C" w:rsidRPr="000024AE" w:rsidRDefault="00EC619C" w:rsidP="00674B61">
            <w:pPr>
              <w:spacing w:before="60" w:after="60" w:line="259" w:lineRule="auto"/>
              <w:rPr>
                <w:rFonts w:ascii="Times New Roman" w:hAnsi="Times New Roman" w:cs="Times New Roman"/>
                <w:bCs/>
                <w:color w:val="000000"/>
                <w:sz w:val="20"/>
                <w:szCs w:val="20"/>
                <w:lang w:val="en-US"/>
              </w:rPr>
            </w:pPr>
            <w:r w:rsidRPr="000024AE">
              <w:rPr>
                <w:rFonts w:ascii="Times New Roman" w:hAnsi="Times New Roman" w:cs="Times New Roman"/>
                <w:bCs/>
                <w:color w:val="000000"/>
                <w:sz w:val="20"/>
                <w:szCs w:val="20"/>
                <w:lang w:val="en-US"/>
              </w:rPr>
              <w:t>45</w:t>
            </w:r>
          </w:p>
        </w:tc>
        <w:tc>
          <w:tcPr>
            <w:tcW w:w="3629" w:type="dxa"/>
            <w:tcBorders>
              <w:top w:val="single" w:sz="4" w:space="0" w:color="auto"/>
            </w:tcBorders>
          </w:tcPr>
          <w:p w14:paraId="1C75ED8C" w14:textId="77777777" w:rsidR="00EC619C" w:rsidRPr="000024AE" w:rsidRDefault="00EC619C" w:rsidP="00674B61">
            <w:pPr>
              <w:spacing w:before="60" w:after="60" w:line="259" w:lineRule="auto"/>
              <w:rPr>
                <w:rFonts w:ascii="Times New Roman" w:hAnsi="Times New Roman" w:cs="Times New Roman"/>
                <w:bCs/>
                <w:color w:val="000000"/>
                <w:sz w:val="20"/>
                <w:szCs w:val="20"/>
                <w:lang w:val="en-US"/>
              </w:rPr>
            </w:pPr>
            <w:r w:rsidRPr="000024AE">
              <w:rPr>
                <w:rFonts w:ascii="Times New Roman" w:hAnsi="Times New Roman" w:cs="Times New Roman"/>
                <w:bCs/>
                <w:color w:val="000000"/>
                <w:sz w:val="20"/>
                <w:szCs w:val="20"/>
                <w:lang w:val="en-US"/>
              </w:rPr>
              <w:t>50</w:t>
            </w:r>
          </w:p>
        </w:tc>
      </w:tr>
      <w:tr w:rsidR="00EC619C" w:rsidRPr="000024AE" w14:paraId="46763074" w14:textId="77777777" w:rsidTr="00674B61">
        <w:tc>
          <w:tcPr>
            <w:tcW w:w="2835" w:type="dxa"/>
          </w:tcPr>
          <w:p w14:paraId="32245B21" w14:textId="77777777" w:rsidR="00EC619C" w:rsidRPr="000024AE" w:rsidRDefault="00EC619C" w:rsidP="00674B61">
            <w:pPr>
              <w:spacing w:before="60" w:after="60" w:line="259" w:lineRule="auto"/>
              <w:rPr>
                <w:rFonts w:ascii="Times New Roman" w:hAnsi="Times New Roman" w:cs="Times New Roman"/>
                <w:bCs/>
                <w:color w:val="000000"/>
                <w:sz w:val="20"/>
                <w:szCs w:val="20"/>
                <w:lang w:val="en-US"/>
              </w:rPr>
            </w:pPr>
            <w:r w:rsidRPr="000024AE">
              <w:rPr>
                <w:rFonts w:ascii="Times New Roman" w:eastAsia="Times New Roman" w:hAnsi="Times New Roman" w:cs="Times New Roman"/>
                <w:color w:val="000000" w:themeColor="dark1"/>
                <w:kern w:val="24"/>
                <w:sz w:val="20"/>
                <w:szCs w:val="20"/>
                <w:lang w:val="en-US" w:eastAsia="en-NZ"/>
              </w:rPr>
              <w:t>Sex</w:t>
            </w:r>
          </w:p>
        </w:tc>
        <w:tc>
          <w:tcPr>
            <w:tcW w:w="2552" w:type="dxa"/>
          </w:tcPr>
          <w:p w14:paraId="37C8DB6D" w14:textId="77777777" w:rsidR="00EC619C" w:rsidRPr="000024AE" w:rsidRDefault="00EC619C" w:rsidP="00674B61">
            <w:pPr>
              <w:spacing w:before="60" w:after="60" w:line="259" w:lineRule="auto"/>
              <w:rPr>
                <w:rFonts w:ascii="Times New Roman" w:hAnsi="Times New Roman" w:cs="Times New Roman"/>
                <w:bCs/>
                <w:color w:val="000000"/>
                <w:sz w:val="20"/>
                <w:szCs w:val="20"/>
                <w:lang w:val="en-US"/>
              </w:rPr>
            </w:pPr>
            <w:r w:rsidRPr="000024AE">
              <w:rPr>
                <w:rFonts w:ascii="Times New Roman" w:hAnsi="Times New Roman" w:cs="Times New Roman"/>
                <w:bCs/>
                <w:color w:val="000000"/>
                <w:sz w:val="20"/>
                <w:szCs w:val="20"/>
                <w:lang w:val="en-US"/>
              </w:rPr>
              <w:t>Female</w:t>
            </w:r>
          </w:p>
        </w:tc>
        <w:tc>
          <w:tcPr>
            <w:tcW w:w="3629" w:type="dxa"/>
          </w:tcPr>
          <w:p w14:paraId="2F96C7A7" w14:textId="77777777" w:rsidR="00EC619C" w:rsidRPr="000024AE" w:rsidRDefault="00EC619C" w:rsidP="00674B61">
            <w:pPr>
              <w:spacing w:before="60" w:after="60" w:line="259" w:lineRule="auto"/>
              <w:rPr>
                <w:rFonts w:ascii="Times New Roman" w:hAnsi="Times New Roman" w:cs="Times New Roman"/>
                <w:bCs/>
                <w:color w:val="000000"/>
                <w:sz w:val="20"/>
                <w:szCs w:val="20"/>
                <w:lang w:val="en-US"/>
              </w:rPr>
            </w:pPr>
            <w:r w:rsidRPr="000024AE">
              <w:rPr>
                <w:rFonts w:ascii="Times New Roman" w:hAnsi="Times New Roman" w:cs="Times New Roman"/>
                <w:bCs/>
                <w:color w:val="000000"/>
                <w:sz w:val="20"/>
                <w:szCs w:val="20"/>
                <w:lang w:val="en-US"/>
              </w:rPr>
              <w:t>Female</w:t>
            </w:r>
          </w:p>
        </w:tc>
      </w:tr>
      <w:tr w:rsidR="00EC619C" w:rsidRPr="000024AE" w14:paraId="4906A82F" w14:textId="77777777" w:rsidTr="00674B61">
        <w:tc>
          <w:tcPr>
            <w:tcW w:w="2835" w:type="dxa"/>
          </w:tcPr>
          <w:p w14:paraId="3F2DA35D" w14:textId="77777777" w:rsidR="00EC619C" w:rsidRPr="000024AE" w:rsidRDefault="00EC619C" w:rsidP="00674B61">
            <w:pPr>
              <w:spacing w:before="60" w:after="60" w:line="259" w:lineRule="auto"/>
              <w:rPr>
                <w:rFonts w:ascii="Times New Roman" w:hAnsi="Times New Roman" w:cs="Times New Roman"/>
                <w:bCs/>
                <w:color w:val="000000"/>
                <w:sz w:val="20"/>
                <w:szCs w:val="20"/>
                <w:lang w:val="en-US"/>
              </w:rPr>
            </w:pPr>
            <w:r w:rsidRPr="000024AE">
              <w:rPr>
                <w:rFonts w:ascii="Times New Roman" w:eastAsia="Times New Roman" w:hAnsi="Times New Roman" w:cs="Times New Roman"/>
                <w:color w:val="000000" w:themeColor="dark1"/>
                <w:kern w:val="24"/>
                <w:sz w:val="20"/>
                <w:szCs w:val="20"/>
                <w:lang w:val="en-US" w:eastAsia="en-NZ"/>
              </w:rPr>
              <w:t>WHO performance status</w:t>
            </w:r>
          </w:p>
        </w:tc>
        <w:tc>
          <w:tcPr>
            <w:tcW w:w="2552" w:type="dxa"/>
          </w:tcPr>
          <w:p w14:paraId="54E0FCBA" w14:textId="77777777" w:rsidR="00EC619C" w:rsidRPr="000024AE" w:rsidRDefault="00EC619C" w:rsidP="00674B61">
            <w:pPr>
              <w:spacing w:before="60" w:after="60" w:line="259" w:lineRule="auto"/>
              <w:rPr>
                <w:rFonts w:ascii="Times New Roman" w:hAnsi="Times New Roman" w:cs="Times New Roman"/>
                <w:bCs/>
                <w:color w:val="000000"/>
                <w:sz w:val="20"/>
                <w:szCs w:val="20"/>
                <w:lang w:val="en-US"/>
              </w:rPr>
            </w:pPr>
            <w:r w:rsidRPr="000024AE">
              <w:rPr>
                <w:rFonts w:ascii="Times New Roman" w:hAnsi="Times New Roman" w:cs="Times New Roman"/>
                <w:bCs/>
                <w:color w:val="000000"/>
                <w:sz w:val="20"/>
                <w:szCs w:val="20"/>
                <w:lang w:val="en-US"/>
              </w:rPr>
              <w:t>1</w:t>
            </w:r>
          </w:p>
        </w:tc>
        <w:tc>
          <w:tcPr>
            <w:tcW w:w="3629" w:type="dxa"/>
          </w:tcPr>
          <w:p w14:paraId="564C5285" w14:textId="77777777" w:rsidR="00EC619C" w:rsidRPr="000024AE" w:rsidRDefault="00EC619C" w:rsidP="00674B61">
            <w:pPr>
              <w:spacing w:before="60" w:after="60" w:line="259" w:lineRule="auto"/>
              <w:rPr>
                <w:rFonts w:ascii="Times New Roman" w:hAnsi="Times New Roman" w:cs="Times New Roman"/>
                <w:bCs/>
                <w:color w:val="000000"/>
                <w:sz w:val="20"/>
                <w:szCs w:val="20"/>
                <w:lang w:val="en-US"/>
              </w:rPr>
            </w:pPr>
            <w:r w:rsidRPr="000024AE">
              <w:rPr>
                <w:rFonts w:ascii="Times New Roman" w:hAnsi="Times New Roman" w:cs="Times New Roman"/>
                <w:bCs/>
                <w:color w:val="000000"/>
                <w:sz w:val="20"/>
                <w:szCs w:val="20"/>
                <w:lang w:val="en-US"/>
              </w:rPr>
              <w:t>1</w:t>
            </w:r>
          </w:p>
        </w:tc>
      </w:tr>
      <w:tr w:rsidR="00EC619C" w:rsidRPr="000024AE" w14:paraId="29614F58" w14:textId="77777777" w:rsidTr="00674B61">
        <w:tc>
          <w:tcPr>
            <w:tcW w:w="2835" w:type="dxa"/>
          </w:tcPr>
          <w:p w14:paraId="1F6EF42F" w14:textId="77777777" w:rsidR="00EC619C" w:rsidRPr="000024AE" w:rsidRDefault="00EC619C" w:rsidP="00674B61">
            <w:pPr>
              <w:spacing w:before="60" w:after="60" w:line="259" w:lineRule="auto"/>
              <w:rPr>
                <w:rFonts w:ascii="Times New Roman" w:hAnsi="Times New Roman" w:cs="Times New Roman"/>
                <w:bCs/>
                <w:color w:val="000000"/>
                <w:sz w:val="20"/>
                <w:szCs w:val="20"/>
                <w:lang w:val="en-US"/>
              </w:rPr>
            </w:pPr>
            <w:r w:rsidRPr="000024AE">
              <w:rPr>
                <w:rFonts w:ascii="Times New Roman" w:eastAsia="Times New Roman" w:hAnsi="Times New Roman" w:cs="Times New Roman"/>
                <w:color w:val="000000" w:themeColor="dark1"/>
                <w:kern w:val="24"/>
                <w:sz w:val="20"/>
                <w:szCs w:val="20"/>
                <w:lang w:val="en-US" w:eastAsia="en-NZ"/>
              </w:rPr>
              <w:t>Prior treatment (time on treatment)</w:t>
            </w:r>
          </w:p>
        </w:tc>
        <w:tc>
          <w:tcPr>
            <w:tcW w:w="2552" w:type="dxa"/>
          </w:tcPr>
          <w:p w14:paraId="7E9A7222" w14:textId="77777777" w:rsidR="00EC619C" w:rsidRPr="000024AE" w:rsidRDefault="00EC619C" w:rsidP="00674B61">
            <w:pPr>
              <w:spacing w:before="60" w:after="60" w:line="259" w:lineRule="auto"/>
              <w:rPr>
                <w:rFonts w:ascii="Times New Roman" w:eastAsiaTheme="minorEastAsia" w:hAnsi="Times New Roman" w:cs="Times New Roman"/>
                <w:color w:val="000000" w:themeColor="dark1"/>
                <w:kern w:val="24"/>
                <w:sz w:val="20"/>
                <w:szCs w:val="20"/>
                <w:lang w:val="en-US" w:eastAsia="en-NZ"/>
              </w:rPr>
            </w:pPr>
            <w:r w:rsidRPr="000024AE">
              <w:rPr>
                <w:rFonts w:ascii="Times New Roman" w:eastAsiaTheme="minorEastAsia" w:hAnsi="Times New Roman" w:cs="Times New Roman"/>
                <w:color w:val="000000" w:themeColor="dark1"/>
                <w:kern w:val="24"/>
                <w:sz w:val="20"/>
                <w:szCs w:val="20"/>
                <w:lang w:val="en-US" w:eastAsia="en-NZ"/>
              </w:rPr>
              <w:t>Temozolomide (14 months)</w:t>
            </w:r>
          </w:p>
          <w:p w14:paraId="06197200" w14:textId="77777777" w:rsidR="00EC619C" w:rsidRPr="000024AE" w:rsidRDefault="00EC619C" w:rsidP="00674B61">
            <w:pPr>
              <w:spacing w:before="60" w:after="60" w:line="259" w:lineRule="auto"/>
              <w:rPr>
                <w:rFonts w:ascii="Times New Roman" w:hAnsi="Times New Roman" w:cs="Times New Roman"/>
                <w:bCs/>
                <w:color w:val="000000"/>
                <w:sz w:val="20"/>
                <w:szCs w:val="20"/>
                <w:lang w:val="en-US"/>
              </w:rPr>
            </w:pPr>
            <w:r w:rsidRPr="000024AE">
              <w:rPr>
                <w:rFonts w:ascii="Times New Roman" w:hAnsi="Times New Roman" w:cs="Times New Roman"/>
                <w:color w:val="000000"/>
                <w:sz w:val="20"/>
                <w:szCs w:val="20"/>
                <w:lang w:val="en-US"/>
              </w:rPr>
              <w:t>Radiotherapy</w:t>
            </w:r>
          </w:p>
        </w:tc>
        <w:tc>
          <w:tcPr>
            <w:tcW w:w="3629" w:type="dxa"/>
          </w:tcPr>
          <w:p w14:paraId="19370FFE" w14:textId="77777777" w:rsidR="00EC619C" w:rsidRPr="000024AE" w:rsidRDefault="00EC619C" w:rsidP="00674B61">
            <w:pPr>
              <w:spacing w:before="60" w:after="60" w:line="259" w:lineRule="auto"/>
              <w:rPr>
                <w:rFonts w:ascii="Times New Roman" w:eastAsiaTheme="minorEastAsia" w:hAnsi="Times New Roman" w:cs="Times New Roman"/>
                <w:color w:val="000000" w:themeColor="dark1"/>
                <w:kern w:val="24"/>
                <w:sz w:val="20"/>
                <w:szCs w:val="20"/>
                <w:lang w:val="en-US" w:eastAsia="en-NZ"/>
              </w:rPr>
            </w:pPr>
            <w:r w:rsidRPr="000024AE">
              <w:rPr>
                <w:rFonts w:ascii="Times New Roman" w:eastAsiaTheme="minorEastAsia" w:hAnsi="Times New Roman" w:cs="Times New Roman"/>
                <w:color w:val="000000" w:themeColor="dark1"/>
                <w:kern w:val="24"/>
                <w:sz w:val="20"/>
                <w:szCs w:val="20"/>
                <w:lang w:val="en-US" w:eastAsia="en-NZ"/>
              </w:rPr>
              <w:t>Temozolomide/bevacizumab (9 months)</w:t>
            </w:r>
          </w:p>
          <w:p w14:paraId="706D3A45" w14:textId="77777777" w:rsidR="00EC619C" w:rsidRPr="000024AE" w:rsidRDefault="00EC619C" w:rsidP="00674B61">
            <w:pPr>
              <w:spacing w:before="60" w:after="60" w:line="259" w:lineRule="auto"/>
              <w:rPr>
                <w:rFonts w:ascii="Times New Roman" w:hAnsi="Times New Roman" w:cs="Times New Roman"/>
                <w:bCs/>
                <w:color w:val="000000"/>
                <w:sz w:val="20"/>
                <w:szCs w:val="20"/>
                <w:lang w:val="en-US"/>
              </w:rPr>
            </w:pPr>
            <w:r w:rsidRPr="000024AE">
              <w:rPr>
                <w:rFonts w:ascii="Times New Roman" w:hAnsi="Times New Roman" w:cs="Times New Roman"/>
                <w:color w:val="000000"/>
                <w:sz w:val="20"/>
                <w:szCs w:val="20"/>
                <w:lang w:val="en-US"/>
              </w:rPr>
              <w:t>Radiotherapy</w:t>
            </w:r>
          </w:p>
        </w:tc>
      </w:tr>
      <w:tr w:rsidR="00EC619C" w:rsidRPr="000024AE" w14:paraId="6B3F3D8F" w14:textId="77777777" w:rsidTr="00674B61">
        <w:tc>
          <w:tcPr>
            <w:tcW w:w="2835" w:type="dxa"/>
          </w:tcPr>
          <w:p w14:paraId="152DBA90" w14:textId="77777777" w:rsidR="00EC619C" w:rsidRPr="000024AE" w:rsidRDefault="00EC619C" w:rsidP="00674B61">
            <w:pPr>
              <w:spacing w:before="60" w:after="60" w:line="259" w:lineRule="auto"/>
              <w:rPr>
                <w:rFonts w:ascii="Times New Roman" w:hAnsi="Times New Roman" w:cs="Times New Roman"/>
                <w:bCs/>
                <w:color w:val="000000"/>
                <w:sz w:val="20"/>
                <w:szCs w:val="20"/>
                <w:lang w:val="en-US"/>
              </w:rPr>
            </w:pPr>
            <w:r w:rsidRPr="000024AE">
              <w:rPr>
                <w:rFonts w:ascii="Times New Roman" w:eastAsia="Times New Roman" w:hAnsi="Times New Roman" w:cs="Times New Roman"/>
                <w:i/>
                <w:color w:val="000000" w:themeColor="dark1"/>
                <w:kern w:val="24"/>
                <w:sz w:val="20"/>
                <w:szCs w:val="20"/>
                <w:lang w:val="en-US" w:eastAsia="en-NZ"/>
              </w:rPr>
              <w:t>FGFR</w:t>
            </w:r>
            <w:r w:rsidRPr="000024AE">
              <w:rPr>
                <w:rFonts w:ascii="Times New Roman" w:eastAsia="Times New Roman" w:hAnsi="Times New Roman" w:cs="Times New Roman"/>
                <w:color w:val="000000" w:themeColor="dark1"/>
                <w:kern w:val="24"/>
                <w:sz w:val="20"/>
                <w:szCs w:val="20"/>
                <w:lang w:val="en-US" w:eastAsia="en-NZ"/>
              </w:rPr>
              <w:t xml:space="preserve"> status</w:t>
            </w:r>
          </w:p>
        </w:tc>
        <w:tc>
          <w:tcPr>
            <w:tcW w:w="2552" w:type="dxa"/>
          </w:tcPr>
          <w:p w14:paraId="165AE6C1" w14:textId="77777777" w:rsidR="00EC619C" w:rsidRPr="000024AE" w:rsidRDefault="00EC619C" w:rsidP="00674B61">
            <w:pPr>
              <w:spacing w:before="60" w:after="60" w:line="259" w:lineRule="auto"/>
              <w:rPr>
                <w:rFonts w:ascii="Times New Roman" w:hAnsi="Times New Roman" w:cs="Times New Roman"/>
                <w:bCs/>
                <w:color w:val="000000"/>
                <w:sz w:val="20"/>
                <w:szCs w:val="20"/>
                <w:lang w:val="en-US"/>
              </w:rPr>
            </w:pPr>
            <w:r w:rsidRPr="000024AE">
              <w:rPr>
                <w:rFonts w:ascii="Times New Roman" w:eastAsia="Times New Roman" w:hAnsi="Times New Roman" w:cs="Times New Roman"/>
                <w:i/>
                <w:color w:val="000000" w:themeColor="dark1"/>
                <w:kern w:val="24"/>
                <w:sz w:val="20"/>
                <w:szCs w:val="20"/>
                <w:lang w:val="en-US" w:eastAsia="en-NZ"/>
              </w:rPr>
              <w:t>FGFR3</w:t>
            </w:r>
            <w:r w:rsidRPr="000024AE">
              <w:rPr>
                <w:rFonts w:ascii="Times New Roman" w:eastAsia="Times New Roman" w:hAnsi="Times New Roman" w:cs="Times New Roman"/>
                <w:color w:val="000000" w:themeColor="dark1"/>
                <w:kern w:val="24"/>
                <w:sz w:val="20"/>
                <w:szCs w:val="20"/>
                <w:lang w:val="en-US" w:eastAsia="en-NZ"/>
              </w:rPr>
              <w:t xml:space="preserve"> amplification and FGFR3 fusion</w:t>
            </w:r>
          </w:p>
        </w:tc>
        <w:tc>
          <w:tcPr>
            <w:tcW w:w="3629" w:type="dxa"/>
          </w:tcPr>
          <w:p w14:paraId="385335AF" w14:textId="77777777" w:rsidR="00EC619C" w:rsidRPr="000024AE" w:rsidRDefault="00EC619C" w:rsidP="00674B61">
            <w:pPr>
              <w:spacing w:before="60" w:after="60" w:line="259" w:lineRule="auto"/>
              <w:rPr>
                <w:rFonts w:ascii="Times New Roman" w:hAnsi="Times New Roman" w:cs="Times New Roman"/>
                <w:bCs/>
                <w:color w:val="000000"/>
                <w:sz w:val="20"/>
                <w:szCs w:val="20"/>
                <w:lang w:val="en-US"/>
              </w:rPr>
            </w:pPr>
            <w:r w:rsidRPr="000024AE">
              <w:rPr>
                <w:rFonts w:ascii="Times New Roman" w:eastAsia="Times New Roman" w:hAnsi="Times New Roman" w:cs="Times New Roman"/>
                <w:i/>
                <w:color w:val="000000" w:themeColor="dark1"/>
                <w:kern w:val="24"/>
                <w:sz w:val="20"/>
                <w:szCs w:val="20"/>
                <w:lang w:val="en-US" w:eastAsia="en-NZ"/>
              </w:rPr>
              <w:t>FGFR3</w:t>
            </w:r>
            <w:r w:rsidRPr="000024AE">
              <w:rPr>
                <w:rFonts w:ascii="Times New Roman" w:eastAsia="Times New Roman" w:hAnsi="Times New Roman" w:cs="Times New Roman"/>
                <w:color w:val="000000" w:themeColor="dark1"/>
                <w:kern w:val="24"/>
                <w:sz w:val="20"/>
                <w:szCs w:val="20"/>
                <w:lang w:val="en-US" w:eastAsia="en-NZ"/>
              </w:rPr>
              <w:t xml:space="preserve"> fusion</w:t>
            </w:r>
          </w:p>
        </w:tc>
      </w:tr>
      <w:tr w:rsidR="00EC619C" w:rsidRPr="000024AE" w14:paraId="64E79187" w14:textId="77777777" w:rsidTr="00674B61">
        <w:tc>
          <w:tcPr>
            <w:tcW w:w="2835" w:type="dxa"/>
          </w:tcPr>
          <w:p w14:paraId="74297F9F" w14:textId="77777777" w:rsidR="00EC619C" w:rsidRPr="000024AE" w:rsidRDefault="00EC619C" w:rsidP="00674B61">
            <w:pPr>
              <w:spacing w:before="60" w:after="60" w:line="259" w:lineRule="auto"/>
              <w:rPr>
                <w:rFonts w:ascii="Times New Roman" w:hAnsi="Times New Roman" w:cs="Times New Roman"/>
                <w:bCs/>
                <w:color w:val="000000"/>
                <w:sz w:val="20"/>
                <w:szCs w:val="20"/>
                <w:lang w:val="en-US"/>
              </w:rPr>
            </w:pPr>
            <w:r w:rsidRPr="000024AE">
              <w:rPr>
                <w:rFonts w:ascii="Times New Roman" w:eastAsia="Times New Roman" w:hAnsi="Times New Roman" w:cs="Times New Roman"/>
                <w:color w:val="000000" w:themeColor="dark1"/>
                <w:kern w:val="24"/>
                <w:sz w:val="20"/>
                <w:szCs w:val="20"/>
                <w:lang w:val="en-US" w:eastAsia="en-NZ"/>
              </w:rPr>
              <w:t xml:space="preserve">Duration of exposure to </w:t>
            </w:r>
            <w:proofErr w:type="spellStart"/>
            <w:r w:rsidRPr="000024AE">
              <w:rPr>
                <w:rFonts w:ascii="Times New Roman" w:eastAsia="Times New Roman" w:hAnsi="Times New Roman" w:cs="Times New Roman"/>
                <w:color w:val="000000" w:themeColor="dark1"/>
                <w:kern w:val="24"/>
                <w:sz w:val="20"/>
                <w:szCs w:val="20"/>
                <w:lang w:val="en-US" w:eastAsia="en-NZ"/>
              </w:rPr>
              <w:t>infigratinib</w:t>
            </w:r>
            <w:proofErr w:type="spellEnd"/>
            <w:r w:rsidRPr="000024AE">
              <w:rPr>
                <w:rFonts w:ascii="Times New Roman" w:eastAsia="Times New Roman" w:hAnsi="Times New Roman" w:cs="Times New Roman"/>
                <w:color w:val="000000" w:themeColor="dark1"/>
                <w:kern w:val="24"/>
                <w:sz w:val="20"/>
                <w:szCs w:val="20"/>
                <w:lang w:val="en-US" w:eastAsia="en-NZ"/>
              </w:rPr>
              <w:t>, days</w:t>
            </w:r>
          </w:p>
        </w:tc>
        <w:tc>
          <w:tcPr>
            <w:tcW w:w="2552" w:type="dxa"/>
          </w:tcPr>
          <w:p w14:paraId="7711ED85" w14:textId="77777777" w:rsidR="00EC619C" w:rsidRPr="000024AE" w:rsidRDefault="00EC619C" w:rsidP="00674B61">
            <w:pPr>
              <w:spacing w:before="60" w:after="60" w:line="259" w:lineRule="auto"/>
              <w:rPr>
                <w:rFonts w:ascii="Times New Roman" w:hAnsi="Times New Roman" w:cs="Times New Roman"/>
                <w:bCs/>
                <w:color w:val="000000"/>
                <w:sz w:val="20"/>
                <w:szCs w:val="20"/>
                <w:lang w:val="en-US"/>
              </w:rPr>
            </w:pPr>
            <w:r w:rsidRPr="000024AE">
              <w:rPr>
                <w:rFonts w:ascii="Times New Roman" w:eastAsia="Times New Roman" w:hAnsi="Times New Roman" w:cs="Times New Roman"/>
                <w:color w:val="000000" w:themeColor="dark1"/>
                <w:kern w:val="24"/>
                <w:sz w:val="20"/>
                <w:szCs w:val="20"/>
                <w:lang w:val="en-US" w:eastAsia="en-NZ"/>
              </w:rPr>
              <w:t>561</w:t>
            </w:r>
          </w:p>
        </w:tc>
        <w:tc>
          <w:tcPr>
            <w:tcW w:w="3629" w:type="dxa"/>
          </w:tcPr>
          <w:p w14:paraId="05D203C7" w14:textId="77777777" w:rsidR="00EC619C" w:rsidRPr="000024AE" w:rsidRDefault="00EC619C" w:rsidP="00674B61">
            <w:pPr>
              <w:spacing w:before="60" w:after="60" w:line="259" w:lineRule="auto"/>
              <w:rPr>
                <w:rFonts w:ascii="Times New Roman" w:hAnsi="Times New Roman" w:cs="Times New Roman"/>
                <w:bCs/>
                <w:color w:val="000000"/>
                <w:sz w:val="20"/>
                <w:szCs w:val="20"/>
                <w:lang w:val="en-US"/>
              </w:rPr>
            </w:pPr>
            <w:r w:rsidRPr="000024AE">
              <w:rPr>
                <w:rFonts w:ascii="Times New Roman" w:eastAsia="Times New Roman" w:hAnsi="Times New Roman" w:cs="Times New Roman"/>
                <w:color w:val="000000" w:themeColor="dark1"/>
                <w:kern w:val="24"/>
                <w:sz w:val="20"/>
                <w:szCs w:val="20"/>
                <w:lang w:val="en-US" w:eastAsia="en-NZ"/>
              </w:rPr>
              <w:t>40</w:t>
            </w:r>
          </w:p>
        </w:tc>
      </w:tr>
      <w:tr w:rsidR="00EC619C" w:rsidRPr="000024AE" w14:paraId="42605D2E" w14:textId="77777777" w:rsidTr="00674B61">
        <w:tc>
          <w:tcPr>
            <w:tcW w:w="2835" w:type="dxa"/>
          </w:tcPr>
          <w:p w14:paraId="22C6D6A4" w14:textId="77777777" w:rsidR="00EC619C" w:rsidRPr="000024AE" w:rsidRDefault="00EC619C" w:rsidP="00674B61">
            <w:pPr>
              <w:spacing w:before="60" w:after="60" w:line="259" w:lineRule="auto"/>
              <w:rPr>
                <w:rFonts w:ascii="Times New Roman" w:hAnsi="Times New Roman" w:cs="Times New Roman"/>
                <w:bCs/>
                <w:color w:val="000000"/>
                <w:sz w:val="20"/>
                <w:szCs w:val="20"/>
                <w:lang w:val="en-US"/>
              </w:rPr>
            </w:pPr>
            <w:r w:rsidRPr="000024AE">
              <w:rPr>
                <w:rFonts w:ascii="Times New Roman" w:eastAsia="Times New Roman" w:hAnsi="Times New Roman" w:cs="Times New Roman"/>
                <w:color w:val="000000" w:themeColor="dark1"/>
                <w:kern w:val="24"/>
                <w:sz w:val="20"/>
                <w:szCs w:val="20"/>
                <w:lang w:val="en-US" w:eastAsia="en-NZ"/>
              </w:rPr>
              <w:t>Overall response</w:t>
            </w:r>
          </w:p>
        </w:tc>
        <w:tc>
          <w:tcPr>
            <w:tcW w:w="2552" w:type="dxa"/>
          </w:tcPr>
          <w:p w14:paraId="412508F3" w14:textId="77777777" w:rsidR="00EC619C" w:rsidRPr="000024AE" w:rsidRDefault="00EC619C" w:rsidP="00674B61">
            <w:pPr>
              <w:spacing w:before="60" w:after="60" w:line="259" w:lineRule="auto"/>
              <w:rPr>
                <w:rFonts w:ascii="Times New Roman" w:hAnsi="Times New Roman" w:cs="Times New Roman"/>
                <w:bCs/>
                <w:color w:val="000000"/>
                <w:sz w:val="20"/>
                <w:szCs w:val="20"/>
                <w:lang w:val="en-US"/>
              </w:rPr>
            </w:pPr>
            <w:r w:rsidRPr="000024AE">
              <w:rPr>
                <w:rFonts w:ascii="Times New Roman" w:eastAsia="Times New Roman" w:hAnsi="Times New Roman" w:cs="Times New Roman"/>
                <w:color w:val="000000" w:themeColor="dark1"/>
                <w:kern w:val="24"/>
                <w:sz w:val="20"/>
                <w:szCs w:val="20"/>
                <w:lang w:val="en-US" w:eastAsia="en-NZ"/>
              </w:rPr>
              <w:t>Partial response</w:t>
            </w:r>
          </w:p>
        </w:tc>
        <w:tc>
          <w:tcPr>
            <w:tcW w:w="3629" w:type="dxa"/>
          </w:tcPr>
          <w:p w14:paraId="44D53508" w14:textId="77777777" w:rsidR="00EC619C" w:rsidRPr="000024AE" w:rsidRDefault="00EC619C" w:rsidP="00674B61">
            <w:pPr>
              <w:spacing w:before="60" w:after="60" w:line="259" w:lineRule="auto"/>
              <w:rPr>
                <w:rFonts w:ascii="Times New Roman" w:hAnsi="Times New Roman" w:cs="Times New Roman"/>
                <w:bCs/>
                <w:color w:val="000000"/>
                <w:sz w:val="20"/>
                <w:szCs w:val="20"/>
                <w:lang w:val="en-US"/>
              </w:rPr>
            </w:pPr>
            <w:r w:rsidRPr="000024AE">
              <w:rPr>
                <w:rFonts w:ascii="Times New Roman" w:eastAsia="Times New Roman" w:hAnsi="Times New Roman" w:cs="Times New Roman"/>
                <w:sz w:val="20"/>
                <w:szCs w:val="20"/>
                <w:lang w:val="en-US" w:eastAsia="en-NZ"/>
              </w:rPr>
              <w:t>Stable disease</w:t>
            </w:r>
          </w:p>
        </w:tc>
      </w:tr>
      <w:tr w:rsidR="00EC619C" w:rsidRPr="000024AE" w14:paraId="6508EEA5" w14:textId="77777777" w:rsidTr="00674B61">
        <w:tc>
          <w:tcPr>
            <w:tcW w:w="2835" w:type="dxa"/>
          </w:tcPr>
          <w:p w14:paraId="05E38F6C" w14:textId="77777777" w:rsidR="00EC619C" w:rsidRPr="000024AE" w:rsidRDefault="00EC619C" w:rsidP="00674B61">
            <w:pPr>
              <w:spacing w:before="60" w:after="60" w:line="259" w:lineRule="auto"/>
              <w:rPr>
                <w:rFonts w:ascii="Times New Roman" w:hAnsi="Times New Roman" w:cs="Times New Roman"/>
                <w:bCs/>
                <w:color w:val="000000"/>
                <w:sz w:val="20"/>
                <w:szCs w:val="20"/>
                <w:lang w:val="en-US"/>
              </w:rPr>
            </w:pPr>
            <w:r w:rsidRPr="000024AE">
              <w:rPr>
                <w:rFonts w:ascii="Times New Roman" w:eastAsia="Times New Roman" w:hAnsi="Times New Roman" w:cs="Times New Roman"/>
                <w:color w:val="000000" w:themeColor="dark1"/>
                <w:kern w:val="24"/>
                <w:sz w:val="20"/>
                <w:szCs w:val="20"/>
                <w:lang w:val="en-US" w:eastAsia="en-NZ"/>
              </w:rPr>
              <w:t>Tumor response</w:t>
            </w:r>
          </w:p>
        </w:tc>
        <w:tc>
          <w:tcPr>
            <w:tcW w:w="2552" w:type="dxa"/>
          </w:tcPr>
          <w:p w14:paraId="0601D052" w14:textId="77777777" w:rsidR="00EC619C" w:rsidRPr="000024AE" w:rsidRDefault="00EC619C" w:rsidP="00674B61">
            <w:pPr>
              <w:spacing w:before="60" w:after="60" w:line="259" w:lineRule="auto"/>
              <w:rPr>
                <w:rFonts w:ascii="Times New Roman" w:hAnsi="Times New Roman" w:cs="Times New Roman"/>
                <w:bCs/>
                <w:color w:val="000000"/>
                <w:sz w:val="20"/>
                <w:szCs w:val="20"/>
                <w:lang w:val="en-US"/>
              </w:rPr>
            </w:pPr>
            <w:r w:rsidRPr="000024AE">
              <w:rPr>
                <w:rFonts w:ascii="Times New Roman" w:eastAsia="Times New Roman" w:hAnsi="Times New Roman" w:cs="Times New Roman"/>
                <w:color w:val="000000" w:themeColor="dark1"/>
                <w:kern w:val="24"/>
                <w:sz w:val="20"/>
                <w:szCs w:val="20"/>
                <w:lang w:val="en-US" w:eastAsia="en-NZ"/>
              </w:rPr>
              <w:t>–64%</w:t>
            </w:r>
          </w:p>
        </w:tc>
        <w:tc>
          <w:tcPr>
            <w:tcW w:w="3629" w:type="dxa"/>
          </w:tcPr>
          <w:p w14:paraId="0EA1821B" w14:textId="77777777" w:rsidR="00EC619C" w:rsidRPr="000024AE" w:rsidRDefault="00EC619C" w:rsidP="00674B61">
            <w:pPr>
              <w:spacing w:before="60" w:after="60" w:line="259" w:lineRule="auto"/>
              <w:rPr>
                <w:rFonts w:ascii="Times New Roman" w:hAnsi="Times New Roman" w:cs="Times New Roman"/>
                <w:bCs/>
                <w:color w:val="000000"/>
                <w:sz w:val="20"/>
                <w:szCs w:val="20"/>
                <w:lang w:val="en-US"/>
              </w:rPr>
            </w:pPr>
            <w:r w:rsidRPr="000024AE">
              <w:rPr>
                <w:rFonts w:ascii="Times New Roman" w:eastAsia="Times New Roman" w:hAnsi="Times New Roman" w:cs="Times New Roman"/>
                <w:color w:val="000000" w:themeColor="dark1"/>
                <w:kern w:val="24"/>
                <w:sz w:val="20"/>
                <w:szCs w:val="20"/>
                <w:lang w:val="en-US" w:eastAsia="en-NZ"/>
              </w:rPr>
              <w:t>+18%</w:t>
            </w:r>
          </w:p>
        </w:tc>
      </w:tr>
      <w:tr w:rsidR="00EC619C" w:rsidRPr="000024AE" w14:paraId="315CBBE6" w14:textId="77777777" w:rsidTr="00674B61">
        <w:tc>
          <w:tcPr>
            <w:tcW w:w="2835" w:type="dxa"/>
          </w:tcPr>
          <w:p w14:paraId="22B8098F" w14:textId="77777777" w:rsidR="00EC619C" w:rsidRPr="000024AE" w:rsidRDefault="00EC619C" w:rsidP="00674B61">
            <w:pPr>
              <w:spacing w:before="60" w:after="60" w:line="259" w:lineRule="auto"/>
              <w:rPr>
                <w:rFonts w:ascii="Times New Roman" w:hAnsi="Times New Roman" w:cs="Times New Roman"/>
                <w:bCs/>
                <w:color w:val="000000"/>
                <w:sz w:val="20"/>
                <w:szCs w:val="20"/>
                <w:lang w:val="en-US"/>
              </w:rPr>
            </w:pPr>
            <w:r w:rsidRPr="000024AE">
              <w:rPr>
                <w:rFonts w:ascii="Times New Roman" w:eastAsia="Times New Roman" w:hAnsi="Times New Roman" w:cs="Times New Roman"/>
                <w:color w:val="000000" w:themeColor="dark1"/>
                <w:kern w:val="24"/>
                <w:sz w:val="20"/>
                <w:szCs w:val="20"/>
                <w:lang w:val="en-US" w:eastAsia="en-NZ"/>
              </w:rPr>
              <w:t>Progression-free survival, days</w:t>
            </w:r>
          </w:p>
        </w:tc>
        <w:tc>
          <w:tcPr>
            <w:tcW w:w="2552" w:type="dxa"/>
          </w:tcPr>
          <w:p w14:paraId="09536FB8" w14:textId="77777777" w:rsidR="00EC619C" w:rsidRPr="000024AE" w:rsidRDefault="00EC619C" w:rsidP="00674B61">
            <w:pPr>
              <w:spacing w:before="60" w:after="60" w:line="259" w:lineRule="auto"/>
              <w:rPr>
                <w:rFonts w:ascii="Times New Roman" w:hAnsi="Times New Roman" w:cs="Times New Roman"/>
                <w:bCs/>
                <w:color w:val="000000"/>
                <w:sz w:val="20"/>
                <w:szCs w:val="20"/>
                <w:lang w:val="en-US"/>
              </w:rPr>
            </w:pPr>
            <w:r w:rsidRPr="000024AE">
              <w:rPr>
                <w:rFonts w:ascii="Times New Roman" w:eastAsia="Times New Roman" w:hAnsi="Times New Roman" w:cs="Times New Roman"/>
                <w:color w:val="000000" w:themeColor="dark1"/>
                <w:kern w:val="24"/>
                <w:sz w:val="20"/>
                <w:szCs w:val="20"/>
                <w:lang w:val="en-US" w:eastAsia="en-NZ"/>
              </w:rPr>
              <w:t>540</w:t>
            </w:r>
          </w:p>
        </w:tc>
        <w:tc>
          <w:tcPr>
            <w:tcW w:w="3629" w:type="dxa"/>
          </w:tcPr>
          <w:p w14:paraId="60F1A53B" w14:textId="77777777" w:rsidR="00EC619C" w:rsidRPr="000024AE" w:rsidRDefault="00EC619C" w:rsidP="00674B61">
            <w:pPr>
              <w:spacing w:before="60" w:after="60" w:line="259" w:lineRule="auto"/>
              <w:rPr>
                <w:rFonts w:ascii="Times New Roman" w:hAnsi="Times New Roman" w:cs="Times New Roman"/>
                <w:bCs/>
                <w:color w:val="000000"/>
                <w:sz w:val="20"/>
                <w:szCs w:val="20"/>
                <w:lang w:val="en-US"/>
              </w:rPr>
            </w:pPr>
            <w:r w:rsidRPr="000024AE">
              <w:rPr>
                <w:rFonts w:ascii="Times New Roman" w:eastAsia="Times New Roman" w:hAnsi="Times New Roman" w:cs="Times New Roman"/>
                <w:color w:val="000000" w:themeColor="dark1"/>
                <w:kern w:val="24"/>
                <w:sz w:val="20"/>
                <w:szCs w:val="20"/>
                <w:lang w:val="en-US" w:eastAsia="en-NZ"/>
              </w:rPr>
              <w:t>59</w:t>
            </w:r>
          </w:p>
        </w:tc>
      </w:tr>
      <w:tr w:rsidR="00EC619C" w:rsidRPr="000024AE" w14:paraId="08DEAC0C" w14:textId="77777777" w:rsidTr="00674B61">
        <w:tc>
          <w:tcPr>
            <w:tcW w:w="2835" w:type="dxa"/>
            <w:tcBorders>
              <w:bottom w:val="single" w:sz="4" w:space="0" w:color="auto"/>
            </w:tcBorders>
          </w:tcPr>
          <w:p w14:paraId="4DA13CDF" w14:textId="77777777" w:rsidR="00EC619C" w:rsidRPr="000024AE" w:rsidRDefault="00EC619C" w:rsidP="00674B61">
            <w:pPr>
              <w:spacing w:before="60" w:after="60" w:line="259" w:lineRule="auto"/>
              <w:rPr>
                <w:rFonts w:ascii="Times New Roman" w:hAnsi="Times New Roman" w:cs="Times New Roman"/>
                <w:bCs/>
                <w:color w:val="000000"/>
                <w:sz w:val="20"/>
                <w:szCs w:val="20"/>
                <w:lang w:val="en-US"/>
              </w:rPr>
            </w:pPr>
            <w:r w:rsidRPr="000024AE">
              <w:rPr>
                <w:rFonts w:ascii="Times New Roman" w:eastAsia="Times New Roman" w:hAnsi="Times New Roman" w:cs="Times New Roman"/>
                <w:color w:val="000000" w:themeColor="dark1"/>
                <w:kern w:val="24"/>
                <w:sz w:val="20"/>
                <w:szCs w:val="20"/>
                <w:lang w:val="en-US" w:eastAsia="en-NZ"/>
              </w:rPr>
              <w:t>Overall survival, days</w:t>
            </w:r>
          </w:p>
        </w:tc>
        <w:tc>
          <w:tcPr>
            <w:tcW w:w="2552" w:type="dxa"/>
            <w:tcBorders>
              <w:bottom w:val="single" w:sz="4" w:space="0" w:color="auto"/>
            </w:tcBorders>
          </w:tcPr>
          <w:p w14:paraId="3DA91A71" w14:textId="77777777" w:rsidR="00EC619C" w:rsidRPr="000024AE" w:rsidRDefault="00EC619C" w:rsidP="00674B61">
            <w:pPr>
              <w:spacing w:before="60" w:after="60" w:line="259" w:lineRule="auto"/>
              <w:rPr>
                <w:rFonts w:ascii="Times New Roman" w:hAnsi="Times New Roman" w:cs="Times New Roman"/>
                <w:bCs/>
                <w:color w:val="000000"/>
                <w:sz w:val="20"/>
                <w:szCs w:val="20"/>
                <w:lang w:val="en-US"/>
              </w:rPr>
            </w:pPr>
            <w:r w:rsidRPr="000024AE">
              <w:rPr>
                <w:rFonts w:ascii="Times New Roman" w:eastAsia="Times New Roman" w:hAnsi="Times New Roman" w:cs="Times New Roman"/>
                <w:color w:val="000000" w:themeColor="dark1"/>
                <w:kern w:val="24"/>
                <w:sz w:val="20"/>
                <w:szCs w:val="20"/>
                <w:lang w:val="en-US" w:eastAsia="en-NZ"/>
              </w:rPr>
              <w:t>650</w:t>
            </w:r>
          </w:p>
        </w:tc>
        <w:tc>
          <w:tcPr>
            <w:tcW w:w="3629" w:type="dxa"/>
            <w:tcBorders>
              <w:bottom w:val="single" w:sz="4" w:space="0" w:color="auto"/>
            </w:tcBorders>
          </w:tcPr>
          <w:p w14:paraId="1B683C51" w14:textId="77777777" w:rsidR="00EC619C" w:rsidRPr="000024AE" w:rsidRDefault="00EC619C" w:rsidP="00674B61">
            <w:pPr>
              <w:spacing w:before="60" w:after="60" w:line="259" w:lineRule="auto"/>
              <w:rPr>
                <w:rFonts w:ascii="Times New Roman" w:hAnsi="Times New Roman" w:cs="Times New Roman"/>
                <w:bCs/>
                <w:color w:val="000000"/>
                <w:sz w:val="20"/>
                <w:szCs w:val="20"/>
                <w:lang w:val="en-US"/>
              </w:rPr>
            </w:pPr>
            <w:r w:rsidRPr="000024AE">
              <w:rPr>
                <w:rFonts w:ascii="Times New Roman" w:eastAsia="Times New Roman" w:hAnsi="Times New Roman" w:cs="Times New Roman"/>
                <w:color w:val="000000" w:themeColor="dark1"/>
                <w:kern w:val="24"/>
                <w:sz w:val="20"/>
                <w:szCs w:val="20"/>
                <w:lang w:val="en-US" w:eastAsia="en-NZ"/>
              </w:rPr>
              <w:t>116</w:t>
            </w:r>
          </w:p>
        </w:tc>
      </w:tr>
    </w:tbl>
    <w:p w14:paraId="617AF9CF" w14:textId="77777777" w:rsidR="00EC619C" w:rsidRPr="000024AE" w:rsidRDefault="00EC619C" w:rsidP="00EC619C">
      <w:pPr>
        <w:spacing w:before="120"/>
        <w:rPr>
          <w:rFonts w:ascii="Times New Roman" w:hAnsi="Times New Roman" w:cs="Times New Roman"/>
          <w:sz w:val="20"/>
          <w:szCs w:val="20"/>
          <w:lang w:val="en-US"/>
        </w:rPr>
      </w:pPr>
      <w:r w:rsidRPr="000024AE">
        <w:rPr>
          <w:rFonts w:ascii="Times New Roman" w:hAnsi="Times New Roman" w:cs="Times New Roman"/>
          <w:i/>
          <w:sz w:val="20"/>
          <w:szCs w:val="20"/>
          <w:lang w:val="en-US"/>
        </w:rPr>
        <w:t xml:space="preserve">Abbreviations: </w:t>
      </w:r>
      <w:r w:rsidRPr="000024AE">
        <w:rPr>
          <w:rFonts w:ascii="Times New Roman" w:hAnsi="Times New Roman" w:cs="Times New Roman"/>
          <w:sz w:val="20"/>
          <w:szCs w:val="20"/>
          <w:lang w:val="en-US"/>
        </w:rPr>
        <w:t>FGFR, fibroblast growth factor receptor; WHO, World Health Organization.</w:t>
      </w:r>
    </w:p>
    <w:p w14:paraId="45CE75E8" w14:textId="77777777" w:rsidR="00EC619C" w:rsidRPr="000024AE" w:rsidRDefault="00EC619C" w:rsidP="00EC619C">
      <w:pPr>
        <w:spacing w:before="120"/>
        <w:rPr>
          <w:rFonts w:ascii="Times New Roman" w:hAnsi="Times New Roman" w:cs="Times New Roman"/>
          <w:sz w:val="20"/>
          <w:szCs w:val="20"/>
          <w:lang w:val="en-US"/>
        </w:rPr>
      </w:pPr>
      <w:r w:rsidRPr="000024AE">
        <w:rPr>
          <w:rFonts w:ascii="Times New Roman" w:hAnsi="Times New Roman" w:cs="Times New Roman"/>
          <w:sz w:val="20"/>
          <w:szCs w:val="20"/>
          <w:lang w:val="en-US"/>
        </w:rPr>
        <w:t xml:space="preserve">*Note: These were the only patients with </w:t>
      </w:r>
      <w:r w:rsidRPr="000024AE">
        <w:rPr>
          <w:rFonts w:ascii="Times New Roman" w:hAnsi="Times New Roman" w:cs="Times New Roman"/>
          <w:bCs/>
          <w:color w:val="000000"/>
          <w:sz w:val="20"/>
          <w:szCs w:val="20"/>
          <w:lang w:val="en-US"/>
        </w:rPr>
        <w:t>glioblastoma enrolled into the study.</w:t>
      </w:r>
      <w:r w:rsidRPr="000024AE">
        <w:rPr>
          <w:rFonts w:ascii="Times New Roman" w:hAnsi="Times New Roman" w:cs="Times New Roman"/>
          <w:sz w:val="20"/>
          <w:szCs w:val="20"/>
          <w:lang w:val="en-US"/>
        </w:rPr>
        <w:t xml:space="preserve"> </w:t>
      </w:r>
    </w:p>
    <w:p w14:paraId="1C8E1ADA" w14:textId="77777777" w:rsidR="00EC619C" w:rsidRPr="000024AE" w:rsidRDefault="00EC619C" w:rsidP="00EC619C">
      <w:pPr>
        <w:rPr>
          <w:rFonts w:ascii="Times New Roman" w:hAnsi="Times New Roman" w:cs="Times New Roman"/>
          <w:sz w:val="20"/>
          <w:szCs w:val="20"/>
          <w:lang w:val="en-US"/>
        </w:rPr>
      </w:pPr>
    </w:p>
    <w:p w14:paraId="54E8E876" w14:textId="77777777" w:rsidR="005B7404" w:rsidRDefault="00EC619C"/>
    <w:sectPr w:rsidR="005B7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9C"/>
    <w:rsid w:val="003715CA"/>
    <w:rsid w:val="00743E67"/>
    <w:rsid w:val="00EC6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7688A"/>
  <w15:chartTrackingRefBased/>
  <w15:docId w15:val="{7E38408A-1982-4D55-81FC-AB9D7243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19C"/>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619C"/>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19C"/>
    <w:pPr>
      <w:ind w:left="720"/>
      <w:contextualSpacing/>
    </w:pPr>
  </w:style>
  <w:style w:type="table" w:styleId="PlainTable1">
    <w:name w:val="Plain Table 1"/>
    <w:basedOn w:val="TableNormal"/>
    <w:uiPriority w:val="41"/>
    <w:rsid w:val="00EC619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1380</Words>
  <Characters>7872</Characters>
  <Application>Microsoft Office Word</Application>
  <DocSecurity>0</DocSecurity>
  <Lines>65</Lines>
  <Paragraphs>18</Paragraphs>
  <ScaleCrop>false</ScaleCrop>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Siegmann, Bill</dc:creator>
  <cp:keywords/>
  <dc:description/>
  <cp:lastModifiedBy>Siegmann, Bill</cp:lastModifiedBy>
  <cp:revision>1</cp:revision>
  <dcterms:created xsi:type="dcterms:W3CDTF">2022-04-14T18:44:00Z</dcterms:created>
  <dcterms:modified xsi:type="dcterms:W3CDTF">2022-04-14T18:45:00Z</dcterms:modified>
</cp:coreProperties>
</file>