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98" w:rsidRDefault="001E5898" w:rsidP="001E5898">
      <w:r>
        <w:t>Supplemental figures and tables:</w:t>
      </w:r>
    </w:p>
    <w:p w:rsidR="001E5898" w:rsidRDefault="001E5898" w:rsidP="001E5898"/>
    <w:p w:rsidR="001E5898" w:rsidRDefault="001E5898" w:rsidP="001E5898">
      <w:r>
        <w:t xml:space="preserve">Figure S1. Correlation analysis between 16S </w:t>
      </w:r>
      <w:proofErr w:type="spellStart"/>
      <w:r>
        <w:t>rRNA</w:t>
      </w:r>
      <w:proofErr w:type="spellEnd"/>
      <w:r>
        <w:t xml:space="preserve"> amplicon and </w:t>
      </w:r>
      <w:proofErr w:type="spellStart"/>
      <w:r>
        <w:t>metagenomic</w:t>
      </w:r>
      <w:proofErr w:type="spellEnd"/>
      <w:r>
        <w:t xml:space="preserve"> taxonomic relative abundance estimates. Twelve example species across samples from </w:t>
      </w:r>
      <w:proofErr w:type="spellStart"/>
      <w:r>
        <w:t>Gopalakrishnan</w:t>
      </w:r>
      <w:proofErr w:type="spellEnd"/>
      <w:r>
        <w:t xml:space="preserve"> (n=24), Matson (n=39), and Frankel studies (n=44) were used for comparison. In the </w:t>
      </w:r>
      <w:proofErr w:type="spellStart"/>
      <w:r>
        <w:t>Gopalakrishnan</w:t>
      </w:r>
      <w:proofErr w:type="spellEnd"/>
      <w:r>
        <w:t xml:space="preserve"> and Matson data, paired whole genome sequencing (WGS) and 16S </w:t>
      </w:r>
      <w:proofErr w:type="spellStart"/>
      <w:r>
        <w:t>rRNA</w:t>
      </w:r>
      <w:proofErr w:type="spellEnd"/>
      <w:r>
        <w:t xml:space="preserve"> amplicon libraries </w:t>
      </w:r>
      <w:proofErr w:type="gramStart"/>
      <w:r>
        <w:t>were developed and sequenced separately by the authors</w:t>
      </w:r>
      <w:proofErr w:type="gramEnd"/>
      <w:r>
        <w:t xml:space="preserve">. For the Frankel data, 100bp 16S </w:t>
      </w:r>
      <w:proofErr w:type="spellStart"/>
      <w:r>
        <w:t>rRNA</w:t>
      </w:r>
      <w:proofErr w:type="spellEnd"/>
      <w:r>
        <w:t xml:space="preserve"> amplicon V4 fragments were </w:t>
      </w:r>
      <w:proofErr w:type="spellStart"/>
      <w:r>
        <w:t>bioinformatically</w:t>
      </w:r>
      <w:proofErr w:type="spellEnd"/>
      <w:r>
        <w:t xml:space="preserve"> identified within the WGS datasets, and subsequently extracted and analyzed.  Top panel displays results for all 12 species; bottom panel displays results by individual species. Dotted black line represents expected correlation of relative abundance.</w:t>
      </w:r>
    </w:p>
    <w:p w:rsidR="001E5898" w:rsidRDefault="001E5898" w:rsidP="001E5898"/>
    <w:p w:rsidR="001E5898" w:rsidRDefault="001E5898" w:rsidP="001E5898">
      <w:r>
        <w:t xml:space="preserve">Figure S2. Alpha diversity analysis across all cohorts using Chao1, observed species, Shannon, and Simpson Reciprocal measures. A) Forest plots </w:t>
      </w:r>
      <w:proofErr w:type="gramStart"/>
      <w:r>
        <w:t>are shown</w:t>
      </w:r>
      <w:proofErr w:type="gramEnd"/>
      <w:r>
        <w:t xml:space="preserve"> for each metric within each cohort and as fixed or random effects model. P values for random effects model and I² heterogeneity values indicated for each metric. B) Statistical analysis shown for each metric within cohorts with mean value for responder (R) and </w:t>
      </w:r>
      <w:proofErr w:type="spellStart"/>
      <w:r>
        <w:t>nonresponder</w:t>
      </w:r>
      <w:proofErr w:type="spellEnd"/>
      <w:r>
        <w:t xml:space="preserve"> (NR) patients. Results of statistical testing with Mann-Whitney and t-test shown for each alpha diversity metric. For the </w:t>
      </w:r>
      <w:proofErr w:type="spellStart"/>
      <w:r>
        <w:t>Chaput</w:t>
      </w:r>
      <w:proofErr w:type="spellEnd"/>
      <w:r>
        <w:t xml:space="preserve"> cohort, analysis by chao1 </w:t>
      </w:r>
      <w:proofErr w:type="gramStart"/>
      <w:r>
        <w:t>is limited</w:t>
      </w:r>
      <w:proofErr w:type="gramEnd"/>
      <w:r>
        <w:t xml:space="preserve"> by original sequencing depth in the sample and is thereby omitted.</w:t>
      </w:r>
    </w:p>
    <w:p w:rsidR="001E5898" w:rsidRDefault="001E5898" w:rsidP="001E5898"/>
    <w:p w:rsidR="006C1C19" w:rsidRDefault="006C1C19" w:rsidP="006C1C19">
      <w:r>
        <w:t xml:space="preserve">Figure S3. Complete species list for each index identified through re-analysis of raw sequencing data or as reported by the authors. Species associated with responders (R) </w:t>
      </w:r>
      <w:proofErr w:type="gramStart"/>
      <w:r>
        <w:t>are indicated</w:t>
      </w:r>
      <w:proofErr w:type="gramEnd"/>
      <w:r>
        <w:t xml:space="preserve"> in blue, </w:t>
      </w:r>
      <w:proofErr w:type="spellStart"/>
      <w:r>
        <w:t>nonresponders</w:t>
      </w:r>
      <w:proofErr w:type="spellEnd"/>
      <w:r>
        <w:t xml:space="preserve"> (NR) in orange; and signals consistent across all three indexes in green. Of note, as </w:t>
      </w:r>
      <w:proofErr w:type="spellStart"/>
      <w:r w:rsidRPr="006C1C19">
        <w:rPr>
          <w:i/>
        </w:rPr>
        <w:t>Faecalibacterium</w:t>
      </w:r>
      <w:proofErr w:type="spellEnd"/>
      <w:r w:rsidRPr="006C1C19">
        <w:rPr>
          <w:i/>
        </w:rPr>
        <w:t xml:space="preserve"> </w:t>
      </w:r>
      <w:proofErr w:type="spellStart"/>
      <w:r w:rsidRPr="006C1C19">
        <w:rPr>
          <w:i/>
        </w:rPr>
        <w:t>prausnitzii</w:t>
      </w:r>
      <w:proofErr w:type="spellEnd"/>
      <w:r>
        <w:t xml:space="preserve"> is a single species genus, genus and species level taxonomic identification </w:t>
      </w:r>
      <w:proofErr w:type="gramStart"/>
      <w:r>
        <w:t>are used</w:t>
      </w:r>
      <w:proofErr w:type="gramEnd"/>
      <w:r>
        <w:t xml:space="preserve"> interchangeably.</w:t>
      </w:r>
    </w:p>
    <w:p w:rsidR="006C1C19" w:rsidRDefault="006C1C19" w:rsidP="006C1C19"/>
    <w:p w:rsidR="006C1C19" w:rsidRDefault="006C1C19" w:rsidP="006C1C19">
      <w:r>
        <w:t xml:space="preserve">Figure S4: Sensitivity and specificity analysis of the Integrated Microbiome Prediction Index for response prediction in responder (R) vs </w:t>
      </w:r>
      <w:proofErr w:type="spellStart"/>
      <w:r>
        <w:t>nonresponder</w:t>
      </w:r>
      <w:proofErr w:type="spellEnd"/>
      <w:r>
        <w:t xml:space="preserve"> (NR), further stratified by inclusion (+) or exclusion (-) of stable disease (SD) if available. Two cohorts (Frankel and Routy) had available SD metadata for individual patients, while the other three (</w:t>
      </w:r>
      <w:proofErr w:type="spellStart"/>
      <w:r>
        <w:t>Chaput</w:t>
      </w:r>
      <w:proofErr w:type="spellEnd"/>
      <w:r>
        <w:t xml:space="preserve">, </w:t>
      </w:r>
      <w:proofErr w:type="spellStart"/>
      <w:r>
        <w:t>Gopalakrishnan</w:t>
      </w:r>
      <w:proofErr w:type="spellEnd"/>
      <w:r>
        <w:t xml:space="preserve">, and Matson) defined patients only as R vs NR even if SD data was used to make the clinical assessment. A. </w:t>
      </w:r>
      <w:proofErr w:type="gramStart"/>
      <w:r>
        <w:t>The</w:t>
      </w:r>
      <w:proofErr w:type="gramEnd"/>
      <w:r>
        <w:t xml:space="preserve"> AUC for each cohort is shown for each R-associated, NR-associated, and Sum indices. Grey boxes indicate AUC including SD patients as indicated by original authors while blue boxes exclude all SD patients. B. </w:t>
      </w:r>
      <w:proofErr w:type="gramStart"/>
      <w:r>
        <w:t>The</w:t>
      </w:r>
      <w:proofErr w:type="gramEnd"/>
      <w:r>
        <w:t xml:space="preserve"> Integrated Microbiome Prediction Index is shown without SD patients for the Frankel and Routy cohorts. Y-axis displays sensitivity, and the x-axis displays specificity. Mean area under the curve (AUC) was calculated without SD patients; mean AUC and standard error of the mean (SEM) is displayed on each graph.</w:t>
      </w:r>
    </w:p>
    <w:p w:rsidR="006C1C19" w:rsidRDefault="006C1C19" w:rsidP="006C1C19"/>
    <w:p w:rsidR="006C1C19" w:rsidRDefault="006C1C19" w:rsidP="006C1C19">
      <w:r>
        <w:t xml:space="preserve">Figure S5. Limited gut microbiome compositional changes </w:t>
      </w:r>
      <w:proofErr w:type="gramStart"/>
      <w:r>
        <w:t>are observed</w:t>
      </w:r>
      <w:proofErr w:type="gramEnd"/>
      <w:r>
        <w:t xml:space="preserve"> during treatment with checkpoint inhibitors. Beta-diversity analysis and differential abundance analysis comparing pre-treatment and paired longitudinal samples from the </w:t>
      </w:r>
      <w:proofErr w:type="spellStart"/>
      <w:r>
        <w:t>Chaput</w:t>
      </w:r>
      <w:proofErr w:type="spellEnd"/>
      <w:r>
        <w:t xml:space="preserve"> (A, B) and Routy (C, D) cohorts revealed </w:t>
      </w:r>
      <w:r>
        <w:lastRenderedPageBreak/>
        <w:t xml:space="preserve">stable gut microbiome composition after initiation of therapy. (A, C) Beta-diversity distances (Bray-Curtis metric) between paired baseline and on-therapy samples per patient were significantly closer to each other (blue) than samples from other patients (red) across multiple months (*p &lt;0.005 Mann-Whitney test). (B, D) Species-specific differential abundance analysis for each cohort indicated no significant changes in relative abundance between and on-therapy samples. X-axis displays baseline percentage abundance of each species. Y-axis displays </w:t>
      </w:r>
      <w:proofErr w:type="gramStart"/>
      <w:r>
        <w:t>-1*</w:t>
      </w:r>
      <w:proofErr w:type="gramEnd"/>
      <w:r>
        <w:t xml:space="preserve">Log10 unadjusted paired Mann-Whitney test p-values comparing percent abundance of species at indicated </w:t>
      </w:r>
      <w:proofErr w:type="spellStart"/>
      <w:r>
        <w:t>timepoint</w:t>
      </w:r>
      <w:proofErr w:type="spellEnd"/>
      <w:r>
        <w:t xml:space="preserve"> (by color) to baseline.</w:t>
      </w:r>
    </w:p>
    <w:p w:rsidR="006C1C19" w:rsidRDefault="006C1C19" w:rsidP="006C1C19"/>
    <w:p w:rsidR="006C1C19" w:rsidRDefault="006C1C19" w:rsidP="006C1C19">
      <w:r>
        <w:t>Figure S6. Differential abundance analysis of antibiotic resistance genes and virulence factors between R and NR for WGS datasets. We first cataloged read-level matches using DIAMOND translated search against multiple databases annotated for antibiotic resistance (A-C) and virulence factors (D-F). A hit to a functional gene required a match of ≥</w:t>
      </w:r>
      <w:proofErr w:type="gramStart"/>
      <w:r>
        <w:t>80%</w:t>
      </w:r>
      <w:proofErr w:type="gramEnd"/>
      <w:r>
        <w:t xml:space="preserve"> amino acid identity and ≥90% query coverage. Differential abundance analysis was performed for each functional gene of interest between responders (R) and </w:t>
      </w:r>
      <w:proofErr w:type="spellStart"/>
      <w:r>
        <w:t>nonresponders</w:t>
      </w:r>
      <w:proofErr w:type="spellEnd"/>
      <w:r>
        <w:t xml:space="preserve"> (NR) for each study (Mann-Whitney test), normalizing for high-quality sequencing depth per sample. Y-axis values display </w:t>
      </w:r>
      <w:proofErr w:type="gramStart"/>
      <w:r>
        <w:t>-1*</w:t>
      </w:r>
      <w:proofErr w:type="gramEnd"/>
      <w:r>
        <w:t>Log10 (Mann-Whitney p-values) per functional gene of interest, with values ≥2 indicating P ≤0.01 (dashed horizontal lines). X-axis values display Log2 (Fold Difference R/NR), with values ≤-1 or ≥</w:t>
      </w:r>
      <w:proofErr w:type="gramStart"/>
      <w:r>
        <w:t>1</w:t>
      </w:r>
      <w:proofErr w:type="gramEnd"/>
      <w:r>
        <w:t xml:space="preserve"> indicating depletion or enrichment in R, respectively (dashed vertical lines). Abbreviations: ARDB, Antibiotic Resistance Genes Database; CARD, The Comprehensive Antibiotic Resistance Database; NDARO, National Database of Antibiotic Resistant Organisms; PATRIC_VF, </w:t>
      </w:r>
      <w:proofErr w:type="spellStart"/>
      <w:r>
        <w:t>Pathosystems</w:t>
      </w:r>
      <w:proofErr w:type="spellEnd"/>
      <w:r>
        <w:t xml:space="preserve"> Resource Integration Center Virulence Factor; VFDB, Virulence Factor Database; Victors, the Victors virulence factor database.</w:t>
      </w:r>
    </w:p>
    <w:p w:rsidR="006C1C19" w:rsidRDefault="006C1C19" w:rsidP="006C1C19"/>
    <w:p w:rsidR="006C1C19" w:rsidRDefault="006C1C19" w:rsidP="006C1C19">
      <w:r>
        <w:t xml:space="preserve">Figure S7. 16S </w:t>
      </w:r>
      <w:proofErr w:type="spellStart"/>
      <w:r>
        <w:t>rRNA</w:t>
      </w:r>
      <w:proofErr w:type="spellEnd"/>
      <w:r>
        <w:t xml:space="preserve"> amplicon data processing for predicted functional elements using Phylogenetic Investigation of Communities by Reconstruction of Unobserved States (</w:t>
      </w:r>
      <w:proofErr w:type="spellStart"/>
      <w:r>
        <w:t>PICRUSt</w:t>
      </w:r>
      <w:proofErr w:type="spellEnd"/>
      <w:r>
        <w:t xml:space="preserve">) based on taxonomic composition. Available 16S </w:t>
      </w:r>
      <w:proofErr w:type="spellStart"/>
      <w:r>
        <w:t>rRNA</w:t>
      </w:r>
      <w:proofErr w:type="spellEnd"/>
      <w:r>
        <w:t xml:space="preserve"> amplicon sequences, or mined V4 fragments that were </w:t>
      </w:r>
      <w:proofErr w:type="spellStart"/>
      <w:r>
        <w:t>bioinfomatically</w:t>
      </w:r>
      <w:proofErr w:type="spellEnd"/>
      <w:r>
        <w:t xml:space="preserve"> identified from whole genome sequencing data in Routy and Frankel cohorts, were subsequently extracted and analyzed. Forest plots for each pathway </w:t>
      </w:r>
      <w:proofErr w:type="gramStart"/>
      <w:r>
        <w:t>are shown</w:t>
      </w:r>
      <w:proofErr w:type="gramEnd"/>
      <w:r>
        <w:t xml:space="preserve"> across all cohorts with both fixed effect and random effects models; p values are indicated for the random effects models. A positive shift indicates enrichment </w:t>
      </w:r>
      <w:proofErr w:type="spellStart"/>
      <w:r>
        <w:t>inresponders</w:t>
      </w:r>
      <w:proofErr w:type="spellEnd"/>
      <w:r>
        <w:t xml:space="preserve"> (R) while a negative shift indicates enrichment in </w:t>
      </w:r>
      <w:proofErr w:type="spellStart"/>
      <w:r>
        <w:t>nonresponders</w:t>
      </w:r>
      <w:proofErr w:type="spellEnd"/>
      <w:r>
        <w:t xml:space="preserve"> (NR). Heterogeneity analysis included: estimates of I² (percentage of variability in effect estimates due to study heterogeneity), τ²-statistic (between-study variance), and the p-value from Cochran’s test.</w:t>
      </w:r>
    </w:p>
    <w:p w:rsidR="00B05D89" w:rsidRDefault="00B05D89" w:rsidP="006C1C19"/>
    <w:p w:rsidR="006C1C19" w:rsidRDefault="006C1C19" w:rsidP="006C1C19">
      <w:r>
        <w:t xml:space="preserve">Table S1. Complete sample manifest and clinical characteristics available for each cohort. Abbreviations: R, responder; NR, </w:t>
      </w:r>
      <w:proofErr w:type="spellStart"/>
      <w:r>
        <w:t>nonresponder</w:t>
      </w:r>
      <w:proofErr w:type="spellEnd"/>
      <w:r>
        <w:t xml:space="preserve">; WGS, whole genome sequencing; PFS, progression free survival. T0, pre-treatment or initial treatment sample; T1, 1 month; T2, 2months; </w:t>
      </w:r>
      <w:proofErr w:type="spellStart"/>
      <w:r>
        <w:t>Ztox</w:t>
      </w:r>
      <w:proofErr w:type="spellEnd"/>
      <w:r>
        <w:t xml:space="preserve">, sample at time of </w:t>
      </w:r>
      <w:proofErr w:type="spellStart"/>
      <w:r>
        <w:t>irAE</w:t>
      </w:r>
      <w:proofErr w:type="spellEnd"/>
      <w:r>
        <w:t xml:space="preserve">; </w:t>
      </w:r>
      <w:proofErr w:type="spellStart"/>
      <w:r>
        <w:t>Zposttox</w:t>
      </w:r>
      <w:proofErr w:type="spellEnd"/>
      <w:r>
        <w:t xml:space="preserve">, sample after </w:t>
      </w:r>
      <w:proofErr w:type="spellStart"/>
      <w:r>
        <w:t>irAE</w:t>
      </w:r>
      <w:proofErr w:type="spellEnd"/>
      <w:r>
        <w:t xml:space="preserve">; </w:t>
      </w:r>
      <w:proofErr w:type="spellStart"/>
      <w:r>
        <w:t>LTbenefit</w:t>
      </w:r>
      <w:proofErr w:type="spellEnd"/>
      <w:r>
        <w:t>, long-term benefit.</w:t>
      </w:r>
    </w:p>
    <w:p w:rsidR="006C1C19" w:rsidRDefault="006C1C19" w:rsidP="006C1C19"/>
    <w:p w:rsidR="006C1C19" w:rsidRDefault="006C1C19" w:rsidP="006C1C19">
      <w:r>
        <w:t xml:space="preserve">Table S2. Microbiome features of ICI responding patients and statistics with correction for multiple hypothesis testing. </w:t>
      </w:r>
      <w:proofErr w:type="gramStart"/>
      <w:r>
        <w:t>Each study is indicated by the first author and year of publication</w:t>
      </w:r>
      <w:proofErr w:type="gramEnd"/>
      <w:r>
        <w:t xml:space="preserve">. Major microbial signatures identified </w:t>
      </w:r>
      <w:proofErr w:type="gramStart"/>
      <w:r>
        <w:t>are listed</w:t>
      </w:r>
      <w:proofErr w:type="gramEnd"/>
      <w:r>
        <w:t xml:space="preserve"> along with each statistical test indicated and adjusted p values after </w:t>
      </w:r>
      <w:r>
        <w:lastRenderedPageBreak/>
        <w:t xml:space="preserve">correction for false discovery rate (FDR). Abbreviations: R, responder; NR, </w:t>
      </w:r>
      <w:proofErr w:type="spellStart"/>
      <w:r>
        <w:t>nonresponder</w:t>
      </w:r>
      <w:proofErr w:type="spellEnd"/>
      <w:r>
        <w:t>; adj., adjusted for FDR.</w:t>
      </w:r>
    </w:p>
    <w:p w:rsidR="006C1C19" w:rsidRDefault="006C1C19" w:rsidP="006C1C19"/>
    <w:p w:rsidR="006C1C19" w:rsidRDefault="006C1C19" w:rsidP="006C1C19">
      <w:r>
        <w:t xml:space="preserve">Table S3: All microbiome features identified through re-analysis. For each feature, both fixed and random effects Hedge’s G Standardized Mean Difference (SMD) </w:t>
      </w:r>
      <w:proofErr w:type="gramStart"/>
      <w:r>
        <w:t>are shown</w:t>
      </w:r>
      <w:proofErr w:type="gramEnd"/>
      <w:r>
        <w:t xml:space="preserve"> along with p values. Heterogeneity analysis includes estimates of I</w:t>
      </w:r>
      <w:r w:rsidRPr="006C1C19">
        <w:rPr>
          <w:vertAlign w:val="superscript"/>
        </w:rPr>
        <w:t>2</w:t>
      </w:r>
      <w:r>
        <w:t xml:space="preserve"> (percentage of variability in effect estimates due to study heterogeneity) and τ</w:t>
      </w:r>
      <w:r w:rsidRPr="006C1C19">
        <w:rPr>
          <w:vertAlign w:val="superscript"/>
        </w:rPr>
        <w:t>2</w:t>
      </w:r>
      <w:r>
        <w:t>-statistic (</w:t>
      </w:r>
      <w:proofErr w:type="spellStart"/>
      <w:r>
        <w:t>betweenstudy</w:t>
      </w:r>
      <w:proofErr w:type="spellEnd"/>
      <w:r>
        <w:t xml:space="preserve"> variance). </w:t>
      </w:r>
      <w:proofErr w:type="gramStart"/>
      <w:r>
        <w:t xml:space="preserve">The percent positive rate across both responder (R) and </w:t>
      </w:r>
      <w:proofErr w:type="spellStart"/>
      <w:r>
        <w:t>nonresponder</w:t>
      </w:r>
      <w:proofErr w:type="spellEnd"/>
      <w:r>
        <w:t xml:space="preserve"> (NR) samples is listed by cohort</w:t>
      </w:r>
      <w:proofErr w:type="gramEnd"/>
      <w:r>
        <w:t xml:space="preserve">. The color range displays relative </w:t>
      </w:r>
      <w:proofErr w:type="gramStart"/>
      <w:r>
        <w:t>%</w:t>
      </w:r>
      <w:proofErr w:type="gramEnd"/>
      <w:r>
        <w:t xml:space="preserve"> positive rates per cohort (green, high; red, low). </w:t>
      </w:r>
    </w:p>
    <w:p w:rsidR="006C1C19" w:rsidRDefault="006C1C19" w:rsidP="006C1C19">
      <w:bookmarkStart w:id="0" w:name="_GoBack"/>
      <w:bookmarkEnd w:id="0"/>
    </w:p>
    <w:p w:rsidR="006C1C19" w:rsidRDefault="006C1C19" w:rsidP="006C1C19">
      <w:r>
        <w:t xml:space="preserve">Table S4: Cross validation of each bacterial signal in all indexes. For each index, each bacterial signal </w:t>
      </w:r>
      <w:proofErr w:type="gramStart"/>
      <w:r>
        <w:t>was removed</w:t>
      </w:r>
      <w:proofErr w:type="gramEnd"/>
      <w:r>
        <w:t xml:space="preserve"> from the index to assess the individual contribution as part of a leave-on-out analysis. Hedge’s G for fixed and random effects model, along with p values and heterogeneity analysis, </w:t>
      </w:r>
      <w:proofErr w:type="gramStart"/>
      <w:r>
        <w:t>are shown</w:t>
      </w:r>
      <w:proofErr w:type="gramEnd"/>
      <w:r>
        <w:t xml:space="preserve"> for each signal. Heterogeneity analysis includes estimates of I</w:t>
      </w:r>
      <w:r w:rsidRPr="006C1C19">
        <w:rPr>
          <w:vertAlign w:val="superscript"/>
        </w:rPr>
        <w:t>2</w:t>
      </w:r>
      <w:r>
        <w:t xml:space="preserve"> (percentage of variability in effect estimates due to study heterogeneity) and τ</w:t>
      </w:r>
      <w:r w:rsidRPr="006C1C19">
        <w:rPr>
          <w:vertAlign w:val="superscript"/>
        </w:rPr>
        <w:t>2</w:t>
      </w:r>
      <w:r>
        <w:t xml:space="preserve">-statistic (between-study variance). Sensitivity and specificity was also calculated, and the AUC </w:t>
      </w:r>
      <w:proofErr w:type="gramStart"/>
      <w:r>
        <w:t>is shown</w:t>
      </w:r>
      <w:proofErr w:type="gramEnd"/>
      <w:r>
        <w:t xml:space="preserve"> for each cohort as well as an average across all studies. The color range displays relative AUC for individual cohorts and mean AUC (green, high; red, low).</w:t>
      </w:r>
    </w:p>
    <w:p w:rsidR="006C1C19" w:rsidRDefault="006C1C19" w:rsidP="006C1C19"/>
    <w:p w:rsidR="006C1C19" w:rsidRDefault="006C1C19" w:rsidP="006C1C19">
      <w:r>
        <w:t xml:space="preserve">Table S5. Effect of prior antibiotic exposure on alpha diversity metrics in responder (R) vs </w:t>
      </w:r>
      <w:proofErr w:type="spellStart"/>
      <w:r>
        <w:t>nonresponder</w:t>
      </w:r>
      <w:proofErr w:type="spellEnd"/>
      <w:r>
        <w:t xml:space="preserve"> (NR) patients. Using the Routy cohort and data analyzed with the bioinformatics platform herein, samples </w:t>
      </w:r>
      <w:proofErr w:type="gramStart"/>
      <w:r>
        <w:t>were stratified</w:t>
      </w:r>
      <w:proofErr w:type="gramEnd"/>
      <w:r>
        <w:t xml:space="preserve"> by clinical response and prior antibiotic exposure. Only pretreatment or initial sample </w:t>
      </w:r>
      <w:proofErr w:type="gramStart"/>
      <w:r>
        <w:t>was analyzed</w:t>
      </w:r>
      <w:proofErr w:type="gramEnd"/>
      <w:r>
        <w:t xml:space="preserve"> for each patient. Mean and standard error of the man (SEM) </w:t>
      </w:r>
      <w:proofErr w:type="gramStart"/>
      <w:r>
        <w:t>are shown</w:t>
      </w:r>
      <w:proofErr w:type="gramEnd"/>
      <w:r>
        <w:t>. Statistical testing performed with both t-test and Mann Whitney.</w:t>
      </w:r>
    </w:p>
    <w:sectPr w:rsidR="006C1C19" w:rsidSect="001E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28" w:rsidRDefault="002E0428" w:rsidP="001E5898">
      <w:pPr>
        <w:spacing w:after="0" w:line="240" w:lineRule="auto"/>
      </w:pPr>
      <w:r>
        <w:separator/>
      </w:r>
    </w:p>
  </w:endnote>
  <w:endnote w:type="continuationSeparator" w:id="0">
    <w:p w:rsidR="002E0428" w:rsidRDefault="002E0428" w:rsidP="001E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28" w:rsidRDefault="002E0428" w:rsidP="001E5898">
      <w:pPr>
        <w:spacing w:after="0" w:line="240" w:lineRule="auto"/>
      </w:pPr>
      <w:r>
        <w:separator/>
      </w:r>
    </w:p>
  </w:footnote>
  <w:footnote w:type="continuationSeparator" w:id="0">
    <w:p w:rsidR="002E0428" w:rsidRDefault="002E0428" w:rsidP="001E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8"/>
    <w:rsid w:val="000E2356"/>
    <w:rsid w:val="001E5898"/>
    <w:rsid w:val="002E0428"/>
    <w:rsid w:val="00565127"/>
    <w:rsid w:val="006C1C19"/>
    <w:rsid w:val="00B05D89"/>
    <w:rsid w:val="00B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B78F5-43E4-4630-9CB8-E1BE115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1E589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E589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98"/>
  </w:style>
  <w:style w:type="paragraph" w:styleId="Footer">
    <w:name w:val="footer"/>
    <w:basedOn w:val="Normal"/>
    <w:link w:val="FooterChar"/>
    <w:uiPriority w:val="99"/>
    <w:unhideWhenUsed/>
    <w:rsid w:val="001E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Fyza Shaikh</dc:creator>
  <cp:keywords/>
  <dc:description/>
  <cp:lastModifiedBy>Fyza Shaikh</cp:lastModifiedBy>
  <cp:revision>2</cp:revision>
  <dcterms:created xsi:type="dcterms:W3CDTF">2021-01-27T22:47:00Z</dcterms:created>
  <dcterms:modified xsi:type="dcterms:W3CDTF">2021-01-27T22:47:00Z</dcterms:modified>
</cp:coreProperties>
</file>