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210" w:rsidRPr="00657F00" w:rsidRDefault="00863F01" w:rsidP="00657F00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6480000" cy="830353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. Fig. S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30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01" w:rsidRPr="00863F01" w:rsidRDefault="00863F01" w:rsidP="00863F01">
      <w:pPr>
        <w:spacing w:after="0" w:line="30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eastAsia="SimSun" w:hAnsi="Times New Roman" w:cs="Times New Roman"/>
          <w:b/>
          <w:sz w:val="24"/>
          <w:szCs w:val="24"/>
          <w:lang w:val="en-US"/>
        </w:rPr>
        <w:t>Supplementary Figure S7</w:t>
      </w:r>
      <w:r w:rsidR="00657F00" w:rsidRPr="00657F00">
        <w:rPr>
          <w:rFonts w:ascii="Times New Roman" w:eastAsia="SimSun" w:hAnsi="Times New Roman" w:cs="Times New Roman"/>
          <w:b/>
          <w:sz w:val="24"/>
          <w:szCs w:val="24"/>
          <w:lang w:val="en-US"/>
        </w:rPr>
        <w:t>.</w:t>
      </w:r>
      <w:proofErr w:type="gramEnd"/>
      <w:r w:rsidR="00657F00" w:rsidRPr="00657F00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 </w:t>
      </w:r>
      <w:r w:rsidRPr="00863F01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Emergence of ENZ resistance can be prevented by BCL-2 or IKKB inhibitor </w:t>
      </w:r>
      <w:r w:rsidRPr="00863F01">
        <w:rPr>
          <w:rFonts w:ascii="Times New Roman" w:eastAsia="SimSun" w:hAnsi="Times New Roman" w:cs="Times New Roman"/>
          <w:b/>
          <w:i/>
          <w:sz w:val="24"/>
          <w:szCs w:val="24"/>
          <w:lang w:val="en-US"/>
        </w:rPr>
        <w:t>in vivo</w:t>
      </w:r>
      <w:r w:rsidRPr="00863F01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 and is associated with IKKB upregulation.</w:t>
      </w:r>
    </w:p>
    <w:p w:rsidR="00863F01" w:rsidRPr="00863F01" w:rsidRDefault="00863F01" w:rsidP="00863F01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A. Tumor growth of 16D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xenografts with the treatment of vehicl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>e control (DMSO), 100 mg/kg ABT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199 or 10 mg/kg IMD0354, in combination with 10 mg/kg ENZ, when the tumor size exceeds 200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mm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3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. Individual animals are denoted.</w:t>
      </w:r>
    </w:p>
    <w:p w:rsidR="00863F01" w:rsidRPr="00863F01" w:rsidRDefault="00863F01" w:rsidP="00863F01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B. Tumor growth of 16D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xenografts with the treatment of vehicle control (DMSO) or 10 mg/kg ENZ, when the tumor size exceeds 200 mm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3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. After the size of ENZ-treated tumor reaches 300 mm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3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, the mice are additionally treated with vehicl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>e control (DMSO), 100 mg/kg ABT199 or 10 mg/kg IMD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0354. Individual animals are denoted.</w:t>
      </w:r>
    </w:p>
    <w:p w:rsidR="00863F01" w:rsidRPr="00863F01" w:rsidRDefault="00863F01" w:rsidP="00863F01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C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>~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D. Representative sequencing results for AR point mutation F877L in 16D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xenografts collected at the endpoint with treatment of vehicle (C) or ENZ (D).</w:t>
      </w:r>
    </w:p>
    <w:p w:rsidR="00863F01" w:rsidRPr="00863F01" w:rsidRDefault="00863F01" w:rsidP="00863F01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E. Representative sequencing results for AR point mutation F877L in 30C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ENZR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xenografts collected at the endpoint with treatment of ENZ.</w:t>
      </w:r>
    </w:p>
    <w:p w:rsidR="00863F01" w:rsidRPr="00863F01" w:rsidRDefault="00863F01" w:rsidP="00863F01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F. mRNA levels of AR-V7 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>in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16D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xenografts collected at the endpoint with treatment of vehicle (</w:t>
      </w:r>
      <w:proofErr w:type="spellStart"/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Veh</w:t>
      </w:r>
      <w:proofErr w:type="spellEnd"/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) or ENZ. 22Rv1 used as AR-V7 positive control.</w:t>
      </w:r>
    </w:p>
    <w:p w:rsidR="00863F01" w:rsidRPr="00863F01" w:rsidRDefault="00863F01" w:rsidP="00863F01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G. mRNA levels of BCL-2 and IKKB 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>in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16D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xenografts collected at the endpoint with treatment of vehicle (</w:t>
      </w:r>
      <w:proofErr w:type="spellStart"/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Veh</w:t>
      </w:r>
      <w:proofErr w:type="spellEnd"/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) or ENZ.</w:t>
      </w:r>
    </w:p>
    <w:p w:rsidR="009E5A91" w:rsidRPr="00863F01" w:rsidRDefault="00863F01" w:rsidP="00863F01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H. Expression (H-score) of cytoplasmic IKKB protein in 16D</w:t>
      </w:r>
      <w:r w:rsidRPr="00863F01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xenografts collected at the endpoint with treatment of vehicle (</w:t>
      </w:r>
      <w:proofErr w:type="spellStart"/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Veh</w:t>
      </w:r>
      <w:proofErr w:type="spellEnd"/>
      <w:r w:rsidRPr="00863F01">
        <w:rPr>
          <w:rFonts w:ascii="Times New Roman" w:eastAsia="SimSun" w:hAnsi="Times New Roman" w:cs="Times New Roman"/>
          <w:sz w:val="24"/>
          <w:szCs w:val="24"/>
          <w:lang w:val="en-US"/>
        </w:rPr>
        <w:t>) or ENZ.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val="en-US"/>
        </w:rPr>
        <w:t>p-value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indicated.</w:t>
      </w:r>
      <w:bookmarkStart w:id="0" w:name="_GoBack"/>
      <w:bookmarkEnd w:id="0"/>
    </w:p>
    <w:sectPr w:rsidR="009E5A91" w:rsidRPr="00863F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7710D"/>
    <w:multiLevelType w:val="hybridMultilevel"/>
    <w:tmpl w:val="E3EA4474"/>
    <w:lvl w:ilvl="0" w:tplc="CADE39A6">
      <w:start w:val="1"/>
      <w:numFmt w:val="upperLetter"/>
      <w:lvlText w:val="%1."/>
      <w:lvlJc w:val="left"/>
      <w:pPr>
        <w:ind w:left="720" w:hanging="360"/>
      </w:pPr>
      <w:rPr>
        <w:rFonts w:eastAsia="SimSu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672"/>
    <w:rsid w:val="00350610"/>
    <w:rsid w:val="005200B5"/>
    <w:rsid w:val="005D71E2"/>
    <w:rsid w:val="005E1E52"/>
    <w:rsid w:val="00657F00"/>
    <w:rsid w:val="006F5978"/>
    <w:rsid w:val="00760288"/>
    <w:rsid w:val="00863F01"/>
    <w:rsid w:val="009E5A91"/>
    <w:rsid w:val="00A27210"/>
    <w:rsid w:val="00AC74D8"/>
    <w:rsid w:val="00C02DC0"/>
    <w:rsid w:val="00CA51BF"/>
    <w:rsid w:val="00CB1262"/>
    <w:rsid w:val="00E05672"/>
    <w:rsid w:val="00E94414"/>
    <w:rsid w:val="00F17179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F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A0742-B8B5-4A0F-80D0-0B02AD732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4D8419E4</Template>
  <TotalTime>9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UHN Research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Liang</dc:creator>
  <cp:lastModifiedBy>Yi Liang</cp:lastModifiedBy>
  <cp:revision>3</cp:revision>
  <dcterms:created xsi:type="dcterms:W3CDTF">2020-09-03T17:49:00Z</dcterms:created>
  <dcterms:modified xsi:type="dcterms:W3CDTF">2020-09-03T18:00:00Z</dcterms:modified>
</cp:coreProperties>
</file>