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E45" w:rsidRDefault="00683A38" w:rsidP="00282E45">
      <w:pPr>
        <w:spacing w:line="480" w:lineRule="auto"/>
        <w:rPr>
          <w:rFonts w:ascii="Arial" w:hAnsi="Arial" w:cs="Arial"/>
          <w:b/>
          <w:bCs/>
          <w:noProof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5880100" cy="4930709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494" cy="493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82E45" w:rsidRPr="004B13AD" w:rsidRDefault="00282E45" w:rsidP="00282E45">
      <w:pPr>
        <w:spacing w:line="48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4B13AD">
        <w:rPr>
          <w:rFonts w:ascii="Arial" w:hAnsi="Arial" w:cs="Arial"/>
          <w:b/>
          <w:bCs/>
          <w:noProof/>
          <w:sz w:val="24"/>
          <w:szCs w:val="24"/>
        </w:rPr>
        <w:t>Supplemental figure 1: SSTR2 is overexpressed in thyroid cancer tissues in comparison to normal thyroid tissues.</w:t>
      </w:r>
    </w:p>
    <w:p w:rsidR="00282E45" w:rsidRPr="004B13AD" w:rsidRDefault="00282E45" w:rsidP="00282E45">
      <w:pPr>
        <w:spacing w:line="480" w:lineRule="auto"/>
        <w:rPr>
          <w:rFonts w:ascii="Arial" w:hAnsi="Arial" w:cs="Arial"/>
          <w:noProof/>
          <w:sz w:val="24"/>
          <w:szCs w:val="24"/>
        </w:rPr>
      </w:pPr>
      <w:r w:rsidRPr="004B13AD">
        <w:rPr>
          <w:rFonts w:ascii="Arial" w:hAnsi="Arial" w:cs="Arial"/>
          <w:noProof/>
          <w:sz w:val="24"/>
          <w:szCs w:val="24"/>
        </w:rPr>
        <w:t>(A) SSTR2 expression in different stages of PTC.</w:t>
      </w:r>
    </w:p>
    <w:p w:rsidR="00282E45" w:rsidRPr="004B13AD" w:rsidRDefault="00282E45" w:rsidP="00282E45">
      <w:pPr>
        <w:spacing w:line="480" w:lineRule="auto"/>
        <w:rPr>
          <w:rFonts w:ascii="Arial" w:hAnsi="Arial" w:cs="Arial"/>
          <w:noProof/>
          <w:sz w:val="24"/>
          <w:szCs w:val="24"/>
        </w:rPr>
      </w:pPr>
      <w:r w:rsidRPr="004B13AD">
        <w:rPr>
          <w:rFonts w:ascii="Arial" w:hAnsi="Arial" w:cs="Arial"/>
          <w:noProof/>
          <w:sz w:val="24"/>
          <w:szCs w:val="24"/>
        </w:rPr>
        <w:t>(B) SSTR2 expression in histological subtypes of PTC.</w:t>
      </w:r>
    </w:p>
    <w:p w:rsidR="00282E45" w:rsidRPr="004B13AD" w:rsidRDefault="00282E45" w:rsidP="00282E45">
      <w:pPr>
        <w:spacing w:line="480" w:lineRule="auto"/>
        <w:rPr>
          <w:rFonts w:ascii="Arial" w:hAnsi="Arial" w:cs="Arial"/>
          <w:noProof/>
          <w:sz w:val="24"/>
          <w:szCs w:val="24"/>
        </w:rPr>
      </w:pPr>
      <w:r w:rsidRPr="004B13AD">
        <w:rPr>
          <w:rFonts w:ascii="Arial" w:hAnsi="Arial" w:cs="Arial"/>
          <w:noProof/>
          <w:sz w:val="24"/>
          <w:szCs w:val="24"/>
        </w:rPr>
        <w:t>(C) Comparison of SSTR2 mRNA expression in different TC cell lines.</w:t>
      </w:r>
    </w:p>
    <w:p w:rsidR="00282E45" w:rsidRPr="004B13AD" w:rsidRDefault="00282E45" w:rsidP="00282E45">
      <w:pPr>
        <w:spacing w:line="480" w:lineRule="auto"/>
        <w:rPr>
          <w:rFonts w:ascii="Arial" w:hAnsi="Arial" w:cs="Arial"/>
          <w:noProof/>
          <w:sz w:val="24"/>
          <w:szCs w:val="24"/>
        </w:rPr>
      </w:pPr>
      <w:r w:rsidRPr="004B13AD">
        <w:rPr>
          <w:rFonts w:ascii="Arial" w:hAnsi="Arial" w:cs="Arial"/>
          <w:noProof/>
          <w:sz w:val="24"/>
          <w:szCs w:val="24"/>
        </w:rPr>
        <w:t>(D) TT cells had significantly higher expression than BCPAP and FTC133 cells at the mRNA level. *p&lt;0.05, ***p&lt;0.001.</w:t>
      </w:r>
    </w:p>
    <w:p w:rsidR="00282E45" w:rsidRPr="004B13AD" w:rsidRDefault="00282E45" w:rsidP="00282E45">
      <w:pPr>
        <w:spacing w:line="480" w:lineRule="auto"/>
        <w:rPr>
          <w:rFonts w:ascii="Arial" w:hAnsi="Arial" w:cs="Arial"/>
          <w:noProof/>
          <w:sz w:val="24"/>
          <w:szCs w:val="24"/>
        </w:rPr>
      </w:pPr>
      <w:r w:rsidRPr="004B13AD">
        <w:rPr>
          <w:rFonts w:ascii="Arial" w:hAnsi="Arial" w:cs="Arial"/>
          <w:noProof/>
          <w:sz w:val="24"/>
          <w:szCs w:val="24"/>
        </w:rPr>
        <w:lastRenderedPageBreak/>
        <w:t>(E) TT and BCPAP had similar expression at protein level whereas FTC133 had the lowest expression.</w:t>
      </w:r>
    </w:p>
    <w:p w:rsidR="00282E45" w:rsidRPr="004B13AD" w:rsidRDefault="00282E45" w:rsidP="00282E45">
      <w:pPr>
        <w:spacing w:line="480" w:lineRule="auto"/>
        <w:rPr>
          <w:rFonts w:ascii="Arial" w:hAnsi="Arial" w:cs="Arial"/>
          <w:noProof/>
          <w:sz w:val="24"/>
          <w:szCs w:val="24"/>
        </w:rPr>
      </w:pPr>
      <w:r w:rsidRPr="004B13AD">
        <w:rPr>
          <w:rFonts w:ascii="Arial" w:hAnsi="Arial" w:cs="Arial"/>
          <w:noProof/>
          <w:sz w:val="24"/>
          <w:szCs w:val="24"/>
        </w:rPr>
        <w:t>(F) No effect of VAC treatment (2 mM and 4 mM) on the SSTR2 mRNA expression in TT cells (n=4). C-control; VAC-valproic acid.</w:t>
      </w:r>
    </w:p>
    <w:p w:rsidR="00282E45" w:rsidRDefault="00282E45" w:rsidP="00282E45">
      <w:pPr>
        <w:spacing w:line="480" w:lineRule="auto"/>
        <w:rPr>
          <w:rFonts w:ascii="Arial" w:hAnsi="Arial" w:cs="Arial"/>
          <w:noProof/>
          <w:sz w:val="24"/>
          <w:szCs w:val="24"/>
        </w:rPr>
      </w:pPr>
      <w:r w:rsidRPr="004B13AD">
        <w:rPr>
          <w:rFonts w:ascii="Arial" w:hAnsi="Arial" w:cs="Arial"/>
          <w:noProof/>
          <w:sz w:val="24"/>
          <w:szCs w:val="24"/>
        </w:rPr>
        <w:t>(G) VAC treatment (2 mM and 4 mM) increased SSTR2 protein expression in TT cells (n=2). C-control; VAC-valproic acid.</w:t>
      </w:r>
    </w:p>
    <w:p w:rsidR="00282E45" w:rsidRPr="004B13AD" w:rsidRDefault="00282E45" w:rsidP="00282E45">
      <w:pPr>
        <w:spacing w:line="48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(H, I, J, K) Densitometric analysis of SSTR2 expression in control (C) and VAC treated (2 mM and 4 mM) FTC133 (n=3), BCPAP (n=3), AR42J (n=3) and TT (n=2) cells. Data is presented as percent </w:t>
      </w:r>
      <w:r w:rsidRPr="0030413F">
        <w:rPr>
          <w:rFonts w:ascii="Arial" w:hAnsi="Arial" w:cs="Arial"/>
          <w:noProof/>
          <w:sz w:val="24"/>
          <w:szCs w:val="24"/>
        </w:rPr>
        <w:t xml:space="preserve">changes in protein expression compared </w:t>
      </w:r>
      <w:r>
        <w:rPr>
          <w:rFonts w:ascii="Arial" w:hAnsi="Arial" w:cs="Arial"/>
          <w:noProof/>
          <w:sz w:val="24"/>
          <w:szCs w:val="24"/>
        </w:rPr>
        <w:t>to control</w:t>
      </w:r>
      <w:r w:rsidRPr="0030413F">
        <w:rPr>
          <w:rFonts w:ascii="Arial" w:hAnsi="Arial" w:cs="Arial"/>
          <w:noProof/>
          <w:sz w:val="24"/>
          <w:szCs w:val="24"/>
        </w:rPr>
        <w:t xml:space="preserve"> and normalized to </w:t>
      </w:r>
      <w:r>
        <w:rPr>
          <w:rFonts w:ascii="Arial" w:hAnsi="Arial" w:cs="Arial"/>
          <w:noProof/>
          <w:sz w:val="24"/>
          <w:szCs w:val="24"/>
        </w:rPr>
        <w:t>GAPDH</w:t>
      </w:r>
      <w:r w:rsidRPr="0030413F">
        <w:rPr>
          <w:rFonts w:ascii="Arial" w:hAnsi="Arial" w:cs="Arial"/>
          <w:noProof/>
          <w:sz w:val="24"/>
          <w:szCs w:val="24"/>
        </w:rPr>
        <w:t>.</w:t>
      </w:r>
    </w:p>
    <w:p w:rsidR="00320AFB" w:rsidRDefault="00320AFB" w:rsidP="00282E45"/>
    <w:sectPr w:rsidR="00320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wMTczMjI1MTExNDRX0lEKTi0uzszPAykwrAUAB6y+TSwAAAA="/>
  </w:docVars>
  <w:rsids>
    <w:rsidRoot w:val="00282E45"/>
    <w:rsid w:val="00282E45"/>
    <w:rsid w:val="00320AFB"/>
    <w:rsid w:val="0068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9F751"/>
  <w15:chartTrackingRefBased/>
  <w15:docId w15:val="{E94A81FB-391E-4393-96B2-360F4CBB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Thakur, Shilpa (NIH/NIDDK) [E]</dc:creator>
  <cp:keywords/>
  <dc:description/>
  <cp:lastModifiedBy>Thakur, Shilpa (NIH/NIDDK) [E]</cp:lastModifiedBy>
  <cp:revision>2</cp:revision>
  <dcterms:created xsi:type="dcterms:W3CDTF">2020-12-07T20:47:00Z</dcterms:created>
  <dcterms:modified xsi:type="dcterms:W3CDTF">2020-12-07T20:49:00Z</dcterms:modified>
</cp:coreProperties>
</file>