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AFB" w:rsidRDefault="000E7AA0">
      <w:r>
        <w:rPr>
          <w:noProof/>
        </w:rPr>
        <w:drawing>
          <wp:inline distT="0" distB="0" distL="0" distR="0">
            <wp:extent cx="5829300" cy="342471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45" cy="34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A0" w:rsidRPr="004B13AD" w:rsidRDefault="000E7AA0" w:rsidP="000E7AA0">
      <w:pPr>
        <w:spacing w:line="480" w:lineRule="auto"/>
        <w:rPr>
          <w:rFonts w:ascii="Arial" w:hAnsi="Arial" w:cs="Arial"/>
          <w:b/>
          <w:bCs/>
          <w:noProof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</w:rPr>
        <w:t xml:space="preserve">Supplemental </w:t>
      </w:r>
      <w:r w:rsidRPr="004B13AD">
        <w:rPr>
          <w:rFonts w:ascii="Arial" w:hAnsi="Arial" w:cs="Arial"/>
          <w:b/>
          <w:bCs/>
          <w:noProof/>
          <w:sz w:val="24"/>
          <w:szCs w:val="24"/>
        </w:rPr>
        <w:t>Figure 7</w:t>
      </w:r>
      <w:bookmarkEnd w:id="0"/>
      <w:r w:rsidRPr="004B13AD">
        <w:rPr>
          <w:rFonts w:ascii="Arial" w:hAnsi="Arial" w:cs="Arial"/>
          <w:b/>
          <w:bCs/>
          <w:noProof/>
          <w:sz w:val="24"/>
          <w:szCs w:val="24"/>
        </w:rPr>
        <w:t>: VAC treatment did not improve therapeutic efficacy of DOTA-EB-TATE in either low- or high-SSTR2 expressing tumors.</w:t>
      </w:r>
    </w:p>
    <w:p w:rsidR="000E7AA0" w:rsidRPr="004B13AD" w:rsidRDefault="000E7AA0" w:rsidP="000E7AA0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 xml:space="preserve">(A) No effect of VAC on the tumor progression in the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noProof/>
          <w:sz w:val="24"/>
          <w:szCs w:val="24"/>
        </w:rPr>
        <w:t xml:space="preserve">Lu-DOTA-EB-TATE treated FTC133 (low-SSTR2-expressing) subcutaneous xenograft mice model. C–control mice that received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noProof/>
          <w:sz w:val="24"/>
          <w:szCs w:val="24"/>
        </w:rPr>
        <w:t xml:space="preserve">Lu-DOTA-EB-TATE (n=8); VAC–valproic acid treated mice that received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noProof/>
          <w:sz w:val="24"/>
          <w:szCs w:val="24"/>
        </w:rPr>
        <w:t xml:space="preserve">Lu-DOTA-EB-TATE (n=9). </w:t>
      </w:r>
      <w:r w:rsidRPr="004B13AD">
        <w:rPr>
          <w:rFonts w:ascii="Arial" w:hAnsi="Arial" w:cs="Arial"/>
          <w:sz w:val="24"/>
          <w:szCs w:val="24"/>
        </w:rPr>
        <w:t xml:space="preserve">Data are presented as </w:t>
      </w:r>
      <w:proofErr w:type="spellStart"/>
      <w:r w:rsidRPr="004B13AD">
        <w:rPr>
          <w:rFonts w:ascii="Arial" w:hAnsi="Arial" w:cs="Arial"/>
          <w:sz w:val="24"/>
          <w:szCs w:val="24"/>
        </w:rPr>
        <w:t>mean±SEM</w:t>
      </w:r>
      <w:proofErr w:type="spellEnd"/>
      <w:r w:rsidRPr="004B13AD">
        <w:rPr>
          <w:rFonts w:ascii="Arial" w:hAnsi="Arial" w:cs="Arial"/>
          <w:sz w:val="24"/>
          <w:szCs w:val="24"/>
        </w:rPr>
        <w:t>.</w:t>
      </w:r>
    </w:p>
    <w:p w:rsidR="000E7AA0" w:rsidRPr="004B13AD" w:rsidRDefault="000E7AA0" w:rsidP="000E7AA0">
      <w:pPr>
        <w:spacing w:line="480" w:lineRule="auto"/>
        <w:rPr>
          <w:rFonts w:ascii="Arial" w:hAnsi="Arial" w:cs="Arial"/>
          <w:sz w:val="24"/>
          <w:szCs w:val="24"/>
        </w:rPr>
      </w:pPr>
      <w:r w:rsidRPr="004B13AD">
        <w:rPr>
          <w:rFonts w:ascii="Arial" w:hAnsi="Arial" w:cs="Arial"/>
          <w:noProof/>
          <w:sz w:val="24"/>
          <w:szCs w:val="24"/>
        </w:rPr>
        <w:t xml:space="preserve">(B) No effect of VAC on the tumor progression in the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noProof/>
          <w:sz w:val="24"/>
          <w:szCs w:val="24"/>
        </w:rPr>
        <w:t xml:space="preserve">Lu-DOTA-EB-TATE treated AR42J (high-SSTR2-expressing) subcutaneous xenograft mice model. C–control mice that received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noProof/>
          <w:sz w:val="24"/>
          <w:szCs w:val="24"/>
        </w:rPr>
        <w:t xml:space="preserve">Lu-DOTA-EB-TATE (n=8); VAC–valproic acid treated mice that received </w:t>
      </w:r>
      <w:r w:rsidRPr="004B13AD">
        <w:rPr>
          <w:rFonts w:ascii="Arial" w:hAnsi="Arial" w:cs="Arial"/>
          <w:noProof/>
          <w:sz w:val="24"/>
          <w:szCs w:val="24"/>
          <w:vertAlign w:val="superscript"/>
        </w:rPr>
        <w:t>177</w:t>
      </w:r>
      <w:r w:rsidRPr="004B13AD">
        <w:rPr>
          <w:rFonts w:ascii="Arial" w:hAnsi="Arial" w:cs="Arial"/>
          <w:noProof/>
          <w:sz w:val="24"/>
          <w:szCs w:val="24"/>
        </w:rPr>
        <w:t xml:space="preserve">Lu-DOTA-EB-TATE (n=7). </w:t>
      </w:r>
      <w:r w:rsidRPr="004B13AD">
        <w:rPr>
          <w:rFonts w:ascii="Arial" w:hAnsi="Arial" w:cs="Arial"/>
          <w:sz w:val="24"/>
          <w:szCs w:val="24"/>
        </w:rPr>
        <w:t xml:space="preserve">Data are presented as </w:t>
      </w:r>
      <w:proofErr w:type="spellStart"/>
      <w:r w:rsidRPr="004B13AD">
        <w:rPr>
          <w:rFonts w:ascii="Arial" w:hAnsi="Arial" w:cs="Arial"/>
          <w:sz w:val="24"/>
          <w:szCs w:val="24"/>
        </w:rPr>
        <w:t>mean±SEM</w:t>
      </w:r>
      <w:proofErr w:type="spellEnd"/>
      <w:r w:rsidRPr="004B13AD">
        <w:rPr>
          <w:rFonts w:ascii="Arial" w:hAnsi="Arial" w:cs="Arial"/>
          <w:sz w:val="24"/>
          <w:szCs w:val="24"/>
        </w:rPr>
        <w:t>.</w:t>
      </w:r>
    </w:p>
    <w:p w:rsidR="000E7AA0" w:rsidRPr="000E7AA0" w:rsidRDefault="000E7AA0">
      <w:pPr>
        <w:rPr>
          <w:rFonts w:ascii="Arial" w:hAnsi="Arial" w:cs="Arial"/>
          <w:sz w:val="24"/>
          <w:szCs w:val="24"/>
        </w:rPr>
      </w:pPr>
    </w:p>
    <w:sectPr w:rsidR="000E7AA0" w:rsidRPr="000E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NTI3NjU1sDQ1NzRV0lEKTi0uzszPAykwrAUAMZ2/6CwAAAA="/>
  </w:docVars>
  <w:rsids>
    <w:rsidRoot w:val="000E7AA0"/>
    <w:rsid w:val="000E7AA0"/>
    <w:rsid w:val="003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9D86"/>
  <w15:chartTrackingRefBased/>
  <w15:docId w15:val="{77047E7F-9820-4E48-98BD-C18F9FFB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1</cp:revision>
  <dcterms:created xsi:type="dcterms:W3CDTF">2020-12-07T22:12:00Z</dcterms:created>
  <dcterms:modified xsi:type="dcterms:W3CDTF">2020-12-07T22:16:00Z</dcterms:modified>
</cp:coreProperties>
</file>