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7A" w:rsidRDefault="00BE137A" w:rsidP="00BE137A">
      <w:pPr>
        <w:spacing w:line="480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918200" cy="45948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929" cy="460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7A" w:rsidRPr="004B13AD" w:rsidRDefault="00BE137A" w:rsidP="00BE137A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4B13AD">
        <w:rPr>
          <w:rFonts w:ascii="Arial" w:hAnsi="Arial" w:cs="Arial"/>
          <w:b/>
          <w:bCs/>
          <w:noProof/>
          <w:sz w:val="24"/>
          <w:szCs w:val="24"/>
        </w:rPr>
        <w:t>Supplemental figure 6</w:t>
      </w:r>
      <w:bookmarkEnd w:id="0"/>
      <w:r w:rsidRPr="004B13AD">
        <w:rPr>
          <w:rFonts w:ascii="Arial" w:hAnsi="Arial" w:cs="Arial"/>
          <w:b/>
          <w:bCs/>
          <w:noProof/>
          <w:sz w:val="24"/>
          <w:szCs w:val="24"/>
        </w:rPr>
        <w:t>: T</w:t>
      </w:r>
      <w:proofErr w:type="spellStart"/>
      <w:r w:rsidRPr="004B13AD">
        <w:rPr>
          <w:rFonts w:ascii="Arial" w:hAnsi="Arial" w:cs="Arial"/>
          <w:b/>
          <w:sz w:val="24"/>
          <w:szCs w:val="24"/>
        </w:rPr>
        <w:t>reatment</w:t>
      </w:r>
      <w:proofErr w:type="spellEnd"/>
      <w:r w:rsidRPr="004B13AD">
        <w:rPr>
          <w:rFonts w:ascii="Arial" w:hAnsi="Arial" w:cs="Arial"/>
          <w:b/>
          <w:sz w:val="24"/>
          <w:szCs w:val="24"/>
        </w:rPr>
        <w:t xml:space="preserve"> with epigenetic modulators did not increase </w:t>
      </w:r>
      <w:r w:rsidRPr="004B13AD">
        <w:rPr>
          <w:rFonts w:ascii="Arial" w:hAnsi="Arial" w:cs="Arial"/>
          <w:b/>
          <w:sz w:val="24"/>
          <w:szCs w:val="24"/>
          <w:vertAlign w:val="superscript"/>
        </w:rPr>
        <w:t>86</w:t>
      </w:r>
      <w:r w:rsidRPr="004B13AD">
        <w:rPr>
          <w:rFonts w:ascii="Arial" w:hAnsi="Arial" w:cs="Arial"/>
          <w:b/>
          <w:sz w:val="24"/>
          <w:szCs w:val="24"/>
        </w:rPr>
        <w:t>Y-DOTA-EB-TATE</w:t>
      </w:r>
      <w:r w:rsidRPr="004B13AD">
        <w:rPr>
          <w:rFonts w:ascii="Arial" w:hAnsi="Arial" w:cs="Arial"/>
          <w:b/>
          <w:bCs/>
          <w:noProof/>
          <w:sz w:val="24"/>
          <w:szCs w:val="24"/>
        </w:rPr>
        <w:t xml:space="preserve"> uptake within the tumor and normal tissues</w:t>
      </w:r>
      <w:r w:rsidRPr="004B13AD">
        <w:rPr>
          <w:rFonts w:ascii="Arial" w:hAnsi="Arial" w:cs="Arial"/>
          <w:b/>
          <w:sz w:val="24"/>
          <w:szCs w:val="24"/>
        </w:rPr>
        <w:t xml:space="preserve"> of the mice models.</w:t>
      </w:r>
    </w:p>
    <w:p w:rsidR="00BE137A" w:rsidRPr="004B13AD" w:rsidRDefault="00BE137A" w:rsidP="00BE137A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t xml:space="preserve">(A) The bar graph shows quantification of </w:t>
      </w:r>
      <w:r w:rsidRPr="004B13AD">
        <w:rPr>
          <w:rFonts w:ascii="Arial" w:hAnsi="Arial" w:cs="Arial"/>
          <w:noProof/>
          <w:sz w:val="24"/>
          <w:szCs w:val="24"/>
          <w:vertAlign w:val="superscript"/>
        </w:rPr>
        <w:t>86</w:t>
      </w:r>
      <w:r w:rsidRPr="004B13AD">
        <w:rPr>
          <w:rFonts w:ascii="Arial" w:hAnsi="Arial" w:cs="Arial"/>
          <w:noProof/>
          <w:sz w:val="24"/>
          <w:szCs w:val="24"/>
        </w:rPr>
        <w:t xml:space="preserve">Y-DOTA-EB-TATE in the tumor and normal tissues (liver, kidneys, spleen, heart, and lungs) of the control (n=5) and VAC treated (n=5) FTC133 subcutaneous xenograft mice. p=NS (non-significant) w.r.t corresponding control mice tissues;  ***p&lt;0.001, **p&lt;0.01 w.r.t control tumor; ^^^p&lt;0.001, ^^p&lt;0.01, ^p&lt;0.05 w.r.t VAC tumor. C-control; VAC- valproic acid. </w:t>
      </w:r>
    </w:p>
    <w:p w:rsidR="00BE137A" w:rsidRPr="004B13AD" w:rsidRDefault="00BE137A" w:rsidP="00BE137A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lastRenderedPageBreak/>
        <w:t xml:space="preserve">(B) The bar graph shows quantification of </w:t>
      </w:r>
      <w:r w:rsidRPr="004B13AD">
        <w:rPr>
          <w:rFonts w:ascii="Arial" w:hAnsi="Arial" w:cs="Arial"/>
          <w:noProof/>
          <w:sz w:val="24"/>
          <w:szCs w:val="24"/>
          <w:vertAlign w:val="superscript"/>
        </w:rPr>
        <w:t>86</w:t>
      </w:r>
      <w:r w:rsidRPr="004B13AD">
        <w:rPr>
          <w:rFonts w:ascii="Arial" w:hAnsi="Arial" w:cs="Arial"/>
          <w:noProof/>
          <w:sz w:val="24"/>
          <w:szCs w:val="24"/>
        </w:rPr>
        <w:t xml:space="preserve">Y-DOTA-EB-TATE in the tumor and normal tissues (liver, kidneys, spleen, heart, and lungs) of the control (n=4) and VAC treated (n=5) AR42J subcutaneous xenograft mice. p=NS (non-significant) w.r.t corresponding control mice tissues; **p&lt;0.01,  *p&lt;0.05 w.r.t control tumor; ^^^p&lt;0.001 w.r.t VAC tumor. C-control; VAC- valproic acid. </w:t>
      </w:r>
    </w:p>
    <w:p w:rsidR="00BE137A" w:rsidRPr="004B13AD" w:rsidRDefault="00BE137A" w:rsidP="00BE137A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t xml:space="preserve">(C) The bar graph shows quantification of </w:t>
      </w:r>
      <w:r w:rsidRPr="004B13AD">
        <w:rPr>
          <w:rFonts w:ascii="Arial" w:hAnsi="Arial" w:cs="Arial"/>
          <w:noProof/>
          <w:sz w:val="24"/>
          <w:szCs w:val="24"/>
          <w:vertAlign w:val="superscript"/>
        </w:rPr>
        <w:t>86</w:t>
      </w:r>
      <w:r w:rsidRPr="004B13AD">
        <w:rPr>
          <w:rFonts w:ascii="Arial" w:hAnsi="Arial" w:cs="Arial"/>
          <w:noProof/>
          <w:sz w:val="24"/>
          <w:szCs w:val="24"/>
        </w:rPr>
        <w:t xml:space="preserve">Y-DOTA-EB-TATE in the tumor and normal tissues (liver, kidneys, spleen, heart, and lungs) of the control (n=3) and DEC treated (n=3) FTC133 subcutaneous xenograft mice. p=NS (non-significant) w.r.t corresponding control mice tissues;  **p&lt;0.01, *p&lt;0.05 w.r.t control tumor; ^^p&lt;0.01, ^p&lt;0.05 w.r.t DEC tumor. C-control; DEC- decitabine. </w:t>
      </w:r>
    </w:p>
    <w:p w:rsidR="00BE137A" w:rsidRPr="004B13AD" w:rsidRDefault="00BE137A" w:rsidP="00BE137A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t xml:space="preserve">(D) The bar graph shows quantification of </w:t>
      </w:r>
      <w:r w:rsidRPr="004B13AD">
        <w:rPr>
          <w:rFonts w:ascii="Arial" w:hAnsi="Arial" w:cs="Arial"/>
          <w:noProof/>
          <w:sz w:val="24"/>
          <w:szCs w:val="24"/>
          <w:vertAlign w:val="superscript"/>
        </w:rPr>
        <w:t>86</w:t>
      </w:r>
      <w:r w:rsidRPr="004B13AD">
        <w:rPr>
          <w:rFonts w:ascii="Arial" w:hAnsi="Arial" w:cs="Arial"/>
          <w:noProof/>
          <w:sz w:val="24"/>
          <w:szCs w:val="24"/>
        </w:rPr>
        <w:t xml:space="preserve">Y-DOTA-EB-TATE in the tumor and normal tissues (liver, kidneys, spleen, heart, and lungs) of the control (n=5) and DEC treated (n=3) AR42J subcutaneous xenograft mice. p=NS (non-significant) w.r.t corresponding control mice tissues; **p&lt;0.01, *p&lt;0.05 w.r.t control tumor; ^^p&lt;0.01, ^p&lt;0.05 w.r.t DEC tumor. C-control; DEC- decitabine. </w:t>
      </w:r>
    </w:p>
    <w:p w:rsidR="00320AFB" w:rsidRDefault="00320AFB"/>
    <w:sectPr w:rsidR="0032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NTYwNDezNDM3MLRQ0lEKTi0uzszPAykwrAUAAr14ESwAAAA="/>
  </w:docVars>
  <w:rsids>
    <w:rsidRoot w:val="00BE137A"/>
    <w:rsid w:val="00320AFB"/>
    <w:rsid w:val="00B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3D35"/>
  <w15:chartTrackingRefBased/>
  <w15:docId w15:val="{A9B7C834-F857-4170-9F67-E34D2BAD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Thakur, Shilpa (NIH/NIDDK) [E]</dc:creator>
  <cp:keywords/>
  <dc:description/>
  <cp:lastModifiedBy>Thakur, Shilpa (NIH/NIDDK) [E]</cp:lastModifiedBy>
  <cp:revision>1</cp:revision>
  <dcterms:created xsi:type="dcterms:W3CDTF">2020-12-07T22:16:00Z</dcterms:created>
  <dcterms:modified xsi:type="dcterms:W3CDTF">2020-12-07T22:18:00Z</dcterms:modified>
</cp:coreProperties>
</file>