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811" w:rsidRDefault="007F12E2">
      <w:r>
        <w:rPr>
          <w:rFonts w:ascii="Arial" w:hAnsi="Arial" w:cs="Arial"/>
          <w:b/>
          <w:bCs/>
          <w:noProof/>
        </w:rPr>
        <w:drawing>
          <wp:inline distT="0" distB="0" distL="0" distR="0" wp14:anchorId="544A1FF7" wp14:editId="3AB93254">
            <wp:extent cx="5390984" cy="65463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113" cy="65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2E2" w:rsidRDefault="007F12E2"/>
    <w:p w:rsidR="007F12E2" w:rsidRDefault="007F12E2">
      <w:r>
        <w:rPr>
          <w:rFonts w:ascii="Arial" w:hAnsi="Arial" w:cs="Arial"/>
          <w:b/>
          <w:bCs/>
          <w:sz w:val="24"/>
          <w:szCs w:val="24"/>
        </w:rPr>
        <w:t>Supplementary</w:t>
      </w:r>
      <w:r w:rsidRPr="00400E14">
        <w:rPr>
          <w:rFonts w:ascii="Arial" w:hAnsi="Arial" w:cs="Arial"/>
          <w:b/>
          <w:bCs/>
          <w:sz w:val="24"/>
          <w:szCs w:val="24"/>
        </w:rPr>
        <w:t xml:space="preserve"> Figure S3.</w:t>
      </w:r>
      <w:r w:rsidRPr="009B1E8B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A</w:t>
      </w:r>
      <w:r w:rsidRPr="009B1E8B">
        <w:rPr>
          <w:rFonts w:ascii="Arial" w:hAnsi="Arial" w:cs="Arial"/>
          <w:sz w:val="24"/>
          <w:szCs w:val="24"/>
        </w:rPr>
        <w:t xml:space="preserve">) Frequency of predominant </w:t>
      </w:r>
      <w:proofErr w:type="spellStart"/>
      <w:r w:rsidRPr="009B1E8B">
        <w:rPr>
          <w:rFonts w:ascii="Arial" w:hAnsi="Arial" w:cs="Arial"/>
          <w:sz w:val="24"/>
          <w:szCs w:val="24"/>
        </w:rPr>
        <w:t>clonotypes</w:t>
      </w:r>
      <w:proofErr w:type="spellEnd"/>
      <w:r w:rsidRPr="009B1E8B">
        <w:rPr>
          <w:rFonts w:ascii="Arial" w:hAnsi="Arial" w:cs="Arial"/>
          <w:sz w:val="24"/>
          <w:szCs w:val="24"/>
        </w:rPr>
        <w:t xml:space="preserve"> as detected by NGS and of the corresponding CD8</w:t>
      </w:r>
      <w:r w:rsidRPr="00513CC1">
        <w:rPr>
          <w:rFonts w:ascii="Arial" w:hAnsi="Arial" w:cs="Arial"/>
          <w:sz w:val="24"/>
          <w:szCs w:val="24"/>
          <w:vertAlign w:val="superscript"/>
        </w:rPr>
        <w:t>+</w:t>
      </w:r>
      <w:r w:rsidRPr="009B1E8B">
        <w:rPr>
          <w:rFonts w:ascii="Arial" w:hAnsi="Arial" w:cs="Arial"/>
          <w:sz w:val="24"/>
          <w:szCs w:val="24"/>
        </w:rPr>
        <w:t xml:space="preserve"> TRBV families as measured by flow cytometry. Grey bars indicate TRBV families that did not have commercially available fluorescent-labelled antibodies. (</w:t>
      </w:r>
      <w:r>
        <w:rPr>
          <w:rFonts w:ascii="Arial" w:hAnsi="Arial" w:cs="Arial"/>
          <w:sz w:val="24"/>
          <w:szCs w:val="24"/>
        </w:rPr>
        <w:t>B</w:t>
      </w:r>
      <w:r w:rsidRPr="009B1E8B">
        <w:rPr>
          <w:rFonts w:ascii="Arial" w:hAnsi="Arial" w:cs="Arial"/>
          <w:sz w:val="24"/>
          <w:szCs w:val="24"/>
        </w:rPr>
        <w:t xml:space="preserve">) Pie chart of the most expanded </w:t>
      </w:r>
      <w:proofErr w:type="spellStart"/>
      <w:r w:rsidRPr="009B1E8B">
        <w:rPr>
          <w:rFonts w:ascii="Arial" w:hAnsi="Arial" w:cs="Arial"/>
          <w:sz w:val="24"/>
          <w:szCs w:val="24"/>
        </w:rPr>
        <w:t>clonotypes</w:t>
      </w:r>
      <w:proofErr w:type="spellEnd"/>
      <w:r w:rsidRPr="009B1E8B">
        <w:rPr>
          <w:rFonts w:ascii="Arial" w:hAnsi="Arial" w:cs="Arial"/>
          <w:sz w:val="24"/>
          <w:szCs w:val="24"/>
        </w:rPr>
        <w:t xml:space="preserve"> and expression of </w:t>
      </w:r>
      <w:proofErr w:type="spellStart"/>
      <w:r w:rsidRPr="009B1E8B">
        <w:rPr>
          <w:rFonts w:ascii="Arial" w:hAnsi="Arial" w:cs="Arial"/>
          <w:sz w:val="24"/>
          <w:szCs w:val="24"/>
        </w:rPr>
        <w:t>granzyme</w:t>
      </w:r>
      <w:proofErr w:type="spellEnd"/>
      <w:r w:rsidRPr="009B1E8B">
        <w:rPr>
          <w:rFonts w:ascii="Arial" w:hAnsi="Arial" w:cs="Arial"/>
          <w:sz w:val="24"/>
          <w:szCs w:val="24"/>
        </w:rPr>
        <w:t xml:space="preserve"> B (</w:t>
      </w:r>
      <w:proofErr w:type="spellStart"/>
      <w:r w:rsidRPr="009B1E8B">
        <w:rPr>
          <w:rFonts w:ascii="Arial" w:hAnsi="Arial" w:cs="Arial"/>
          <w:sz w:val="24"/>
          <w:szCs w:val="24"/>
        </w:rPr>
        <w:t>GrB</w:t>
      </w:r>
      <w:proofErr w:type="spellEnd"/>
      <w:r w:rsidRPr="009B1E8B">
        <w:rPr>
          <w:rFonts w:ascii="Arial" w:hAnsi="Arial" w:cs="Arial"/>
          <w:sz w:val="24"/>
          <w:szCs w:val="24"/>
        </w:rPr>
        <w:t>). CD8</w:t>
      </w:r>
      <w:r w:rsidRPr="00513CC1">
        <w:rPr>
          <w:rFonts w:ascii="Arial" w:hAnsi="Arial" w:cs="Arial"/>
          <w:sz w:val="24"/>
          <w:szCs w:val="24"/>
          <w:vertAlign w:val="superscript"/>
        </w:rPr>
        <w:t>+</w:t>
      </w:r>
      <w:r w:rsidRPr="009B1E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1E8B">
        <w:rPr>
          <w:rFonts w:ascii="Arial" w:hAnsi="Arial" w:cs="Arial"/>
          <w:sz w:val="24"/>
          <w:szCs w:val="24"/>
        </w:rPr>
        <w:t>GrB</w:t>
      </w:r>
      <w:proofErr w:type="spellEnd"/>
      <w:r w:rsidRPr="00513CC1">
        <w:rPr>
          <w:rFonts w:ascii="Arial" w:hAnsi="Arial" w:cs="Arial"/>
          <w:sz w:val="24"/>
          <w:szCs w:val="24"/>
          <w:vertAlign w:val="superscript"/>
        </w:rPr>
        <w:t>+</w:t>
      </w:r>
      <w:r w:rsidRPr="009B1E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1E8B">
        <w:rPr>
          <w:rFonts w:ascii="Arial" w:hAnsi="Arial" w:cs="Arial"/>
          <w:sz w:val="24"/>
          <w:szCs w:val="24"/>
        </w:rPr>
        <w:t>clonotypes</w:t>
      </w:r>
      <w:proofErr w:type="spellEnd"/>
      <w:r w:rsidRPr="009B1E8B">
        <w:rPr>
          <w:rFonts w:ascii="Arial" w:hAnsi="Arial" w:cs="Arial"/>
          <w:sz w:val="24"/>
          <w:szCs w:val="24"/>
        </w:rPr>
        <w:t xml:space="preserve"> comprising &gt;2% of the repertoire at the time of response are shown in color.</w:t>
      </w:r>
      <w:bookmarkStart w:id="0" w:name="_GoBack"/>
      <w:bookmarkEnd w:id="0"/>
    </w:p>
    <w:sectPr w:rsidR="007F12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79C"/>
    <w:rsid w:val="00096811"/>
    <w:rsid w:val="007F12E2"/>
    <w:rsid w:val="00A5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5BC203-0DA7-4374-94FD-2DD16F5AE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2021-04-16T18:31:00Z</dcterms:created>
  <dcterms:modified xsi:type="dcterms:W3CDTF">2021-04-16T18:31:00Z</dcterms:modified>
</cp:coreProperties>
</file>