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367E" w14:textId="77777777" w:rsidR="004E4AED" w:rsidRPr="00597CF9" w:rsidRDefault="004E4AED" w:rsidP="004E4AED">
      <w:pPr>
        <w:spacing w:after="360" w:line="480" w:lineRule="auto"/>
        <w:rPr>
          <w:b/>
          <w:sz w:val="24"/>
        </w:rPr>
      </w:pPr>
      <w:r>
        <w:rPr>
          <w:noProof/>
        </w:rPr>
        <w:drawing>
          <wp:inline distT="0" distB="0" distL="0" distR="0" wp14:anchorId="3483D514" wp14:editId="40923E73">
            <wp:extent cx="5943600" cy="7165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5557" w14:textId="77777777" w:rsidR="004E4AED" w:rsidRDefault="004E4AED" w:rsidP="004E4AED">
      <w:pPr>
        <w:spacing w:after="36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S9</w:t>
      </w:r>
      <w:r w:rsidRPr="00D93E70">
        <w:rPr>
          <w:rFonts w:cstheme="minorHAnsi"/>
          <w:b/>
          <w:bCs/>
          <w:sz w:val="24"/>
          <w:szCs w:val="24"/>
        </w:rPr>
        <w:t xml:space="preserve">. Identification of regions of potential </w:t>
      </w:r>
      <w:r>
        <w:rPr>
          <w:rFonts w:cstheme="minorHAnsi"/>
          <w:b/>
          <w:bCs/>
          <w:sz w:val="24"/>
          <w:szCs w:val="24"/>
        </w:rPr>
        <w:t xml:space="preserve">functional relevance and </w:t>
      </w:r>
      <w:r w:rsidRPr="00D93E70">
        <w:rPr>
          <w:rFonts w:cstheme="minorHAnsi"/>
          <w:b/>
          <w:bCs/>
          <w:sz w:val="24"/>
          <w:szCs w:val="24"/>
        </w:rPr>
        <w:t>clinical utility (related to Figure 5)</w:t>
      </w:r>
      <w:r w:rsidRPr="00D93E70">
        <w:rPr>
          <w:rFonts w:cstheme="minorHAnsi"/>
          <w:sz w:val="24"/>
          <w:szCs w:val="24"/>
        </w:rPr>
        <w:t xml:space="preserve">. </w:t>
      </w:r>
      <w:r w:rsidRPr="00D93E70">
        <w:rPr>
          <w:rFonts w:cstheme="minorHAnsi"/>
          <w:b/>
          <w:bCs/>
          <w:sz w:val="24"/>
          <w:szCs w:val="24"/>
        </w:rPr>
        <w:t>A)</w:t>
      </w:r>
      <w:r w:rsidRPr="00D93E70">
        <w:rPr>
          <w:rFonts w:cstheme="minorHAnsi"/>
          <w:sz w:val="24"/>
          <w:szCs w:val="24"/>
        </w:rPr>
        <w:t xml:space="preserve"> Genome-track of genes currently </w:t>
      </w:r>
      <w:r>
        <w:rPr>
          <w:rFonts w:cstheme="minorHAnsi"/>
          <w:sz w:val="24"/>
          <w:szCs w:val="24"/>
        </w:rPr>
        <w:t>targeted by</w:t>
      </w:r>
      <w:r w:rsidRPr="00D93E70">
        <w:rPr>
          <w:rFonts w:cstheme="minorHAnsi"/>
          <w:sz w:val="24"/>
          <w:szCs w:val="24"/>
        </w:rPr>
        <w:t xml:space="preserve"> commercially available </w:t>
      </w:r>
      <w:r w:rsidRPr="00D93E70">
        <w:rPr>
          <w:rFonts w:cstheme="minorHAnsi"/>
          <w:sz w:val="24"/>
          <w:szCs w:val="24"/>
        </w:rPr>
        <w:lastRenderedPageBreak/>
        <w:t xml:space="preserve">liquid biopsy tests </w:t>
      </w:r>
      <w:r>
        <w:rPr>
          <w:rFonts w:cstheme="minorHAnsi"/>
          <w:sz w:val="24"/>
          <w:szCs w:val="24"/>
        </w:rPr>
        <w:t>that also displayed hypermethylation in HNSCC primary tumors (TCGA) and HNSCC patient plasma (this study); location of the overlapping 300-bp windows are indicated by red bars.</w:t>
      </w:r>
      <w:r w:rsidRPr="00D93E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Thick blue bars denote exons, and thin blue bars denote introns. Multiple transcripts are shown (UCSC IDs). </w:t>
      </w:r>
      <w:r w:rsidRPr="00D93E70">
        <w:rPr>
          <w:rFonts w:cstheme="minorHAnsi"/>
          <w:sz w:val="24"/>
          <w:szCs w:val="24"/>
        </w:rPr>
        <w:t xml:space="preserve">Bottom dark blue bar with arrows denotes the direction of transcription for the specified gene. </w:t>
      </w:r>
      <w:r w:rsidRPr="00D93E70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</w:rPr>
        <w:t>-</w:t>
      </w:r>
      <w:r w:rsidRPr="00D93E70">
        <w:rPr>
          <w:rFonts w:cstheme="minorHAnsi"/>
          <w:b/>
          <w:bCs/>
          <w:sz w:val="24"/>
          <w:szCs w:val="24"/>
        </w:rPr>
        <w:t>F)</w:t>
      </w:r>
      <w:r w:rsidRPr="00D93E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Prognostic methylated regions associated with RNA expression in the 5 genes displayed in Figure 5D: </w:t>
      </w:r>
      <w:r w:rsidRPr="00D93E70">
        <w:rPr>
          <w:rFonts w:cstheme="minorHAnsi"/>
          <w:b/>
          <w:bCs/>
          <w:sz w:val="24"/>
          <w:szCs w:val="24"/>
        </w:rPr>
        <w:t>(B)</w:t>
      </w:r>
      <w:r w:rsidRPr="00D93E70">
        <w:rPr>
          <w:rFonts w:cstheme="minorHAnsi"/>
          <w:sz w:val="24"/>
          <w:szCs w:val="24"/>
        </w:rPr>
        <w:t xml:space="preserve"> </w:t>
      </w:r>
      <w:r w:rsidRPr="00B712A7">
        <w:rPr>
          <w:rFonts w:cstheme="minorHAnsi"/>
          <w:i/>
          <w:iCs/>
          <w:sz w:val="24"/>
          <w:szCs w:val="24"/>
        </w:rPr>
        <w:t>GATA2-AS1</w:t>
      </w:r>
      <w:r w:rsidRPr="00D93E70">
        <w:rPr>
          <w:rFonts w:cstheme="minorHAnsi"/>
          <w:sz w:val="24"/>
          <w:szCs w:val="24"/>
        </w:rPr>
        <w:t xml:space="preserve">, </w:t>
      </w:r>
      <w:r w:rsidRPr="00D93E70">
        <w:rPr>
          <w:rFonts w:cstheme="minorHAnsi"/>
          <w:b/>
          <w:bCs/>
          <w:sz w:val="24"/>
          <w:szCs w:val="24"/>
        </w:rPr>
        <w:t>(C)</w:t>
      </w:r>
      <w:r w:rsidRPr="00D93E70">
        <w:rPr>
          <w:rFonts w:cstheme="minorHAnsi"/>
          <w:sz w:val="24"/>
          <w:szCs w:val="24"/>
        </w:rPr>
        <w:t xml:space="preserve"> </w:t>
      </w:r>
      <w:r w:rsidRPr="00B712A7">
        <w:rPr>
          <w:rFonts w:cstheme="minorHAnsi"/>
          <w:i/>
          <w:iCs/>
          <w:sz w:val="24"/>
          <w:szCs w:val="24"/>
        </w:rPr>
        <w:t>ZNF323</w:t>
      </w:r>
      <w:r w:rsidRPr="00D93E70">
        <w:rPr>
          <w:rFonts w:cstheme="minorHAnsi"/>
          <w:sz w:val="24"/>
          <w:szCs w:val="24"/>
        </w:rPr>
        <w:t xml:space="preserve">, </w:t>
      </w:r>
      <w:r w:rsidRPr="00D93E70">
        <w:rPr>
          <w:rFonts w:cstheme="minorHAnsi"/>
          <w:b/>
          <w:bCs/>
          <w:sz w:val="24"/>
          <w:szCs w:val="24"/>
        </w:rPr>
        <w:t>(D)</w:t>
      </w:r>
      <w:r w:rsidRPr="00D93E70">
        <w:rPr>
          <w:rFonts w:cstheme="minorHAnsi"/>
          <w:sz w:val="24"/>
          <w:szCs w:val="24"/>
        </w:rPr>
        <w:t xml:space="preserve">, </w:t>
      </w:r>
      <w:r w:rsidRPr="00B712A7">
        <w:rPr>
          <w:rFonts w:cstheme="minorHAnsi"/>
          <w:i/>
          <w:iCs/>
          <w:sz w:val="24"/>
          <w:szCs w:val="24"/>
        </w:rPr>
        <w:t>STK3</w:t>
      </w:r>
      <w:r w:rsidRPr="00D93E70">
        <w:rPr>
          <w:rFonts w:cstheme="minorHAnsi"/>
          <w:sz w:val="24"/>
          <w:szCs w:val="24"/>
        </w:rPr>
        <w:t xml:space="preserve">, </w:t>
      </w:r>
      <w:r w:rsidRPr="00D93E70">
        <w:rPr>
          <w:rFonts w:cstheme="minorHAnsi"/>
          <w:b/>
          <w:bCs/>
          <w:sz w:val="24"/>
          <w:szCs w:val="24"/>
        </w:rPr>
        <w:t>(E)</w:t>
      </w:r>
      <w:r w:rsidRPr="00D93E70">
        <w:rPr>
          <w:rFonts w:cstheme="minorHAnsi"/>
          <w:sz w:val="24"/>
          <w:szCs w:val="24"/>
        </w:rPr>
        <w:t xml:space="preserve"> </w:t>
      </w:r>
      <w:r w:rsidRPr="00B712A7">
        <w:rPr>
          <w:rFonts w:cstheme="minorHAnsi"/>
          <w:i/>
          <w:iCs/>
          <w:sz w:val="24"/>
          <w:szCs w:val="24"/>
        </w:rPr>
        <w:t>OSR1</w:t>
      </w:r>
      <w:r w:rsidRPr="00D93E70">
        <w:rPr>
          <w:rFonts w:cstheme="minorHAnsi"/>
          <w:sz w:val="24"/>
          <w:szCs w:val="24"/>
        </w:rPr>
        <w:t xml:space="preserve">, </w:t>
      </w:r>
      <w:r w:rsidRPr="00D93E70">
        <w:rPr>
          <w:rFonts w:cstheme="minorHAnsi"/>
          <w:b/>
          <w:bCs/>
          <w:sz w:val="24"/>
          <w:szCs w:val="24"/>
        </w:rPr>
        <w:t>(F)</w:t>
      </w:r>
      <w:r w:rsidRPr="00D93E70">
        <w:rPr>
          <w:rFonts w:cstheme="minorHAnsi"/>
          <w:sz w:val="24"/>
          <w:szCs w:val="24"/>
        </w:rPr>
        <w:t xml:space="preserve"> </w:t>
      </w:r>
      <w:r w:rsidRPr="00B712A7">
        <w:rPr>
          <w:rFonts w:cstheme="minorHAnsi"/>
          <w:i/>
          <w:iCs/>
          <w:sz w:val="24"/>
          <w:szCs w:val="24"/>
        </w:rPr>
        <w:t>LINC01391</w:t>
      </w:r>
      <w:r w:rsidRPr="00D93E7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Boxes denote 300-bp regions overlapping with </w:t>
      </w:r>
      <w:r w:rsidRPr="00D93E70">
        <w:rPr>
          <w:rFonts w:cstheme="minorHAnsi"/>
          <w:sz w:val="24"/>
          <w:szCs w:val="24"/>
        </w:rPr>
        <w:t>hm450k</w:t>
      </w:r>
      <w:r>
        <w:rPr>
          <w:rFonts w:cstheme="minorHAnsi"/>
          <w:sz w:val="24"/>
          <w:szCs w:val="24"/>
        </w:rPr>
        <w:t xml:space="preserve"> probes. Y-axis: Correlation (</w:t>
      </w:r>
      <w:r w:rsidRPr="00D93E70">
        <w:rPr>
          <w:rFonts w:cstheme="minorHAnsi"/>
          <w:sz w:val="24"/>
          <w:szCs w:val="24"/>
        </w:rPr>
        <w:t xml:space="preserve">Spearman’s </w:t>
      </w:r>
      <w:r>
        <w:rPr>
          <w:rFonts w:cstheme="minorHAnsi"/>
          <w:sz w:val="24"/>
          <w:szCs w:val="24"/>
        </w:rPr>
        <w:t xml:space="preserve">R) between methylation within </w:t>
      </w:r>
      <w:r w:rsidRPr="00D93E70">
        <w:rPr>
          <w:rFonts w:cstheme="minorHAnsi"/>
          <w:sz w:val="24"/>
          <w:szCs w:val="24"/>
        </w:rPr>
        <w:t>a particular</w:t>
      </w:r>
      <w:r>
        <w:rPr>
          <w:rFonts w:cstheme="minorHAnsi"/>
          <w:sz w:val="24"/>
          <w:szCs w:val="24"/>
        </w:rPr>
        <w:t xml:space="preserve"> </w:t>
      </w:r>
      <w:r w:rsidRPr="00D93E70">
        <w:rPr>
          <w:rFonts w:cstheme="minorHAnsi"/>
          <w:sz w:val="24"/>
          <w:szCs w:val="24"/>
        </w:rPr>
        <w:t xml:space="preserve">300-bp region </w:t>
      </w:r>
      <w:r>
        <w:rPr>
          <w:rFonts w:cstheme="minorHAnsi"/>
          <w:sz w:val="24"/>
          <w:szCs w:val="24"/>
        </w:rPr>
        <w:t>and</w:t>
      </w:r>
      <w:r w:rsidRPr="00D93E70">
        <w:rPr>
          <w:rFonts w:cstheme="minorHAnsi"/>
          <w:sz w:val="24"/>
          <w:szCs w:val="24"/>
        </w:rPr>
        <w:t xml:space="preserve"> RNA expression </w:t>
      </w:r>
      <w:r>
        <w:rPr>
          <w:rFonts w:cstheme="minorHAnsi"/>
          <w:sz w:val="24"/>
          <w:szCs w:val="24"/>
        </w:rPr>
        <w:t>among HNSCC primary tumors from TCGA (n = 520)</w:t>
      </w:r>
      <w:r w:rsidRPr="00D93E7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A meaningful association was defined as </w:t>
      </w:r>
      <w:r w:rsidRPr="00D93E70">
        <w:rPr>
          <w:rFonts w:cstheme="minorHAnsi"/>
          <w:sz w:val="24"/>
          <w:szCs w:val="24"/>
        </w:rPr>
        <w:t xml:space="preserve">an absolute R value ≥ 0.3 (denoted by </w:t>
      </w:r>
      <w:r>
        <w:rPr>
          <w:rFonts w:cstheme="minorHAnsi"/>
          <w:sz w:val="24"/>
          <w:szCs w:val="24"/>
        </w:rPr>
        <w:t xml:space="preserve">horizontal </w:t>
      </w:r>
      <w:r w:rsidRPr="00D93E70">
        <w:rPr>
          <w:rFonts w:cstheme="minorHAnsi"/>
          <w:sz w:val="24"/>
          <w:szCs w:val="24"/>
        </w:rPr>
        <w:t xml:space="preserve">dashed grey lines). </w:t>
      </w:r>
      <w:r>
        <w:rPr>
          <w:rFonts w:cstheme="minorHAnsi"/>
          <w:sz w:val="24"/>
          <w:szCs w:val="24"/>
        </w:rPr>
        <w:t>300-bp</w:t>
      </w:r>
      <w:r w:rsidRPr="00D93E70">
        <w:rPr>
          <w:rFonts w:cstheme="minorHAnsi"/>
          <w:sz w:val="24"/>
          <w:szCs w:val="24"/>
        </w:rPr>
        <w:t xml:space="preserve"> regions </w:t>
      </w:r>
      <w:r>
        <w:rPr>
          <w:rFonts w:cstheme="minorHAnsi"/>
          <w:sz w:val="24"/>
          <w:szCs w:val="24"/>
        </w:rPr>
        <w:t>that</w:t>
      </w:r>
      <w:r w:rsidRPr="00D93E70">
        <w:rPr>
          <w:rFonts w:cstheme="minorHAnsi"/>
          <w:sz w:val="24"/>
          <w:szCs w:val="24"/>
        </w:rPr>
        <w:t xml:space="preserve"> were prognostic for disease-specific survival </w:t>
      </w:r>
      <w:r>
        <w:rPr>
          <w:rFonts w:cstheme="minorHAnsi"/>
          <w:sz w:val="24"/>
          <w:szCs w:val="24"/>
        </w:rPr>
        <w:t xml:space="preserve">in </w:t>
      </w:r>
      <w:r w:rsidRPr="00D93E70">
        <w:rPr>
          <w:rFonts w:cstheme="minorHAnsi"/>
          <w:sz w:val="24"/>
          <w:szCs w:val="24"/>
        </w:rPr>
        <w:t>TCGA are denoted with a red outline. Prognostic regions which were further associated with RNA expression are denoted as solid red</w:t>
      </w:r>
      <w:r>
        <w:rPr>
          <w:rFonts w:cstheme="minorHAnsi"/>
          <w:sz w:val="24"/>
          <w:szCs w:val="24"/>
        </w:rPr>
        <w:t xml:space="preserve"> and with a red vertical bar</w:t>
      </w:r>
      <w:r w:rsidRPr="00D93E70">
        <w:rPr>
          <w:rFonts w:cstheme="minorHAnsi"/>
          <w:sz w:val="24"/>
          <w:szCs w:val="24"/>
        </w:rPr>
        <w:t xml:space="preserve">. </w:t>
      </w:r>
      <w:r w:rsidRPr="00D93E70">
        <w:rPr>
          <w:rFonts w:cstheme="minorHAnsi"/>
          <w:b/>
          <w:bCs/>
          <w:sz w:val="24"/>
          <w:szCs w:val="24"/>
        </w:rPr>
        <w:t>G</w:t>
      </w:r>
      <w:r>
        <w:rPr>
          <w:rFonts w:cstheme="minorHAnsi"/>
          <w:b/>
          <w:bCs/>
          <w:sz w:val="24"/>
          <w:szCs w:val="24"/>
        </w:rPr>
        <w:t>,</w:t>
      </w:r>
      <w:r w:rsidRPr="00D93E70">
        <w:rPr>
          <w:rFonts w:cstheme="minorHAnsi"/>
          <w:b/>
          <w:bCs/>
          <w:sz w:val="24"/>
          <w:szCs w:val="24"/>
        </w:rPr>
        <w:t>F)</w:t>
      </w:r>
      <w:r w:rsidRPr="00D93E70">
        <w:rPr>
          <w:rFonts w:cstheme="minorHAnsi"/>
          <w:sz w:val="24"/>
          <w:szCs w:val="24"/>
        </w:rPr>
        <w:t xml:space="preserve"> Welch’s two-sided t-test evaluating the relationship of methylation associated with ctDNA abundance (i.e. mean methylation across all 941 HNSCC hyper-DMRs) </w:t>
      </w:r>
      <w:r w:rsidRPr="00D93E70">
        <w:rPr>
          <w:rFonts w:cstheme="minorHAnsi"/>
          <w:b/>
          <w:bCs/>
          <w:sz w:val="24"/>
          <w:szCs w:val="24"/>
        </w:rPr>
        <w:t>(G)</w:t>
      </w:r>
      <w:r w:rsidRPr="00D93E70">
        <w:rPr>
          <w:rFonts w:cstheme="minorHAnsi"/>
          <w:sz w:val="24"/>
          <w:szCs w:val="24"/>
        </w:rPr>
        <w:t xml:space="preserve"> or mutant allele fraction of mutations identified by CAPP-Seq </w:t>
      </w:r>
      <w:r w:rsidRPr="00D93E70">
        <w:rPr>
          <w:rFonts w:cstheme="minorHAnsi"/>
          <w:b/>
          <w:bCs/>
          <w:sz w:val="24"/>
          <w:szCs w:val="24"/>
        </w:rPr>
        <w:t>(F)</w:t>
      </w:r>
      <w:r w:rsidRPr="00D93E70">
        <w:rPr>
          <w:rFonts w:cstheme="minorHAnsi"/>
          <w:sz w:val="24"/>
          <w:szCs w:val="24"/>
        </w:rPr>
        <w:t xml:space="preserve"> between ctDNA-positive patients by both assays (</w:t>
      </w:r>
      <w:r w:rsidRPr="00D93E70">
        <w:rPr>
          <w:rFonts w:cstheme="minorHAnsi"/>
          <w:i/>
          <w:iCs/>
          <w:sz w:val="24"/>
          <w:szCs w:val="24"/>
        </w:rPr>
        <w:t>n</w:t>
      </w:r>
      <w:r w:rsidRPr="00D93E70">
        <w:rPr>
          <w:rFonts w:cstheme="minorHAnsi"/>
          <w:sz w:val="24"/>
          <w:szCs w:val="24"/>
        </w:rPr>
        <w:t xml:space="preserve"> = 19) above and below the median combined methylation score (CMS). </w:t>
      </w:r>
      <w:bookmarkStart w:id="0" w:name="_Hlk51675195"/>
      <w:r w:rsidRPr="00D93E70">
        <w:rPr>
          <w:rFonts w:cstheme="minorHAnsi"/>
          <w:sz w:val="24"/>
          <w:szCs w:val="24"/>
        </w:rPr>
        <w:t>Black bar: median mean methylation. Box: interquartile range (IQR) of mean methylation values. Whisker: most extreme value within quartile ±1.5 IQR of mean methylation values.</w:t>
      </w:r>
      <w:bookmarkEnd w:id="0"/>
    </w:p>
    <w:p w14:paraId="3B5A830D" w14:textId="77777777" w:rsidR="0032122B" w:rsidRDefault="004E4AED"/>
    <w:sectPr w:rsidR="0032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ED"/>
    <w:rsid w:val="000E68D4"/>
    <w:rsid w:val="004E4AED"/>
    <w:rsid w:val="00B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4C6E"/>
  <w15:chartTrackingRefBased/>
  <w15:docId w15:val="{85F8AF89-4B70-42CB-A087-1A149250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2021-05-08T19:01:00Z</dcterms:created>
  <dcterms:modified xsi:type="dcterms:W3CDTF">2021-05-08T19:01:00Z</dcterms:modified>
</cp:coreProperties>
</file>