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57DE9" w14:textId="77777777" w:rsidR="00681037" w:rsidRPr="00D93E70" w:rsidRDefault="00681037" w:rsidP="00681037">
      <w:pPr>
        <w:spacing w:after="360" w:line="48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3D151C5" wp14:editId="603ABB8C">
            <wp:extent cx="5915025" cy="5457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C107C" w14:textId="77777777" w:rsidR="00681037" w:rsidRDefault="00681037" w:rsidP="00681037">
      <w:pPr>
        <w:spacing w:after="360" w:line="48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Figure S8</w:t>
      </w:r>
      <w:r w:rsidRPr="00D93E70">
        <w:rPr>
          <w:rFonts w:cstheme="minorHAnsi"/>
          <w:b/>
          <w:bCs/>
          <w:sz w:val="24"/>
          <w:szCs w:val="24"/>
        </w:rPr>
        <w:t xml:space="preserve">. Cross-validation of CAPP-Seq informed differential methylation analysis of cfMeDIP-seq profiles for identification of ctDNA-derived methylation reflective of ctDNA abundance. </w:t>
      </w:r>
      <w:r>
        <w:rPr>
          <w:rFonts w:cstheme="minorHAnsi"/>
          <w:b/>
          <w:bCs/>
          <w:sz w:val="24"/>
          <w:szCs w:val="24"/>
        </w:rPr>
        <w:t xml:space="preserve">A) </w:t>
      </w:r>
      <w:r w:rsidRPr="00D93E70">
        <w:rPr>
          <w:rFonts w:cstheme="minorHAnsi"/>
          <w:sz w:val="24"/>
          <w:szCs w:val="24"/>
        </w:rPr>
        <w:t xml:space="preserve">To perform cross-validation, patients with detectable ctDNA by CAPP-Seq and healthy controls were randomly placed within training and testing sets (60/40 split). Hyper-DMRs were identified in the training set as previously described in Figure 3 and applied to the test set. Within the test set, mean methylation (RPKMs) across the identified hyper-DMRs were </w:t>
      </w:r>
      <w:r w:rsidRPr="00D93E70">
        <w:rPr>
          <w:rFonts w:cstheme="minorHAnsi"/>
          <w:sz w:val="24"/>
          <w:szCs w:val="24"/>
        </w:rPr>
        <w:lastRenderedPageBreak/>
        <w:t xml:space="preserve">compared between HNSCC and healthy controls. This process was repeated for a total of 50 replicates. </w:t>
      </w:r>
      <w:r w:rsidRPr="00D93E70">
        <w:rPr>
          <w:rFonts w:cstheme="minorHAnsi"/>
          <w:b/>
          <w:bCs/>
          <w:sz w:val="24"/>
          <w:szCs w:val="24"/>
        </w:rPr>
        <w:t>Left:</w:t>
      </w:r>
      <w:r w:rsidRPr="00D93E70">
        <w:rPr>
          <w:rFonts w:cstheme="minorHAnsi"/>
          <w:sz w:val="24"/>
          <w:szCs w:val="24"/>
        </w:rPr>
        <w:t xml:space="preserve"> Receiver Operator Characteristics (ROC) curves across all 50 replicates. Blue line: average ROC curve. Positive detection of ctDNA was defined as mean methylation above the healthy controls. </w:t>
      </w:r>
      <w:r w:rsidRPr="00D93E70">
        <w:rPr>
          <w:rFonts w:cstheme="minorHAnsi"/>
          <w:b/>
          <w:bCs/>
          <w:sz w:val="24"/>
          <w:szCs w:val="24"/>
        </w:rPr>
        <w:t>Right:</w:t>
      </w:r>
      <w:r w:rsidRPr="00D93E70">
        <w:rPr>
          <w:rFonts w:cstheme="minorHAnsi"/>
          <w:sz w:val="24"/>
          <w:szCs w:val="24"/>
        </w:rPr>
        <w:t xml:space="preserve"> Calculated area under the curve (AUC) for all 50 replicates. Black bar: median AUC. Box: interquartile range (IQR) of AUC values. Whisker: most extreme value within quartile ±1.5 IQR of AUC values.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B) </w:t>
      </w:r>
      <w:r w:rsidRPr="00D93E70">
        <w:rPr>
          <w:rFonts w:cstheme="minorHAnsi"/>
          <w:sz w:val="24"/>
          <w:szCs w:val="24"/>
        </w:rPr>
        <w:t xml:space="preserve">Kaplan-Meier analysis depicting </w:t>
      </w:r>
      <w:r>
        <w:rPr>
          <w:rFonts w:cstheme="minorHAnsi"/>
          <w:sz w:val="24"/>
          <w:szCs w:val="24"/>
        </w:rPr>
        <w:t>overall</w:t>
      </w:r>
      <w:r w:rsidRPr="00D93E70">
        <w:rPr>
          <w:rFonts w:cstheme="minorHAnsi"/>
          <w:sz w:val="24"/>
          <w:szCs w:val="24"/>
        </w:rPr>
        <w:t xml:space="preserve"> survival. Patients were stratified based on </w:t>
      </w:r>
      <w:r>
        <w:rPr>
          <w:rFonts w:cstheme="minorHAnsi"/>
          <w:sz w:val="24"/>
          <w:szCs w:val="24"/>
        </w:rPr>
        <w:t>diagnosis of early stage (stage I-II) or locoregionally advanced stage (stage III-IVA) disease.</w:t>
      </w:r>
    </w:p>
    <w:p w14:paraId="28159C31" w14:textId="77777777" w:rsidR="0032122B" w:rsidRDefault="00681037"/>
    <w:sectPr w:rsidR="003212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37"/>
    <w:rsid w:val="000E68D4"/>
    <w:rsid w:val="00681037"/>
    <w:rsid w:val="00B5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50545"/>
  <w15:chartTrackingRefBased/>
  <w15:docId w15:val="{FC98FA3F-5B03-4712-8EEC-32B73AAA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Burgener</dc:creator>
  <cp:keywords/>
  <dc:description/>
  <cp:lastModifiedBy>Justin Burgener</cp:lastModifiedBy>
  <cp:revision>1</cp:revision>
  <dcterms:created xsi:type="dcterms:W3CDTF">2021-05-08T18:56:00Z</dcterms:created>
  <dcterms:modified xsi:type="dcterms:W3CDTF">2021-05-08T18:56:00Z</dcterms:modified>
</cp:coreProperties>
</file>