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659F" w14:textId="77777777" w:rsidR="00290A26" w:rsidRPr="00D93E70" w:rsidRDefault="00290A26" w:rsidP="00290A26">
      <w:pPr>
        <w:spacing w:after="36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A3AD5D2" wp14:editId="2E29984E">
            <wp:extent cx="5207000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7DC5" w14:textId="77777777" w:rsidR="00290A26" w:rsidRPr="00B741E7" w:rsidRDefault="00290A26" w:rsidP="00290A26">
      <w:pPr>
        <w:spacing w:after="36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Figure S10</w:t>
      </w:r>
      <w:r w:rsidRPr="00D93E70">
        <w:rPr>
          <w:rFonts w:cstheme="minorHAnsi"/>
          <w:b/>
          <w:bCs/>
          <w:sz w:val="24"/>
          <w:szCs w:val="24"/>
        </w:rPr>
        <w:t xml:space="preserve">. </w:t>
      </w:r>
      <w:r w:rsidRPr="00D463E4">
        <w:rPr>
          <w:rFonts w:cstheme="minorHAnsi"/>
          <w:sz w:val="24"/>
          <w:szCs w:val="24"/>
        </w:rPr>
        <w:t>Extension of Figure 6A</w:t>
      </w:r>
      <w:r w:rsidRPr="00D93E70">
        <w:rPr>
          <w:rFonts w:cstheme="minorHAnsi"/>
          <w:sz w:val="24"/>
          <w:szCs w:val="24"/>
        </w:rPr>
        <w:t xml:space="preserve">. Changes in ctDNA abundance by cfMeDIP-seq throughout treatment for HNSCC patients </w:t>
      </w:r>
      <w:r>
        <w:rPr>
          <w:rFonts w:cstheme="minorHAnsi"/>
          <w:sz w:val="24"/>
          <w:szCs w:val="24"/>
        </w:rPr>
        <w:t xml:space="preserve">with detectable ctDNA at diagnosis by CAPP-Seq and cfMeDIP-seq </w:t>
      </w:r>
      <w:r w:rsidRPr="00D93E70">
        <w:rPr>
          <w:rFonts w:cstheme="minorHAnsi"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n</w:t>
      </w:r>
      <w:r w:rsidRPr="00D93E70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18</w:t>
      </w:r>
      <w:r w:rsidRPr="00D93E70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Patient identifiers are provided above each subplot. Mean methylation of the hypermethylated regions (</w:t>
      </w:r>
      <w:r>
        <w:rPr>
          <w:rFonts w:cstheme="minorHAnsi"/>
          <w:i/>
          <w:iCs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= 941, Figure 3d) were used to estimate ctDNA percentage. To estimate ctDNA, a linear model was fitted between the mean methylation (fragments between 100 – 150-bp) of the 941 hypermethylated regions by cfMeDIP-seq and the mutant allele fraction of ctDNA-derived mutations by CAPP-Seq, across HNSCC plasma samples at diagnosis (</w:t>
      </w:r>
      <w:r>
        <w:rPr>
          <w:rFonts w:cstheme="minorHAnsi"/>
          <w:i/>
          <w:iCs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= 30) (Figure 5a).  The lower limit of detection was determined by the maximum methylation observed across healthy controls (</w:t>
      </w:r>
      <w:r>
        <w:rPr>
          <w:rFonts w:cstheme="minorHAnsi"/>
          <w:i/>
          <w:iCs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= 20); post-diagnosis HNSCC samples below the lower limit of detection were denoted as not detected (N.D). Dashed horizontal blue line: lower limit of detection. Solid vertical blue line: date of surgery. Shaded vertical green area: duration of radiotherapy. Solid vertical red line: date of relapse. Solid vertical black line: Last clinical follow-up. </w:t>
      </w:r>
    </w:p>
    <w:p w14:paraId="7FE65107" w14:textId="77777777" w:rsidR="0032122B" w:rsidRDefault="00290A26"/>
    <w:sectPr w:rsidR="0032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6"/>
    <w:rsid w:val="000E68D4"/>
    <w:rsid w:val="00290A26"/>
    <w:rsid w:val="00B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102A"/>
  <w15:chartTrackingRefBased/>
  <w15:docId w15:val="{C0228693-E66D-4D65-ABBC-54B5560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2021-05-08T19:05:00Z</dcterms:created>
  <dcterms:modified xsi:type="dcterms:W3CDTF">2021-05-08T19:06:00Z</dcterms:modified>
</cp:coreProperties>
</file>