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B47B" w14:textId="6D7E9279" w:rsidR="009D495F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Supplementary </w:t>
      </w:r>
      <w:r w:rsidRPr="009D495F">
        <w:rPr>
          <w:rFonts w:ascii="Arial" w:hAnsi="Arial" w:cs="Arial"/>
          <w:b/>
          <w:szCs w:val="21"/>
        </w:rPr>
        <w:t>Figure Legends</w:t>
      </w:r>
    </w:p>
    <w:p w14:paraId="7DA89E04" w14:textId="59E53CAE" w:rsidR="009D495F" w:rsidRPr="008A64F3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 w:rsidRPr="008A64F3">
        <w:rPr>
          <w:rFonts w:ascii="Arial" w:hAnsi="Arial" w:cs="Arial"/>
          <w:b/>
          <w:szCs w:val="21"/>
        </w:rPr>
        <w:t>Supplementary Figure S1</w:t>
      </w:r>
    </w:p>
    <w:p w14:paraId="48C2ED99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 w:rsidRPr="008A64F3">
        <w:rPr>
          <w:rFonts w:ascii="Arial" w:hAnsi="Arial" w:cs="Arial"/>
          <w:b/>
          <w:szCs w:val="21"/>
        </w:rPr>
        <w:t>(A) Kaplan–Meier plots of progression-free survival in the overall population and (B) overall survival in the overall population.</w:t>
      </w:r>
    </w:p>
    <w:p w14:paraId="7921E104" w14:textId="77777777" w:rsidR="009D495F" w:rsidRPr="008A64F3" w:rsidRDefault="009D495F" w:rsidP="009D495F">
      <w:pPr>
        <w:spacing w:line="480" w:lineRule="auto"/>
        <w:ind w:firstLineChars="250" w:firstLine="525"/>
        <w:rPr>
          <w:rFonts w:ascii="Arial" w:hAnsi="Arial" w:cs="Arial"/>
          <w:szCs w:val="21"/>
        </w:rPr>
      </w:pPr>
      <w:r w:rsidRPr="008A64F3">
        <w:rPr>
          <w:rFonts w:ascii="Arial" w:hAnsi="Arial" w:cs="Arial"/>
          <w:szCs w:val="21"/>
        </w:rPr>
        <w:t>In the overall population, the median PFS duration was 9.6 months (95% CI, 4.2 to not reached), and the median OS duration was 23.2 months (95% CI, 8.4 to not reached), with 23 patients (51.1%) dying.</w:t>
      </w:r>
    </w:p>
    <w:p w14:paraId="23C25FE0" w14:textId="77777777" w:rsidR="009D495F" w:rsidRPr="008A64F3" w:rsidRDefault="009D495F" w:rsidP="009D495F">
      <w:pPr>
        <w:spacing w:line="480" w:lineRule="auto"/>
        <w:rPr>
          <w:rFonts w:ascii="Arial" w:hAnsi="Arial" w:cs="Arial"/>
          <w:color w:val="000000"/>
          <w:szCs w:val="21"/>
        </w:rPr>
      </w:pPr>
    </w:p>
    <w:p w14:paraId="72E4CCF1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bCs/>
          <w:color w:val="000000"/>
          <w:szCs w:val="21"/>
        </w:rPr>
      </w:pPr>
      <w:r w:rsidRPr="008A64F3">
        <w:rPr>
          <w:rFonts w:ascii="Arial" w:hAnsi="Arial" w:cs="Arial"/>
          <w:b/>
          <w:bCs/>
          <w:color w:val="000000"/>
          <w:szCs w:val="21"/>
        </w:rPr>
        <w:t>Supplementary Figure S2</w:t>
      </w:r>
    </w:p>
    <w:p w14:paraId="4E973F13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 w:rsidRPr="008A64F3">
        <w:rPr>
          <w:rFonts w:ascii="Arial" w:hAnsi="Arial" w:cs="Arial"/>
          <w:b/>
          <w:szCs w:val="21"/>
        </w:rPr>
        <w:t xml:space="preserve">(A) Kaplan–Meier plots of progression-free survival according to </w:t>
      </w:r>
      <w:r w:rsidRPr="008A64F3">
        <w:rPr>
          <w:rFonts w:ascii="Arial" w:hAnsi="Arial" w:cs="Arial"/>
          <w:b/>
          <w:i/>
          <w:iCs/>
          <w:szCs w:val="21"/>
        </w:rPr>
        <w:t>PTEN</w:t>
      </w:r>
      <w:r w:rsidRPr="008A64F3">
        <w:rPr>
          <w:rFonts w:ascii="Arial" w:hAnsi="Arial" w:cs="Arial"/>
          <w:b/>
          <w:szCs w:val="21"/>
        </w:rPr>
        <w:t xml:space="preserve"> mutations</w:t>
      </w:r>
    </w:p>
    <w:p w14:paraId="1B5B89C1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 w:rsidRPr="008A64F3">
        <w:rPr>
          <w:rFonts w:ascii="Arial" w:hAnsi="Arial" w:cs="Arial"/>
          <w:b/>
          <w:szCs w:val="21"/>
        </w:rPr>
        <w:t xml:space="preserve">(B) Kaplan–Meier plots of overall survival according to </w:t>
      </w:r>
      <w:r w:rsidRPr="008A64F3">
        <w:rPr>
          <w:rFonts w:ascii="Arial" w:hAnsi="Arial" w:cs="Arial"/>
          <w:b/>
          <w:i/>
          <w:iCs/>
          <w:szCs w:val="21"/>
        </w:rPr>
        <w:t>PTEN</w:t>
      </w:r>
      <w:r w:rsidRPr="008A64F3">
        <w:rPr>
          <w:rFonts w:ascii="Arial" w:hAnsi="Arial" w:cs="Arial"/>
          <w:b/>
          <w:szCs w:val="21"/>
        </w:rPr>
        <w:t xml:space="preserve"> mutations</w:t>
      </w:r>
    </w:p>
    <w:p w14:paraId="21C08064" w14:textId="77777777" w:rsidR="009D495F" w:rsidRPr="008A64F3" w:rsidRDefault="009D495F" w:rsidP="009D495F">
      <w:pPr>
        <w:spacing w:line="480" w:lineRule="auto"/>
        <w:ind w:firstLineChars="300" w:firstLine="630"/>
        <w:rPr>
          <w:rFonts w:ascii="Arial" w:hAnsi="Arial" w:cs="Arial"/>
          <w:bCs/>
          <w:szCs w:val="21"/>
        </w:rPr>
      </w:pPr>
      <w:r w:rsidRPr="008A64F3">
        <w:rPr>
          <w:rFonts w:ascii="Arial" w:hAnsi="Arial" w:cs="Arial"/>
          <w:bCs/>
          <w:szCs w:val="21"/>
        </w:rPr>
        <w:t>Patients with mutant PTEN tended to experience shorter PFS and OS durations than those with wild-type PTEN; (median PFS: 4.3 months [95% CI, 1.2 to not reached] vs 15.6 months [95% CI, 4.3 to not reached]; HR: 1.72 [95% CI, 0.76 to 3.92], P = 0.195) and (median OS: 15.2 months [95% CI, 3.8 to not reached] vs 25.7 months [95% CI, 10.3 to not reached]; HR: 1.46 [95% CI, 0.62 to 3.46], P = 0.391).</w:t>
      </w:r>
    </w:p>
    <w:p w14:paraId="710A368B" w14:textId="77777777" w:rsidR="009D495F" w:rsidRPr="008A64F3" w:rsidRDefault="009D495F" w:rsidP="009D495F">
      <w:pPr>
        <w:spacing w:line="480" w:lineRule="auto"/>
        <w:rPr>
          <w:rFonts w:ascii="Arial" w:hAnsi="Arial" w:cs="Arial"/>
          <w:bCs/>
          <w:szCs w:val="21"/>
        </w:rPr>
      </w:pPr>
      <w:r w:rsidRPr="008A64F3">
        <w:rPr>
          <w:rFonts w:ascii="Arial" w:hAnsi="Arial" w:cs="Arial"/>
          <w:bCs/>
          <w:szCs w:val="21"/>
        </w:rPr>
        <w:t>*P values were calculated using the Cox proportional hazards model.</w:t>
      </w:r>
    </w:p>
    <w:p w14:paraId="2FDB77DF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bCs/>
          <w:color w:val="000000"/>
          <w:szCs w:val="21"/>
        </w:rPr>
      </w:pPr>
    </w:p>
    <w:p w14:paraId="119265C7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bCs/>
          <w:color w:val="000000"/>
          <w:szCs w:val="21"/>
        </w:rPr>
      </w:pPr>
      <w:r w:rsidRPr="008A64F3">
        <w:rPr>
          <w:rFonts w:ascii="Arial" w:hAnsi="Arial" w:cs="Arial"/>
          <w:b/>
          <w:bCs/>
          <w:color w:val="000000"/>
          <w:szCs w:val="21"/>
        </w:rPr>
        <w:lastRenderedPageBreak/>
        <w:t>Supplementary Figure S3</w:t>
      </w:r>
    </w:p>
    <w:p w14:paraId="38574CE0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bCs/>
          <w:color w:val="000000"/>
          <w:szCs w:val="21"/>
        </w:rPr>
      </w:pPr>
      <w:r w:rsidRPr="008A64F3">
        <w:rPr>
          <w:rFonts w:ascii="Arial" w:hAnsi="Arial" w:cs="Arial"/>
          <w:b/>
          <w:bCs/>
          <w:color w:val="000000"/>
          <w:szCs w:val="21"/>
        </w:rPr>
        <w:t xml:space="preserve">PTEN-positive tumor and the expression of </w:t>
      </w:r>
      <w:r w:rsidRPr="008A64F3">
        <w:rPr>
          <w:rFonts w:ascii="Arial" w:hAnsi="Arial" w:cs="Arial"/>
          <w:b/>
          <w:bCs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b/>
          <w:bCs/>
          <w:color w:val="000000"/>
          <w:szCs w:val="21"/>
        </w:rPr>
        <w:t xml:space="preserve"> mRNA </w:t>
      </w:r>
      <w:r w:rsidRPr="008A64F3">
        <w:rPr>
          <w:rFonts w:ascii="Arial" w:hAnsi="Arial" w:cs="Arial"/>
          <w:b/>
          <w:bCs/>
          <w:szCs w:val="21"/>
        </w:rPr>
        <w:t xml:space="preserve">according to </w:t>
      </w:r>
      <w:r w:rsidRPr="008A64F3">
        <w:rPr>
          <w:rFonts w:ascii="Arial" w:hAnsi="Arial" w:cs="Arial"/>
          <w:b/>
          <w:bCs/>
          <w:i/>
          <w:iCs/>
          <w:szCs w:val="21"/>
        </w:rPr>
        <w:t>PTEN</w:t>
      </w:r>
      <w:r w:rsidRPr="008A64F3">
        <w:rPr>
          <w:rFonts w:ascii="Arial" w:hAnsi="Arial" w:cs="Arial"/>
          <w:b/>
          <w:bCs/>
          <w:szCs w:val="21"/>
        </w:rPr>
        <w:t xml:space="preserve"> mutations</w:t>
      </w:r>
      <w:r w:rsidRPr="008A64F3">
        <w:rPr>
          <w:rFonts w:ascii="Arial" w:hAnsi="Arial" w:cs="Arial" w:hint="eastAsia"/>
          <w:b/>
          <w:bCs/>
          <w:szCs w:val="21"/>
        </w:rPr>
        <w:t>.</w:t>
      </w:r>
    </w:p>
    <w:p w14:paraId="082CEF17" w14:textId="77777777" w:rsidR="009D495F" w:rsidRPr="008A64F3" w:rsidRDefault="009D495F" w:rsidP="009D495F">
      <w:pPr>
        <w:pStyle w:val="a3"/>
        <w:numPr>
          <w:ilvl w:val="0"/>
          <w:numId w:val="1"/>
        </w:numPr>
        <w:spacing w:line="480" w:lineRule="auto"/>
        <w:ind w:leftChars="0"/>
        <w:rPr>
          <w:rFonts w:ascii="Arial" w:hAnsi="Arial" w:cs="Arial"/>
          <w:color w:val="000000"/>
          <w:szCs w:val="21"/>
        </w:rPr>
      </w:pPr>
      <w:r w:rsidRPr="008A64F3">
        <w:rPr>
          <w:rFonts w:ascii="Arial" w:hAnsi="Arial" w:cs="Arial"/>
          <w:color w:val="000000"/>
          <w:szCs w:val="21"/>
        </w:rPr>
        <w:t xml:space="preserve">IHC analysis showed that the </w:t>
      </w:r>
      <w:r w:rsidRPr="008A64F3">
        <w:rPr>
          <w:rFonts w:ascii="Arial" w:hAnsi="Arial" w:cs="Arial"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color w:val="000000"/>
          <w:szCs w:val="21"/>
        </w:rPr>
        <w:t>-positive tumor area was significantly smaller in</w:t>
      </w:r>
      <w:r w:rsidRPr="008A64F3">
        <w:rPr>
          <w:rFonts w:ascii="Arial" w:hAnsi="Arial" w:cs="Arial"/>
          <w:i/>
          <w:iCs/>
          <w:color w:val="000000"/>
          <w:szCs w:val="21"/>
        </w:rPr>
        <w:t xml:space="preserve"> </w:t>
      </w:r>
      <w:r w:rsidRPr="008A64F3">
        <w:rPr>
          <w:rFonts w:ascii="Arial" w:hAnsi="Arial" w:cs="Arial"/>
          <w:color w:val="000000"/>
          <w:szCs w:val="21"/>
        </w:rPr>
        <w:t xml:space="preserve">tumors with mutant </w:t>
      </w:r>
      <w:r w:rsidRPr="008A64F3">
        <w:rPr>
          <w:rFonts w:ascii="Arial" w:hAnsi="Arial" w:cs="Arial"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color w:val="000000"/>
          <w:szCs w:val="21"/>
        </w:rPr>
        <w:t xml:space="preserve">/mutations in the phosphatase domain than in tumors with wild-type </w:t>
      </w:r>
      <w:r w:rsidRPr="008A64F3">
        <w:rPr>
          <w:rFonts w:ascii="Arial" w:hAnsi="Arial" w:cs="Arial"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color w:val="000000"/>
          <w:szCs w:val="21"/>
        </w:rPr>
        <w:t xml:space="preserve"> but not in those with mutant </w:t>
      </w:r>
      <w:r w:rsidRPr="008A64F3">
        <w:rPr>
          <w:rFonts w:ascii="Arial" w:hAnsi="Arial" w:cs="Arial"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color w:val="000000"/>
          <w:szCs w:val="21"/>
        </w:rPr>
        <w:t>/mutations in the</w:t>
      </w:r>
      <w:r w:rsidRPr="008A64F3">
        <w:rPr>
          <w:rFonts w:ascii="Arial" w:hAnsi="Arial" w:cs="Arial"/>
          <w:i/>
          <w:iCs/>
          <w:color w:val="000000"/>
          <w:szCs w:val="21"/>
        </w:rPr>
        <w:t xml:space="preserve"> C2 </w:t>
      </w:r>
      <w:r w:rsidRPr="008A64F3">
        <w:rPr>
          <w:rFonts w:ascii="Arial" w:hAnsi="Arial" w:cs="Arial"/>
          <w:color w:val="000000"/>
          <w:szCs w:val="21"/>
        </w:rPr>
        <w:t>domain.</w:t>
      </w:r>
    </w:p>
    <w:p w14:paraId="3EDD044C" w14:textId="2BC62FAF" w:rsidR="009D495F" w:rsidRPr="009D495F" w:rsidRDefault="009D495F" w:rsidP="009D495F">
      <w:pPr>
        <w:pStyle w:val="a3"/>
        <w:numPr>
          <w:ilvl w:val="0"/>
          <w:numId w:val="1"/>
        </w:numPr>
        <w:spacing w:line="480" w:lineRule="auto"/>
        <w:ind w:leftChars="0"/>
        <w:rPr>
          <w:rFonts w:ascii="Arial" w:hAnsi="Arial" w:cs="Arial"/>
          <w:bCs/>
          <w:szCs w:val="21"/>
        </w:rPr>
      </w:pPr>
      <w:r w:rsidRPr="008A64F3">
        <w:rPr>
          <w:rFonts w:ascii="Arial" w:hAnsi="Arial" w:cs="Arial"/>
          <w:color w:val="000000"/>
          <w:szCs w:val="21"/>
        </w:rPr>
        <w:t xml:space="preserve">In the transcriptomic analysis, compared with tumors with wild-type </w:t>
      </w:r>
      <w:r w:rsidRPr="008A64F3">
        <w:rPr>
          <w:rFonts w:ascii="Arial" w:hAnsi="Arial" w:cs="Arial"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color w:val="000000"/>
          <w:szCs w:val="21"/>
        </w:rPr>
        <w:t xml:space="preserve">, the expression of </w:t>
      </w:r>
      <w:r w:rsidRPr="008A64F3">
        <w:rPr>
          <w:rFonts w:ascii="Arial" w:hAnsi="Arial" w:cs="Arial"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color w:val="000000"/>
          <w:szCs w:val="21"/>
        </w:rPr>
        <w:t xml:space="preserve"> mRNA was significantly lower in tumors with mutant </w:t>
      </w:r>
      <w:r w:rsidRPr="008A64F3">
        <w:rPr>
          <w:rFonts w:ascii="Arial" w:hAnsi="Arial" w:cs="Arial"/>
          <w:i/>
          <w:iCs/>
          <w:color w:val="000000"/>
          <w:szCs w:val="21"/>
        </w:rPr>
        <w:t>PTEN</w:t>
      </w:r>
      <w:r w:rsidRPr="008A64F3">
        <w:rPr>
          <w:rFonts w:ascii="Arial" w:hAnsi="Arial" w:cs="Arial"/>
          <w:color w:val="000000"/>
          <w:szCs w:val="21"/>
        </w:rPr>
        <w:t>/mutations in the phosphatase domain but not in those with mutations in the C2 domain.</w:t>
      </w:r>
    </w:p>
    <w:p w14:paraId="6D200CA3" w14:textId="4CE6ADDD" w:rsidR="009D495F" w:rsidRPr="009D495F" w:rsidRDefault="009D495F" w:rsidP="009D495F">
      <w:pPr>
        <w:spacing w:line="480" w:lineRule="auto"/>
        <w:rPr>
          <w:rFonts w:ascii="Arial" w:hAnsi="Arial" w:cs="Arial" w:hint="eastAsia"/>
          <w:bCs/>
          <w:szCs w:val="21"/>
        </w:rPr>
      </w:pPr>
    </w:p>
    <w:p w14:paraId="0D097663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 w:rsidRPr="008A64F3">
        <w:rPr>
          <w:rFonts w:ascii="Arial" w:hAnsi="Arial" w:cs="Arial"/>
          <w:b/>
          <w:szCs w:val="21"/>
        </w:rPr>
        <w:t xml:space="preserve">Supplementary Figure S4 </w:t>
      </w:r>
    </w:p>
    <w:p w14:paraId="3F0F6EC9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 w:rsidRPr="008A64F3">
        <w:rPr>
          <w:rFonts w:ascii="Arial" w:hAnsi="Arial" w:cs="Arial"/>
          <w:b/>
          <w:szCs w:val="21"/>
        </w:rPr>
        <w:t>Gene set enrichment analysis of whole transcriptome expression</w:t>
      </w:r>
    </w:p>
    <w:p w14:paraId="4E19DF0C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i/>
          <w:iCs/>
          <w:szCs w:val="21"/>
        </w:rPr>
      </w:pPr>
      <w:r w:rsidRPr="008A64F3">
        <w:rPr>
          <w:rFonts w:ascii="Arial" w:hAnsi="Arial" w:cs="Arial"/>
          <w:b/>
          <w:szCs w:val="21"/>
        </w:rPr>
        <w:t xml:space="preserve">(A) and (B): GSEA enrichment plot for “HALLMARK_PI3K_AKT_MTOR_SIGNALING” and “HALLMARK_MTORC1_SIGNALING” between mutant </w:t>
      </w:r>
      <w:r w:rsidRPr="008A64F3">
        <w:rPr>
          <w:rFonts w:ascii="Arial" w:hAnsi="Arial" w:cs="Arial"/>
          <w:b/>
          <w:i/>
          <w:iCs/>
          <w:szCs w:val="21"/>
        </w:rPr>
        <w:t>PTEN</w:t>
      </w:r>
      <w:r w:rsidRPr="008A64F3">
        <w:rPr>
          <w:rFonts w:ascii="Arial" w:hAnsi="Arial" w:cs="Arial"/>
          <w:b/>
          <w:szCs w:val="21"/>
        </w:rPr>
        <w:t xml:space="preserve">/mutations in the phosphatase domain and wild-type </w:t>
      </w:r>
      <w:r w:rsidRPr="008A64F3">
        <w:rPr>
          <w:rFonts w:ascii="Arial" w:hAnsi="Arial" w:cs="Arial"/>
          <w:b/>
          <w:i/>
          <w:iCs/>
          <w:szCs w:val="21"/>
        </w:rPr>
        <w:t>PTEN</w:t>
      </w:r>
    </w:p>
    <w:p w14:paraId="518EBAE1" w14:textId="77777777" w:rsidR="009D495F" w:rsidRPr="008A64F3" w:rsidRDefault="009D495F" w:rsidP="009D495F">
      <w:pPr>
        <w:spacing w:line="480" w:lineRule="auto"/>
        <w:rPr>
          <w:rFonts w:ascii="Arial" w:hAnsi="Arial" w:cs="Arial"/>
          <w:b/>
          <w:szCs w:val="21"/>
        </w:rPr>
      </w:pPr>
      <w:r w:rsidRPr="008A64F3">
        <w:rPr>
          <w:rFonts w:ascii="Arial" w:hAnsi="Arial" w:cs="Arial"/>
          <w:b/>
          <w:szCs w:val="21"/>
        </w:rPr>
        <w:t xml:space="preserve">(C) and (D): GSEA enrichment plot for “HALLMARK_PI3K_AKT_MTOR_SIGNALING” and “HALLMARK_MTORC1_SIGNALING” between mutant </w:t>
      </w:r>
      <w:r w:rsidRPr="008A64F3">
        <w:rPr>
          <w:rFonts w:ascii="Arial" w:hAnsi="Arial" w:cs="Arial"/>
          <w:b/>
          <w:i/>
          <w:iCs/>
          <w:szCs w:val="21"/>
        </w:rPr>
        <w:t>PTEN</w:t>
      </w:r>
      <w:r w:rsidRPr="008A64F3">
        <w:rPr>
          <w:rFonts w:ascii="Arial" w:hAnsi="Arial" w:cs="Arial"/>
          <w:b/>
          <w:szCs w:val="21"/>
        </w:rPr>
        <w:t xml:space="preserve">/mutations in the C2 domain and wild-type </w:t>
      </w:r>
      <w:r w:rsidRPr="008A64F3">
        <w:rPr>
          <w:rFonts w:ascii="Arial" w:hAnsi="Arial" w:cs="Arial"/>
          <w:b/>
          <w:i/>
          <w:iCs/>
          <w:szCs w:val="21"/>
        </w:rPr>
        <w:t>PTEN</w:t>
      </w:r>
    </w:p>
    <w:p w14:paraId="16B8AB1E" w14:textId="00E06B01" w:rsidR="00F16E3C" w:rsidRPr="009D495F" w:rsidRDefault="009D495F" w:rsidP="00A074ED">
      <w:pPr>
        <w:spacing w:line="480" w:lineRule="auto"/>
        <w:ind w:firstLineChars="250" w:firstLine="525"/>
      </w:pPr>
      <w:r w:rsidRPr="008A64F3">
        <w:rPr>
          <w:rFonts w:ascii="Arial" w:hAnsi="Arial" w:cs="Arial"/>
          <w:bCs/>
          <w:szCs w:val="21"/>
        </w:rPr>
        <w:lastRenderedPageBreak/>
        <w:t>GSEA demonstrated enrichment of signature genes involved in the PI3K-AKT-mTOR and MTORC1 signaling pathways in tumors with mutant</w:t>
      </w:r>
      <w:r w:rsidRPr="008A64F3">
        <w:rPr>
          <w:rFonts w:ascii="Arial" w:hAnsi="Arial" w:cs="Arial"/>
          <w:bCs/>
          <w:i/>
          <w:iCs/>
          <w:szCs w:val="21"/>
        </w:rPr>
        <w:t xml:space="preserve"> PTEN</w:t>
      </w:r>
      <w:r w:rsidRPr="008A64F3">
        <w:rPr>
          <w:rFonts w:ascii="Arial" w:hAnsi="Arial" w:cs="Arial"/>
          <w:bCs/>
          <w:szCs w:val="21"/>
        </w:rPr>
        <w:t xml:space="preserve">/mutations in the phosphatase domain compared to those with wild-type </w:t>
      </w:r>
      <w:r w:rsidRPr="008A64F3">
        <w:rPr>
          <w:rFonts w:ascii="Arial" w:hAnsi="Arial" w:cs="Arial"/>
          <w:bCs/>
          <w:i/>
          <w:iCs/>
          <w:szCs w:val="21"/>
        </w:rPr>
        <w:t>PTEN</w:t>
      </w:r>
      <w:r w:rsidRPr="008A64F3">
        <w:rPr>
          <w:rFonts w:ascii="Arial" w:hAnsi="Arial" w:cs="Arial"/>
          <w:bCs/>
          <w:szCs w:val="21"/>
        </w:rPr>
        <w:t xml:space="preserve">, while the difference was not statistically significant between tumors with mutant </w:t>
      </w:r>
      <w:r w:rsidRPr="008A64F3">
        <w:rPr>
          <w:rFonts w:ascii="Arial" w:hAnsi="Arial" w:cs="Arial"/>
          <w:bCs/>
          <w:i/>
          <w:iCs/>
          <w:szCs w:val="21"/>
        </w:rPr>
        <w:t>PTEN</w:t>
      </w:r>
      <w:r w:rsidRPr="008A64F3">
        <w:rPr>
          <w:rFonts w:ascii="Arial" w:hAnsi="Arial" w:cs="Arial"/>
          <w:bCs/>
          <w:szCs w:val="21"/>
        </w:rPr>
        <w:t xml:space="preserve">/mutations in the C2 domain and those with wild-type </w:t>
      </w:r>
      <w:r w:rsidRPr="008A64F3">
        <w:rPr>
          <w:rFonts w:ascii="Arial" w:hAnsi="Arial" w:cs="Arial"/>
          <w:bCs/>
          <w:i/>
          <w:iCs/>
          <w:szCs w:val="21"/>
        </w:rPr>
        <w:t>PTEN</w:t>
      </w:r>
      <w:r w:rsidRPr="008A64F3">
        <w:rPr>
          <w:rFonts w:ascii="Arial" w:hAnsi="Arial" w:cs="Arial"/>
          <w:bCs/>
          <w:szCs w:val="21"/>
        </w:rPr>
        <w:t>.</w:t>
      </w:r>
    </w:p>
    <w:sectPr w:rsidR="00F16E3C" w:rsidRPr="009D4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6869"/>
    <w:multiLevelType w:val="hybridMultilevel"/>
    <w:tmpl w:val="D90C60C8"/>
    <w:lvl w:ilvl="0" w:tplc="703AC1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AEA3548" w:tentative="1">
      <w:start w:val="1"/>
      <w:numFmt w:val="aiueoFullWidth"/>
      <w:lvlText w:val="(%2)"/>
      <w:lvlJc w:val="left"/>
      <w:pPr>
        <w:ind w:left="840" w:hanging="420"/>
      </w:pPr>
    </w:lvl>
    <w:lvl w:ilvl="2" w:tplc="80D858D2" w:tentative="1">
      <w:start w:val="1"/>
      <w:numFmt w:val="decimalEnclosedCircle"/>
      <w:lvlText w:val="%3"/>
      <w:lvlJc w:val="left"/>
      <w:pPr>
        <w:ind w:left="1260" w:hanging="420"/>
      </w:pPr>
    </w:lvl>
    <w:lvl w:ilvl="3" w:tplc="E5CC7720" w:tentative="1">
      <w:start w:val="1"/>
      <w:numFmt w:val="decimal"/>
      <w:lvlText w:val="%4."/>
      <w:lvlJc w:val="left"/>
      <w:pPr>
        <w:ind w:left="1680" w:hanging="420"/>
      </w:pPr>
    </w:lvl>
    <w:lvl w:ilvl="4" w:tplc="87B46572" w:tentative="1">
      <w:start w:val="1"/>
      <w:numFmt w:val="aiueoFullWidth"/>
      <w:lvlText w:val="(%5)"/>
      <w:lvlJc w:val="left"/>
      <w:pPr>
        <w:ind w:left="2100" w:hanging="420"/>
      </w:pPr>
    </w:lvl>
    <w:lvl w:ilvl="5" w:tplc="5DE8EBA2" w:tentative="1">
      <w:start w:val="1"/>
      <w:numFmt w:val="decimalEnclosedCircle"/>
      <w:lvlText w:val="%6"/>
      <w:lvlJc w:val="left"/>
      <w:pPr>
        <w:ind w:left="2520" w:hanging="420"/>
      </w:pPr>
    </w:lvl>
    <w:lvl w:ilvl="6" w:tplc="37FE6E98" w:tentative="1">
      <w:start w:val="1"/>
      <w:numFmt w:val="decimal"/>
      <w:lvlText w:val="%7."/>
      <w:lvlJc w:val="left"/>
      <w:pPr>
        <w:ind w:left="2940" w:hanging="420"/>
      </w:pPr>
    </w:lvl>
    <w:lvl w:ilvl="7" w:tplc="4B2AEC88" w:tentative="1">
      <w:start w:val="1"/>
      <w:numFmt w:val="aiueoFullWidth"/>
      <w:lvlText w:val="(%8)"/>
      <w:lvlJc w:val="left"/>
      <w:pPr>
        <w:ind w:left="3360" w:hanging="420"/>
      </w:pPr>
    </w:lvl>
    <w:lvl w:ilvl="8" w:tplc="ABF0C6B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F"/>
    <w:rsid w:val="009D495F"/>
    <w:rsid w:val="00A074ED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6926D"/>
  <w15:chartTrackingRefBased/>
  <w15:docId w15:val="{4DCFE492-0F9B-4ADB-8FE8-0EE29DE5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圭悟</dc:creator>
  <cp:keywords/>
  <dc:description/>
  <cp:lastModifiedBy>千田　圭悟</cp:lastModifiedBy>
  <cp:revision>2</cp:revision>
  <dcterms:created xsi:type="dcterms:W3CDTF">2021-04-20T08:32:00Z</dcterms:created>
  <dcterms:modified xsi:type="dcterms:W3CDTF">2021-04-20T08:34:00Z</dcterms:modified>
</cp:coreProperties>
</file>