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2D75" w:rsidRPr="009E523B" w:rsidRDefault="00FC2D75" w:rsidP="00FC2D75">
      <w:pPr>
        <w:jc w:val="center"/>
        <w:rPr>
          <w:b/>
          <w:sz w:val="28"/>
          <w:szCs w:val="28"/>
          <w:lang w:val="en-US"/>
        </w:rPr>
      </w:pPr>
      <w:r w:rsidRPr="009E523B">
        <w:rPr>
          <w:b/>
          <w:sz w:val="28"/>
          <w:szCs w:val="28"/>
          <w:lang w:val="en-US"/>
        </w:rPr>
        <w:t>Supplementary material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val="en-US" w:eastAsia="en-US"/>
        </w:rPr>
        <w:id w:val="6554158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E4B7C" w:rsidRPr="009E523B" w:rsidRDefault="002E4B7C" w:rsidP="00510611">
          <w:pPr>
            <w:pStyle w:val="Kopvaninhoudsopgave"/>
            <w:spacing w:line="480" w:lineRule="auto"/>
            <w:rPr>
              <w:lang w:val="en-US"/>
            </w:rPr>
          </w:pPr>
        </w:p>
        <w:p w:rsidR="002E4B7C" w:rsidRPr="009E523B" w:rsidRDefault="002E4B7C" w:rsidP="00510611">
          <w:pPr>
            <w:pStyle w:val="Inhopg1"/>
            <w:tabs>
              <w:tab w:val="right" w:leader="dot" w:pos="9060"/>
            </w:tabs>
            <w:spacing w:line="480" w:lineRule="auto"/>
            <w:rPr>
              <w:rFonts w:eastAsiaTheme="minorEastAsia"/>
              <w:noProof/>
              <w:sz w:val="22"/>
              <w:szCs w:val="22"/>
              <w:lang w:val="en-US" w:eastAsia="nl-NL"/>
            </w:rPr>
          </w:pPr>
          <w:r w:rsidRPr="009E523B">
            <w:rPr>
              <w:lang w:val="en-US"/>
            </w:rPr>
            <w:fldChar w:fldCharType="begin"/>
          </w:r>
          <w:r w:rsidRPr="009E523B">
            <w:rPr>
              <w:lang w:val="en-US"/>
            </w:rPr>
            <w:instrText xml:space="preserve"> TOC \o "1-3" \h \z \u </w:instrText>
          </w:r>
          <w:r w:rsidRPr="009E523B">
            <w:rPr>
              <w:lang w:val="en-US"/>
            </w:rPr>
            <w:fldChar w:fldCharType="separate"/>
          </w:r>
          <w:hyperlink w:anchor="_Toc50739126" w:history="1">
            <w:r w:rsidRPr="009E523B">
              <w:rPr>
                <w:rStyle w:val="Hyperlink"/>
                <w:noProof/>
                <w:lang w:val="en-US"/>
              </w:rPr>
              <w:t>All adverse events</w:t>
            </w:r>
            <w:r w:rsidRPr="009E523B">
              <w:rPr>
                <w:noProof/>
                <w:webHidden/>
                <w:lang w:val="en-US"/>
              </w:rPr>
              <w:tab/>
            </w:r>
            <w:r w:rsidRPr="009E523B">
              <w:rPr>
                <w:noProof/>
                <w:webHidden/>
                <w:lang w:val="en-US"/>
              </w:rPr>
              <w:fldChar w:fldCharType="begin"/>
            </w:r>
            <w:r w:rsidRPr="009E523B">
              <w:rPr>
                <w:noProof/>
                <w:webHidden/>
                <w:lang w:val="en-US"/>
              </w:rPr>
              <w:instrText xml:space="preserve"> PAGEREF _Toc50739126 \h </w:instrText>
            </w:r>
            <w:r w:rsidRPr="009E523B">
              <w:rPr>
                <w:noProof/>
                <w:webHidden/>
                <w:lang w:val="en-US"/>
              </w:rPr>
            </w:r>
            <w:r w:rsidRPr="009E523B">
              <w:rPr>
                <w:noProof/>
                <w:webHidden/>
                <w:lang w:val="en-US"/>
              </w:rPr>
              <w:fldChar w:fldCharType="separate"/>
            </w:r>
            <w:r w:rsidRPr="009E523B">
              <w:rPr>
                <w:noProof/>
                <w:webHidden/>
                <w:lang w:val="en-US"/>
              </w:rPr>
              <w:t>2</w:t>
            </w:r>
            <w:r w:rsidRPr="009E523B">
              <w:rPr>
                <w:noProof/>
                <w:webHidden/>
                <w:lang w:val="en-US"/>
              </w:rPr>
              <w:fldChar w:fldCharType="end"/>
            </w:r>
          </w:hyperlink>
        </w:p>
        <w:p w:rsidR="002E4B7C" w:rsidRPr="009E523B" w:rsidRDefault="004D2DE7" w:rsidP="00510611">
          <w:pPr>
            <w:pStyle w:val="Inhopg1"/>
            <w:tabs>
              <w:tab w:val="right" w:leader="dot" w:pos="9060"/>
            </w:tabs>
            <w:spacing w:line="480" w:lineRule="auto"/>
            <w:rPr>
              <w:rFonts w:eastAsiaTheme="minorEastAsia"/>
              <w:noProof/>
              <w:sz w:val="22"/>
              <w:szCs w:val="22"/>
              <w:lang w:val="en-US" w:eastAsia="nl-NL"/>
            </w:rPr>
          </w:pPr>
          <w:hyperlink w:anchor="_Toc50739127" w:history="1">
            <w:r w:rsidR="002E4B7C" w:rsidRPr="009E523B">
              <w:rPr>
                <w:rStyle w:val="Hyperlink"/>
                <w:noProof/>
                <w:lang w:val="en-US"/>
              </w:rPr>
              <w:t>EORTC-QLQ-C30 questionnaires</w:t>
            </w:r>
            <w:r w:rsidR="002E4B7C" w:rsidRPr="009E523B">
              <w:rPr>
                <w:noProof/>
                <w:webHidden/>
                <w:lang w:val="en-US"/>
              </w:rPr>
              <w:tab/>
            </w:r>
            <w:r w:rsidR="00B4620C">
              <w:rPr>
                <w:noProof/>
                <w:webHidden/>
                <w:lang w:val="en-US"/>
              </w:rPr>
              <w:t>3</w:t>
            </w:r>
          </w:hyperlink>
        </w:p>
        <w:p w:rsidR="002E4B7C" w:rsidRPr="009E523B" w:rsidRDefault="004D2DE7" w:rsidP="00510611">
          <w:pPr>
            <w:pStyle w:val="Inhopg1"/>
            <w:tabs>
              <w:tab w:val="right" w:leader="dot" w:pos="9060"/>
            </w:tabs>
            <w:spacing w:line="480" w:lineRule="auto"/>
            <w:rPr>
              <w:rFonts w:eastAsiaTheme="minorEastAsia"/>
              <w:noProof/>
              <w:sz w:val="22"/>
              <w:szCs w:val="22"/>
              <w:lang w:val="en-US" w:eastAsia="nl-NL"/>
            </w:rPr>
          </w:pPr>
          <w:hyperlink w:anchor="_Toc50739128" w:history="1">
            <w:r w:rsidR="002E4B7C" w:rsidRPr="009E523B">
              <w:rPr>
                <w:rStyle w:val="Hyperlink"/>
                <w:noProof/>
                <w:lang w:val="en-US"/>
              </w:rPr>
              <w:t>Dosimetry results of target lesions and organs at risk</w:t>
            </w:r>
            <w:r w:rsidR="002E4B7C" w:rsidRPr="009E523B">
              <w:rPr>
                <w:noProof/>
                <w:webHidden/>
                <w:lang w:val="en-US"/>
              </w:rPr>
              <w:tab/>
            </w:r>
            <w:r w:rsidR="00B4620C">
              <w:rPr>
                <w:noProof/>
                <w:webHidden/>
                <w:lang w:val="en-US"/>
              </w:rPr>
              <w:t>4</w:t>
            </w:r>
          </w:hyperlink>
        </w:p>
        <w:p w:rsidR="002E4B7C" w:rsidRPr="009E523B" w:rsidRDefault="004D2DE7" w:rsidP="00510611">
          <w:pPr>
            <w:pStyle w:val="Inhopg1"/>
            <w:tabs>
              <w:tab w:val="right" w:leader="dot" w:pos="9060"/>
            </w:tabs>
            <w:spacing w:line="480" w:lineRule="auto"/>
            <w:rPr>
              <w:rFonts w:eastAsiaTheme="minorEastAsia"/>
              <w:noProof/>
              <w:sz w:val="22"/>
              <w:szCs w:val="22"/>
              <w:lang w:val="en-US" w:eastAsia="nl-NL"/>
            </w:rPr>
          </w:pPr>
          <w:hyperlink w:anchor="_Toc50739129" w:history="1">
            <w:r w:rsidR="002E4B7C" w:rsidRPr="009E523B">
              <w:rPr>
                <w:rStyle w:val="Hyperlink"/>
                <w:noProof/>
                <w:lang w:val="en-US"/>
              </w:rPr>
              <w:t>PSMA-PET/CT SUV and size of all the lesions during each cycle</w:t>
            </w:r>
            <w:r w:rsidR="002E4B7C" w:rsidRPr="009E523B">
              <w:rPr>
                <w:noProof/>
                <w:webHidden/>
                <w:lang w:val="en-US"/>
              </w:rPr>
              <w:tab/>
            </w:r>
            <w:r w:rsidR="00B4620C">
              <w:rPr>
                <w:noProof/>
                <w:webHidden/>
                <w:lang w:val="en-US"/>
              </w:rPr>
              <w:t>5</w:t>
            </w:r>
          </w:hyperlink>
        </w:p>
        <w:p w:rsidR="002E4B7C" w:rsidRPr="009E523B" w:rsidRDefault="004D2DE7" w:rsidP="00510611">
          <w:pPr>
            <w:pStyle w:val="Inhopg1"/>
            <w:tabs>
              <w:tab w:val="right" w:leader="dot" w:pos="9060"/>
            </w:tabs>
            <w:spacing w:line="480" w:lineRule="auto"/>
            <w:rPr>
              <w:rFonts w:eastAsiaTheme="minorEastAsia"/>
              <w:noProof/>
              <w:sz w:val="22"/>
              <w:szCs w:val="22"/>
              <w:lang w:val="en-US" w:eastAsia="nl-NL"/>
            </w:rPr>
          </w:pPr>
          <w:hyperlink w:anchor="_Toc50739130" w:history="1">
            <w:r w:rsidR="002E4B7C" w:rsidRPr="009E523B">
              <w:rPr>
                <w:rStyle w:val="Hyperlink"/>
                <w:noProof/>
                <w:lang w:val="en-US"/>
              </w:rPr>
              <w:t xml:space="preserve">PSMA-PET maximum intensity projections (MIP) before and after </w:t>
            </w:r>
            <w:r w:rsidR="002E4B7C" w:rsidRPr="009E523B">
              <w:rPr>
                <w:rStyle w:val="Hyperlink"/>
                <w:noProof/>
                <w:vertAlign w:val="superscript"/>
                <w:lang w:val="en-US"/>
              </w:rPr>
              <w:t>177</w:t>
            </w:r>
            <w:r w:rsidR="002E4B7C" w:rsidRPr="009E523B">
              <w:rPr>
                <w:rStyle w:val="Hyperlink"/>
                <w:noProof/>
                <w:lang w:val="en-US"/>
              </w:rPr>
              <w:t>Lu-PSMA</w:t>
            </w:r>
            <w:r w:rsidR="002E4B7C" w:rsidRPr="009E523B">
              <w:rPr>
                <w:noProof/>
                <w:webHidden/>
                <w:lang w:val="en-US"/>
              </w:rPr>
              <w:tab/>
            </w:r>
            <w:r w:rsidR="00B4620C">
              <w:rPr>
                <w:noProof/>
                <w:webHidden/>
                <w:lang w:val="en-US"/>
              </w:rPr>
              <w:t>8</w:t>
            </w:r>
          </w:hyperlink>
        </w:p>
        <w:p w:rsidR="002E4B7C" w:rsidRPr="009E523B" w:rsidRDefault="004D2DE7" w:rsidP="00510611">
          <w:pPr>
            <w:pStyle w:val="Inhopg1"/>
            <w:tabs>
              <w:tab w:val="right" w:leader="dot" w:pos="9060"/>
            </w:tabs>
            <w:spacing w:line="480" w:lineRule="auto"/>
            <w:rPr>
              <w:rFonts w:eastAsiaTheme="minorEastAsia"/>
              <w:noProof/>
              <w:sz w:val="22"/>
              <w:szCs w:val="22"/>
              <w:lang w:val="en-US" w:eastAsia="nl-NL"/>
            </w:rPr>
          </w:pPr>
          <w:hyperlink w:anchor="_Toc50739131" w:history="1">
            <w:r w:rsidR="002E4B7C" w:rsidRPr="009E523B">
              <w:rPr>
                <w:rStyle w:val="Hyperlink"/>
                <w:noProof/>
                <w:lang w:val="en-US"/>
              </w:rPr>
              <w:t>Inclusion and exclusion criteria</w:t>
            </w:r>
            <w:r w:rsidR="002E4B7C" w:rsidRPr="009E523B">
              <w:rPr>
                <w:noProof/>
                <w:webHidden/>
                <w:lang w:val="en-US"/>
              </w:rPr>
              <w:tab/>
            </w:r>
            <w:r w:rsidR="00B4620C">
              <w:rPr>
                <w:noProof/>
                <w:webHidden/>
                <w:lang w:val="en-US"/>
              </w:rPr>
              <w:t>10</w:t>
            </w:r>
          </w:hyperlink>
        </w:p>
        <w:p w:rsidR="002E4B7C" w:rsidRPr="009E523B" w:rsidRDefault="004D2DE7" w:rsidP="00510611">
          <w:pPr>
            <w:pStyle w:val="Inhopg1"/>
            <w:tabs>
              <w:tab w:val="right" w:leader="dot" w:pos="9060"/>
            </w:tabs>
            <w:spacing w:line="480" w:lineRule="auto"/>
            <w:rPr>
              <w:rFonts w:eastAsiaTheme="minorEastAsia"/>
              <w:noProof/>
              <w:sz w:val="22"/>
              <w:szCs w:val="22"/>
              <w:lang w:val="en-US" w:eastAsia="nl-NL"/>
            </w:rPr>
          </w:pPr>
          <w:hyperlink w:anchor="_Toc50739132" w:history="1">
            <w:r w:rsidR="002E4B7C" w:rsidRPr="009E523B">
              <w:rPr>
                <w:rStyle w:val="Hyperlink"/>
                <w:noProof/>
                <w:lang w:val="en-US"/>
              </w:rPr>
              <w:t>Study Flowchart</w:t>
            </w:r>
            <w:r w:rsidR="002E4B7C" w:rsidRPr="009E523B">
              <w:rPr>
                <w:noProof/>
                <w:webHidden/>
                <w:lang w:val="en-US"/>
              </w:rPr>
              <w:tab/>
            </w:r>
            <w:r w:rsidR="002E4B7C" w:rsidRPr="009E523B">
              <w:rPr>
                <w:noProof/>
                <w:webHidden/>
                <w:lang w:val="en-US"/>
              </w:rPr>
              <w:fldChar w:fldCharType="begin"/>
            </w:r>
            <w:r w:rsidR="002E4B7C" w:rsidRPr="009E523B">
              <w:rPr>
                <w:noProof/>
                <w:webHidden/>
                <w:lang w:val="en-US"/>
              </w:rPr>
              <w:instrText xml:space="preserve"> PAGEREF _Toc50739132 \h </w:instrText>
            </w:r>
            <w:r w:rsidR="002E4B7C" w:rsidRPr="009E523B">
              <w:rPr>
                <w:noProof/>
                <w:webHidden/>
                <w:lang w:val="en-US"/>
              </w:rPr>
            </w:r>
            <w:r w:rsidR="002E4B7C" w:rsidRPr="009E523B">
              <w:rPr>
                <w:noProof/>
                <w:webHidden/>
                <w:lang w:val="en-US"/>
              </w:rPr>
              <w:fldChar w:fldCharType="separate"/>
            </w:r>
            <w:r w:rsidR="002E4B7C" w:rsidRPr="009E523B">
              <w:rPr>
                <w:noProof/>
                <w:webHidden/>
                <w:lang w:val="en-US"/>
              </w:rPr>
              <w:t>1</w:t>
            </w:r>
            <w:r w:rsidR="00B4620C">
              <w:rPr>
                <w:noProof/>
                <w:webHidden/>
                <w:lang w:val="en-US"/>
              </w:rPr>
              <w:t>1</w:t>
            </w:r>
            <w:r w:rsidR="002E4B7C" w:rsidRPr="009E523B">
              <w:rPr>
                <w:noProof/>
                <w:webHidden/>
                <w:lang w:val="en-US"/>
              </w:rPr>
              <w:fldChar w:fldCharType="end"/>
            </w:r>
          </w:hyperlink>
        </w:p>
        <w:p w:rsidR="002E4B7C" w:rsidRPr="009E523B" w:rsidRDefault="004D2DE7" w:rsidP="00510611">
          <w:pPr>
            <w:pStyle w:val="Inhopg1"/>
            <w:tabs>
              <w:tab w:val="right" w:leader="dot" w:pos="9060"/>
            </w:tabs>
            <w:spacing w:line="480" w:lineRule="auto"/>
            <w:rPr>
              <w:rFonts w:eastAsiaTheme="minorEastAsia"/>
              <w:noProof/>
              <w:sz w:val="22"/>
              <w:szCs w:val="22"/>
              <w:lang w:val="en-US" w:eastAsia="nl-NL"/>
            </w:rPr>
          </w:pPr>
          <w:hyperlink w:anchor="_Toc50739133" w:history="1">
            <w:r w:rsidR="002E4B7C" w:rsidRPr="009E523B">
              <w:rPr>
                <w:rStyle w:val="Hyperlink"/>
                <w:noProof/>
                <w:shd w:val="clear" w:color="auto" w:fill="FFFFFF"/>
                <w:lang w:val="en-US"/>
              </w:rPr>
              <w:t xml:space="preserve">Labeling and purification of PSMA-617 with </w:t>
            </w:r>
            <w:r w:rsidR="002E4B7C" w:rsidRPr="009E523B">
              <w:rPr>
                <w:rStyle w:val="Hyperlink"/>
                <w:noProof/>
                <w:shd w:val="clear" w:color="auto" w:fill="FFFFFF"/>
                <w:vertAlign w:val="superscript"/>
                <w:lang w:val="en-US"/>
              </w:rPr>
              <w:t>177</w:t>
            </w:r>
            <w:r w:rsidR="002E4B7C" w:rsidRPr="009E523B">
              <w:rPr>
                <w:rStyle w:val="Hyperlink"/>
                <w:noProof/>
                <w:shd w:val="clear" w:color="auto" w:fill="FFFFFF"/>
                <w:lang w:val="en-US"/>
              </w:rPr>
              <w:t>Lu</w:t>
            </w:r>
            <w:r w:rsidR="002E4B7C" w:rsidRPr="009E523B">
              <w:rPr>
                <w:noProof/>
                <w:webHidden/>
                <w:lang w:val="en-US"/>
              </w:rPr>
              <w:tab/>
            </w:r>
            <w:r w:rsidR="002E4B7C" w:rsidRPr="009E523B">
              <w:rPr>
                <w:noProof/>
                <w:webHidden/>
                <w:lang w:val="en-US"/>
              </w:rPr>
              <w:fldChar w:fldCharType="begin"/>
            </w:r>
            <w:r w:rsidR="002E4B7C" w:rsidRPr="009E523B">
              <w:rPr>
                <w:noProof/>
                <w:webHidden/>
                <w:lang w:val="en-US"/>
              </w:rPr>
              <w:instrText xml:space="preserve"> PAGEREF _Toc50739133 \h </w:instrText>
            </w:r>
            <w:r w:rsidR="002E4B7C" w:rsidRPr="009E523B">
              <w:rPr>
                <w:noProof/>
                <w:webHidden/>
                <w:lang w:val="en-US"/>
              </w:rPr>
            </w:r>
            <w:r w:rsidR="002E4B7C" w:rsidRPr="009E523B">
              <w:rPr>
                <w:noProof/>
                <w:webHidden/>
                <w:lang w:val="en-US"/>
              </w:rPr>
              <w:fldChar w:fldCharType="separate"/>
            </w:r>
            <w:r w:rsidR="002E4B7C" w:rsidRPr="009E523B">
              <w:rPr>
                <w:noProof/>
                <w:webHidden/>
                <w:lang w:val="en-US"/>
              </w:rPr>
              <w:t>1</w:t>
            </w:r>
            <w:r w:rsidR="00B4620C">
              <w:rPr>
                <w:noProof/>
                <w:webHidden/>
                <w:lang w:val="en-US"/>
              </w:rPr>
              <w:t>2</w:t>
            </w:r>
            <w:r w:rsidR="002E4B7C" w:rsidRPr="009E523B">
              <w:rPr>
                <w:noProof/>
                <w:webHidden/>
                <w:lang w:val="en-US"/>
              </w:rPr>
              <w:fldChar w:fldCharType="end"/>
            </w:r>
          </w:hyperlink>
        </w:p>
        <w:p w:rsidR="002E4B7C" w:rsidRPr="009E523B" w:rsidRDefault="002E4B7C" w:rsidP="00510611">
          <w:pPr>
            <w:spacing w:line="480" w:lineRule="auto"/>
            <w:rPr>
              <w:lang w:val="en-US"/>
            </w:rPr>
          </w:pPr>
          <w:r w:rsidRPr="009E523B">
            <w:rPr>
              <w:b/>
              <w:bCs/>
              <w:lang w:val="en-US"/>
            </w:rPr>
            <w:fldChar w:fldCharType="end"/>
          </w:r>
        </w:p>
      </w:sdtContent>
    </w:sdt>
    <w:p w:rsidR="00FC2D75" w:rsidRPr="009E523B" w:rsidRDefault="00FC2D75">
      <w:pPr>
        <w:spacing w:after="200" w:line="276" w:lineRule="auto"/>
        <w:rPr>
          <w:lang w:val="en-US"/>
        </w:rPr>
      </w:pPr>
      <w:bookmarkStart w:id="0" w:name="_GoBack"/>
      <w:r w:rsidRPr="009E523B">
        <w:rPr>
          <w:lang w:val="en-US"/>
        </w:rPr>
        <w:br w:type="page"/>
      </w:r>
    </w:p>
    <w:p w:rsidR="00FC2D75" w:rsidRPr="009E523B" w:rsidRDefault="00FC2D75" w:rsidP="00FC2D75">
      <w:pPr>
        <w:pStyle w:val="Kop1"/>
        <w:rPr>
          <w:sz w:val="28"/>
          <w:szCs w:val="28"/>
          <w:lang w:val="en-US"/>
        </w:rPr>
      </w:pPr>
      <w:bookmarkStart w:id="1" w:name="_Toc50738440"/>
      <w:bookmarkStart w:id="2" w:name="_Toc50739126"/>
      <w:bookmarkEnd w:id="0"/>
      <w:r w:rsidRPr="009E523B">
        <w:rPr>
          <w:sz w:val="28"/>
          <w:szCs w:val="28"/>
          <w:lang w:val="en-US"/>
        </w:rPr>
        <w:lastRenderedPageBreak/>
        <w:t>All adverse events</w:t>
      </w:r>
      <w:bookmarkEnd w:id="1"/>
      <w:bookmarkEnd w:id="2"/>
      <w:r w:rsidRPr="009E523B">
        <w:rPr>
          <w:sz w:val="28"/>
          <w:szCs w:val="28"/>
          <w:lang w:val="en-US"/>
        </w:rPr>
        <w:t xml:space="preserve"> </w:t>
      </w:r>
    </w:p>
    <w:tbl>
      <w:tblPr>
        <w:tblStyle w:val="Tabel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5"/>
        <w:gridCol w:w="1297"/>
        <w:gridCol w:w="1134"/>
        <w:gridCol w:w="2268"/>
        <w:gridCol w:w="2552"/>
      </w:tblGrid>
      <w:tr w:rsidR="00FC2D75" w:rsidRPr="009E523B" w:rsidTr="00FC2D75">
        <w:trPr>
          <w:trHeight w:val="525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b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b/>
                <w:color w:val="000000"/>
                <w:lang w:val="en-US" w:eastAsia="nl-NL"/>
              </w:rPr>
              <w:t>Adverse event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b/>
                <w:color w:val="000000"/>
                <w:u w:val="single"/>
                <w:lang w:val="en-US" w:eastAsia="nl-NL"/>
              </w:rPr>
            </w:pPr>
            <w:r w:rsidRPr="009E523B">
              <w:rPr>
                <w:rFonts w:eastAsia="Times New Roman" w:cs="Arial"/>
                <w:b/>
                <w:color w:val="000000"/>
                <w:u w:val="single"/>
                <w:lang w:val="en-US" w:eastAsia="nl-NL"/>
              </w:rPr>
              <w:t>Grade I-II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b/>
                <w:color w:val="000000"/>
                <w:u w:val="single"/>
                <w:lang w:val="en-US" w:eastAsia="nl-NL"/>
              </w:rPr>
            </w:pPr>
            <w:r w:rsidRPr="009E523B">
              <w:rPr>
                <w:rFonts w:eastAsia="Times New Roman" w:cs="Arial"/>
                <w:b/>
                <w:color w:val="000000"/>
                <w:u w:val="single"/>
                <w:lang w:val="en-US" w:eastAsia="nl-NL"/>
              </w:rPr>
              <w:t>Grade III-IV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b/>
                <w:color w:val="000000"/>
                <w:u w:val="single"/>
                <w:lang w:val="en-US" w:eastAsia="nl-NL"/>
              </w:rPr>
            </w:pPr>
            <w:r w:rsidRPr="009E523B">
              <w:rPr>
                <w:rFonts w:eastAsia="Times New Roman" w:cs="Arial"/>
                <w:b/>
                <w:color w:val="000000"/>
                <w:u w:val="single"/>
                <w:lang w:val="en-US" w:eastAsia="nl-NL"/>
              </w:rPr>
              <w:t xml:space="preserve">Grade I-II attributed to </w:t>
            </w:r>
            <w:r w:rsidRPr="009E523B">
              <w:rPr>
                <w:rFonts w:eastAsia="Times New Roman" w:cs="Arial"/>
                <w:b/>
                <w:color w:val="000000"/>
                <w:u w:val="single"/>
                <w:vertAlign w:val="superscript"/>
                <w:lang w:val="en-US" w:eastAsia="nl-NL"/>
              </w:rPr>
              <w:t>177</w:t>
            </w:r>
            <w:r w:rsidRPr="009E523B">
              <w:rPr>
                <w:rFonts w:eastAsia="Times New Roman" w:cs="Arial"/>
                <w:b/>
                <w:color w:val="000000"/>
                <w:u w:val="single"/>
                <w:lang w:val="en-US" w:eastAsia="nl-NL"/>
              </w:rPr>
              <w:t>Lu-PSMA*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b/>
                <w:color w:val="000000"/>
                <w:u w:val="single"/>
                <w:lang w:val="en-US" w:eastAsia="nl-NL"/>
              </w:rPr>
            </w:pPr>
            <w:r w:rsidRPr="009E523B">
              <w:rPr>
                <w:rFonts w:eastAsia="Times New Roman" w:cs="Arial"/>
                <w:b/>
                <w:color w:val="000000"/>
                <w:u w:val="single"/>
                <w:lang w:val="en-US" w:eastAsia="nl-NL"/>
              </w:rPr>
              <w:t xml:space="preserve">Grade ≥III attributed to </w:t>
            </w:r>
            <w:r w:rsidRPr="009E523B">
              <w:rPr>
                <w:rFonts w:eastAsia="Times New Roman" w:cs="Arial"/>
                <w:b/>
                <w:color w:val="000000"/>
                <w:u w:val="single"/>
                <w:vertAlign w:val="superscript"/>
                <w:lang w:val="en-US" w:eastAsia="nl-NL"/>
              </w:rPr>
              <w:t>177</w:t>
            </w:r>
            <w:r w:rsidRPr="009E523B">
              <w:rPr>
                <w:rFonts w:eastAsia="Times New Roman" w:cs="Arial"/>
                <w:b/>
                <w:color w:val="000000"/>
                <w:u w:val="single"/>
                <w:lang w:val="en-US" w:eastAsia="nl-NL"/>
              </w:rPr>
              <w:t>Lu-PSMA*</w:t>
            </w:r>
          </w:p>
        </w:tc>
      </w:tr>
      <w:tr w:rsidR="00FC2D75" w:rsidRPr="009E523B" w:rsidTr="00FC2D75">
        <w:trPr>
          <w:trHeight w:val="240"/>
        </w:trPr>
        <w:tc>
          <w:tcPr>
            <w:tcW w:w="2105" w:type="dxa"/>
            <w:tcBorders>
              <w:top w:val="single" w:sz="4" w:space="0" w:color="auto"/>
            </w:tcBorders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Fatigue</w:t>
            </w:r>
          </w:p>
        </w:tc>
        <w:tc>
          <w:tcPr>
            <w:tcW w:w="1297" w:type="dxa"/>
            <w:tcBorders>
              <w:top w:val="single" w:sz="4" w:space="0" w:color="auto"/>
            </w:tcBorders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7 (70%)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7 (70%)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240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Nausea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3 (30%)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3 (30%)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240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Xerostomia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2 (20%)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2 (20%)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255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 xml:space="preserve">Rash 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2 (20%)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1 (10%)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255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Pain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1 (10%)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1 (10%)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255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Hypertension</w:t>
            </w:r>
            <w:r w:rsidRPr="009E523B">
              <w:rPr>
                <w:rFonts w:eastAsia="Times New Roman" w:cs="Arial"/>
                <w:color w:val="000000"/>
                <w:vertAlign w:val="superscript"/>
                <w:lang w:val="en-US" w:eastAsia="nl-NL"/>
              </w:rPr>
              <w:t>#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9 (90%)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255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Fever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2 (20%)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300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Abdominal pain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2 (20%)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300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Hypokalemia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1 (10%)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300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Dyspepsia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1(10%)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300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Hypotension</w:t>
            </w:r>
            <w:r w:rsidRPr="009E523B">
              <w:rPr>
                <w:rFonts w:eastAsia="Times New Roman" w:cs="Arial"/>
                <w:color w:val="000000"/>
                <w:vertAlign w:val="superscript"/>
                <w:lang w:val="en-US" w:eastAsia="nl-NL"/>
              </w:rPr>
              <w:t>#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1 (10%)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300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Rectal hemorrhage</w:t>
            </w:r>
            <w:r w:rsidRPr="009E523B">
              <w:rPr>
                <w:rFonts w:eastAsia="Times New Roman" w:cs="Arial"/>
                <w:color w:val="000000"/>
                <w:vertAlign w:val="superscript"/>
                <w:lang w:val="en-US" w:eastAsia="nl-NL"/>
              </w:rPr>
              <w:t>#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2 (20%)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300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Hematuria</w:t>
            </w:r>
            <w:r w:rsidRPr="009E523B">
              <w:rPr>
                <w:rFonts w:eastAsia="Times New Roman" w:cs="Arial"/>
                <w:color w:val="000000"/>
                <w:vertAlign w:val="superscript"/>
                <w:lang w:val="en-US" w:eastAsia="nl-NL"/>
              </w:rPr>
              <w:t>#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1 (10%)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300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Headache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1 (10%)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300"/>
        </w:trPr>
        <w:tc>
          <w:tcPr>
            <w:tcW w:w="2105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Vomiting</w:t>
            </w:r>
          </w:p>
        </w:tc>
        <w:tc>
          <w:tcPr>
            <w:tcW w:w="1297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1 (10%)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  <w:tr w:rsidR="00FC2D75" w:rsidRPr="009E523B" w:rsidTr="00FC2D75">
        <w:trPr>
          <w:trHeight w:val="315"/>
        </w:trPr>
        <w:tc>
          <w:tcPr>
            <w:tcW w:w="2105" w:type="dxa"/>
            <w:tcBorders>
              <w:bottom w:val="single" w:sz="4" w:space="0" w:color="auto"/>
            </w:tcBorders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Cough</w:t>
            </w:r>
          </w:p>
        </w:tc>
        <w:tc>
          <w:tcPr>
            <w:tcW w:w="1297" w:type="dxa"/>
            <w:tcBorders>
              <w:bottom w:val="single" w:sz="4" w:space="0" w:color="auto"/>
            </w:tcBorders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1 (10%)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noWrap/>
            <w:hideMark/>
          </w:tcPr>
          <w:p w:rsidR="00FC2D75" w:rsidRPr="009E523B" w:rsidRDefault="00FC2D75" w:rsidP="00FC2D75">
            <w:pPr>
              <w:rPr>
                <w:rFonts w:eastAsia="Times New Roman" w:cs="Arial"/>
                <w:color w:val="000000"/>
                <w:lang w:val="en-US" w:eastAsia="nl-NL"/>
              </w:rPr>
            </w:pPr>
            <w:r w:rsidRPr="009E523B">
              <w:rPr>
                <w:rFonts w:eastAsia="Times New Roman" w:cs="Arial"/>
                <w:color w:val="000000"/>
                <w:lang w:val="en-US" w:eastAsia="nl-NL"/>
              </w:rPr>
              <w:t>0</w:t>
            </w:r>
          </w:p>
        </w:tc>
      </w:tr>
    </w:tbl>
    <w:p w:rsidR="00FC2D75" w:rsidRPr="009E523B" w:rsidRDefault="00FC2D75" w:rsidP="00510611">
      <w:pPr>
        <w:spacing w:line="480" w:lineRule="auto"/>
        <w:rPr>
          <w:rFonts w:eastAsia="Times New Roman" w:cs="Arial"/>
          <w:color w:val="000000"/>
          <w:lang w:val="en-US" w:eastAsia="nl-NL"/>
        </w:rPr>
      </w:pPr>
      <w:r w:rsidRPr="009E523B">
        <w:rPr>
          <w:rFonts w:eastAsia="Times New Roman" w:cs="Arial"/>
          <w:color w:val="000000"/>
          <w:lang w:val="en-US" w:eastAsia="nl-NL"/>
        </w:rPr>
        <w:t xml:space="preserve">Data are n (%). *Possibly, probably, or definitely according to the CTCAE v4.03. </w:t>
      </w:r>
      <w:r w:rsidRPr="009E523B">
        <w:rPr>
          <w:rFonts w:eastAsia="Times New Roman" w:cs="Arial"/>
          <w:color w:val="000000"/>
          <w:vertAlign w:val="superscript"/>
          <w:lang w:val="en-US" w:eastAsia="nl-NL"/>
        </w:rPr>
        <w:t xml:space="preserve"># </w:t>
      </w:r>
      <w:r w:rsidRPr="009E523B">
        <w:rPr>
          <w:rFonts w:eastAsia="Times New Roman" w:cs="Arial"/>
          <w:color w:val="000000"/>
          <w:lang w:val="en-US" w:eastAsia="nl-NL"/>
        </w:rPr>
        <w:t>These toxicities were already present prior to the study inclusion.</w:t>
      </w:r>
    </w:p>
    <w:p w:rsidR="00FC2D75" w:rsidRPr="009E523B" w:rsidRDefault="00FC2D75">
      <w:pPr>
        <w:spacing w:after="200" w:line="276" w:lineRule="auto"/>
        <w:rPr>
          <w:rFonts w:eastAsia="Times New Roman" w:cs="Arial"/>
          <w:color w:val="000000"/>
          <w:lang w:val="en-US" w:eastAsia="nl-NL"/>
        </w:rPr>
      </w:pPr>
      <w:r w:rsidRPr="009E523B">
        <w:rPr>
          <w:rFonts w:eastAsia="Times New Roman" w:cs="Arial"/>
          <w:color w:val="000000"/>
          <w:lang w:val="en-US" w:eastAsia="nl-NL"/>
        </w:rPr>
        <w:br w:type="page"/>
      </w:r>
    </w:p>
    <w:p w:rsidR="00FC2D75" w:rsidRPr="009E523B" w:rsidRDefault="00FC2D75" w:rsidP="00FC2D75">
      <w:pPr>
        <w:pStyle w:val="Kop1"/>
        <w:ind w:left="0" w:firstLine="0"/>
        <w:rPr>
          <w:sz w:val="28"/>
          <w:szCs w:val="28"/>
          <w:lang w:val="en-US"/>
        </w:rPr>
        <w:sectPr w:rsidR="00FC2D75" w:rsidRPr="009E523B" w:rsidSect="00FC2D75">
          <w:headerReference w:type="default" r:id="rId8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  <w:bookmarkStart w:id="3" w:name="_Toc50738441"/>
    </w:p>
    <w:p w:rsidR="00FC2D75" w:rsidRPr="009E523B" w:rsidRDefault="00FC2D75" w:rsidP="00FC2D75">
      <w:pPr>
        <w:pStyle w:val="Kop1"/>
        <w:ind w:left="0" w:firstLine="0"/>
        <w:rPr>
          <w:sz w:val="28"/>
          <w:szCs w:val="28"/>
          <w:lang w:val="en-US"/>
        </w:rPr>
      </w:pPr>
      <w:bookmarkStart w:id="4" w:name="_Toc50739127"/>
      <w:r w:rsidRPr="009E523B">
        <w:rPr>
          <w:sz w:val="28"/>
          <w:szCs w:val="28"/>
          <w:lang w:val="en-US"/>
        </w:rPr>
        <w:lastRenderedPageBreak/>
        <w:t>EORTC-QLQ-C30 questionnaire</w:t>
      </w:r>
      <w:bookmarkEnd w:id="4"/>
      <w:r w:rsidR="002E4B7C" w:rsidRPr="009E523B">
        <w:rPr>
          <w:sz w:val="28"/>
          <w:szCs w:val="28"/>
          <w:lang w:val="en-US"/>
        </w:rPr>
        <w:t>s</w:t>
      </w:r>
      <w:r w:rsidRPr="009E523B">
        <w:rPr>
          <w:sz w:val="28"/>
          <w:szCs w:val="28"/>
          <w:lang w:val="en-US"/>
        </w:rPr>
        <w:t xml:space="preserve"> </w:t>
      </w:r>
      <w:bookmarkEnd w:id="3"/>
    </w:p>
    <w:p w:rsidR="00FC2D75" w:rsidRPr="009E523B" w:rsidRDefault="00FC2D75" w:rsidP="00FC2D75">
      <w:pPr>
        <w:pStyle w:val="Geenafstand"/>
        <w:rPr>
          <w:sz w:val="24"/>
          <w:szCs w:val="24"/>
          <w:lang w:val="en-US"/>
        </w:rPr>
      </w:pPr>
    </w:p>
    <w:tbl>
      <w:tblPr>
        <w:tblW w:w="15488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1"/>
        <w:gridCol w:w="1581"/>
        <w:gridCol w:w="1804"/>
        <w:gridCol w:w="1804"/>
        <w:gridCol w:w="1804"/>
        <w:gridCol w:w="1804"/>
        <w:gridCol w:w="1955"/>
        <w:gridCol w:w="1630"/>
        <w:gridCol w:w="325"/>
      </w:tblGrid>
      <w:tr w:rsidR="00FC2D75" w:rsidRPr="009E523B" w:rsidTr="009E523B">
        <w:trPr>
          <w:trHeight w:val="324"/>
        </w:trPr>
        <w:tc>
          <w:tcPr>
            <w:tcW w:w="2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2D75" w:rsidRPr="009E523B" w:rsidRDefault="00FC2D75" w:rsidP="00FC2D75">
            <w:pPr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2D75" w:rsidRPr="009E523B" w:rsidRDefault="00FC2D75" w:rsidP="00FC2D75">
            <w:pPr>
              <w:rPr>
                <w:rFonts w:eastAsia="Times New Roman" w:cs="Times New Roman"/>
                <w:b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b/>
                <w:color w:val="000000"/>
                <w:lang w:val="en-US" w:eastAsia="nl-NL"/>
              </w:rPr>
              <w:t>BASELINE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2D75" w:rsidRPr="009E523B" w:rsidRDefault="00FC2D75" w:rsidP="00FC2D75">
            <w:pPr>
              <w:rPr>
                <w:rFonts w:eastAsia="Times New Roman" w:cs="Times New Roman"/>
                <w:b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b/>
                <w:color w:val="000000"/>
                <w:lang w:val="en-US" w:eastAsia="nl-NL"/>
              </w:rPr>
              <w:t>CYCLE 1 WEEK 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2D75" w:rsidRPr="009E523B" w:rsidRDefault="00FC2D75" w:rsidP="00FC2D75">
            <w:pPr>
              <w:rPr>
                <w:rFonts w:eastAsia="Times New Roman" w:cs="Times New Roman"/>
                <w:b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b/>
                <w:color w:val="000000"/>
                <w:lang w:val="en-US" w:eastAsia="nl-NL"/>
              </w:rPr>
              <w:t>CYCLE 1 WEEK 8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2D75" w:rsidRPr="009E523B" w:rsidRDefault="00FC2D75" w:rsidP="00FC2D75">
            <w:pPr>
              <w:rPr>
                <w:rFonts w:eastAsia="Times New Roman" w:cs="Times New Roman"/>
                <w:b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b/>
                <w:color w:val="000000"/>
                <w:lang w:val="en-US" w:eastAsia="nl-NL"/>
              </w:rPr>
              <w:t>CYCLE 2 WEEK 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2D75" w:rsidRPr="009E523B" w:rsidRDefault="00FC2D75" w:rsidP="00FC2D75">
            <w:pPr>
              <w:rPr>
                <w:rFonts w:eastAsia="Times New Roman" w:cs="Times New Roman"/>
                <w:b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b/>
                <w:color w:val="000000"/>
                <w:lang w:val="en-US" w:eastAsia="nl-NL"/>
              </w:rPr>
              <w:t>CYCLE 2 WEEK 8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2D75" w:rsidRPr="009E523B" w:rsidRDefault="00FC2D75" w:rsidP="00FC2D75">
            <w:pPr>
              <w:rPr>
                <w:rFonts w:eastAsia="Times New Roman" w:cs="Times New Roman"/>
                <w:b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b/>
                <w:color w:val="000000"/>
                <w:lang w:val="en-US" w:eastAsia="nl-NL"/>
              </w:rPr>
              <w:t>CYCLE 2 MONTH 3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2D75" w:rsidRPr="009E523B" w:rsidRDefault="00FC2D75" w:rsidP="00FC2D75">
            <w:pPr>
              <w:rPr>
                <w:rFonts w:eastAsia="Times New Roman" w:cs="Times New Roman"/>
                <w:b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b/>
                <w:color w:val="000000"/>
                <w:lang w:val="en-US" w:eastAsia="nl-NL"/>
              </w:rPr>
              <w:t>CYCLE 2 MONTH 6</w:t>
            </w:r>
          </w:p>
        </w:tc>
      </w:tr>
      <w:tr w:rsidR="00FC2D75" w:rsidRPr="009E523B" w:rsidTr="009E523B">
        <w:trPr>
          <w:gridAfter w:val="1"/>
          <w:wAfter w:w="325" w:type="dxa"/>
          <w:trHeight w:val="309"/>
        </w:trPr>
        <w:tc>
          <w:tcPr>
            <w:tcW w:w="27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Global health status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83 (67-100)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78 (42-100)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73 (25-100)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76 (33-100)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76 (25-100)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78 (33-100)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90 (50-100)</w:t>
            </w:r>
          </w:p>
        </w:tc>
      </w:tr>
      <w:tr w:rsidR="00FC2D75" w:rsidRPr="009E523B" w:rsidTr="009E523B">
        <w:trPr>
          <w:gridAfter w:val="1"/>
          <w:wAfter w:w="325" w:type="dxa"/>
          <w:trHeight w:val="309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Functional scales: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</w:tr>
      <w:tr w:rsidR="00FC2D75" w:rsidRPr="009E523B" w:rsidTr="009E523B">
        <w:trPr>
          <w:gridAfter w:val="1"/>
          <w:wAfter w:w="325" w:type="dxa"/>
          <w:trHeight w:val="516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Physical functioning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96 (67-100)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94 (53-100)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96 (60-100)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96 (60-100)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97 (67-100)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96 (67-100)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99 (93-100)</w:t>
            </w:r>
          </w:p>
        </w:tc>
      </w:tr>
      <w:tr w:rsidR="00FC2D75" w:rsidRPr="009E523B" w:rsidTr="009E523B">
        <w:trPr>
          <w:gridAfter w:val="1"/>
          <w:wAfter w:w="325" w:type="dxa"/>
          <w:trHeight w:val="309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Role functioning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93 (67-100)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93 (50-100)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97 (67-100)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94 (67-100)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97 (67-100)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97 (67-100)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100 (100-100)</w:t>
            </w:r>
          </w:p>
        </w:tc>
      </w:tr>
      <w:tr w:rsidR="00FC2D75" w:rsidRPr="009E523B" w:rsidTr="009E523B">
        <w:trPr>
          <w:gridAfter w:val="1"/>
          <w:wAfter w:w="325" w:type="dxa"/>
          <w:trHeight w:val="481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Emotional functioning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81 (58-100)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89 (67-100)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93 (83-100)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94 (75-100)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94 (75-100)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95 (83-100)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90 (67-100)</w:t>
            </w:r>
          </w:p>
        </w:tc>
      </w:tr>
      <w:tr w:rsidR="00FC2D75" w:rsidRPr="009E523B" w:rsidTr="009E523B">
        <w:trPr>
          <w:gridAfter w:val="1"/>
          <w:wAfter w:w="325" w:type="dxa"/>
          <w:trHeight w:val="444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Cognitive functioning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100 (100-100)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98 (83-100)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100 (100-100)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98 (83-100)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100 (100-100)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100 (100-100)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98 (83-100)</w:t>
            </w:r>
          </w:p>
        </w:tc>
      </w:tr>
      <w:tr w:rsidR="00FC2D75" w:rsidRPr="009E523B" w:rsidTr="009E523B">
        <w:trPr>
          <w:gridAfter w:val="1"/>
          <w:wAfter w:w="325" w:type="dxa"/>
          <w:trHeight w:val="309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Social functioning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93 (67-100)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97 (83-100)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98 (83-100)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100 (100-100)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98 (83-100)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100 (100-100)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98 (83-100)</w:t>
            </w:r>
          </w:p>
        </w:tc>
      </w:tr>
      <w:tr w:rsidR="00FC2D75" w:rsidRPr="009E523B" w:rsidTr="009E523B">
        <w:trPr>
          <w:gridAfter w:val="1"/>
          <w:wAfter w:w="325" w:type="dxa"/>
          <w:trHeight w:val="309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Symptom scales and items: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</w:p>
        </w:tc>
      </w:tr>
      <w:tr w:rsidR="00FC2D75" w:rsidRPr="009E523B" w:rsidTr="009E523B">
        <w:trPr>
          <w:gridAfter w:val="1"/>
          <w:wAfter w:w="325" w:type="dxa"/>
          <w:trHeight w:val="309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Fatigue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13 (0-44)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17 (0-44</w:t>
            </w:r>
            <w:r w:rsidR="00510611">
              <w:rPr>
                <w:rFonts w:eastAsia="Times New Roman" w:cs="Times New Roman"/>
                <w:color w:val="000000"/>
                <w:lang w:val="en-US" w:eastAsia="nl-NL"/>
              </w:rPr>
              <w:t>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11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14 (0-22)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8 (0-22)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4 (0-22)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5 (0-33)</w:t>
            </w:r>
          </w:p>
        </w:tc>
      </w:tr>
      <w:tr w:rsidR="00FC2D75" w:rsidRPr="009E523B" w:rsidTr="009E523B">
        <w:trPr>
          <w:gridAfter w:val="1"/>
          <w:wAfter w:w="325" w:type="dxa"/>
          <w:trHeight w:val="317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Nausea and vomiting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2 (0-17)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3 (0-17)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3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</w:tr>
      <w:tr w:rsidR="00FC2D75" w:rsidRPr="009E523B" w:rsidTr="009E523B">
        <w:trPr>
          <w:gridAfter w:val="1"/>
          <w:wAfter w:w="325" w:type="dxa"/>
          <w:trHeight w:val="309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Pain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5 (0-50)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8 (0-67)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7 (0-50)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2 (0-17)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2 (0-17)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8 (0-67)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2 (0-17)</w:t>
            </w:r>
          </w:p>
        </w:tc>
      </w:tr>
      <w:tr w:rsidR="00FC2D75" w:rsidRPr="009E523B" w:rsidTr="009E523B">
        <w:trPr>
          <w:gridAfter w:val="1"/>
          <w:wAfter w:w="325" w:type="dxa"/>
          <w:trHeight w:val="309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proofErr w:type="spellStart"/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Dyspnoea</w:t>
            </w:r>
            <w:proofErr w:type="spellEnd"/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3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3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3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4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</w:tr>
      <w:tr w:rsidR="00FC2D75" w:rsidRPr="009E523B" w:rsidTr="009E523B">
        <w:trPr>
          <w:gridAfter w:val="1"/>
          <w:wAfter w:w="325" w:type="dxa"/>
          <w:trHeight w:val="309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Insomnia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17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13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7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15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10 (0-33)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7 (0-33)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11 (0-33)</w:t>
            </w:r>
          </w:p>
        </w:tc>
      </w:tr>
      <w:tr w:rsidR="00FC2D75" w:rsidRPr="009E523B" w:rsidTr="009E523B">
        <w:trPr>
          <w:gridAfter w:val="1"/>
          <w:wAfter w:w="325" w:type="dxa"/>
          <w:trHeight w:val="309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Appetite loss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3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</w:tr>
      <w:tr w:rsidR="00FC2D75" w:rsidRPr="009E523B" w:rsidTr="009E523B">
        <w:trPr>
          <w:gridAfter w:val="1"/>
          <w:wAfter w:w="325" w:type="dxa"/>
          <w:trHeight w:val="309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Constipation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3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3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4 (0-33)</w:t>
            </w:r>
          </w:p>
        </w:tc>
      </w:tr>
      <w:tr w:rsidR="00FC2D75" w:rsidRPr="009E523B" w:rsidTr="009E523B">
        <w:trPr>
          <w:gridAfter w:val="1"/>
          <w:wAfter w:w="325" w:type="dxa"/>
          <w:trHeight w:val="309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proofErr w:type="spellStart"/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Diarrhoea</w:t>
            </w:r>
            <w:proofErr w:type="spellEnd"/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3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3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7 (0-33)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7 (0-33)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3 (0-33)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4 (0-33)</w:t>
            </w:r>
          </w:p>
        </w:tc>
      </w:tr>
      <w:tr w:rsidR="00FC2D75" w:rsidRPr="009E523B" w:rsidTr="009E523B">
        <w:trPr>
          <w:gridAfter w:val="1"/>
          <w:wAfter w:w="325" w:type="dxa"/>
          <w:trHeight w:val="309"/>
        </w:trPr>
        <w:tc>
          <w:tcPr>
            <w:tcW w:w="2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ind w:left="209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Financial difficulties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2D75" w:rsidRPr="009E523B" w:rsidRDefault="00FC2D75" w:rsidP="00FC2D75">
            <w:pPr>
              <w:jc w:val="center"/>
              <w:rPr>
                <w:rFonts w:eastAsia="Times New Roman" w:cs="Times New Roman"/>
                <w:color w:val="000000"/>
                <w:lang w:val="en-US" w:eastAsia="nl-NL"/>
              </w:rPr>
            </w:pPr>
            <w:r w:rsidRPr="009E523B">
              <w:rPr>
                <w:rFonts w:eastAsia="Times New Roman" w:cs="Times New Roman"/>
                <w:color w:val="000000"/>
                <w:lang w:val="en-US" w:eastAsia="nl-NL"/>
              </w:rPr>
              <w:t>0 (0-0)</w:t>
            </w:r>
          </w:p>
        </w:tc>
      </w:tr>
    </w:tbl>
    <w:p w:rsidR="00FC2D75" w:rsidRPr="009E523B" w:rsidRDefault="00FC2D75" w:rsidP="009E523B">
      <w:pPr>
        <w:pStyle w:val="Geenafstand"/>
        <w:spacing w:line="480" w:lineRule="auto"/>
        <w:ind w:left="142"/>
        <w:rPr>
          <w:b/>
          <w:sz w:val="24"/>
          <w:szCs w:val="24"/>
          <w:lang w:val="en-US"/>
        </w:rPr>
        <w:sectPr w:rsidR="00FC2D75" w:rsidRPr="009E523B" w:rsidSect="00FC2D75">
          <w:pgSz w:w="16838" w:h="11906" w:orient="landscape"/>
          <w:pgMar w:top="1418" w:right="1418" w:bottom="1418" w:left="1418" w:header="709" w:footer="709" w:gutter="0"/>
          <w:pgNumType w:start="2"/>
          <w:cols w:space="708"/>
          <w:docGrid w:linePitch="360"/>
        </w:sectPr>
      </w:pPr>
      <w:r w:rsidRPr="009E523B">
        <w:rPr>
          <w:bCs/>
          <w:sz w:val="24"/>
          <w:szCs w:val="24"/>
          <w:lang w:val="en-US"/>
        </w:rPr>
        <w:t>Data are mean scores</w:t>
      </w:r>
      <w:r w:rsidR="002E4B7C" w:rsidRPr="009E523B">
        <w:rPr>
          <w:bCs/>
          <w:sz w:val="24"/>
          <w:szCs w:val="24"/>
          <w:lang w:val="en-US"/>
        </w:rPr>
        <w:t xml:space="preserve"> (range).</w:t>
      </w:r>
      <w:r w:rsidRPr="009E523B">
        <w:rPr>
          <w:sz w:val="24"/>
          <w:szCs w:val="24"/>
          <w:lang w:val="en-US"/>
        </w:rPr>
        <w:t xml:space="preserve"> EORTC = European Organization for Research and Treatment of Cancer</w:t>
      </w:r>
    </w:p>
    <w:p w:rsidR="00FC2D75" w:rsidRPr="009E523B" w:rsidRDefault="00FC2D75" w:rsidP="00FC2D75">
      <w:pPr>
        <w:pStyle w:val="Kop1"/>
        <w:rPr>
          <w:sz w:val="28"/>
          <w:szCs w:val="28"/>
          <w:lang w:val="en-US"/>
        </w:rPr>
      </w:pPr>
      <w:bookmarkStart w:id="5" w:name="_Toc50738442"/>
      <w:bookmarkStart w:id="6" w:name="_Toc50739128"/>
      <w:r w:rsidRPr="009E523B">
        <w:rPr>
          <w:sz w:val="28"/>
          <w:szCs w:val="28"/>
          <w:lang w:val="en-US"/>
        </w:rPr>
        <w:lastRenderedPageBreak/>
        <w:t>Dosimetry results of target lesions and organs at risk</w:t>
      </w:r>
      <w:bookmarkEnd w:id="5"/>
      <w:bookmarkEnd w:id="6"/>
    </w:p>
    <w:tbl>
      <w:tblPr>
        <w:tblStyle w:val="Tabelraster"/>
        <w:tblW w:w="10643" w:type="dxa"/>
        <w:tblLook w:val="04A0" w:firstRow="1" w:lastRow="0" w:firstColumn="1" w:lastColumn="0" w:noHBand="0" w:noVBand="1"/>
      </w:tblPr>
      <w:tblGrid>
        <w:gridCol w:w="1656"/>
        <w:gridCol w:w="1617"/>
        <w:gridCol w:w="1354"/>
        <w:gridCol w:w="1390"/>
        <w:gridCol w:w="1467"/>
        <w:gridCol w:w="1505"/>
        <w:gridCol w:w="1654"/>
      </w:tblGrid>
      <w:tr w:rsidR="00FC2D75" w:rsidRPr="009E523B" w:rsidTr="009E523B">
        <w:trPr>
          <w:trHeight w:val="314"/>
        </w:trPr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rPr>
                <w:u w:val="single"/>
                <w:lang w:val="en-US"/>
              </w:rPr>
            </w:pPr>
            <w:r w:rsidRPr="009E523B">
              <w:rPr>
                <w:u w:val="single"/>
                <w:lang w:val="en-US"/>
              </w:rPr>
              <w:t>Patient #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u w:val="single"/>
                <w:lang w:val="en-US"/>
              </w:rPr>
            </w:pPr>
            <w:r w:rsidRPr="009E523B">
              <w:rPr>
                <w:u w:val="single"/>
                <w:lang w:val="en-US"/>
              </w:rPr>
              <w:t>Salivary glands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u w:val="single"/>
                <w:lang w:val="en-US"/>
              </w:rPr>
            </w:pPr>
            <w:r w:rsidRPr="009E523B">
              <w:rPr>
                <w:u w:val="single"/>
                <w:lang w:val="en-US"/>
              </w:rPr>
              <w:t>Kidneys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u w:val="single"/>
                <w:lang w:val="en-US"/>
              </w:rPr>
            </w:pPr>
            <w:r w:rsidRPr="009E523B">
              <w:rPr>
                <w:u w:val="single"/>
                <w:lang w:val="en-US"/>
              </w:rPr>
              <w:t>Liver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u w:val="single"/>
                <w:lang w:val="en-US"/>
              </w:rPr>
            </w:pPr>
            <w:r w:rsidRPr="009E523B">
              <w:rPr>
                <w:u w:val="single"/>
                <w:lang w:val="en-US"/>
              </w:rPr>
              <w:t>Bone Marrow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u w:val="single"/>
                <w:lang w:val="en-US"/>
              </w:rPr>
            </w:pPr>
            <w:r w:rsidRPr="009E523B">
              <w:rPr>
                <w:u w:val="single"/>
                <w:lang w:val="en-US"/>
              </w:rPr>
              <w:t>Target lesion cycle one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u w:val="single"/>
                <w:lang w:val="en-US"/>
              </w:rPr>
            </w:pPr>
            <w:r w:rsidRPr="009E523B">
              <w:rPr>
                <w:u w:val="single"/>
                <w:lang w:val="en-US"/>
              </w:rPr>
              <w:t>Target lesion cycle Two</w:t>
            </w:r>
          </w:p>
        </w:tc>
      </w:tr>
      <w:tr w:rsidR="00FC2D75" w:rsidRPr="009E523B" w:rsidTr="009E523B">
        <w:trPr>
          <w:trHeight w:val="523"/>
        </w:trPr>
        <w:tc>
          <w:tcPr>
            <w:tcW w:w="1656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0.41</w:t>
            </w:r>
          </w:p>
        </w:tc>
        <w:tc>
          <w:tcPr>
            <w:tcW w:w="135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0.34</w:t>
            </w:r>
          </w:p>
        </w:tc>
        <w:tc>
          <w:tcPr>
            <w:tcW w:w="13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0.08</w:t>
            </w:r>
          </w:p>
        </w:tc>
        <w:tc>
          <w:tcPr>
            <w:tcW w:w="14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0.01</w:t>
            </w:r>
          </w:p>
        </w:tc>
        <w:tc>
          <w:tcPr>
            <w:tcW w:w="150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1.51</w:t>
            </w:r>
          </w:p>
        </w:tc>
        <w:tc>
          <w:tcPr>
            <w:tcW w:w="165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*</w:t>
            </w:r>
          </w:p>
        </w:tc>
      </w:tr>
      <w:tr w:rsidR="00FC2D75" w:rsidRPr="009E523B" w:rsidTr="009E523B">
        <w:trPr>
          <w:trHeight w:val="314"/>
        </w:trPr>
        <w:tc>
          <w:tcPr>
            <w:tcW w:w="165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2</w:t>
            </w:r>
          </w:p>
        </w:tc>
        <w:tc>
          <w:tcPr>
            <w:tcW w:w="16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0.23</w:t>
            </w:r>
          </w:p>
        </w:tc>
        <w:tc>
          <w:tcPr>
            <w:tcW w:w="1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0.66</w:t>
            </w:r>
          </w:p>
        </w:tc>
        <w:tc>
          <w:tcPr>
            <w:tcW w:w="13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0.09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0.02</w:t>
            </w:r>
          </w:p>
        </w:tc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1.57</w:t>
            </w:r>
          </w:p>
        </w:tc>
        <w:tc>
          <w:tcPr>
            <w:tcW w:w="1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0.87</w:t>
            </w:r>
          </w:p>
        </w:tc>
      </w:tr>
      <w:tr w:rsidR="00FC2D75" w:rsidRPr="009E523B" w:rsidTr="009E523B">
        <w:trPr>
          <w:trHeight w:val="330"/>
        </w:trPr>
        <w:tc>
          <w:tcPr>
            <w:tcW w:w="165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3</w:t>
            </w:r>
          </w:p>
        </w:tc>
        <w:tc>
          <w:tcPr>
            <w:tcW w:w="16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0.60</w:t>
            </w:r>
          </w:p>
        </w:tc>
        <w:tc>
          <w:tcPr>
            <w:tcW w:w="1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0.61</w:t>
            </w:r>
          </w:p>
        </w:tc>
        <w:tc>
          <w:tcPr>
            <w:tcW w:w="13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0.11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0.01</w:t>
            </w:r>
          </w:p>
        </w:tc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1.14</w:t>
            </w:r>
          </w:p>
        </w:tc>
        <w:tc>
          <w:tcPr>
            <w:tcW w:w="1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1.30</w:t>
            </w:r>
          </w:p>
        </w:tc>
      </w:tr>
      <w:tr w:rsidR="00FC2D75" w:rsidRPr="009E523B" w:rsidTr="009E523B">
        <w:trPr>
          <w:trHeight w:val="314"/>
        </w:trPr>
        <w:tc>
          <w:tcPr>
            <w:tcW w:w="165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4</w:t>
            </w:r>
          </w:p>
        </w:tc>
        <w:tc>
          <w:tcPr>
            <w:tcW w:w="16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0.49</w:t>
            </w:r>
          </w:p>
        </w:tc>
        <w:tc>
          <w:tcPr>
            <w:tcW w:w="1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0.36</w:t>
            </w:r>
          </w:p>
        </w:tc>
        <w:tc>
          <w:tcPr>
            <w:tcW w:w="13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0.07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0.01</w:t>
            </w:r>
          </w:p>
        </w:tc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0.87</w:t>
            </w:r>
          </w:p>
        </w:tc>
        <w:tc>
          <w:tcPr>
            <w:tcW w:w="1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0.65</w:t>
            </w:r>
          </w:p>
        </w:tc>
      </w:tr>
      <w:tr w:rsidR="00FC2D75" w:rsidRPr="009E523B" w:rsidTr="009E523B">
        <w:trPr>
          <w:trHeight w:val="314"/>
        </w:trPr>
        <w:tc>
          <w:tcPr>
            <w:tcW w:w="165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5</w:t>
            </w:r>
          </w:p>
        </w:tc>
        <w:tc>
          <w:tcPr>
            <w:tcW w:w="16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0.34</w:t>
            </w:r>
          </w:p>
        </w:tc>
        <w:tc>
          <w:tcPr>
            <w:tcW w:w="1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0.64</w:t>
            </w:r>
          </w:p>
        </w:tc>
        <w:tc>
          <w:tcPr>
            <w:tcW w:w="13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0.12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0.02</w:t>
            </w:r>
          </w:p>
        </w:tc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1.02</w:t>
            </w:r>
          </w:p>
        </w:tc>
        <w:tc>
          <w:tcPr>
            <w:tcW w:w="1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2.40</w:t>
            </w:r>
          </w:p>
        </w:tc>
      </w:tr>
      <w:tr w:rsidR="00FC2D75" w:rsidRPr="009E523B" w:rsidTr="009E523B">
        <w:trPr>
          <w:trHeight w:val="314"/>
        </w:trPr>
        <w:tc>
          <w:tcPr>
            <w:tcW w:w="165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6</w:t>
            </w:r>
          </w:p>
        </w:tc>
        <w:tc>
          <w:tcPr>
            <w:tcW w:w="16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0.66</w:t>
            </w:r>
          </w:p>
        </w:tc>
        <w:tc>
          <w:tcPr>
            <w:tcW w:w="1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0.36</w:t>
            </w:r>
          </w:p>
        </w:tc>
        <w:tc>
          <w:tcPr>
            <w:tcW w:w="13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0.09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0.02</w:t>
            </w:r>
          </w:p>
        </w:tc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2.96</w:t>
            </w:r>
          </w:p>
        </w:tc>
        <w:tc>
          <w:tcPr>
            <w:tcW w:w="1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2.32</w:t>
            </w:r>
          </w:p>
        </w:tc>
      </w:tr>
      <w:tr w:rsidR="00FC2D75" w:rsidRPr="009E523B" w:rsidTr="009E523B">
        <w:trPr>
          <w:trHeight w:val="314"/>
        </w:trPr>
        <w:tc>
          <w:tcPr>
            <w:tcW w:w="165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7</w:t>
            </w:r>
          </w:p>
        </w:tc>
        <w:tc>
          <w:tcPr>
            <w:tcW w:w="16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0.21</w:t>
            </w:r>
          </w:p>
        </w:tc>
        <w:tc>
          <w:tcPr>
            <w:tcW w:w="1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0.50</w:t>
            </w:r>
          </w:p>
        </w:tc>
        <w:tc>
          <w:tcPr>
            <w:tcW w:w="13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0.09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0.02</w:t>
            </w:r>
          </w:p>
        </w:tc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1.55</w:t>
            </w:r>
          </w:p>
        </w:tc>
        <w:tc>
          <w:tcPr>
            <w:tcW w:w="1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1.82</w:t>
            </w:r>
          </w:p>
        </w:tc>
      </w:tr>
      <w:tr w:rsidR="00FC2D75" w:rsidRPr="009E523B" w:rsidTr="009E523B">
        <w:trPr>
          <w:trHeight w:val="330"/>
        </w:trPr>
        <w:tc>
          <w:tcPr>
            <w:tcW w:w="165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8</w:t>
            </w:r>
          </w:p>
        </w:tc>
        <w:tc>
          <w:tcPr>
            <w:tcW w:w="16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0.44</w:t>
            </w:r>
          </w:p>
        </w:tc>
        <w:tc>
          <w:tcPr>
            <w:tcW w:w="1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0.46</w:t>
            </w:r>
          </w:p>
        </w:tc>
        <w:tc>
          <w:tcPr>
            <w:tcW w:w="13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0.08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0.02</w:t>
            </w:r>
          </w:p>
        </w:tc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8.89</w:t>
            </w:r>
          </w:p>
        </w:tc>
        <w:tc>
          <w:tcPr>
            <w:tcW w:w="1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3.53</w:t>
            </w:r>
          </w:p>
        </w:tc>
      </w:tr>
      <w:tr w:rsidR="00FC2D75" w:rsidRPr="009E523B" w:rsidTr="009E523B">
        <w:trPr>
          <w:trHeight w:val="314"/>
        </w:trPr>
        <w:tc>
          <w:tcPr>
            <w:tcW w:w="165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9</w:t>
            </w:r>
          </w:p>
        </w:tc>
        <w:tc>
          <w:tcPr>
            <w:tcW w:w="16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0.33</w:t>
            </w:r>
          </w:p>
        </w:tc>
        <w:tc>
          <w:tcPr>
            <w:tcW w:w="1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0.53</w:t>
            </w:r>
          </w:p>
        </w:tc>
        <w:tc>
          <w:tcPr>
            <w:tcW w:w="13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0.10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0.01</w:t>
            </w:r>
          </w:p>
        </w:tc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3.91</w:t>
            </w:r>
          </w:p>
        </w:tc>
        <w:tc>
          <w:tcPr>
            <w:tcW w:w="1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3.80</w:t>
            </w:r>
          </w:p>
        </w:tc>
      </w:tr>
      <w:tr w:rsidR="00FC2D75" w:rsidRPr="009E523B" w:rsidTr="009E523B">
        <w:trPr>
          <w:trHeight w:val="314"/>
        </w:trPr>
        <w:tc>
          <w:tcPr>
            <w:tcW w:w="165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10</w:t>
            </w:r>
          </w:p>
        </w:tc>
        <w:tc>
          <w:tcPr>
            <w:tcW w:w="16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0.14</w:t>
            </w:r>
          </w:p>
        </w:tc>
        <w:tc>
          <w:tcPr>
            <w:tcW w:w="13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0.48</w:t>
            </w:r>
          </w:p>
        </w:tc>
        <w:tc>
          <w:tcPr>
            <w:tcW w:w="13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0.09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0.02</w:t>
            </w:r>
          </w:p>
        </w:tc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1.62</w:t>
            </w:r>
          </w:p>
        </w:tc>
        <w:tc>
          <w:tcPr>
            <w:tcW w:w="1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1.12</w:t>
            </w:r>
          </w:p>
        </w:tc>
      </w:tr>
      <w:tr w:rsidR="00FC2D75" w:rsidRPr="009E523B" w:rsidTr="009E523B">
        <w:trPr>
          <w:trHeight w:val="373"/>
        </w:trPr>
        <w:tc>
          <w:tcPr>
            <w:tcW w:w="1656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u w:val="single"/>
                <w:lang w:val="en-US"/>
              </w:rPr>
            </w:pPr>
            <w:r w:rsidRPr="009E523B">
              <w:rPr>
                <w:u w:val="single"/>
                <w:lang w:val="en-US"/>
              </w:rPr>
              <w:t>Mean dose:</w:t>
            </w:r>
          </w:p>
        </w:tc>
        <w:tc>
          <w:tcPr>
            <w:tcW w:w="1617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0.39 ± 0.17</w:t>
            </w:r>
          </w:p>
        </w:tc>
        <w:tc>
          <w:tcPr>
            <w:tcW w:w="1354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0.49 ± 0.11</w:t>
            </w:r>
          </w:p>
        </w:tc>
        <w:tc>
          <w:tcPr>
            <w:tcW w:w="1390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0.09 ± 0.01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noWrap/>
            <w:hideMark/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0.02 ± 0.00</w:t>
            </w:r>
          </w:p>
        </w:tc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2.51 ± 2.43</w:t>
            </w:r>
          </w:p>
        </w:tc>
        <w:tc>
          <w:tcPr>
            <w:tcW w:w="1654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</w:tcPr>
          <w:p w:rsidR="00FC2D75" w:rsidRPr="009E523B" w:rsidRDefault="00FC2D75" w:rsidP="00FC2D75">
            <w:pPr>
              <w:jc w:val="center"/>
              <w:rPr>
                <w:lang w:val="en-US"/>
              </w:rPr>
            </w:pPr>
            <w:r w:rsidRPr="009E523B">
              <w:rPr>
                <w:lang w:val="en-US"/>
              </w:rPr>
              <w:t>1.78 ± 1.24</w:t>
            </w:r>
          </w:p>
        </w:tc>
      </w:tr>
    </w:tbl>
    <w:p w:rsidR="00FC2D75" w:rsidRPr="009E523B" w:rsidRDefault="00FC2D75" w:rsidP="00FC2D75">
      <w:pPr>
        <w:spacing w:line="480" w:lineRule="auto"/>
        <w:rPr>
          <w:lang w:val="en-US"/>
        </w:rPr>
      </w:pPr>
      <w:r w:rsidRPr="009E523B">
        <w:rPr>
          <w:lang w:val="en-US"/>
        </w:rPr>
        <w:t xml:space="preserve">Doses to organs and lesions in </w:t>
      </w:r>
      <w:proofErr w:type="spellStart"/>
      <w:r w:rsidRPr="009E523B">
        <w:rPr>
          <w:lang w:val="en-US"/>
        </w:rPr>
        <w:t>Gy</w:t>
      </w:r>
      <w:proofErr w:type="spellEnd"/>
      <w:r w:rsidRPr="009E523B">
        <w:rPr>
          <w:lang w:val="en-US"/>
        </w:rPr>
        <w:t>/</w:t>
      </w:r>
      <w:proofErr w:type="spellStart"/>
      <w:r w:rsidRPr="009E523B">
        <w:rPr>
          <w:lang w:val="en-US"/>
        </w:rPr>
        <w:t>GBq</w:t>
      </w:r>
      <w:proofErr w:type="spellEnd"/>
      <w:r w:rsidRPr="009E523B">
        <w:rPr>
          <w:lang w:val="en-US"/>
        </w:rPr>
        <w:t xml:space="preserve"> from both cycles of </w:t>
      </w:r>
      <w:r w:rsidRPr="009E523B">
        <w:rPr>
          <w:vertAlign w:val="superscript"/>
          <w:lang w:val="en-US"/>
        </w:rPr>
        <w:t>177</w:t>
      </w:r>
      <w:r w:rsidRPr="009E523B">
        <w:rPr>
          <w:lang w:val="en-US"/>
        </w:rPr>
        <w:t>Lu-PSMA. No organ specific threshold level was reached. *The target lesion was not visible anymore on the second cycle SPECT/CT scans.</w:t>
      </w:r>
    </w:p>
    <w:p w:rsidR="00FC2D75" w:rsidRPr="009E523B" w:rsidRDefault="00FC2D75">
      <w:pPr>
        <w:spacing w:after="200" w:line="276" w:lineRule="auto"/>
        <w:rPr>
          <w:lang w:val="en-US"/>
        </w:rPr>
        <w:sectPr w:rsidR="00FC2D75" w:rsidRPr="009E523B" w:rsidSect="00FC2D7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FC2D75" w:rsidRPr="009E523B" w:rsidRDefault="00FC2D75" w:rsidP="00FC2D75">
      <w:pPr>
        <w:pStyle w:val="Kop1"/>
        <w:rPr>
          <w:sz w:val="28"/>
          <w:szCs w:val="28"/>
          <w:lang w:val="en-US"/>
        </w:rPr>
      </w:pPr>
      <w:bookmarkStart w:id="7" w:name="_Toc50738443"/>
      <w:bookmarkStart w:id="8" w:name="_Toc50739129"/>
      <w:r w:rsidRPr="009E523B">
        <w:rPr>
          <w:sz w:val="28"/>
          <w:szCs w:val="28"/>
          <w:lang w:val="en-US"/>
        </w:rPr>
        <w:lastRenderedPageBreak/>
        <w:t>PSMA-PET/CT SUV and size of all the lesions during each cycle</w:t>
      </w:r>
      <w:bookmarkEnd w:id="7"/>
      <w:bookmarkEnd w:id="8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29"/>
        <w:gridCol w:w="2552"/>
        <w:gridCol w:w="1276"/>
        <w:gridCol w:w="1134"/>
        <w:gridCol w:w="1264"/>
        <w:gridCol w:w="1253"/>
      </w:tblGrid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Patient #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1276" w:type="dxa"/>
            <w:shd w:val="clear" w:color="auto" w:fill="FFFFFF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134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C1W8</w:t>
            </w:r>
          </w:p>
        </w:tc>
        <w:tc>
          <w:tcPr>
            <w:tcW w:w="1264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C2W12</w:t>
            </w:r>
          </w:p>
        </w:tc>
        <w:tc>
          <w:tcPr>
            <w:tcW w:w="1253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C2W24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11.5 (10)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4.0 (3.2)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1.3 (0)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1.6 (0)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Liver,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2.4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1.7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3.7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Salivary glands,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15.6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15.2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13.5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18.2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9.3 (*)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16.2 (*)</w:t>
            </w:r>
          </w:p>
        </w:tc>
        <w:tc>
          <w:tcPr>
            <w:tcW w:w="126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19.8 (*)</w:t>
            </w:r>
          </w:p>
        </w:tc>
        <w:tc>
          <w:tcPr>
            <w:tcW w:w="1253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21.9 (*)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31.3 (*)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43.7 (*)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28.6 (*)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29.3 (*)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5.4 (*)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11.5 (*)</w:t>
            </w:r>
          </w:p>
        </w:tc>
        <w:tc>
          <w:tcPr>
            <w:tcW w:w="126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7.4 (*)</w:t>
            </w:r>
          </w:p>
        </w:tc>
        <w:tc>
          <w:tcPr>
            <w:tcW w:w="1253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9.8 (*)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7.6 (*)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11.6 (*)</w:t>
            </w:r>
          </w:p>
        </w:tc>
        <w:tc>
          <w:tcPr>
            <w:tcW w:w="126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9.8 (*)</w:t>
            </w:r>
          </w:p>
        </w:tc>
        <w:tc>
          <w:tcPr>
            <w:tcW w:w="1253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9 (*)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Liver,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4.2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5.5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5.2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6.3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Salivary glands,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10.7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12.6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11.1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12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44.7 (11.3)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34.5 (10.7)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21.4 (9.1)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36.5 (9.5)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6.8 (7.4)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5.8 (5.1)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3.2 (3.1)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10.9 (4.8)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14.8 (6.0)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9.2 (5.1)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4.4 (3.7)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1.3 (3.8)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5.4 (4.3)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4.7 (3.4)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1.4 (2.3)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1.3 (0)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Liver,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5.6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4.4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5.2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4.2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Salivary glands,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11.3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10.4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14.5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15.4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12.2 (12.5)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shd w:val="clear" w:color="auto" w:fill="FF7D7D"/>
                <w:lang w:val="en-US"/>
              </w:rPr>
              <w:t>17.5</w:t>
            </w: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(12.5)</w:t>
            </w:r>
          </w:p>
        </w:tc>
        <w:tc>
          <w:tcPr>
            <w:tcW w:w="126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17.2 (12.5)</w:t>
            </w:r>
          </w:p>
        </w:tc>
        <w:tc>
          <w:tcPr>
            <w:tcW w:w="1253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.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36.3 (*)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26.3 (*)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27.5 (*)</w:t>
            </w:r>
          </w:p>
        </w:tc>
        <w:tc>
          <w:tcPr>
            <w:tcW w:w="1253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.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7.8 (8)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11.3 (8)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12.7 (6)</w:t>
            </w:r>
          </w:p>
        </w:tc>
        <w:tc>
          <w:tcPr>
            <w:tcW w:w="1253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.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14.8 (*)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27.0 (*)</w:t>
            </w:r>
          </w:p>
        </w:tc>
        <w:tc>
          <w:tcPr>
            <w:tcW w:w="126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30.5 (*)</w:t>
            </w:r>
          </w:p>
        </w:tc>
        <w:tc>
          <w:tcPr>
            <w:tcW w:w="1253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.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20.8 (*)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23.7 (*)</w:t>
            </w:r>
          </w:p>
        </w:tc>
        <w:tc>
          <w:tcPr>
            <w:tcW w:w="126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26.3 (*)</w:t>
            </w:r>
          </w:p>
        </w:tc>
        <w:tc>
          <w:tcPr>
            <w:tcW w:w="1253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.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17.1 (*)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18.5 (*)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15.5 (*)</w:t>
            </w:r>
          </w:p>
        </w:tc>
        <w:tc>
          <w:tcPr>
            <w:tcW w:w="1253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.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21.5 (*)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18 (*)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16 (*)</w:t>
            </w:r>
          </w:p>
        </w:tc>
        <w:tc>
          <w:tcPr>
            <w:tcW w:w="1253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.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12.3 (5.2)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7.6 (6.0)</w:t>
            </w:r>
          </w:p>
        </w:tc>
        <w:tc>
          <w:tcPr>
            <w:tcW w:w="126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12.3 (6.2)</w:t>
            </w:r>
          </w:p>
        </w:tc>
        <w:tc>
          <w:tcPr>
            <w:tcW w:w="1253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.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14 (6.7)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13.0 (7.3)</w:t>
            </w:r>
          </w:p>
        </w:tc>
        <w:tc>
          <w:tcPr>
            <w:tcW w:w="126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14 (7.7)</w:t>
            </w:r>
          </w:p>
        </w:tc>
        <w:tc>
          <w:tcPr>
            <w:tcW w:w="1253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.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Liver,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6.4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5.1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5.6</w:t>
            </w:r>
          </w:p>
        </w:tc>
        <w:tc>
          <w:tcPr>
            <w:tcW w:w="1253" w:type="dxa"/>
            <w:shd w:val="clear" w:color="auto" w:fill="FFFFFF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.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Salivary glands,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13.8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13.1</w:t>
            </w:r>
          </w:p>
        </w:tc>
        <w:tc>
          <w:tcPr>
            <w:tcW w:w="1253" w:type="dxa"/>
            <w:shd w:val="clear" w:color="auto" w:fill="FFFFFF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.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12.5 (6.8)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17.3 (6.6)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 (5.3)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6.1 (5.4)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8.1 (5.9)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8.3 (4.9)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3.7 (4.3)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3.3 (3.8)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22.8 (10.9)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18 (9.1)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11 (6.9)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7.1 (6.1)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11.8 (10.4)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11 (7.8)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8 (5.4)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6.7 (4.8)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9.6 (4.9)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6.5 (5.4)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4.3 (4)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3.1 (3.8)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Liver,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5.4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5.6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4.4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Salivary glands,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4.4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16.8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7.6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8.3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11.8 (7.9)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20.8 (7.4)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11.8 (5.6)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6.8 (4.2)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4.5 (6.4)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6.5 (6.1)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3.5 (2.6)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2.7 (2.6)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5.0 (10.3)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5.4 (9.6)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3.2 (6.0)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3.1 (3.2)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3.6 (6.4) 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9.7 (6.2)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 (4.7)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2.8 (4.3)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Liver,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4.5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5.1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4.3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Salivary glands,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17.1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13.4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12.1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11.6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10.7 (11)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5.9 (10.5)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2.6 (9.1)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2.5 (8.6)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6.5 (5.9)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5.6 (5.5)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4.8 (3.5)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4.7 (2.6)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3.5 (7)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</w:t>
            </w:r>
            <w:r w:rsidRPr="009E523B">
              <w:rPr>
                <w:rFonts w:ascii="Calibri" w:eastAsia="Calibri" w:hAnsi="Calibri" w:cs="Arial"/>
                <w:sz w:val="20"/>
                <w:szCs w:val="20"/>
                <w:shd w:val="clear" w:color="auto" w:fill="FF7D7D"/>
                <w:lang w:val="en-US"/>
              </w:rPr>
              <w:t>.3 (7.2)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1.8 (6.2)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 (4.9)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3.5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5.6 (*)</w:t>
            </w:r>
          </w:p>
        </w:tc>
        <w:tc>
          <w:tcPr>
            <w:tcW w:w="126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5.2 (*)</w:t>
            </w:r>
          </w:p>
        </w:tc>
        <w:tc>
          <w:tcPr>
            <w:tcW w:w="1253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9.7 (*)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2.7 (*)</w:t>
            </w:r>
          </w:p>
        </w:tc>
        <w:tc>
          <w:tcPr>
            <w:tcW w:w="1264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2.2 (*)</w:t>
            </w:r>
          </w:p>
        </w:tc>
        <w:tc>
          <w:tcPr>
            <w:tcW w:w="1253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10.4 (*)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Liver,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4.7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6.3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5.7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4.5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Salivary glands,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3.9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6.4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7.6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6.2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23 (11.6)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24.2 (11.4)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9 (4.7)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6.6 (4)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33.4 (10.9)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16.9 (10.3)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3.3 (5.4)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3.7 (4.1)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10.8 (6.4)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8.1 (6)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4.7 (4)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2.6 (0)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Liver,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5.4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5.7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4.6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4.6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Salivary glands,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11.5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9.8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6.5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8.6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44.4 (9.8)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33.4 (7.8)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11.3 (5.3)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6.1 (4.4)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7.4 (5.7)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5.5 (4.6)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2.5 (3.9)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 (0)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8.2 (4.2)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4.7 (4.5)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2.4 (3.3)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2.4 (0)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6.9 (4.2)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7.3 (3.5)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2.1 (2.8)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2.4 (0)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Liver,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5.4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4.3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4.3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Salivary glands,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8.1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8.2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7.8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6.5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20.3 (*)</w:t>
            </w:r>
          </w:p>
        </w:tc>
        <w:tc>
          <w:tcPr>
            <w:tcW w:w="1134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29.0 (*)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18.9 (*)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b/>
                <w:sz w:val="20"/>
                <w:szCs w:val="20"/>
                <w:lang w:val="en-US"/>
              </w:rPr>
              <w:t>16 (*)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5.7 (4.6)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6.2 (2.6)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6.5 (2.9)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4.6 (2.9)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Lymph node,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27.2 (6.1)</w:t>
            </w:r>
          </w:p>
        </w:tc>
        <w:tc>
          <w:tcPr>
            <w:tcW w:w="113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21.5 (4.6)</w:t>
            </w:r>
          </w:p>
        </w:tc>
        <w:tc>
          <w:tcPr>
            <w:tcW w:w="1264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18.8 (4.6)</w:t>
            </w:r>
          </w:p>
        </w:tc>
        <w:tc>
          <w:tcPr>
            <w:tcW w:w="1253" w:type="dxa"/>
            <w:shd w:val="clear" w:color="auto" w:fill="A8D08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10.2 (4.1)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3.2 (*)</w:t>
            </w:r>
          </w:p>
        </w:tc>
        <w:tc>
          <w:tcPr>
            <w:tcW w:w="1134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2.7 (*)</w:t>
            </w:r>
          </w:p>
        </w:tc>
        <w:tc>
          <w:tcPr>
            <w:tcW w:w="1264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2.7 (*)</w:t>
            </w:r>
          </w:p>
        </w:tc>
        <w:tc>
          <w:tcPr>
            <w:tcW w:w="1253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22 (*)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2.6 (*)</w:t>
            </w:r>
          </w:p>
        </w:tc>
        <w:tc>
          <w:tcPr>
            <w:tcW w:w="1134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2.3 (*)</w:t>
            </w:r>
          </w:p>
        </w:tc>
        <w:tc>
          <w:tcPr>
            <w:tcW w:w="1264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3.2 (*)</w:t>
            </w:r>
          </w:p>
        </w:tc>
        <w:tc>
          <w:tcPr>
            <w:tcW w:w="1253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9.7 (*)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1.7 (*)</w:t>
            </w:r>
          </w:p>
        </w:tc>
        <w:tc>
          <w:tcPr>
            <w:tcW w:w="1134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 (*)</w:t>
            </w:r>
          </w:p>
        </w:tc>
        <w:tc>
          <w:tcPr>
            <w:tcW w:w="1264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2.8 (*)</w:t>
            </w:r>
          </w:p>
        </w:tc>
        <w:tc>
          <w:tcPr>
            <w:tcW w:w="1253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5.5 (*)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Bone,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SUVmax</w:t>
            </w:r>
            <w:proofErr w:type="spellEnd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2.2 (*)</w:t>
            </w:r>
          </w:p>
        </w:tc>
        <w:tc>
          <w:tcPr>
            <w:tcW w:w="1134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1.6 (*)</w:t>
            </w:r>
          </w:p>
        </w:tc>
        <w:tc>
          <w:tcPr>
            <w:tcW w:w="1264" w:type="dxa"/>
            <w:shd w:val="clear" w:color="auto" w:fill="FFF2CC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1.8 (*)</w:t>
            </w:r>
          </w:p>
        </w:tc>
        <w:tc>
          <w:tcPr>
            <w:tcW w:w="1253" w:type="dxa"/>
            <w:shd w:val="clear" w:color="auto" w:fill="FF7D7D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5.5 (*)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Liver,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7.1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7.1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5.1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5.8</w:t>
            </w:r>
          </w:p>
        </w:tc>
      </w:tr>
      <w:tr w:rsidR="00FC2D75" w:rsidRPr="009E523B" w:rsidTr="00FC2D75">
        <w:trPr>
          <w:trHeight w:val="300"/>
        </w:trPr>
        <w:tc>
          <w:tcPr>
            <w:tcW w:w="1129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 xml:space="preserve">Salivary glands, </w:t>
            </w:r>
            <w:proofErr w:type="spellStart"/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SUVmean</w:t>
            </w:r>
            <w:proofErr w:type="spellEnd"/>
          </w:p>
        </w:tc>
        <w:tc>
          <w:tcPr>
            <w:tcW w:w="1276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7.4</w:t>
            </w:r>
          </w:p>
        </w:tc>
        <w:tc>
          <w:tcPr>
            <w:tcW w:w="113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264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7.4</w:t>
            </w:r>
          </w:p>
        </w:tc>
        <w:tc>
          <w:tcPr>
            <w:tcW w:w="1253" w:type="dxa"/>
            <w:shd w:val="clear" w:color="auto" w:fill="D9D9D9"/>
            <w:noWrap/>
            <w:hideMark/>
          </w:tcPr>
          <w:p w:rsidR="00FC2D75" w:rsidRPr="009E523B" w:rsidRDefault="00FC2D75" w:rsidP="00FC2D75">
            <w:pPr>
              <w:rPr>
                <w:rFonts w:ascii="Calibri" w:eastAsia="Calibri" w:hAnsi="Calibri" w:cs="Arial"/>
                <w:sz w:val="20"/>
                <w:szCs w:val="20"/>
                <w:lang w:val="en-US"/>
              </w:rPr>
            </w:pPr>
            <w:r w:rsidRPr="009E523B">
              <w:rPr>
                <w:rFonts w:ascii="Calibri" w:eastAsia="Calibri" w:hAnsi="Calibri" w:cs="Arial"/>
                <w:sz w:val="20"/>
                <w:szCs w:val="20"/>
                <w:lang w:val="en-US"/>
              </w:rPr>
              <w:t>6.6</w:t>
            </w:r>
          </w:p>
        </w:tc>
      </w:tr>
    </w:tbl>
    <w:p w:rsidR="00FC2D75" w:rsidRPr="009E523B" w:rsidRDefault="00FC2D75" w:rsidP="00FC2D75">
      <w:pPr>
        <w:spacing w:line="480" w:lineRule="auto"/>
        <w:rPr>
          <w:lang w:val="en-US"/>
        </w:rPr>
      </w:pPr>
    </w:p>
    <w:p w:rsidR="00FC2D75" w:rsidRPr="009E523B" w:rsidRDefault="00FC2D75" w:rsidP="00FC2D75">
      <w:pPr>
        <w:spacing w:line="480" w:lineRule="auto"/>
        <w:rPr>
          <w:lang w:val="en-US"/>
        </w:rPr>
      </w:pPr>
      <w:r w:rsidRPr="009E523B">
        <w:rPr>
          <w:lang w:val="en-US"/>
        </w:rPr>
        <w:t xml:space="preserve">Data are standard uptake values from the </w:t>
      </w:r>
      <w:r w:rsidRPr="009E523B">
        <w:rPr>
          <w:vertAlign w:val="superscript"/>
          <w:lang w:val="en-US"/>
        </w:rPr>
        <w:t>68</w:t>
      </w:r>
      <w:r w:rsidRPr="009E523B">
        <w:rPr>
          <w:lang w:val="en-US"/>
        </w:rPr>
        <w:t xml:space="preserve">Ga-PSMA-11-PET/CT scans. The target lesions are highlighted in bold. In between brackets is the size of soft tissue metastases on diagnostic CT in mm. The size of bone metastases </w:t>
      </w:r>
      <w:r w:rsidR="009E523B">
        <w:rPr>
          <w:lang w:val="en-US"/>
        </w:rPr>
        <w:t>was</w:t>
      </w:r>
      <w:r w:rsidRPr="009E523B">
        <w:rPr>
          <w:lang w:val="en-US"/>
        </w:rPr>
        <w:t xml:space="preserve"> not be evaluated (*). A </w:t>
      </w:r>
      <w:r w:rsidRPr="009E523B">
        <w:rPr>
          <w:u w:val="single"/>
          <w:lang w:val="en-US"/>
        </w:rPr>
        <w:t>red</w:t>
      </w:r>
      <w:r w:rsidRPr="009E523B">
        <w:rPr>
          <w:lang w:val="en-US"/>
        </w:rPr>
        <w:t xml:space="preserve"> box indicates radiographic tumor increment over the baseline scan (e.g. higher </w:t>
      </w:r>
      <w:proofErr w:type="spellStart"/>
      <w:r w:rsidRPr="009E523B">
        <w:rPr>
          <w:lang w:val="en-US"/>
        </w:rPr>
        <w:t>SUV</w:t>
      </w:r>
      <w:r w:rsidRPr="009E523B">
        <w:rPr>
          <w:vertAlign w:val="subscript"/>
          <w:lang w:val="en-US"/>
        </w:rPr>
        <w:t>max</w:t>
      </w:r>
      <w:proofErr w:type="spellEnd"/>
      <w:r w:rsidRPr="009E523B">
        <w:rPr>
          <w:lang w:val="en-US"/>
        </w:rPr>
        <w:t xml:space="preserve">), while a </w:t>
      </w:r>
      <w:r w:rsidRPr="009E523B">
        <w:rPr>
          <w:u w:val="single"/>
          <w:lang w:val="en-US"/>
        </w:rPr>
        <w:t>green</w:t>
      </w:r>
      <w:r w:rsidRPr="009E523B">
        <w:rPr>
          <w:lang w:val="en-US"/>
        </w:rPr>
        <w:t xml:space="preserve"> box shows a radiographic response (e.g. smaller tumor size or lower </w:t>
      </w:r>
      <w:proofErr w:type="spellStart"/>
      <w:r w:rsidRPr="009E523B">
        <w:rPr>
          <w:lang w:val="en-US"/>
        </w:rPr>
        <w:t>SUV</w:t>
      </w:r>
      <w:r w:rsidRPr="009E523B">
        <w:rPr>
          <w:vertAlign w:val="subscript"/>
          <w:lang w:val="en-US"/>
        </w:rPr>
        <w:t>max</w:t>
      </w:r>
      <w:proofErr w:type="spellEnd"/>
      <w:r w:rsidRPr="009E523B">
        <w:rPr>
          <w:lang w:val="en-US"/>
        </w:rPr>
        <w:t xml:space="preserve">). The prior </w:t>
      </w:r>
      <w:proofErr w:type="spellStart"/>
      <w:r w:rsidRPr="009E523B">
        <w:rPr>
          <w:lang w:val="en-US"/>
        </w:rPr>
        <w:t>SUV</w:t>
      </w:r>
      <w:r w:rsidRPr="009E523B">
        <w:rPr>
          <w:vertAlign w:val="subscript"/>
          <w:lang w:val="en-US"/>
        </w:rPr>
        <w:t>max</w:t>
      </w:r>
      <w:proofErr w:type="spellEnd"/>
      <w:r w:rsidRPr="009E523B">
        <w:rPr>
          <w:lang w:val="en-US"/>
        </w:rPr>
        <w:t xml:space="preserve"> of ’new’ metastases on a subsequent scan are highlighted in </w:t>
      </w:r>
      <w:r w:rsidRPr="009E523B">
        <w:rPr>
          <w:u w:val="single"/>
          <w:lang w:val="en-US"/>
        </w:rPr>
        <w:t>yellow</w:t>
      </w:r>
      <w:r w:rsidRPr="009E523B">
        <w:rPr>
          <w:lang w:val="en-US"/>
        </w:rPr>
        <w:t xml:space="preserve">. </w:t>
      </w:r>
    </w:p>
    <w:p w:rsidR="00FC2D75" w:rsidRPr="009E523B" w:rsidRDefault="00FC2D75" w:rsidP="00FC2D75">
      <w:pPr>
        <w:pStyle w:val="Geenafstand"/>
        <w:spacing w:line="480" w:lineRule="auto"/>
        <w:rPr>
          <w:sz w:val="24"/>
          <w:szCs w:val="24"/>
          <w:lang w:val="en-US"/>
        </w:rPr>
      </w:pPr>
      <w:r w:rsidRPr="009E523B">
        <w:rPr>
          <w:sz w:val="24"/>
          <w:szCs w:val="24"/>
          <w:lang w:val="en-US"/>
        </w:rPr>
        <w:t>SUV was recorded with a 30 mm ROI. To measure the average liver and salivary gland uptake, a 30 mm ROI was placed in the upper right section of the liver and right mandibular gland. Patient #4 was removed from the study after 21 weeks because of disease progression.</w:t>
      </w:r>
    </w:p>
    <w:p w:rsidR="00FC2D75" w:rsidRPr="009E523B" w:rsidRDefault="00FC2D75" w:rsidP="00FC2D75">
      <w:pPr>
        <w:spacing w:line="480" w:lineRule="auto"/>
        <w:rPr>
          <w:lang w:val="en-US"/>
        </w:rPr>
      </w:pPr>
      <w:r w:rsidRPr="009E523B">
        <w:rPr>
          <w:rFonts w:cs="Calibri"/>
          <w:lang w:val="en-US"/>
        </w:rPr>
        <w:lastRenderedPageBreak/>
        <w:t>PET = positron emission tomography; PSMA = prostate-specific membrane antigen;</w:t>
      </w:r>
      <w:r w:rsidRPr="009E523B">
        <w:rPr>
          <w:lang w:val="en-US"/>
        </w:rPr>
        <w:t xml:space="preserve"> ROI = regions of interest; SUV = standardized uptake value;</w:t>
      </w:r>
    </w:p>
    <w:p w:rsidR="00FC2D75" w:rsidRPr="009E523B" w:rsidRDefault="00FC2D75">
      <w:pPr>
        <w:spacing w:after="200" w:line="276" w:lineRule="auto"/>
        <w:rPr>
          <w:lang w:val="en-US"/>
        </w:rPr>
      </w:pPr>
      <w:r w:rsidRPr="009E523B">
        <w:rPr>
          <w:lang w:val="en-US"/>
        </w:rPr>
        <w:br w:type="page"/>
      </w:r>
    </w:p>
    <w:p w:rsidR="00FC2D75" w:rsidRPr="009E523B" w:rsidRDefault="00FC2D75" w:rsidP="00FC2D75">
      <w:pPr>
        <w:pStyle w:val="Geenafstand"/>
        <w:spacing w:line="480" w:lineRule="auto"/>
        <w:rPr>
          <w:sz w:val="28"/>
          <w:szCs w:val="28"/>
          <w:lang w:val="en-US"/>
        </w:rPr>
      </w:pPr>
      <w:bookmarkStart w:id="9" w:name="_Toc50738444"/>
      <w:bookmarkStart w:id="10" w:name="_Toc50739130"/>
      <w:r w:rsidRPr="009E523B">
        <w:rPr>
          <w:rStyle w:val="Kop1Char"/>
          <w:rFonts w:eastAsiaTheme="minorHAnsi"/>
          <w:sz w:val="28"/>
          <w:szCs w:val="28"/>
          <w:lang w:val="en-US"/>
        </w:rPr>
        <w:lastRenderedPageBreak/>
        <w:t xml:space="preserve">PSMA-PET maximum intensity projections (MIP) before and after </w:t>
      </w:r>
      <w:r w:rsidRPr="009E523B">
        <w:rPr>
          <w:rStyle w:val="Kop1Char"/>
          <w:rFonts w:eastAsiaTheme="minorHAnsi"/>
          <w:sz w:val="28"/>
          <w:szCs w:val="28"/>
          <w:vertAlign w:val="superscript"/>
          <w:lang w:val="en-US"/>
        </w:rPr>
        <w:t>177</w:t>
      </w:r>
      <w:r w:rsidRPr="009E523B">
        <w:rPr>
          <w:rStyle w:val="Kop1Char"/>
          <w:rFonts w:eastAsiaTheme="minorHAnsi"/>
          <w:sz w:val="28"/>
          <w:szCs w:val="28"/>
          <w:lang w:val="en-US"/>
        </w:rPr>
        <w:t>Lu-PSMA</w:t>
      </w:r>
      <w:bookmarkEnd w:id="9"/>
      <w:bookmarkEnd w:id="10"/>
      <w:r w:rsidRPr="009E523B">
        <w:rPr>
          <w:noProof/>
          <w:sz w:val="28"/>
          <w:szCs w:val="28"/>
          <w:lang w:val="en-US" w:eastAsia="nl-NL"/>
        </w:rPr>
        <w:drawing>
          <wp:inline distT="0" distB="0" distL="0" distR="0" wp14:anchorId="4A42BB4D" wp14:editId="7D185ECC">
            <wp:extent cx="5587749" cy="739711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09" cy="7401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D75" w:rsidRPr="009E523B" w:rsidRDefault="00FC2D75" w:rsidP="00FC2D75">
      <w:pPr>
        <w:pStyle w:val="Geenafstand"/>
        <w:keepNext/>
        <w:rPr>
          <w:sz w:val="28"/>
          <w:szCs w:val="28"/>
          <w:lang w:val="en-US"/>
        </w:rPr>
      </w:pPr>
      <w:r w:rsidRPr="009E523B">
        <w:rPr>
          <w:noProof/>
          <w:sz w:val="28"/>
          <w:szCs w:val="28"/>
          <w:lang w:val="en-US" w:eastAsia="nl-NL"/>
        </w:rPr>
        <w:lastRenderedPageBreak/>
        <w:drawing>
          <wp:inline distT="0" distB="0" distL="0" distR="0" wp14:anchorId="2AF9B28B" wp14:editId="484350D8">
            <wp:extent cx="6043781" cy="5524500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200" cy="552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D75" w:rsidRPr="009E523B" w:rsidRDefault="00FC2D75" w:rsidP="00FC2D75">
      <w:pPr>
        <w:pStyle w:val="Geenafstand"/>
        <w:keepNext/>
        <w:rPr>
          <w:sz w:val="28"/>
          <w:szCs w:val="28"/>
          <w:lang w:val="en-US"/>
        </w:rPr>
      </w:pPr>
    </w:p>
    <w:p w:rsidR="00FC2D75" w:rsidRPr="009E523B" w:rsidRDefault="00FC2D75" w:rsidP="00FC2D75">
      <w:pPr>
        <w:pStyle w:val="Geenafstand"/>
        <w:spacing w:line="480" w:lineRule="auto"/>
        <w:rPr>
          <w:sz w:val="24"/>
          <w:szCs w:val="24"/>
          <w:lang w:val="en-US"/>
        </w:rPr>
      </w:pPr>
      <w:r w:rsidRPr="009E523B">
        <w:rPr>
          <w:sz w:val="24"/>
          <w:szCs w:val="24"/>
          <w:lang w:val="en-US"/>
        </w:rPr>
        <w:t xml:space="preserve">The left sided MIPs are from the baseline or EOS </w:t>
      </w:r>
      <w:r w:rsidRPr="009E523B">
        <w:rPr>
          <w:sz w:val="24"/>
          <w:szCs w:val="24"/>
          <w:vertAlign w:val="superscript"/>
          <w:lang w:val="en-US"/>
        </w:rPr>
        <w:t>68</w:t>
      </w:r>
      <w:r w:rsidRPr="009E523B">
        <w:rPr>
          <w:sz w:val="24"/>
          <w:szCs w:val="24"/>
          <w:lang w:val="en-US"/>
        </w:rPr>
        <w:t>Ga-PSMA-11 PET/CT (PSMA-PET) scan and the right sided are from the six months post cycle two PSMA-PET. The right sided MIP of patient #4 is the PSMA-PET of week 12 after cycle two.</w:t>
      </w:r>
    </w:p>
    <w:p w:rsidR="00FC2D75" w:rsidRPr="009E523B" w:rsidRDefault="00FC2D75" w:rsidP="00FC2D75">
      <w:pPr>
        <w:pStyle w:val="Geenafstand"/>
        <w:spacing w:line="480" w:lineRule="auto"/>
        <w:rPr>
          <w:rFonts w:cs="Calibri"/>
          <w:sz w:val="24"/>
          <w:szCs w:val="24"/>
          <w:lang w:val="en-US"/>
        </w:rPr>
      </w:pPr>
      <w:r w:rsidRPr="009E523B">
        <w:rPr>
          <w:rFonts w:cs="Calibri"/>
          <w:sz w:val="24"/>
          <w:szCs w:val="24"/>
          <w:lang w:val="en-US"/>
        </w:rPr>
        <w:t>MIP = maximum intensity projection; PET = positron emission tomography; PSMA = prostate-specific membrane antigen</w:t>
      </w:r>
    </w:p>
    <w:p w:rsidR="00FC2D75" w:rsidRPr="009E523B" w:rsidRDefault="00FC2D75" w:rsidP="00FC2D75">
      <w:pPr>
        <w:rPr>
          <w:rFonts w:cs="Calibri"/>
          <w:sz w:val="28"/>
          <w:szCs w:val="28"/>
          <w:lang w:val="en-US"/>
        </w:rPr>
      </w:pPr>
      <w:r w:rsidRPr="009E523B">
        <w:rPr>
          <w:rFonts w:cs="Calibri"/>
          <w:sz w:val="28"/>
          <w:szCs w:val="28"/>
          <w:lang w:val="en-US"/>
        </w:rPr>
        <w:br w:type="page"/>
      </w:r>
    </w:p>
    <w:p w:rsidR="00FC2D75" w:rsidRPr="009E523B" w:rsidRDefault="00FC2D75" w:rsidP="00FC2D75">
      <w:pPr>
        <w:pStyle w:val="Kop1"/>
        <w:rPr>
          <w:sz w:val="28"/>
          <w:szCs w:val="28"/>
          <w:lang w:val="en-US"/>
        </w:rPr>
      </w:pPr>
      <w:bookmarkStart w:id="11" w:name="_Toc50738445"/>
      <w:bookmarkStart w:id="12" w:name="_Toc50739131"/>
      <w:r w:rsidRPr="009E523B">
        <w:rPr>
          <w:sz w:val="28"/>
          <w:szCs w:val="28"/>
          <w:lang w:val="en-US"/>
        </w:rPr>
        <w:lastRenderedPageBreak/>
        <w:t>Inclusion and exclusion criteria</w:t>
      </w:r>
      <w:bookmarkEnd w:id="11"/>
      <w:bookmarkEnd w:id="12"/>
    </w:p>
    <w:tbl>
      <w:tblPr>
        <w:tblW w:w="0" w:type="auto"/>
        <w:tblLook w:val="04A0" w:firstRow="1" w:lastRow="0" w:firstColumn="1" w:lastColumn="0" w:noHBand="0" w:noVBand="1"/>
      </w:tblPr>
      <w:tblGrid>
        <w:gridCol w:w="9212"/>
      </w:tblGrid>
      <w:tr w:rsidR="00FC2D75" w:rsidRPr="009E523B" w:rsidTr="00FC2D75">
        <w:trPr>
          <w:trHeight w:val="411"/>
        </w:trPr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FC2D75" w:rsidRPr="009E523B" w:rsidRDefault="00FC2D75" w:rsidP="00FC2D75">
            <w:pPr>
              <w:rPr>
                <w:b/>
                <w:bCs/>
                <w:sz w:val="28"/>
                <w:szCs w:val="28"/>
                <w:lang w:val="en-US"/>
              </w:rPr>
            </w:pPr>
            <w:r w:rsidRPr="009E523B">
              <w:rPr>
                <w:b/>
                <w:bCs/>
                <w:sz w:val="28"/>
                <w:szCs w:val="28"/>
                <w:lang w:val="en-US"/>
              </w:rPr>
              <w:t>Inclusion criteria</w:t>
            </w:r>
          </w:p>
        </w:tc>
      </w:tr>
      <w:tr w:rsidR="00FC2D75" w:rsidRPr="009E523B" w:rsidTr="00FC2D75">
        <w:tc>
          <w:tcPr>
            <w:tcW w:w="9212" w:type="dxa"/>
            <w:tcBorders>
              <w:top w:val="single" w:sz="4" w:space="0" w:color="auto"/>
            </w:tcBorders>
            <w:shd w:val="clear" w:color="auto" w:fill="auto"/>
          </w:tcPr>
          <w:p w:rsidR="00FC2D75" w:rsidRPr="009E523B" w:rsidRDefault="00FC2D75" w:rsidP="00FC2D75">
            <w:pPr>
              <w:pStyle w:val="Default"/>
              <w:rPr>
                <w:rFonts w:asciiTheme="minorHAnsi" w:hAnsiTheme="minorHAnsi"/>
                <w:lang w:val="en-US"/>
              </w:rPr>
            </w:pP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b/>
                <w:bCs/>
                <w:sz w:val="24"/>
                <w:szCs w:val="24"/>
                <w:lang w:val="en-US"/>
              </w:rPr>
              <w:t xml:space="preserve">- </w:t>
            </w:r>
            <w:r w:rsidRPr="009E523B">
              <w:rPr>
                <w:sz w:val="24"/>
                <w:szCs w:val="24"/>
                <w:lang w:val="en-US"/>
              </w:rPr>
              <w:t xml:space="preserve">Histological proven adenocarcinoma of the prostate 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b/>
                <w:bCs/>
                <w:sz w:val="24"/>
                <w:szCs w:val="24"/>
                <w:lang w:val="en-US"/>
              </w:rPr>
              <w:t xml:space="preserve">- </w:t>
            </w:r>
            <w:r w:rsidRPr="009E523B">
              <w:rPr>
                <w:sz w:val="24"/>
                <w:szCs w:val="24"/>
                <w:lang w:val="en-US"/>
              </w:rPr>
              <w:t xml:space="preserve">Age &gt; 50 years 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b/>
                <w:bCs/>
                <w:sz w:val="24"/>
                <w:szCs w:val="24"/>
                <w:lang w:val="en-US"/>
              </w:rPr>
              <w:t xml:space="preserve">- </w:t>
            </w:r>
            <w:r w:rsidRPr="009E523B">
              <w:rPr>
                <w:sz w:val="24"/>
                <w:szCs w:val="24"/>
                <w:lang w:val="en-US"/>
              </w:rPr>
              <w:t xml:space="preserve">Prior local therapy for prostate cancer 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b/>
                <w:bCs/>
                <w:sz w:val="24"/>
                <w:szCs w:val="24"/>
                <w:lang w:val="en-US"/>
              </w:rPr>
              <w:t xml:space="preserve">- </w:t>
            </w:r>
            <w:r w:rsidRPr="009E523B">
              <w:rPr>
                <w:sz w:val="24"/>
                <w:szCs w:val="24"/>
                <w:lang w:val="en-US"/>
              </w:rPr>
              <w:t xml:space="preserve">Biochemical recurrence or clinical progression after local therapy (PSA &gt; 0.2 </w:t>
            </w:r>
            <w:proofErr w:type="spellStart"/>
            <w:r w:rsidRPr="009E523B">
              <w:rPr>
                <w:sz w:val="24"/>
                <w:szCs w:val="24"/>
                <w:lang w:val="en-US"/>
              </w:rPr>
              <w:t>μg</w:t>
            </w:r>
            <w:proofErr w:type="spellEnd"/>
            <w:r w:rsidRPr="009E523B">
              <w:rPr>
                <w:sz w:val="24"/>
                <w:szCs w:val="24"/>
                <w:lang w:val="en-US"/>
              </w:rPr>
              <w:t xml:space="preserve">/l) 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b/>
                <w:bCs/>
                <w:sz w:val="24"/>
                <w:szCs w:val="24"/>
                <w:lang w:val="en-US"/>
              </w:rPr>
              <w:t xml:space="preserve">- </w:t>
            </w:r>
            <w:r w:rsidRPr="009E523B">
              <w:rPr>
                <w:sz w:val="24"/>
                <w:szCs w:val="24"/>
                <w:lang w:val="en-US"/>
              </w:rPr>
              <w:t xml:space="preserve">PSA doubling time &lt; 6 months 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b/>
                <w:bCs/>
                <w:sz w:val="24"/>
                <w:szCs w:val="24"/>
                <w:lang w:val="en-US"/>
              </w:rPr>
              <w:t xml:space="preserve">- </w:t>
            </w:r>
            <w:r w:rsidRPr="009E523B">
              <w:rPr>
                <w:sz w:val="24"/>
                <w:szCs w:val="24"/>
                <w:vertAlign w:val="superscript"/>
                <w:lang w:val="en-US"/>
              </w:rPr>
              <w:t>68</w:t>
            </w:r>
            <w:r w:rsidRPr="009E523B">
              <w:rPr>
                <w:sz w:val="24"/>
                <w:szCs w:val="24"/>
                <w:lang w:val="en-US"/>
              </w:rPr>
              <w:t xml:space="preserve">Ga-PSMA-11-PET/CT positive metastases in bones and/or lymph nodes: ≥1, maximally 10 metastases (at least 1 lesion with a lesion size of ≥1 cm to enable adequate dosimetry studies) 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b/>
                <w:bCs/>
                <w:sz w:val="24"/>
                <w:szCs w:val="24"/>
                <w:lang w:val="en-US"/>
              </w:rPr>
              <w:t xml:space="preserve">- </w:t>
            </w:r>
            <w:r w:rsidRPr="009E523B">
              <w:rPr>
                <w:sz w:val="24"/>
                <w:szCs w:val="24"/>
                <w:lang w:val="en-US"/>
              </w:rPr>
              <w:t xml:space="preserve">Local treatment for </w:t>
            </w:r>
            <w:proofErr w:type="spellStart"/>
            <w:r w:rsidRPr="009E523B">
              <w:rPr>
                <w:sz w:val="24"/>
                <w:szCs w:val="24"/>
                <w:lang w:val="en-US"/>
              </w:rPr>
              <w:t>oligometastases</w:t>
            </w:r>
            <w:proofErr w:type="spellEnd"/>
            <w:r w:rsidRPr="009E523B">
              <w:rPr>
                <w:sz w:val="24"/>
                <w:szCs w:val="24"/>
                <w:lang w:val="en-US"/>
              </w:rPr>
              <w:t xml:space="preserve"> with radiotherapy or surgery appears to be no option anymore (due to prior treatment or the location of the metastatic lesions) 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b/>
                <w:bCs/>
                <w:sz w:val="24"/>
                <w:szCs w:val="24"/>
                <w:lang w:val="en-US"/>
              </w:rPr>
              <w:t xml:space="preserve">- </w:t>
            </w:r>
            <w:r w:rsidRPr="009E523B">
              <w:rPr>
                <w:sz w:val="24"/>
                <w:szCs w:val="24"/>
                <w:lang w:val="en-US"/>
              </w:rPr>
              <w:t>No prior hormonal therapy or chemotherapy; testosterone &gt; 1.7 nmol/l. (</w:t>
            </w:r>
            <w:r w:rsidRPr="009E523B">
              <w:rPr>
                <w:i/>
                <w:iCs/>
                <w:sz w:val="24"/>
                <w:szCs w:val="24"/>
                <w:lang w:val="en-US"/>
              </w:rPr>
              <w:t>Exception: local prostate cancer treated with local radiotherapy plus adjuvant ADT; these patients need to have stopped ADT at least 3 months before inclusion)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b/>
                <w:bCs/>
                <w:sz w:val="24"/>
                <w:szCs w:val="24"/>
                <w:lang w:val="en-US"/>
              </w:rPr>
              <w:t xml:space="preserve">- </w:t>
            </w:r>
            <w:r w:rsidRPr="009E523B">
              <w:rPr>
                <w:sz w:val="24"/>
                <w:szCs w:val="24"/>
                <w:lang w:val="en-US"/>
              </w:rPr>
              <w:t xml:space="preserve">No visceral metastases 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b/>
                <w:bCs/>
                <w:sz w:val="24"/>
                <w:szCs w:val="24"/>
                <w:lang w:val="en-US"/>
              </w:rPr>
              <w:t>-</w:t>
            </w:r>
            <w:r w:rsidRPr="009E523B">
              <w:rPr>
                <w:sz w:val="24"/>
                <w:szCs w:val="24"/>
                <w:lang w:val="en-US"/>
              </w:rPr>
              <w:t xml:space="preserve"> White blood cells &gt; 3.5 x 10</w:t>
            </w:r>
            <w:r w:rsidRPr="009E523B">
              <w:rPr>
                <w:sz w:val="24"/>
                <w:szCs w:val="24"/>
                <w:vertAlign w:val="superscript"/>
                <w:lang w:val="en-US"/>
              </w:rPr>
              <w:t>9</w:t>
            </w:r>
            <w:r w:rsidRPr="009E523B">
              <w:rPr>
                <w:sz w:val="24"/>
                <w:szCs w:val="24"/>
                <w:lang w:val="en-US"/>
              </w:rPr>
              <w:t xml:space="preserve">/l 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sz w:val="24"/>
                <w:szCs w:val="24"/>
                <w:lang w:val="en-US"/>
              </w:rPr>
              <w:t>- Platelet count &gt; 150 x 10</w:t>
            </w:r>
            <w:r w:rsidRPr="009E523B">
              <w:rPr>
                <w:sz w:val="24"/>
                <w:szCs w:val="24"/>
                <w:vertAlign w:val="superscript"/>
                <w:lang w:val="en-US"/>
              </w:rPr>
              <w:t>9</w:t>
            </w:r>
            <w:r w:rsidRPr="009E523B">
              <w:rPr>
                <w:sz w:val="24"/>
                <w:szCs w:val="24"/>
                <w:lang w:val="en-US"/>
              </w:rPr>
              <w:t xml:space="preserve">/l 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sz w:val="24"/>
                <w:szCs w:val="24"/>
                <w:lang w:val="en-US"/>
              </w:rPr>
              <w:t xml:space="preserve">- Hemoglobin &gt; 6 mmol/l 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sz w:val="24"/>
                <w:szCs w:val="24"/>
                <w:lang w:val="en-US"/>
              </w:rPr>
              <w:t xml:space="preserve">- AST, ALT &lt; 3 x ULN 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sz w:val="24"/>
                <w:szCs w:val="24"/>
                <w:lang w:val="en-US"/>
              </w:rPr>
              <w:t xml:space="preserve">- MDRD-GFR ≥ 60 ml/min </w:t>
            </w: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b/>
                <w:bCs/>
                <w:sz w:val="24"/>
                <w:szCs w:val="24"/>
                <w:lang w:val="en-US"/>
              </w:rPr>
              <w:t xml:space="preserve">- </w:t>
            </w:r>
            <w:r w:rsidRPr="009E523B">
              <w:rPr>
                <w:sz w:val="24"/>
                <w:szCs w:val="24"/>
                <w:lang w:val="en-US"/>
              </w:rPr>
              <w:t xml:space="preserve">Signed informed consent </w:t>
            </w:r>
          </w:p>
          <w:p w:rsidR="00FC2D75" w:rsidRPr="009E523B" w:rsidRDefault="00FC2D75" w:rsidP="00FC2D75">
            <w:pPr>
              <w:pStyle w:val="Lijstalinea"/>
              <w:ind w:left="0"/>
              <w:contextualSpacing/>
              <w:rPr>
                <w:rFonts w:asciiTheme="minorHAnsi" w:hAnsiTheme="minorHAnsi" w:cs="Calibri"/>
                <w:sz w:val="24"/>
                <w:szCs w:val="24"/>
                <w:lang w:val="en-US"/>
              </w:rPr>
            </w:pPr>
          </w:p>
        </w:tc>
      </w:tr>
      <w:tr w:rsidR="00FC2D75" w:rsidRPr="009E523B" w:rsidTr="00FC2D75">
        <w:trPr>
          <w:trHeight w:val="252"/>
        </w:trPr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FC2D75" w:rsidRPr="009E523B" w:rsidRDefault="00FC2D75" w:rsidP="00FC2D75">
            <w:pPr>
              <w:rPr>
                <w:b/>
                <w:bCs/>
                <w:sz w:val="28"/>
                <w:szCs w:val="28"/>
                <w:lang w:val="en-US"/>
              </w:rPr>
            </w:pPr>
            <w:r w:rsidRPr="009E523B">
              <w:rPr>
                <w:b/>
                <w:bCs/>
                <w:sz w:val="28"/>
                <w:szCs w:val="28"/>
                <w:lang w:val="en-US"/>
              </w:rPr>
              <w:t>Exclusion criteria</w:t>
            </w:r>
          </w:p>
        </w:tc>
      </w:tr>
      <w:tr w:rsidR="00FC2D75" w:rsidRPr="009E523B" w:rsidTr="00FC2D75">
        <w:trPr>
          <w:trHeight w:val="312"/>
        </w:trPr>
        <w:tc>
          <w:tcPr>
            <w:tcW w:w="9212" w:type="dxa"/>
            <w:shd w:val="clear" w:color="auto" w:fill="auto"/>
          </w:tcPr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</w:p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sz w:val="24"/>
                <w:szCs w:val="24"/>
                <w:lang w:val="en-US"/>
              </w:rPr>
              <w:t xml:space="preserve">- No detectable lesions on the </w:t>
            </w:r>
            <w:r w:rsidRPr="009E523B">
              <w:rPr>
                <w:sz w:val="24"/>
                <w:szCs w:val="24"/>
                <w:vertAlign w:val="superscript"/>
                <w:lang w:val="en-US"/>
              </w:rPr>
              <w:t>68</w:t>
            </w:r>
            <w:r w:rsidRPr="009E523B">
              <w:rPr>
                <w:sz w:val="24"/>
                <w:szCs w:val="24"/>
                <w:lang w:val="en-US"/>
              </w:rPr>
              <w:t xml:space="preserve">Ga-PSMA-11-PET/CT with an uptake level below the liver uptake. </w:t>
            </w:r>
          </w:p>
        </w:tc>
      </w:tr>
      <w:tr w:rsidR="00FC2D75" w:rsidRPr="009E523B" w:rsidTr="00FC2D75">
        <w:tc>
          <w:tcPr>
            <w:tcW w:w="9212" w:type="dxa"/>
            <w:shd w:val="clear" w:color="auto" w:fill="auto"/>
          </w:tcPr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sz w:val="24"/>
                <w:szCs w:val="24"/>
                <w:lang w:val="en-US"/>
              </w:rPr>
              <w:t xml:space="preserve">- A known subtype other than prostate adenocarcinoma </w:t>
            </w:r>
          </w:p>
        </w:tc>
      </w:tr>
      <w:tr w:rsidR="00FC2D75" w:rsidRPr="009E523B" w:rsidTr="00FC2D75">
        <w:tc>
          <w:tcPr>
            <w:tcW w:w="9212" w:type="dxa"/>
            <w:shd w:val="clear" w:color="auto" w:fill="auto"/>
          </w:tcPr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sz w:val="24"/>
                <w:szCs w:val="24"/>
                <w:lang w:val="en-US"/>
              </w:rPr>
              <w:t xml:space="preserve">- Any medical condition present that in the opinion of the investigator will affect patients’ clinical status when participating in this trial. </w:t>
            </w:r>
          </w:p>
        </w:tc>
      </w:tr>
      <w:tr w:rsidR="00FC2D75" w:rsidRPr="009E523B" w:rsidTr="00FC2D75">
        <w:tc>
          <w:tcPr>
            <w:tcW w:w="9212" w:type="dxa"/>
            <w:shd w:val="clear" w:color="auto" w:fill="auto"/>
          </w:tcPr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sz w:val="24"/>
                <w:szCs w:val="24"/>
                <w:lang w:val="en-US"/>
              </w:rPr>
              <w:t xml:space="preserve">- Prior hip replacement surgery potentially influencing performance of </w:t>
            </w:r>
            <w:r w:rsidRPr="009E523B">
              <w:rPr>
                <w:sz w:val="24"/>
                <w:szCs w:val="24"/>
                <w:vertAlign w:val="superscript"/>
                <w:lang w:val="en-US"/>
              </w:rPr>
              <w:t>68</w:t>
            </w:r>
            <w:r w:rsidRPr="009E523B">
              <w:rPr>
                <w:sz w:val="24"/>
                <w:szCs w:val="24"/>
                <w:lang w:val="en-US"/>
              </w:rPr>
              <w:t xml:space="preserve">Ga-PSMA-11-PET/CT and nano-MRI </w:t>
            </w:r>
          </w:p>
        </w:tc>
      </w:tr>
      <w:tr w:rsidR="00FC2D75" w:rsidRPr="009E523B" w:rsidTr="00FC2D75">
        <w:trPr>
          <w:trHeight w:val="1824"/>
        </w:trPr>
        <w:tc>
          <w:tcPr>
            <w:tcW w:w="9212" w:type="dxa"/>
            <w:shd w:val="clear" w:color="auto" w:fill="auto"/>
          </w:tcPr>
          <w:p w:rsidR="00FC2D75" w:rsidRPr="009E523B" w:rsidRDefault="00FC2D75" w:rsidP="00FC2D75">
            <w:pPr>
              <w:pStyle w:val="Geenafstand"/>
              <w:rPr>
                <w:sz w:val="24"/>
                <w:szCs w:val="24"/>
                <w:lang w:val="en-US"/>
              </w:rPr>
            </w:pPr>
            <w:r w:rsidRPr="009E523B">
              <w:rPr>
                <w:sz w:val="24"/>
                <w:szCs w:val="24"/>
                <w:lang w:val="en-US"/>
              </w:rPr>
              <w:t xml:space="preserve">- Contra-indication for MRI imaging (claustrophobia, implanted electric and electronic devices (heart pacemakers, insulin pumps, implanted hearing aids, neurostimulators), intracranial metal clips, metallic bodies in the eye) </w:t>
            </w:r>
          </w:p>
          <w:p w:rsidR="00FC2D75" w:rsidRPr="009E523B" w:rsidRDefault="00FC2D75" w:rsidP="00FC2D75">
            <w:pPr>
              <w:pStyle w:val="Geenafstand"/>
              <w:rPr>
                <w:rFonts w:cs="Arial"/>
                <w:sz w:val="24"/>
                <w:szCs w:val="24"/>
                <w:lang w:val="en-US"/>
              </w:rPr>
            </w:pPr>
            <w:r w:rsidRPr="009E523B">
              <w:rPr>
                <w:sz w:val="24"/>
                <w:szCs w:val="24"/>
                <w:lang w:val="en-US"/>
              </w:rPr>
              <w:t xml:space="preserve">- </w:t>
            </w:r>
            <w:r w:rsidRPr="009E523B">
              <w:rPr>
                <w:rFonts w:cs="Arial"/>
                <w:sz w:val="24"/>
                <w:szCs w:val="24"/>
                <w:lang w:val="en-US"/>
              </w:rPr>
              <w:t xml:space="preserve">Contra-indication for glucagon or </w:t>
            </w:r>
            <w:proofErr w:type="spellStart"/>
            <w:r w:rsidRPr="009E523B">
              <w:rPr>
                <w:rFonts w:cs="Arial"/>
                <w:sz w:val="24"/>
                <w:szCs w:val="24"/>
                <w:lang w:val="en-US"/>
              </w:rPr>
              <w:t>Buscopan</w:t>
            </w:r>
            <w:proofErr w:type="spellEnd"/>
            <w:r w:rsidRPr="009E523B">
              <w:rPr>
                <w:rFonts w:cs="Arial"/>
                <w:sz w:val="24"/>
                <w:szCs w:val="24"/>
                <w:lang w:val="en-US"/>
              </w:rPr>
              <w:t xml:space="preserve"> (allergy to hyoscine or any other ingredients of this medication, allergy to other </w:t>
            </w:r>
            <w:proofErr w:type="spellStart"/>
            <w:r w:rsidRPr="009E523B">
              <w:rPr>
                <w:rFonts w:cs="Arial"/>
                <w:sz w:val="24"/>
                <w:szCs w:val="24"/>
                <w:lang w:val="en-US"/>
              </w:rPr>
              <w:t>atropinics</w:t>
            </w:r>
            <w:proofErr w:type="spellEnd"/>
            <w:r w:rsidRPr="009E523B">
              <w:rPr>
                <w:rFonts w:cs="Arial"/>
                <w:sz w:val="24"/>
                <w:szCs w:val="24"/>
                <w:lang w:val="en-US"/>
              </w:rPr>
              <w:t xml:space="preserve"> (e.g. atropine, scopolamine), myasthenia gravis, enlarged colon, glaucoma or obstructive prostatic hypertrophy) </w:t>
            </w:r>
          </w:p>
        </w:tc>
      </w:tr>
      <w:tr w:rsidR="00FC2D75" w:rsidRPr="009E523B" w:rsidTr="00FC2D75">
        <w:trPr>
          <w:trHeight w:val="80"/>
        </w:trPr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FC2D75" w:rsidRPr="009E523B" w:rsidRDefault="00FC2D75" w:rsidP="00FC2D75">
            <w:pPr>
              <w:pStyle w:val="Default"/>
              <w:rPr>
                <w:rFonts w:asciiTheme="minorHAnsi" w:hAnsiTheme="minorHAnsi"/>
                <w:lang w:val="en-US"/>
              </w:rPr>
            </w:pPr>
          </w:p>
        </w:tc>
      </w:tr>
    </w:tbl>
    <w:p w:rsidR="00FC2D75" w:rsidRPr="009E523B" w:rsidRDefault="00FC2D75" w:rsidP="00FC2D75">
      <w:pPr>
        <w:spacing w:line="276" w:lineRule="auto"/>
        <w:rPr>
          <w:rFonts w:cs="Calibri"/>
          <w:lang w:val="en-US"/>
        </w:rPr>
      </w:pPr>
      <w:r w:rsidRPr="009E523B">
        <w:rPr>
          <w:rFonts w:cs="Calibri"/>
          <w:lang w:val="en-US"/>
        </w:rPr>
        <w:t xml:space="preserve">ADT = androgen deprivation therapy; ALT = alanine aminotransferase; AST = aspartate aminotransferase; MDRD-GFR = </w:t>
      </w:r>
      <w:r w:rsidRPr="009E523B">
        <w:rPr>
          <w:rStyle w:val="st1"/>
          <w:rFonts w:cs="Calibri"/>
          <w:lang w:val="en-US"/>
        </w:rPr>
        <w:t>modification of diet in renal disease study</w:t>
      </w:r>
      <w:r w:rsidRPr="009E523B">
        <w:rPr>
          <w:rFonts w:cs="Calibri"/>
          <w:lang w:val="en-US"/>
        </w:rPr>
        <w:t xml:space="preserve"> [formula to estimate glomerular filtration rate]; PSA = prostate-specific antigen; PSMA = prostate-specific membrane antigen; ULN = upper limit of normal.</w:t>
      </w:r>
    </w:p>
    <w:p w:rsidR="00FC2D75" w:rsidRPr="009E523B" w:rsidRDefault="00FC2D75" w:rsidP="00FC2D75">
      <w:pPr>
        <w:rPr>
          <w:rFonts w:cs="Calibri"/>
          <w:lang w:val="en-US"/>
        </w:rPr>
      </w:pPr>
      <w:r w:rsidRPr="009E523B">
        <w:rPr>
          <w:rFonts w:cs="Calibri"/>
          <w:lang w:val="en-US"/>
        </w:rPr>
        <w:br w:type="page"/>
      </w:r>
    </w:p>
    <w:p w:rsidR="00FC2D75" w:rsidRPr="009E523B" w:rsidRDefault="00FC2D75" w:rsidP="00FC2D75">
      <w:pPr>
        <w:pStyle w:val="Kop1"/>
        <w:rPr>
          <w:sz w:val="28"/>
          <w:szCs w:val="28"/>
          <w:lang w:val="en-US"/>
        </w:rPr>
      </w:pPr>
      <w:bookmarkStart w:id="13" w:name="_Toc50738446"/>
      <w:bookmarkStart w:id="14" w:name="_Toc50739132"/>
      <w:r w:rsidRPr="009E523B">
        <w:rPr>
          <w:sz w:val="28"/>
          <w:szCs w:val="28"/>
          <w:lang w:val="en-US"/>
        </w:rPr>
        <w:lastRenderedPageBreak/>
        <w:t>Study Flowchart</w:t>
      </w:r>
      <w:bookmarkEnd w:id="13"/>
      <w:bookmarkEnd w:id="14"/>
    </w:p>
    <w:p w:rsidR="00FC2D75" w:rsidRPr="009E523B" w:rsidRDefault="00FC2D75" w:rsidP="00FC2D75">
      <w:pPr>
        <w:spacing w:line="480" w:lineRule="auto"/>
        <w:rPr>
          <w:lang w:val="en-US"/>
        </w:rPr>
      </w:pPr>
      <w:r w:rsidRPr="009E523B">
        <w:rPr>
          <w:noProof/>
          <w:sz w:val="28"/>
          <w:szCs w:val="28"/>
          <w:lang w:val="en-US" w:eastAsia="nl-NL"/>
        </w:rPr>
        <w:drawing>
          <wp:inline distT="0" distB="0" distL="0" distR="0" wp14:anchorId="49BC3C78" wp14:editId="5568A9AD">
            <wp:extent cx="5394960" cy="59436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75" w:rsidRPr="009E523B" w:rsidRDefault="00FC2D75">
      <w:pPr>
        <w:spacing w:after="200" w:line="276" w:lineRule="auto"/>
        <w:rPr>
          <w:lang w:val="en-US"/>
        </w:rPr>
      </w:pPr>
      <w:r w:rsidRPr="009E523B">
        <w:rPr>
          <w:lang w:val="en-US"/>
        </w:rPr>
        <w:br w:type="page"/>
      </w:r>
    </w:p>
    <w:p w:rsidR="00FC2D75" w:rsidRPr="009E523B" w:rsidRDefault="00FC2D75" w:rsidP="00FC2D75">
      <w:pPr>
        <w:pStyle w:val="Kop1"/>
        <w:spacing w:line="480" w:lineRule="auto"/>
        <w:rPr>
          <w:rFonts w:asciiTheme="minorHAnsi" w:hAnsiTheme="minorHAnsi"/>
          <w:sz w:val="28"/>
          <w:szCs w:val="28"/>
          <w:shd w:val="clear" w:color="auto" w:fill="FFFFFF"/>
          <w:lang w:val="en-US"/>
        </w:rPr>
      </w:pPr>
      <w:bookmarkStart w:id="15" w:name="_Toc50738447"/>
      <w:bookmarkStart w:id="16" w:name="_Toc50739133"/>
      <w:r w:rsidRPr="009E523B">
        <w:rPr>
          <w:rFonts w:asciiTheme="minorHAnsi" w:hAnsiTheme="minorHAnsi"/>
          <w:sz w:val="28"/>
          <w:szCs w:val="28"/>
          <w:shd w:val="clear" w:color="auto" w:fill="FFFFFF"/>
          <w:lang w:val="en-US"/>
        </w:rPr>
        <w:lastRenderedPageBreak/>
        <w:t xml:space="preserve">Labeling and purification of PSMA-617 with </w:t>
      </w:r>
      <w:r w:rsidRPr="009E523B">
        <w:rPr>
          <w:rFonts w:asciiTheme="minorHAnsi" w:hAnsiTheme="minorHAnsi"/>
          <w:sz w:val="28"/>
          <w:szCs w:val="28"/>
          <w:shd w:val="clear" w:color="auto" w:fill="FFFFFF"/>
          <w:vertAlign w:val="superscript"/>
          <w:lang w:val="en-US"/>
        </w:rPr>
        <w:t>177</w:t>
      </w:r>
      <w:r w:rsidRPr="009E523B">
        <w:rPr>
          <w:rFonts w:asciiTheme="minorHAnsi" w:hAnsiTheme="minorHAnsi"/>
          <w:sz w:val="28"/>
          <w:szCs w:val="28"/>
          <w:shd w:val="clear" w:color="auto" w:fill="FFFFFF"/>
          <w:lang w:val="en-US"/>
        </w:rPr>
        <w:t>Lu</w:t>
      </w:r>
      <w:bookmarkEnd w:id="15"/>
      <w:bookmarkEnd w:id="16"/>
    </w:p>
    <w:p w:rsidR="00FC2D75" w:rsidRPr="009E523B" w:rsidRDefault="00FC2D75" w:rsidP="00FC2D75">
      <w:pPr>
        <w:pStyle w:val="Geenafstand"/>
        <w:spacing w:line="480" w:lineRule="auto"/>
        <w:rPr>
          <w:rFonts w:cs="Arial"/>
          <w:color w:val="222222"/>
          <w:sz w:val="24"/>
          <w:szCs w:val="24"/>
          <w:shd w:val="clear" w:color="auto" w:fill="FFFFFF"/>
          <w:lang w:val="en-US"/>
        </w:rPr>
      </w:pPr>
      <w:r w:rsidRPr="009E523B">
        <w:rPr>
          <w:rFonts w:cs="Arial"/>
          <w:color w:val="222222"/>
          <w:sz w:val="24"/>
          <w:szCs w:val="24"/>
          <w:shd w:val="clear" w:color="auto" w:fill="FFFFFF"/>
          <w:vertAlign w:val="superscript"/>
          <w:lang w:val="en-US"/>
        </w:rPr>
        <w:t>177</w:t>
      </w:r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>LuCl</w:t>
      </w:r>
      <w:r w:rsidRPr="009E523B">
        <w:rPr>
          <w:rFonts w:cs="Arial"/>
          <w:color w:val="222222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 xml:space="preserve"> was obtained from ITG (</w:t>
      </w:r>
      <w:proofErr w:type="spellStart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>Garching</w:t>
      </w:r>
      <w:proofErr w:type="spellEnd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>, Germany). GMP-grade PSMA-617 was obtained from ABX (</w:t>
      </w:r>
      <w:proofErr w:type="spellStart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>Radeberg</w:t>
      </w:r>
      <w:proofErr w:type="spellEnd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>, Germany). The radiolabeling of PSMA-617 was performed on GRP synthesis module (</w:t>
      </w:r>
      <w:proofErr w:type="spellStart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>Scintomics</w:t>
      </w:r>
      <w:proofErr w:type="spellEnd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>Fürstenfeldbruck</w:t>
      </w:r>
      <w:proofErr w:type="spellEnd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 xml:space="preserve">, Germany) using sterile and GMP-grade SC-105 kits. In brief, 4 mg </w:t>
      </w:r>
      <w:proofErr w:type="spellStart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>gentisic</w:t>
      </w:r>
      <w:proofErr w:type="spellEnd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 xml:space="preserve"> acid and the PSMA-617 peptide were dissolved in 500 </w:t>
      </w:r>
      <w:proofErr w:type="spellStart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>μL</w:t>
      </w:r>
      <w:proofErr w:type="spellEnd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 xml:space="preserve"> WFI and added to the reaction vessel. After addition of the </w:t>
      </w:r>
      <w:r w:rsidRPr="009E523B">
        <w:rPr>
          <w:rFonts w:cs="Arial"/>
          <w:color w:val="222222"/>
          <w:sz w:val="24"/>
          <w:szCs w:val="24"/>
          <w:shd w:val="clear" w:color="auto" w:fill="FFFFFF"/>
          <w:vertAlign w:val="superscript"/>
          <w:lang w:val="en-US"/>
        </w:rPr>
        <w:t>177</w:t>
      </w:r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>LuCl</w:t>
      </w:r>
      <w:r w:rsidRPr="009E523B">
        <w:rPr>
          <w:rFonts w:cs="Arial"/>
          <w:color w:val="222222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 xml:space="preserve"> in sodium acetate buffer and ascorbic acid the reaction was incubated at 100 °C for 20 minutes. After cooling down, the product was diluted to 16.5 ml with saline/DTPA to which 0.9 ml ethanol has been added. The radioactive solution was filtered through a 0.22 </w:t>
      </w:r>
      <w:proofErr w:type="spellStart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>μm</w:t>
      </w:r>
      <w:proofErr w:type="spellEnd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 xml:space="preserve"> filter (</w:t>
      </w:r>
      <w:proofErr w:type="spellStart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>Millex</w:t>
      </w:r>
      <w:proofErr w:type="spellEnd"/>
      <w:r w:rsidRPr="009E523B">
        <w:rPr>
          <w:rFonts w:cs="Arial"/>
          <w:color w:val="222222"/>
          <w:sz w:val="24"/>
          <w:szCs w:val="24"/>
          <w:shd w:val="clear" w:color="auto" w:fill="FFFFFF"/>
          <w:lang w:val="en-US"/>
        </w:rPr>
        <w:t xml:space="preserve"> GV. Merck, Amsterdam, The Netherlands) and dispensed into a closed glass type I container. Microbiological monitoring in class C was performed during synthesis, filtration and dispensing. Assembling of the dispensing and filtration system was performed in a class A isolator with a class B airlock (in a class C background). The radiolabeled PSMA-617 was measured for total radioactivity in a calibrated activity dose calibrator prior to injection and injected within 6 hours after radiolabeling.</w:t>
      </w:r>
    </w:p>
    <w:p w:rsidR="00FC2D75" w:rsidRPr="009E523B" w:rsidRDefault="00FC2D75" w:rsidP="00FC2D75">
      <w:pPr>
        <w:spacing w:line="480" w:lineRule="auto"/>
        <w:rPr>
          <w:lang w:val="en-US"/>
        </w:rPr>
      </w:pPr>
    </w:p>
    <w:sectPr w:rsidR="00FC2D75" w:rsidRPr="009E523B" w:rsidSect="00FC2D75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523B" w:rsidRDefault="009E523B" w:rsidP="00FC2D75">
      <w:r>
        <w:separator/>
      </w:r>
    </w:p>
  </w:endnote>
  <w:endnote w:type="continuationSeparator" w:id="0">
    <w:p w:rsidR="009E523B" w:rsidRDefault="009E523B" w:rsidP="00FC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523B" w:rsidRDefault="009E523B" w:rsidP="00FC2D75">
      <w:r>
        <w:separator/>
      </w:r>
    </w:p>
  </w:footnote>
  <w:footnote w:type="continuationSeparator" w:id="0">
    <w:p w:rsidR="009E523B" w:rsidRDefault="009E523B" w:rsidP="00FC2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23B" w:rsidRDefault="009E523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A7079"/>
    <w:multiLevelType w:val="hybridMultilevel"/>
    <w:tmpl w:val="DF0A3D08"/>
    <w:lvl w:ilvl="0" w:tplc="B6A2FB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D1C15"/>
    <w:multiLevelType w:val="hybridMultilevel"/>
    <w:tmpl w:val="B926815E"/>
    <w:lvl w:ilvl="0" w:tplc="37228332">
      <w:start w:val="1"/>
      <w:numFmt w:val="upperLetter"/>
      <w:lvlText w:val="(%1)"/>
      <w:lvlJc w:val="left"/>
      <w:pPr>
        <w:ind w:left="40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120" w:hanging="360"/>
      </w:pPr>
    </w:lvl>
    <w:lvl w:ilvl="2" w:tplc="0413001B" w:tentative="1">
      <w:start w:val="1"/>
      <w:numFmt w:val="lowerRoman"/>
      <w:lvlText w:val="%3."/>
      <w:lvlJc w:val="right"/>
      <w:pPr>
        <w:ind w:left="1840" w:hanging="180"/>
      </w:pPr>
    </w:lvl>
    <w:lvl w:ilvl="3" w:tplc="0413000F" w:tentative="1">
      <w:start w:val="1"/>
      <w:numFmt w:val="decimal"/>
      <w:lvlText w:val="%4."/>
      <w:lvlJc w:val="left"/>
      <w:pPr>
        <w:ind w:left="2560" w:hanging="360"/>
      </w:pPr>
    </w:lvl>
    <w:lvl w:ilvl="4" w:tplc="04130019" w:tentative="1">
      <w:start w:val="1"/>
      <w:numFmt w:val="lowerLetter"/>
      <w:lvlText w:val="%5."/>
      <w:lvlJc w:val="left"/>
      <w:pPr>
        <w:ind w:left="3280" w:hanging="360"/>
      </w:pPr>
    </w:lvl>
    <w:lvl w:ilvl="5" w:tplc="0413001B" w:tentative="1">
      <w:start w:val="1"/>
      <w:numFmt w:val="lowerRoman"/>
      <w:lvlText w:val="%6."/>
      <w:lvlJc w:val="right"/>
      <w:pPr>
        <w:ind w:left="4000" w:hanging="180"/>
      </w:pPr>
    </w:lvl>
    <w:lvl w:ilvl="6" w:tplc="0413000F" w:tentative="1">
      <w:start w:val="1"/>
      <w:numFmt w:val="decimal"/>
      <w:lvlText w:val="%7."/>
      <w:lvlJc w:val="left"/>
      <w:pPr>
        <w:ind w:left="4720" w:hanging="360"/>
      </w:pPr>
    </w:lvl>
    <w:lvl w:ilvl="7" w:tplc="04130019" w:tentative="1">
      <w:start w:val="1"/>
      <w:numFmt w:val="lowerLetter"/>
      <w:lvlText w:val="%8."/>
      <w:lvlJc w:val="left"/>
      <w:pPr>
        <w:ind w:left="5440" w:hanging="360"/>
      </w:pPr>
    </w:lvl>
    <w:lvl w:ilvl="8" w:tplc="0413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 w15:restartNumberingAfterBreak="0">
    <w:nsid w:val="3BEC7ABE"/>
    <w:multiLevelType w:val="multilevel"/>
    <w:tmpl w:val="5F74557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linical Cancer Research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rfrzfdxhfda99efdv1v5er8a9evxpxw9wd0&quot;&gt;My EndNote Library&lt;record-ids&gt;&lt;item&gt;1188&lt;/item&gt;&lt;item&gt;1240&lt;/item&gt;&lt;item&gt;1242&lt;/item&gt;&lt;item&gt;1243&lt;/item&gt;&lt;item&gt;1245&lt;/item&gt;&lt;/record-ids&gt;&lt;/item&gt;&lt;/Libraries&gt;"/>
  </w:docVars>
  <w:rsids>
    <w:rsidRoot w:val="00EE7CD1"/>
    <w:rsid w:val="001E79A7"/>
    <w:rsid w:val="002E4B7C"/>
    <w:rsid w:val="004D2DE7"/>
    <w:rsid w:val="0050728F"/>
    <w:rsid w:val="00510611"/>
    <w:rsid w:val="00764953"/>
    <w:rsid w:val="007D7577"/>
    <w:rsid w:val="009E523B"/>
    <w:rsid w:val="00B4620C"/>
    <w:rsid w:val="00DC2764"/>
    <w:rsid w:val="00EE7CD1"/>
    <w:rsid w:val="00FC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7D47CB6E-5034-427D-BED7-0D459544D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FC2D75"/>
    <w:pPr>
      <w:spacing w:after="0" w:line="240" w:lineRule="auto"/>
    </w:pPr>
    <w:rPr>
      <w:sz w:val="24"/>
      <w:szCs w:val="24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FC2D75"/>
    <w:pPr>
      <w:keepNext/>
      <w:tabs>
        <w:tab w:val="num" w:pos="432"/>
      </w:tabs>
      <w:spacing w:before="240" w:after="240"/>
      <w:ind w:left="432" w:hanging="432"/>
      <w:outlineLvl w:val="0"/>
    </w:pPr>
    <w:rPr>
      <w:rFonts w:ascii="Calibri" w:eastAsia="Times New Roman" w:hAnsi="Calibri" w:cs="Times New Roman"/>
      <w:b/>
      <w:kern w:val="28"/>
      <w:szCs w:val="20"/>
      <w:lang w:val="x-none"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2D75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nl-NL"/>
    </w:rPr>
  </w:style>
  <w:style w:type="paragraph" w:styleId="Kop3">
    <w:name w:val="heading 3"/>
    <w:basedOn w:val="Standaard"/>
    <w:next w:val="Standaard"/>
    <w:link w:val="Kop3Char"/>
    <w:uiPriority w:val="9"/>
    <w:qFormat/>
    <w:rsid w:val="00FC2D75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Times New Roman" w:eastAsia="Times New Roman" w:hAnsi="Times New Roman" w:cs="Times New Roman"/>
      <w:sz w:val="20"/>
      <w:szCs w:val="20"/>
      <w:lang w:val="x-none" w:eastAsia="nl-NL"/>
    </w:rPr>
  </w:style>
  <w:style w:type="paragraph" w:styleId="Kop4">
    <w:name w:val="heading 4"/>
    <w:basedOn w:val="Standaard"/>
    <w:next w:val="Standaard"/>
    <w:link w:val="Kop4Char"/>
    <w:uiPriority w:val="9"/>
    <w:qFormat/>
    <w:rsid w:val="00FC2D75"/>
    <w:pPr>
      <w:keepNext/>
      <w:tabs>
        <w:tab w:val="num" w:pos="864"/>
      </w:tabs>
      <w:spacing w:before="240" w:after="60"/>
      <w:ind w:left="864" w:hanging="864"/>
      <w:outlineLvl w:val="3"/>
    </w:pPr>
    <w:rPr>
      <w:rFonts w:ascii="Times New Roman" w:eastAsia="Times New Roman" w:hAnsi="Times New Roman" w:cs="Times New Roman"/>
      <w:sz w:val="20"/>
      <w:szCs w:val="20"/>
      <w:lang w:val="x-none" w:eastAsia="nl-NL"/>
    </w:rPr>
  </w:style>
  <w:style w:type="paragraph" w:styleId="Kop5">
    <w:name w:val="heading 5"/>
    <w:basedOn w:val="Standaard"/>
    <w:next w:val="Standaard"/>
    <w:link w:val="Kop5Char"/>
    <w:uiPriority w:val="9"/>
    <w:qFormat/>
    <w:rsid w:val="00FC2D75"/>
    <w:pPr>
      <w:tabs>
        <w:tab w:val="num" w:pos="1008"/>
      </w:tabs>
      <w:spacing w:before="240" w:after="60"/>
      <w:ind w:left="1008" w:hanging="1008"/>
      <w:outlineLvl w:val="4"/>
    </w:pPr>
    <w:rPr>
      <w:rFonts w:ascii="Times New Roman" w:eastAsia="Times New Roman" w:hAnsi="Times New Roman" w:cs="Times New Roman"/>
      <w:kern w:val="28"/>
      <w:sz w:val="20"/>
      <w:szCs w:val="20"/>
      <w:lang w:val="x-none" w:eastAsia="nl-NL"/>
    </w:rPr>
  </w:style>
  <w:style w:type="paragraph" w:styleId="Kop6">
    <w:name w:val="heading 6"/>
    <w:basedOn w:val="Standaard"/>
    <w:next w:val="Standaard"/>
    <w:link w:val="Kop6Char"/>
    <w:uiPriority w:val="9"/>
    <w:qFormat/>
    <w:rsid w:val="00FC2D75"/>
    <w:pPr>
      <w:tabs>
        <w:tab w:val="num" w:pos="1440"/>
      </w:tabs>
      <w:spacing w:before="240" w:after="60"/>
      <w:ind w:left="1152" w:hanging="1152"/>
      <w:outlineLvl w:val="5"/>
    </w:pPr>
    <w:rPr>
      <w:rFonts w:ascii="Arial" w:eastAsia="Times New Roman" w:hAnsi="Arial" w:cs="Times New Roman"/>
      <w:i/>
      <w:kern w:val="28"/>
      <w:sz w:val="20"/>
      <w:szCs w:val="20"/>
      <w:lang w:val="x-none" w:eastAsia="nl-NL"/>
    </w:rPr>
  </w:style>
  <w:style w:type="paragraph" w:styleId="Kop7">
    <w:name w:val="heading 7"/>
    <w:basedOn w:val="Standaard"/>
    <w:next w:val="Standaard"/>
    <w:link w:val="Kop7Char"/>
    <w:uiPriority w:val="9"/>
    <w:qFormat/>
    <w:rsid w:val="00FC2D75"/>
    <w:pPr>
      <w:tabs>
        <w:tab w:val="num" w:pos="1296"/>
      </w:tabs>
      <w:spacing w:before="240" w:after="60"/>
      <w:ind w:left="1296" w:hanging="1296"/>
      <w:outlineLvl w:val="6"/>
    </w:pPr>
    <w:rPr>
      <w:rFonts w:ascii="Arial" w:eastAsia="Times New Roman" w:hAnsi="Arial" w:cs="Times New Roman"/>
      <w:kern w:val="28"/>
      <w:sz w:val="20"/>
      <w:szCs w:val="20"/>
      <w:lang w:val="x-none" w:eastAsia="nl-NL"/>
    </w:rPr>
  </w:style>
  <w:style w:type="paragraph" w:styleId="Kop8">
    <w:name w:val="heading 8"/>
    <w:basedOn w:val="Standaard"/>
    <w:next w:val="Standaard"/>
    <w:link w:val="Kop8Char"/>
    <w:uiPriority w:val="9"/>
    <w:qFormat/>
    <w:rsid w:val="00FC2D75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Times New Roman" w:hAnsi="Arial" w:cs="Times New Roman"/>
      <w:i/>
      <w:kern w:val="28"/>
      <w:sz w:val="20"/>
      <w:szCs w:val="20"/>
      <w:lang w:val="x-none" w:eastAsia="nl-NL"/>
    </w:rPr>
  </w:style>
  <w:style w:type="paragraph" w:styleId="Kop9">
    <w:name w:val="heading 9"/>
    <w:basedOn w:val="Standaard"/>
    <w:next w:val="Standaard"/>
    <w:link w:val="Kop9Char"/>
    <w:uiPriority w:val="9"/>
    <w:qFormat/>
    <w:rsid w:val="00FC2D75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Times New Roman" w:hAnsi="Arial" w:cs="Times New Roman"/>
      <w:i/>
      <w:kern w:val="28"/>
      <w:sz w:val="20"/>
      <w:szCs w:val="20"/>
      <w:lang w:val="x-none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Standaard"/>
    <w:link w:val="EndNoteBibliographyTitleChar"/>
    <w:rsid w:val="00EE7CD1"/>
    <w:pPr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Standaardalinea-lettertype"/>
    <w:link w:val="EndNoteBibliographyTitle"/>
    <w:rsid w:val="00EE7CD1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Standaard"/>
    <w:link w:val="EndNoteBibliographyChar"/>
    <w:rsid w:val="00EE7CD1"/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Standaardalinea-lettertype"/>
    <w:link w:val="EndNoteBibliography"/>
    <w:rsid w:val="00EE7CD1"/>
    <w:rPr>
      <w:rFonts w:ascii="Calibri" w:hAnsi="Calibri"/>
      <w:noProof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C2D75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2D75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FC2D75"/>
    <w:rPr>
      <w:rFonts w:ascii="Calibri" w:eastAsia="Times New Roman" w:hAnsi="Calibri" w:cs="Times New Roman"/>
      <w:b/>
      <w:kern w:val="28"/>
      <w:sz w:val="24"/>
      <w:szCs w:val="20"/>
      <w:lang w:val="x-none" w:eastAsia="nl-NL"/>
    </w:rPr>
  </w:style>
  <w:style w:type="table" w:styleId="Tabelraster">
    <w:name w:val="Table Grid"/>
    <w:basedOn w:val="Standaardtabel"/>
    <w:uiPriority w:val="39"/>
    <w:rsid w:val="00FC2D75"/>
    <w:pPr>
      <w:spacing w:after="0" w:line="240" w:lineRule="auto"/>
    </w:pPr>
    <w:rPr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link w:val="GeenafstandChar"/>
    <w:uiPriority w:val="1"/>
    <w:qFormat/>
    <w:rsid w:val="00FC2D75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FC2D75"/>
  </w:style>
  <w:style w:type="character" w:customStyle="1" w:styleId="Kop2Char">
    <w:name w:val="Kop 2 Char"/>
    <w:basedOn w:val="Standaardalinea-lettertype"/>
    <w:link w:val="Kop2"/>
    <w:uiPriority w:val="9"/>
    <w:rsid w:val="00FC2D7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2D75"/>
    <w:rPr>
      <w:rFonts w:ascii="Times New Roman" w:eastAsia="Times New Roman" w:hAnsi="Times New Roman" w:cs="Times New Roman"/>
      <w:sz w:val="20"/>
      <w:szCs w:val="20"/>
      <w:lang w:val="x-none"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FC2D75"/>
    <w:rPr>
      <w:rFonts w:ascii="Times New Roman" w:eastAsia="Times New Roman" w:hAnsi="Times New Roman" w:cs="Times New Roman"/>
      <w:sz w:val="20"/>
      <w:szCs w:val="20"/>
      <w:lang w:val="x-none" w:eastAsia="nl-NL"/>
    </w:rPr>
  </w:style>
  <w:style w:type="character" w:customStyle="1" w:styleId="Kop5Char">
    <w:name w:val="Kop 5 Char"/>
    <w:basedOn w:val="Standaardalinea-lettertype"/>
    <w:link w:val="Kop5"/>
    <w:uiPriority w:val="9"/>
    <w:rsid w:val="00FC2D75"/>
    <w:rPr>
      <w:rFonts w:ascii="Times New Roman" w:eastAsia="Times New Roman" w:hAnsi="Times New Roman" w:cs="Times New Roman"/>
      <w:kern w:val="28"/>
      <w:sz w:val="20"/>
      <w:szCs w:val="20"/>
      <w:lang w:val="x-none" w:eastAsia="nl-NL"/>
    </w:rPr>
  </w:style>
  <w:style w:type="character" w:customStyle="1" w:styleId="Kop6Char">
    <w:name w:val="Kop 6 Char"/>
    <w:basedOn w:val="Standaardalinea-lettertype"/>
    <w:link w:val="Kop6"/>
    <w:uiPriority w:val="9"/>
    <w:rsid w:val="00FC2D75"/>
    <w:rPr>
      <w:rFonts w:ascii="Arial" w:eastAsia="Times New Roman" w:hAnsi="Arial" w:cs="Times New Roman"/>
      <w:i/>
      <w:kern w:val="28"/>
      <w:sz w:val="20"/>
      <w:szCs w:val="20"/>
      <w:lang w:val="x-none" w:eastAsia="nl-NL"/>
    </w:rPr>
  </w:style>
  <w:style w:type="character" w:customStyle="1" w:styleId="Kop7Char">
    <w:name w:val="Kop 7 Char"/>
    <w:basedOn w:val="Standaardalinea-lettertype"/>
    <w:link w:val="Kop7"/>
    <w:uiPriority w:val="9"/>
    <w:rsid w:val="00FC2D75"/>
    <w:rPr>
      <w:rFonts w:ascii="Arial" w:eastAsia="Times New Roman" w:hAnsi="Arial" w:cs="Times New Roman"/>
      <w:kern w:val="28"/>
      <w:sz w:val="20"/>
      <w:szCs w:val="20"/>
      <w:lang w:val="x-none" w:eastAsia="nl-NL"/>
    </w:rPr>
  </w:style>
  <w:style w:type="character" w:customStyle="1" w:styleId="Kop8Char">
    <w:name w:val="Kop 8 Char"/>
    <w:basedOn w:val="Standaardalinea-lettertype"/>
    <w:link w:val="Kop8"/>
    <w:uiPriority w:val="9"/>
    <w:rsid w:val="00FC2D75"/>
    <w:rPr>
      <w:rFonts w:ascii="Arial" w:eastAsia="Times New Roman" w:hAnsi="Arial" w:cs="Times New Roman"/>
      <w:i/>
      <w:kern w:val="28"/>
      <w:sz w:val="20"/>
      <w:szCs w:val="20"/>
      <w:lang w:val="x-none" w:eastAsia="nl-NL"/>
    </w:rPr>
  </w:style>
  <w:style w:type="character" w:customStyle="1" w:styleId="Kop9Char">
    <w:name w:val="Kop 9 Char"/>
    <w:basedOn w:val="Standaardalinea-lettertype"/>
    <w:link w:val="Kop9"/>
    <w:uiPriority w:val="9"/>
    <w:rsid w:val="00FC2D75"/>
    <w:rPr>
      <w:rFonts w:ascii="Arial" w:eastAsia="Times New Roman" w:hAnsi="Arial" w:cs="Times New Roman"/>
      <w:i/>
      <w:kern w:val="28"/>
      <w:sz w:val="20"/>
      <w:szCs w:val="20"/>
      <w:lang w:val="x-none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C2D7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C2D75"/>
    <w:pPr>
      <w:spacing w:after="200"/>
    </w:pPr>
    <w:rPr>
      <w:sz w:val="20"/>
      <w:szCs w:val="20"/>
      <w:lang w:val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C2D75"/>
    <w:rPr>
      <w:sz w:val="20"/>
      <w:szCs w:val="20"/>
    </w:rPr>
  </w:style>
  <w:style w:type="paragraph" w:customStyle="1" w:styleId="Default">
    <w:name w:val="Default"/>
    <w:rsid w:val="00FC2D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2D75"/>
    <w:pPr>
      <w:ind w:left="708"/>
    </w:pPr>
    <w:rPr>
      <w:rFonts w:ascii="Times New Roman" w:eastAsia="Times New Roman" w:hAnsi="Times New Roman" w:cs="Times New Roman"/>
      <w:sz w:val="22"/>
      <w:szCs w:val="20"/>
      <w:lang w:val="nl-NL" w:eastAsia="nl-NL"/>
    </w:rPr>
  </w:style>
  <w:style w:type="character" w:customStyle="1" w:styleId="st1">
    <w:name w:val="st1"/>
    <w:rsid w:val="00FC2D75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C2D75"/>
    <w:pPr>
      <w:spacing w:after="0"/>
    </w:pPr>
    <w:rPr>
      <w:b/>
      <w:bCs/>
      <w:lang w:val="de-DE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C2D75"/>
    <w:rPr>
      <w:b/>
      <w:bCs/>
      <w:sz w:val="20"/>
      <w:szCs w:val="20"/>
      <w:lang w:val="de-DE"/>
    </w:rPr>
  </w:style>
  <w:style w:type="paragraph" w:customStyle="1" w:styleId="Titel1">
    <w:name w:val="Titel1"/>
    <w:basedOn w:val="Standaard"/>
    <w:rsid w:val="00FC2D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FC2D75"/>
    <w:rPr>
      <w:color w:val="0000FF"/>
      <w:u w:val="single"/>
    </w:rPr>
  </w:style>
  <w:style w:type="paragraph" w:customStyle="1" w:styleId="desc">
    <w:name w:val="desc"/>
    <w:basedOn w:val="Standaard"/>
    <w:rsid w:val="00FC2D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NL" w:eastAsia="nl-NL"/>
    </w:rPr>
  </w:style>
  <w:style w:type="paragraph" w:customStyle="1" w:styleId="details">
    <w:name w:val="details"/>
    <w:basedOn w:val="Standaard"/>
    <w:rsid w:val="00FC2D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NL" w:eastAsia="nl-NL"/>
    </w:rPr>
  </w:style>
  <w:style w:type="character" w:customStyle="1" w:styleId="jrnl">
    <w:name w:val="jrnl"/>
    <w:basedOn w:val="Standaardalinea-lettertype"/>
    <w:rsid w:val="00FC2D75"/>
  </w:style>
  <w:style w:type="paragraph" w:styleId="Revisie">
    <w:name w:val="Revision"/>
    <w:hidden/>
    <w:uiPriority w:val="99"/>
    <w:semiHidden/>
    <w:rsid w:val="00FC2D75"/>
    <w:pPr>
      <w:spacing w:after="0" w:line="240" w:lineRule="auto"/>
    </w:pPr>
    <w:rPr>
      <w:sz w:val="24"/>
      <w:szCs w:val="24"/>
      <w:lang w:val="de-DE"/>
    </w:rPr>
  </w:style>
  <w:style w:type="character" w:customStyle="1" w:styleId="e24kjd">
    <w:name w:val="e24kjd"/>
    <w:basedOn w:val="Standaardalinea-lettertype"/>
    <w:rsid w:val="00FC2D75"/>
  </w:style>
  <w:style w:type="paragraph" w:styleId="Koptekst">
    <w:name w:val="header"/>
    <w:basedOn w:val="Standaard"/>
    <w:link w:val="KoptekstChar"/>
    <w:uiPriority w:val="99"/>
    <w:unhideWhenUsed/>
    <w:rsid w:val="00FC2D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C2D75"/>
    <w:rPr>
      <w:sz w:val="24"/>
      <w:szCs w:val="24"/>
      <w:lang w:val="de-DE"/>
    </w:rPr>
  </w:style>
  <w:style w:type="paragraph" w:styleId="Voettekst">
    <w:name w:val="footer"/>
    <w:basedOn w:val="Standaard"/>
    <w:link w:val="VoettekstChar"/>
    <w:uiPriority w:val="99"/>
    <w:unhideWhenUsed/>
    <w:rsid w:val="00FC2D7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C2D75"/>
    <w:rPr>
      <w:sz w:val="24"/>
      <w:szCs w:val="24"/>
      <w:lang w:val="de-DE"/>
    </w:rPr>
  </w:style>
  <w:style w:type="character" w:styleId="Regelnummer">
    <w:name w:val="line number"/>
    <w:basedOn w:val="Standaardalinea-lettertype"/>
    <w:uiPriority w:val="99"/>
    <w:semiHidden/>
    <w:unhideWhenUsed/>
    <w:rsid w:val="00FC2D75"/>
  </w:style>
  <w:style w:type="paragraph" w:styleId="Kopvaninhoudsopgave">
    <w:name w:val="TOC Heading"/>
    <w:basedOn w:val="Kop1"/>
    <w:next w:val="Standaard"/>
    <w:uiPriority w:val="39"/>
    <w:unhideWhenUsed/>
    <w:qFormat/>
    <w:rsid w:val="00FC2D75"/>
    <w:pPr>
      <w:keepLines/>
      <w:tabs>
        <w:tab w:val="clear" w:pos="432"/>
      </w:tabs>
      <w:spacing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  <w:lang w:val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FC2D75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FC2D75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63F13-FBD8-4EF0-BBCC-9263281A6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12</Pages>
  <Words>1894</Words>
  <Characters>10421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RaboudUMC</Company>
  <LinksUpToDate>false</LinksUpToDate>
  <CharactersWithSpaces>12291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Privé, Bastiaan</dc:creator>
  <cp:keywords/>
  <dc:description/>
  <cp:lastModifiedBy>Privé, Bastiaan</cp:lastModifiedBy>
  <cp:revision>5</cp:revision>
  <dcterms:created xsi:type="dcterms:W3CDTF">2020-09-11T09:08:00Z</dcterms:created>
  <dcterms:modified xsi:type="dcterms:W3CDTF">2020-11-02T11:46:00Z</dcterms:modified>
</cp:coreProperties>
</file>