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EBAAE" w14:textId="77777777" w:rsidR="00834906" w:rsidRPr="007E4A52" w:rsidRDefault="00834906" w:rsidP="00834906">
      <w:pPr>
        <w:rPr>
          <w:rFonts w:ascii="Helvetica" w:hAnsi="Helvetica"/>
          <w:b/>
          <w:lang w:val="en-US"/>
        </w:rPr>
      </w:pPr>
      <w:r w:rsidRPr="007E4A52">
        <w:rPr>
          <w:rFonts w:ascii="Helvetica" w:hAnsi="Helvetica"/>
          <w:b/>
          <w:lang w:val="en-US"/>
        </w:rPr>
        <w:t xml:space="preserve">Supplementary Material </w:t>
      </w:r>
    </w:p>
    <w:p w14:paraId="599C517E" w14:textId="77777777" w:rsidR="00834906" w:rsidRPr="007E4A52" w:rsidRDefault="00834906" w:rsidP="00834906">
      <w:pPr>
        <w:rPr>
          <w:rFonts w:ascii="Helvetica" w:hAnsi="Helvetica"/>
          <w:b/>
          <w:lang w:val="en-US"/>
        </w:rPr>
      </w:pPr>
    </w:p>
    <w:p w14:paraId="5CEF3606" w14:textId="1AC1EF11" w:rsidR="00834906" w:rsidRPr="007E4A52" w:rsidRDefault="00834906" w:rsidP="00834906">
      <w:pPr>
        <w:rPr>
          <w:rFonts w:ascii="Helvetica" w:hAnsi="Helvetica"/>
          <w:b/>
          <w:lang w:val="en-US"/>
        </w:rPr>
      </w:pPr>
      <w:r w:rsidRPr="007E4A52">
        <w:rPr>
          <w:rFonts w:ascii="Helvetica" w:hAnsi="Helvetica"/>
          <w:b/>
          <w:lang w:val="en-US"/>
        </w:rPr>
        <w:t>Supplementary Figures</w:t>
      </w:r>
    </w:p>
    <w:p w14:paraId="5FF8698E" w14:textId="77777777" w:rsidR="00834906" w:rsidRPr="007E4A52" w:rsidRDefault="00834906" w:rsidP="00834906">
      <w:pPr>
        <w:rPr>
          <w:rFonts w:ascii="Helvetica" w:hAnsi="Helvetica"/>
          <w:b/>
          <w:lang w:val="en-US"/>
        </w:rPr>
        <w:sectPr w:rsidR="00834906" w:rsidRPr="007E4A52" w:rsidSect="00A1077F">
          <w:headerReference w:type="default" r:id="rId7"/>
          <w:footerReference w:type="even" r:id="rId8"/>
          <w:footerReference w:type="default" r:id="rId9"/>
          <w:pgSz w:w="11900" w:h="16840"/>
          <w:pgMar w:top="1440" w:right="1800" w:bottom="1440" w:left="1800" w:header="708" w:footer="708" w:gutter="0"/>
          <w:cols w:space="708"/>
          <w:docGrid w:linePitch="360"/>
        </w:sectPr>
      </w:pPr>
    </w:p>
    <w:p w14:paraId="57F66392" w14:textId="77777777" w:rsidR="00834906" w:rsidRPr="007E4A52" w:rsidRDefault="00834906" w:rsidP="00834906">
      <w:pPr>
        <w:rPr>
          <w:rFonts w:ascii="Helvetica" w:hAnsi="Helvetica"/>
          <w:b/>
          <w:lang w:val="en-US"/>
        </w:rPr>
      </w:pPr>
    </w:p>
    <w:p w14:paraId="2256C2F7" w14:textId="77777777" w:rsidR="00834906" w:rsidRPr="007E4A52" w:rsidRDefault="00834906" w:rsidP="00834906">
      <w:pPr>
        <w:rPr>
          <w:rFonts w:ascii="Helvetica" w:hAnsi="Helvetica"/>
          <w:b/>
          <w:lang w:val="en-US"/>
        </w:rPr>
      </w:pPr>
      <w:r w:rsidRPr="007E4A52">
        <w:rPr>
          <w:rFonts w:ascii="Helvetica" w:hAnsi="Helvetica"/>
          <w:b/>
          <w:sz w:val="22"/>
          <w:szCs w:val="22"/>
          <w:lang w:val="en-US"/>
        </w:rPr>
        <w:t>Supplementary Figure 1</w:t>
      </w:r>
    </w:p>
    <w:p w14:paraId="758238EC" w14:textId="77777777" w:rsidR="00834906" w:rsidRPr="007E4A52" w:rsidRDefault="00834906" w:rsidP="00834906">
      <w:pPr>
        <w:rPr>
          <w:rFonts w:ascii="Helvetica" w:hAnsi="Helvetica"/>
          <w:b/>
          <w:lang w:val="en-US"/>
        </w:rPr>
      </w:pPr>
      <w:r w:rsidRPr="007E4A52">
        <w:rPr>
          <w:rFonts w:ascii="Helvetica" w:hAnsi="Helvetica"/>
          <w:b/>
          <w:noProof/>
          <w:lang w:val="en-US"/>
        </w:rPr>
        <w:drawing>
          <wp:inline distT="0" distB="0" distL="0" distR="0" wp14:anchorId="3E9C4CE3" wp14:editId="0D3E6C85">
            <wp:extent cx="8420100" cy="4694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8431855" cy="4701456"/>
                    </a:xfrm>
                    <a:prstGeom prst="rect">
                      <a:avLst/>
                    </a:prstGeom>
                  </pic:spPr>
                </pic:pic>
              </a:graphicData>
            </a:graphic>
          </wp:inline>
        </w:drawing>
      </w:r>
    </w:p>
    <w:p w14:paraId="1FCEA29C" w14:textId="77777777" w:rsidR="00834906" w:rsidRPr="007E4A52" w:rsidRDefault="00834906" w:rsidP="00834906">
      <w:pPr>
        <w:rPr>
          <w:rFonts w:ascii="Helvetica" w:hAnsi="Helvetica"/>
          <w:b/>
          <w:sz w:val="22"/>
          <w:szCs w:val="22"/>
          <w:lang w:val="en-US"/>
        </w:rPr>
        <w:sectPr w:rsidR="00834906" w:rsidRPr="007E4A52" w:rsidSect="00D108A1">
          <w:pgSz w:w="16840" w:h="11900" w:orient="landscape" w:code="9"/>
          <w:pgMar w:top="1797" w:right="1440" w:bottom="1797" w:left="1440" w:header="709" w:footer="709" w:gutter="0"/>
          <w:cols w:space="708"/>
          <w:vAlign w:val="both"/>
          <w:docGrid w:linePitch="360"/>
        </w:sectPr>
      </w:pPr>
    </w:p>
    <w:p w14:paraId="5540EB4D" w14:textId="77777777" w:rsidR="00834906" w:rsidRPr="007E4A52" w:rsidRDefault="00834906" w:rsidP="00834906">
      <w:pPr>
        <w:jc w:val="both"/>
        <w:rPr>
          <w:rFonts w:ascii="Helvetica" w:hAnsi="Helvetica"/>
          <w:sz w:val="22"/>
          <w:szCs w:val="22"/>
          <w:lang w:val="en-US"/>
        </w:rPr>
      </w:pPr>
      <w:r w:rsidRPr="007E4A52">
        <w:rPr>
          <w:rFonts w:ascii="Helvetica" w:hAnsi="Helvetica"/>
          <w:b/>
          <w:sz w:val="22"/>
          <w:szCs w:val="22"/>
          <w:lang w:val="en-US"/>
        </w:rPr>
        <w:lastRenderedPageBreak/>
        <w:t>Supplementary Figure 1.</w:t>
      </w:r>
      <w:r w:rsidRPr="007E4A52">
        <w:rPr>
          <w:rFonts w:ascii="Helvetica" w:hAnsi="Helvetica"/>
          <w:sz w:val="22"/>
          <w:szCs w:val="22"/>
          <w:lang w:val="en-US"/>
        </w:rPr>
        <w:t xml:space="preserve"> </w:t>
      </w:r>
    </w:p>
    <w:p w14:paraId="368FBE64" w14:textId="4187BC6C" w:rsidR="00834906" w:rsidRPr="007E4A52" w:rsidRDefault="00834906" w:rsidP="00834906">
      <w:pPr>
        <w:jc w:val="both"/>
        <w:rPr>
          <w:rFonts w:ascii="Helvetica" w:hAnsi="Helvetica"/>
          <w:sz w:val="22"/>
          <w:szCs w:val="22"/>
          <w:lang w:val="en-US"/>
        </w:rPr>
      </w:pPr>
      <w:r w:rsidRPr="007E4A52">
        <w:rPr>
          <w:rFonts w:ascii="Helvetica" w:hAnsi="Helvetica"/>
          <w:color w:val="000000" w:themeColor="text1"/>
          <w:sz w:val="22"/>
          <w:szCs w:val="22"/>
          <w:lang w:val="en-US"/>
        </w:rPr>
        <w:t xml:space="preserve">(A) </w:t>
      </w:r>
      <w:proofErr w:type="spellStart"/>
      <w:r w:rsidRPr="007E4A52">
        <w:rPr>
          <w:rFonts w:ascii="Helvetica" w:hAnsi="Helvetica"/>
          <w:color w:val="000000" w:themeColor="text1"/>
          <w:sz w:val="22"/>
          <w:szCs w:val="22"/>
          <w:lang w:val="en-US"/>
        </w:rPr>
        <w:t>Oncoplots</w:t>
      </w:r>
      <w:proofErr w:type="spellEnd"/>
      <w:r w:rsidRPr="007E4A52">
        <w:rPr>
          <w:rFonts w:ascii="Helvetica" w:hAnsi="Helvetica"/>
          <w:color w:val="000000" w:themeColor="text1"/>
          <w:sz w:val="22"/>
          <w:szCs w:val="22"/>
          <w:lang w:val="en-US"/>
        </w:rPr>
        <w:t xml:space="preserve"> of 20 most frequently mutated genes by sex in DT-</w:t>
      </w:r>
      <w:proofErr w:type="spellStart"/>
      <w:r w:rsidRPr="007E4A52">
        <w:rPr>
          <w:rFonts w:ascii="Helvetica" w:hAnsi="Helvetica"/>
          <w:color w:val="000000" w:themeColor="text1"/>
          <w:sz w:val="22"/>
          <w:szCs w:val="22"/>
          <w:lang w:val="en-US"/>
        </w:rPr>
        <w:t>cSCC</w:t>
      </w:r>
      <w:proofErr w:type="spellEnd"/>
      <w:r w:rsidRPr="007E4A52">
        <w:rPr>
          <w:rFonts w:ascii="Helvetica" w:hAnsi="Helvetica"/>
          <w:color w:val="000000" w:themeColor="text1"/>
          <w:sz w:val="22"/>
          <w:szCs w:val="22"/>
          <w:lang w:val="en-US"/>
        </w:rPr>
        <w:t xml:space="preserve"> and (B) DMBA/TPA treated skin (DT-skin). (C) </w:t>
      </w:r>
      <w:r w:rsidRPr="007E4A52">
        <w:rPr>
          <w:rFonts w:ascii="Helvetica" w:hAnsi="Helvetica" w:cs="Helvetica"/>
          <w:color w:val="000000" w:themeColor="text1"/>
          <w:sz w:val="22"/>
          <w:szCs w:val="22"/>
        </w:rPr>
        <w:t xml:space="preserve">Proportion of </w:t>
      </w:r>
      <w:r w:rsidRPr="007E4A52">
        <w:rPr>
          <w:rFonts w:ascii="Helvetica" w:hAnsi="Helvetica" w:cs="Helvetica"/>
          <w:i/>
          <w:color w:val="000000" w:themeColor="text1"/>
          <w:sz w:val="22"/>
          <w:szCs w:val="22"/>
        </w:rPr>
        <w:t>Cdkn2a</w:t>
      </w:r>
      <w:r w:rsidRPr="007E4A52">
        <w:rPr>
          <w:rFonts w:ascii="Helvetica" w:hAnsi="Helvetica" w:cs="Helvetica"/>
          <w:color w:val="000000" w:themeColor="text1"/>
          <w:sz w:val="22"/>
          <w:szCs w:val="22"/>
        </w:rPr>
        <w:t xml:space="preserve"> </w:t>
      </w:r>
      <w:proofErr w:type="spellStart"/>
      <w:r w:rsidRPr="007E4A52">
        <w:rPr>
          <w:rFonts w:ascii="Helvetica" w:hAnsi="Helvetica" w:cs="Helvetica"/>
          <w:color w:val="000000" w:themeColor="text1"/>
          <w:sz w:val="22"/>
          <w:szCs w:val="22"/>
        </w:rPr>
        <w:t>wt</w:t>
      </w:r>
      <w:proofErr w:type="spellEnd"/>
      <w:r w:rsidRPr="007E4A52">
        <w:rPr>
          <w:rFonts w:ascii="Helvetica" w:hAnsi="Helvetica" w:cs="Helvetica"/>
          <w:color w:val="000000" w:themeColor="text1"/>
          <w:sz w:val="22"/>
          <w:szCs w:val="22"/>
        </w:rPr>
        <w:t xml:space="preserve"> and </w:t>
      </w:r>
      <w:r w:rsidRPr="007E4A52">
        <w:rPr>
          <w:rFonts w:ascii="Helvetica" w:hAnsi="Helvetica" w:cs="Helvetica"/>
          <w:i/>
          <w:color w:val="000000" w:themeColor="text1"/>
          <w:sz w:val="22"/>
          <w:szCs w:val="22"/>
        </w:rPr>
        <w:t>Cdkn2a</w:t>
      </w:r>
      <w:r w:rsidRPr="007E4A52">
        <w:rPr>
          <w:rFonts w:ascii="Helvetica" w:hAnsi="Helvetica" w:cs="Helvetica"/>
          <w:color w:val="000000" w:themeColor="text1"/>
          <w:sz w:val="22"/>
          <w:szCs w:val="22"/>
          <w:vertAlign w:val="superscript"/>
        </w:rPr>
        <w:t>fl/</w:t>
      </w:r>
      <w:proofErr w:type="spellStart"/>
      <w:r w:rsidRPr="007E4A52">
        <w:rPr>
          <w:rFonts w:ascii="Helvetica" w:hAnsi="Helvetica" w:cs="Helvetica"/>
          <w:color w:val="000000" w:themeColor="text1"/>
          <w:sz w:val="22"/>
          <w:szCs w:val="22"/>
          <w:vertAlign w:val="superscript"/>
        </w:rPr>
        <w:t>fl</w:t>
      </w:r>
      <w:proofErr w:type="spellEnd"/>
      <w:r w:rsidRPr="007E4A52">
        <w:rPr>
          <w:rFonts w:ascii="Helvetica" w:hAnsi="Helvetica" w:cs="Helvetica"/>
          <w:color w:val="000000" w:themeColor="text1"/>
          <w:sz w:val="22"/>
          <w:szCs w:val="22"/>
        </w:rPr>
        <w:t xml:space="preserve"> animals with primary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developing metastatic disease. (D)</w:t>
      </w:r>
      <w:r w:rsidRPr="007E4A52">
        <w:rPr>
          <w:rFonts w:ascii="Helvetica" w:hAnsi="Helvetica"/>
          <w:color w:val="000000" w:themeColor="text1"/>
          <w:sz w:val="22"/>
          <w:szCs w:val="22"/>
          <w:lang w:val="en-US"/>
        </w:rPr>
        <w:t xml:space="preserve"> Immune cell landscape in normal and DMBA/TPA treated skin by sex estimated from RNA-seq data</w:t>
      </w:r>
      <w:r w:rsidRPr="007E4A52">
        <w:rPr>
          <w:rFonts w:ascii="Helvetica" w:hAnsi="Helvetica"/>
          <w:color w:val="000000" w:themeColor="text1"/>
          <w:sz w:val="22"/>
          <w:szCs w:val="22"/>
          <w:lang w:val="en-US"/>
        </w:rPr>
        <w:fldChar w:fldCharType="begin" w:fldLock="1"/>
      </w:r>
      <w:r w:rsidR="00B22290" w:rsidRPr="007E4A52">
        <w:rPr>
          <w:rFonts w:ascii="Helvetica" w:hAnsi="Helvetica"/>
          <w:color w:val="000000" w:themeColor="text1"/>
          <w:sz w:val="22"/>
          <w:szCs w:val="22"/>
          <w:lang w:val="en-US"/>
        </w:rPr>
        <w:instrText>ADDIN CSL_CITATION {"citationItems":[{"id":"ITEM-1","itemData":{"DOI":"10.1016/j.cell.2020.05.039","ISSN":"1097-4172 (Electronic)","PMID":"32579974","abstract":"To define the cellular composition and architecture of cutaneous squamous cell  carcinoma (cSCC), we combined single-cell RNA sequencing with spatial transcriptomics and multiplexed ion beam imaging from a series of human cSCCs and matched normal skin. cSCC exhibited four tumor subpopulations, three recapitulating normal epidermal states, and a tumor-specific keratinocyte (TSK) population unique to cancer, which localized to a fibrovascular niche. Integration of single-cell and spatial data mapped ligand-receptor networks to specific cell types, revealing TSK cells as a hub for intercellular communication. Multiple features of potential immunosuppression were observed, including T regulatory cell (Treg) co-localization with CD8 T cells in compartmentalized tumor stroma. Finally, single-cell characterization of human tumor xenografts and in vivo CRISPR screens identified essential roles for specific tumor subpopulation-enriched gene networks in tumorigenesis. These data define cSCC tumor and stromal cell subpopulations, the spatial niches where they interact, and the communicating gene networks that they engage in cancer.","author":[{"dropping-particle":"","family":"Ji","given":"Andrew L","non-dropping-particle":"","parse-names":false,"suffix":""},{"dropping-particle":"","family":"Rubin","given":"Adam J","non-dropping-particle":"","parse-names":false,"suffix":""},{"dropping-particle":"","family":"Thrane","given":"Kim","non-dropping-particle":"","parse-names":false,"suffix":""},{"dropping-particle":"","family":"Jiang","given":"Sizun","non-dropping-particle":"","parse-names":false,"suffix":""},{"dropping-particle":"","family":"Reynolds","given":"David L","non-dropping-particle":"","parse-names":false,"suffix":""},{"dropping-particle":"","family":"Meyers","given":"Robin M","non-dropping-particle":"","parse-names":false,"suffix":""},{"dropping-particle":"","family":"Guo","given":"Margaret G","non-dropping-particle":"","parse-names":false,"suffix":""},{"dropping-particle":"","family":"George","given":"Benson M","non-dropping-particle":"","parse-names":false,"suffix":""},{"dropping-particle":"","family":"Mollbrink","given":"Annelie","non-dropping-particle":"","parse-names":false,"suffix":""},{"dropping-particle":"","family":"Bergenstråhle","given":"Joseph","non-dropping-particle":"","parse-names":false,"suffix":""},{"dropping-particle":"","family":"Larsson","given":"Ludvig","non-dropping-particle":"","parse-names":false,"suffix":""},{"dropping-particle":"","family":"Bai","given":"Yunhao","non-dropping-particle":"","parse-names":false,"suffix":""},{"dropping-particle":"","family":"Zhu","given":"Bokai","non-dropping-particle":"","parse-names":false,"suffix":""},{"dropping-particle":"","family":"Bhaduri","given":"Aparna","non-dropping-particle":"","parse-names":false,"suffix":""},{"dropping-particle":"","family":"Meyers","given":"Jordan M","non-dropping-particle":"","parse-names":false,"suffix":""},{"dropping-particle":"","family":"Rovira-Clavé","given":"Xavier","non-dropping-particle":"","parse-names":false,"suffix":""},{"dropping-particle":"","family":"Hollmig","given":"S Tyler","non-dropping-particle":"","parse-names":false,"suffix":""},{"dropping-particle":"","family":"Aasi","given":"Sumaira Z","non-dropping-particle":"","parse-names":false,"suffix":""},{"dropping-particle":"","family":"Nolan","given":"Garry P","non-dropping-particle":"","parse-names":false,"suffix":""},{"dropping-particle":"","family":"Lundeberg","given":"Joakim","non-dropping-particle":"","parse-names":false,"suffix":""},{"dropping-particle":"","family":"Khavari","given":"Paul A","non-dropping-particle":"","parse-names":false,"suffix":""}],"container-title":"Cell","id":"ITEM-1","issue":"2","issued":{"date-parts":[["2020","7"]]},"language":"eng","page":"497-514.e22","title":"Multimodal Analysis of Composition and Spatial Architecture in Human Squamous Cell  Carcinoma.","type":"article-journal","volume":"182"},"uris":["http://www.mendeley.com/documents/?uuid=16ad7f10-7e7a-4bd0-a2da-97b4d559d65e"]}],"mendeley":{"formattedCitation":"(1)","plainTextFormattedCitation":"(1)","previouslyFormattedCitation":"(Ji et al. 2020)"},"properties":{"noteIndex":0},"schema":"https://github.com/citation-style-language/schema/raw/master/csl-citation.json"}</w:instrText>
      </w:r>
      <w:r w:rsidRPr="007E4A52">
        <w:rPr>
          <w:rFonts w:ascii="Helvetica" w:hAnsi="Helvetica"/>
          <w:color w:val="000000" w:themeColor="text1"/>
          <w:sz w:val="22"/>
          <w:szCs w:val="22"/>
          <w:lang w:val="en-US"/>
        </w:rPr>
        <w:fldChar w:fldCharType="separate"/>
      </w:r>
      <w:r w:rsidR="00B22290" w:rsidRPr="007E4A52">
        <w:rPr>
          <w:rFonts w:ascii="Helvetica" w:hAnsi="Helvetica"/>
          <w:noProof/>
          <w:color w:val="000000" w:themeColor="text1"/>
          <w:sz w:val="22"/>
          <w:szCs w:val="22"/>
          <w:lang w:val="en-US"/>
        </w:rPr>
        <w:t>(1)</w:t>
      </w:r>
      <w:r w:rsidRPr="007E4A52">
        <w:rPr>
          <w:rFonts w:ascii="Helvetica" w:hAnsi="Helvetica"/>
          <w:color w:val="000000" w:themeColor="text1"/>
          <w:sz w:val="22"/>
          <w:szCs w:val="22"/>
          <w:lang w:val="en-US"/>
        </w:rPr>
        <w:fldChar w:fldCharType="end"/>
      </w:r>
      <w:r w:rsidRPr="007E4A52">
        <w:rPr>
          <w:rFonts w:ascii="Helvetica" w:hAnsi="Helvetica"/>
          <w:color w:val="000000" w:themeColor="text1"/>
          <w:sz w:val="22"/>
          <w:szCs w:val="22"/>
          <w:lang w:val="en-US"/>
        </w:rPr>
        <w:t>, p values not significant</w:t>
      </w:r>
      <w:r w:rsidR="00525FDB">
        <w:rPr>
          <w:rFonts w:ascii="Helvetica" w:hAnsi="Helvetica"/>
          <w:color w:val="000000" w:themeColor="text1"/>
          <w:sz w:val="22"/>
          <w:szCs w:val="22"/>
          <w:lang w:val="en-US"/>
        </w:rPr>
        <w:t xml:space="preserve"> Mann Whitney test</w:t>
      </w:r>
      <w:r w:rsidRPr="007E4A52">
        <w:rPr>
          <w:rFonts w:ascii="Helvetica" w:hAnsi="Helvetica"/>
          <w:color w:val="000000" w:themeColor="text1"/>
          <w:sz w:val="22"/>
          <w:szCs w:val="22"/>
          <w:lang w:val="en-US"/>
        </w:rPr>
        <w:t xml:space="preserve">, (n males = 3 ; females = 3). (E) </w:t>
      </w:r>
      <w:r w:rsidRPr="007E4A52">
        <w:rPr>
          <w:rFonts w:ascii="Helvetica" w:hAnsi="Helvetica" w:cs="Helvetica"/>
          <w:color w:val="000000" w:themeColor="text1"/>
          <w:sz w:val="22"/>
          <w:szCs w:val="22"/>
        </w:rPr>
        <w:t xml:space="preserve">Layers of the skin densely infiltrated by inflammatory cells by sex following DMBA/TPA in immunocompetent animals. (F) CD4+ cell infiltrate following DMBA/TPA in immunocompetent and prednisolone-treated animals by sex. P values Mann-Whitney. N= 6 IC animals, 8 IS. Scores were done across n=15 fields of skin per condition x100 magnification. (G) Top row: representative images of immunocompetent female skin, revealing intense and dense infiltration of inflammatory cells following DMBA/TPA across the epidermis, dermis and hypodermis. The intensity of the infiltrate affects the normal architecture of the 3 layers. scale bars: left 150 um, middle 75 um, right 75 </w:t>
      </w:r>
      <w:proofErr w:type="gramStart"/>
      <w:r w:rsidRPr="007E4A52">
        <w:rPr>
          <w:rFonts w:ascii="Helvetica" w:hAnsi="Helvetica" w:cs="Helvetica"/>
          <w:color w:val="000000" w:themeColor="text1"/>
          <w:sz w:val="22"/>
          <w:szCs w:val="22"/>
        </w:rPr>
        <w:t>um</w:t>
      </w:r>
      <w:proofErr w:type="gramEnd"/>
      <w:r w:rsidRPr="007E4A52">
        <w:rPr>
          <w:rFonts w:ascii="Helvetica" w:hAnsi="Helvetica" w:cs="Helvetica"/>
          <w:color w:val="000000" w:themeColor="text1"/>
          <w:sz w:val="22"/>
          <w:szCs w:val="22"/>
        </w:rPr>
        <w:t xml:space="preserve">. Second row: representative photomicrographs of immunocompetent male skin, revealing more localised tissue infiltration predominating at the deep dermis, respecting the architecture of the hypodermis. scale bars: left 150 um, middle 75 um, right 75 </w:t>
      </w:r>
      <w:proofErr w:type="gramStart"/>
      <w:r w:rsidRPr="007E4A52">
        <w:rPr>
          <w:rFonts w:ascii="Helvetica" w:hAnsi="Helvetica" w:cs="Helvetica"/>
          <w:color w:val="000000" w:themeColor="text1"/>
          <w:sz w:val="22"/>
          <w:szCs w:val="22"/>
        </w:rPr>
        <w:t>um</w:t>
      </w:r>
      <w:proofErr w:type="gramEnd"/>
      <w:r w:rsidRPr="007E4A52">
        <w:rPr>
          <w:rFonts w:ascii="Helvetica" w:hAnsi="Helvetica" w:cs="Helvetica"/>
          <w:color w:val="000000" w:themeColor="text1"/>
          <w:sz w:val="22"/>
          <w:szCs w:val="22"/>
        </w:rPr>
        <w:t>. (H) First row: representative photomicrographs of immunosuppressed female skin, revealing extensive damage to the skin, with sloughing of the epidermis (E), sparse inflammatory cell infiltrate in the dermis (D, boxed inset) and hypodermis (H). Scale bars 75 um. Second row: representative photomicrographs of immunosuppressed male skin, revealing extensive damage to the skin, with sloughing of the epidermis (E), sparse inflammatory cell infiltrate in the dermis) and hypodermis (D, H, boxed inset). Scale bars 75 um. Third row: representative image of normal mouse skin, scale bar: 75um.</w:t>
      </w:r>
      <w:r w:rsidRPr="007E4A52">
        <w:rPr>
          <w:rFonts w:ascii="Helvetica" w:hAnsi="Helvetica"/>
          <w:color w:val="000000" w:themeColor="text1"/>
          <w:sz w:val="22"/>
          <w:szCs w:val="22"/>
          <w:lang w:val="en-US"/>
        </w:rPr>
        <w:t xml:space="preserve"> (I) </w:t>
      </w:r>
      <w:r w:rsidRPr="007E4A52">
        <w:rPr>
          <w:rFonts w:ascii="Helvetica" w:hAnsi="Helvetica" w:cs="Helvetica"/>
          <w:color w:val="000000" w:themeColor="text1"/>
          <w:sz w:val="22"/>
          <w:szCs w:val="22"/>
        </w:rPr>
        <w:t>Representative images of female and male skin stained with anti-CD4 antibody following DMBA/TPA +/- oral prednisolone, across the epidermis, dermis and hypodermis. The intensity ranges from mild to very intense, scale bar 100 um.</w:t>
      </w:r>
      <w:r w:rsidRPr="007E4A52">
        <w:rPr>
          <w:rFonts w:ascii="Helvetica" w:hAnsi="Helvetica"/>
          <w:color w:val="000000" w:themeColor="text1"/>
          <w:sz w:val="22"/>
          <w:szCs w:val="22"/>
          <w:lang w:val="en-US"/>
        </w:rPr>
        <w:t xml:space="preserve"> (</w:t>
      </w:r>
      <w:r w:rsidRPr="007E4A52">
        <w:rPr>
          <w:rFonts w:ascii="Helvetica" w:hAnsi="Helvetica"/>
          <w:sz w:val="22"/>
          <w:szCs w:val="22"/>
          <w:lang w:val="en-US"/>
        </w:rPr>
        <w:t>J) Layers of epidermal cells in normal skin and DT-skin. (K) Intensity score of mitotic cells (phospho-H3) by sex in DT-</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(L) Representative images of phospho-H3 staining (brown) in male and female DT-</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xml:space="preserve"> tumors (scale bar: 200</w:t>
      </w:r>
      <w:r w:rsidRPr="007E4A52">
        <w:rPr>
          <w:rFonts w:ascii="Helvetica" w:hAnsi="Helvetica" w:cs="Helvetica"/>
          <w:sz w:val="22"/>
          <w:szCs w:val="22"/>
          <w:lang w:val="en-US"/>
        </w:rPr>
        <w:t>µ</w:t>
      </w:r>
      <w:r w:rsidRPr="007E4A52">
        <w:rPr>
          <w:rFonts w:ascii="Helvetica" w:hAnsi="Helvetica"/>
          <w:sz w:val="22"/>
          <w:szCs w:val="22"/>
          <w:lang w:val="en-US"/>
        </w:rPr>
        <w:t xml:space="preserve">m). </w:t>
      </w:r>
    </w:p>
    <w:p w14:paraId="4387DEDD" w14:textId="77777777" w:rsidR="00834906" w:rsidRPr="007E4A52" w:rsidRDefault="00834906" w:rsidP="00834906">
      <w:pPr>
        <w:rPr>
          <w:rFonts w:ascii="Helvetica" w:hAnsi="Helvetica"/>
          <w:sz w:val="22"/>
          <w:szCs w:val="22"/>
          <w:lang w:val="en-US"/>
        </w:rPr>
      </w:pPr>
    </w:p>
    <w:p w14:paraId="4E7DAAA3" w14:textId="77777777" w:rsidR="00834906" w:rsidRPr="007E4A52" w:rsidRDefault="00834906" w:rsidP="00834906">
      <w:pPr>
        <w:rPr>
          <w:rFonts w:ascii="Helvetica" w:hAnsi="Helvetica"/>
          <w:b/>
          <w:sz w:val="22"/>
          <w:szCs w:val="22"/>
          <w:lang w:val="en-US"/>
        </w:rPr>
      </w:pPr>
      <w:r w:rsidRPr="007E4A52">
        <w:rPr>
          <w:rFonts w:ascii="Helvetica" w:hAnsi="Helvetica"/>
          <w:b/>
          <w:sz w:val="22"/>
          <w:szCs w:val="22"/>
          <w:lang w:val="en-US"/>
        </w:rPr>
        <w:br w:type="page"/>
      </w:r>
    </w:p>
    <w:p w14:paraId="46080DB3" w14:textId="77777777" w:rsidR="00834906" w:rsidRPr="007E4A52" w:rsidRDefault="00834906" w:rsidP="00834906">
      <w:pPr>
        <w:rPr>
          <w:rFonts w:ascii="Helvetica" w:hAnsi="Helvetica"/>
          <w:b/>
          <w:sz w:val="22"/>
          <w:szCs w:val="22"/>
          <w:lang w:val="en-US"/>
        </w:rPr>
      </w:pPr>
      <w:r w:rsidRPr="007E4A52">
        <w:rPr>
          <w:rFonts w:ascii="Helvetica" w:hAnsi="Helvetica"/>
          <w:b/>
          <w:sz w:val="22"/>
          <w:szCs w:val="22"/>
          <w:lang w:val="en-US"/>
        </w:rPr>
        <w:lastRenderedPageBreak/>
        <w:t>Supplementary Figure 2</w:t>
      </w:r>
    </w:p>
    <w:p w14:paraId="3E0267BD" w14:textId="77777777" w:rsidR="00834906" w:rsidRPr="007E4A52" w:rsidRDefault="00834906" w:rsidP="00834906">
      <w:pPr>
        <w:rPr>
          <w:rFonts w:ascii="Helvetica" w:hAnsi="Helvetica"/>
          <w:sz w:val="22"/>
          <w:szCs w:val="22"/>
          <w:lang w:val="en-US"/>
        </w:rPr>
      </w:pPr>
      <w:r w:rsidRPr="007E4A52">
        <w:rPr>
          <w:rFonts w:ascii="Helvetica" w:hAnsi="Helvetica"/>
          <w:noProof/>
          <w:sz w:val="22"/>
          <w:szCs w:val="22"/>
          <w:lang w:val="en-US"/>
        </w:rPr>
        <w:drawing>
          <wp:inline distT="0" distB="0" distL="0" distR="0" wp14:anchorId="2ED5EBCE" wp14:editId="5FC40E3B">
            <wp:extent cx="5270500" cy="571881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270500" cy="5718810"/>
                    </a:xfrm>
                    <a:prstGeom prst="rect">
                      <a:avLst/>
                    </a:prstGeom>
                  </pic:spPr>
                </pic:pic>
              </a:graphicData>
            </a:graphic>
          </wp:inline>
        </w:drawing>
      </w:r>
    </w:p>
    <w:p w14:paraId="7D52A415" w14:textId="77777777" w:rsidR="00834906" w:rsidRPr="007E4A52" w:rsidRDefault="00834906" w:rsidP="00834906">
      <w:pPr>
        <w:rPr>
          <w:rFonts w:ascii="Helvetica" w:hAnsi="Helvetica"/>
          <w:b/>
          <w:bCs/>
          <w:sz w:val="22"/>
          <w:szCs w:val="22"/>
          <w:lang w:val="en-US"/>
        </w:rPr>
      </w:pPr>
      <w:r w:rsidRPr="007E4A52">
        <w:rPr>
          <w:rFonts w:ascii="Helvetica" w:hAnsi="Helvetica"/>
          <w:b/>
          <w:bCs/>
          <w:sz w:val="22"/>
          <w:szCs w:val="22"/>
          <w:lang w:val="en-US"/>
        </w:rPr>
        <w:t>Supplementary Figure 2.</w:t>
      </w:r>
    </w:p>
    <w:p w14:paraId="666DC571" w14:textId="77777777" w:rsidR="00834906" w:rsidRPr="007E4A52" w:rsidRDefault="00834906" w:rsidP="00834906">
      <w:pPr>
        <w:rPr>
          <w:rFonts w:ascii="Helvetica" w:hAnsi="Helvetica"/>
          <w:sz w:val="22"/>
          <w:szCs w:val="22"/>
          <w:lang w:val="en-US"/>
        </w:rPr>
      </w:pPr>
      <w:r w:rsidRPr="007E4A52">
        <w:rPr>
          <w:rFonts w:ascii="Helvetica" w:hAnsi="Helvetica"/>
          <w:sz w:val="22"/>
          <w:szCs w:val="22"/>
          <w:lang w:val="en-US"/>
        </w:rPr>
        <w:t>(A) Immune cell landscape in human adult UVR-skin and (B) human UVR-</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xml:space="preserve"> by sex from single cell RNA sequencing data of </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xml:space="preserve"> tumors and adjacent skin. Data represent c</w:t>
      </w:r>
      <w:r w:rsidRPr="007E4A52">
        <w:rPr>
          <w:rFonts w:ascii="Helvetica" w:hAnsi="Helvetica" w:cs="Helvetica"/>
          <w:sz w:val="22"/>
          <w:szCs w:val="22"/>
          <w:lang w:val="en-US"/>
        </w:rPr>
        <w:t>ell types as a percent representation of all cells detected within the sample</w:t>
      </w:r>
      <w:r w:rsidRPr="007E4A52">
        <w:rPr>
          <w:rFonts w:ascii="Helvetica" w:hAnsi="Helvetica"/>
          <w:sz w:val="22"/>
          <w:szCs w:val="22"/>
          <w:lang w:val="en-US"/>
        </w:rPr>
        <w:t xml:space="preserve">, p values not significant, (n males = 7; females = 3). (C) Expression of immune genes </w:t>
      </w:r>
      <w:r w:rsidRPr="007E4A52">
        <w:rPr>
          <w:rFonts w:ascii="Helvetica" w:hAnsi="Helvetica"/>
          <w:i/>
          <w:iCs/>
          <w:sz w:val="22"/>
          <w:szCs w:val="22"/>
          <w:lang w:val="en-US"/>
        </w:rPr>
        <w:t>IFNG</w:t>
      </w:r>
      <w:r w:rsidRPr="007E4A52">
        <w:rPr>
          <w:rFonts w:ascii="Helvetica" w:hAnsi="Helvetica"/>
          <w:sz w:val="22"/>
          <w:szCs w:val="22"/>
          <w:lang w:val="en-US"/>
        </w:rPr>
        <w:t xml:space="preserve">, </w:t>
      </w:r>
      <w:r w:rsidRPr="007E4A52">
        <w:rPr>
          <w:rFonts w:ascii="Helvetica" w:hAnsi="Helvetica"/>
          <w:i/>
          <w:iCs/>
          <w:sz w:val="22"/>
          <w:szCs w:val="22"/>
          <w:lang w:val="en-US"/>
        </w:rPr>
        <w:t>CXCL9</w:t>
      </w:r>
      <w:r w:rsidRPr="007E4A52">
        <w:rPr>
          <w:rFonts w:ascii="Helvetica" w:hAnsi="Helvetica"/>
          <w:sz w:val="22"/>
          <w:szCs w:val="22"/>
          <w:lang w:val="en-US"/>
        </w:rPr>
        <w:t xml:space="preserve">, </w:t>
      </w:r>
      <w:r w:rsidRPr="007E4A52">
        <w:rPr>
          <w:rFonts w:ascii="Helvetica" w:hAnsi="Helvetica"/>
          <w:i/>
          <w:iCs/>
          <w:sz w:val="22"/>
          <w:szCs w:val="22"/>
          <w:lang w:val="en-US"/>
        </w:rPr>
        <w:t>CXCL10</w:t>
      </w:r>
      <w:r w:rsidRPr="007E4A52">
        <w:rPr>
          <w:rFonts w:ascii="Helvetica" w:hAnsi="Helvetica"/>
          <w:sz w:val="22"/>
          <w:szCs w:val="22"/>
          <w:lang w:val="en-US"/>
        </w:rPr>
        <w:t xml:space="preserve">, and </w:t>
      </w:r>
      <w:r w:rsidRPr="007E4A52">
        <w:rPr>
          <w:rFonts w:ascii="Helvetica" w:hAnsi="Helvetica"/>
          <w:i/>
          <w:iCs/>
          <w:sz w:val="22"/>
          <w:szCs w:val="22"/>
          <w:lang w:val="en-US"/>
        </w:rPr>
        <w:t>TAP1</w:t>
      </w:r>
      <w:r w:rsidRPr="007E4A52">
        <w:rPr>
          <w:rFonts w:ascii="Helvetica" w:hAnsi="Helvetica"/>
          <w:sz w:val="22"/>
          <w:szCs w:val="22"/>
          <w:lang w:val="en-US"/>
        </w:rPr>
        <w:t xml:space="preserve"> in different cell populations by sex within human UVR-skin and human UVR-</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xml:space="preserve"> (D). </w:t>
      </w:r>
      <w:r w:rsidRPr="007E4A52">
        <w:rPr>
          <w:rFonts w:ascii="Helvetica" w:hAnsi="Helvetica"/>
          <w:sz w:val="22"/>
          <w:szCs w:val="22"/>
          <w:lang w:val="en-US"/>
        </w:rPr>
        <w:br w:type="page"/>
      </w:r>
    </w:p>
    <w:p w14:paraId="1C3C7E28" w14:textId="77777777" w:rsidR="00834906" w:rsidRPr="007E4A52" w:rsidRDefault="00834906" w:rsidP="00834906">
      <w:pPr>
        <w:rPr>
          <w:rFonts w:ascii="Helvetica" w:hAnsi="Helvetica"/>
          <w:b/>
          <w:lang w:val="en-US"/>
        </w:rPr>
      </w:pPr>
      <w:r w:rsidRPr="007E4A52">
        <w:rPr>
          <w:rFonts w:ascii="Helvetica" w:hAnsi="Helvetica"/>
          <w:b/>
          <w:lang w:val="en-US"/>
        </w:rPr>
        <w:lastRenderedPageBreak/>
        <w:t>Supplementary Tables</w:t>
      </w:r>
    </w:p>
    <w:p w14:paraId="57C092E8" w14:textId="77777777" w:rsidR="00834906" w:rsidRPr="007E4A52" w:rsidRDefault="00834906" w:rsidP="00834906">
      <w:pPr>
        <w:rPr>
          <w:rFonts w:ascii="Helvetica" w:hAnsi="Helvetica"/>
          <w:b/>
          <w:lang w:val="en-US"/>
        </w:rPr>
      </w:pPr>
    </w:p>
    <w:p w14:paraId="11D0A7F9" w14:textId="77777777" w:rsidR="00834906" w:rsidRPr="007E4A52" w:rsidRDefault="00834906" w:rsidP="00834906">
      <w:pPr>
        <w:spacing w:line="480" w:lineRule="auto"/>
        <w:rPr>
          <w:rFonts w:ascii="Helvetica" w:hAnsi="Helvetica" w:cs="Calibri"/>
          <w:bCs/>
          <w:color w:val="000000"/>
          <w:sz w:val="22"/>
          <w:szCs w:val="22"/>
          <w:lang w:val="en-US"/>
        </w:rPr>
      </w:pPr>
      <w:r w:rsidRPr="007E4A52">
        <w:rPr>
          <w:rFonts w:ascii="Helvetica" w:hAnsi="Helvetica"/>
          <w:b/>
          <w:sz w:val="22"/>
          <w:szCs w:val="22"/>
          <w:lang w:val="en-US"/>
        </w:rPr>
        <w:t xml:space="preserve">Supplementary Table 1. </w:t>
      </w:r>
      <w:r w:rsidRPr="007E4A52">
        <w:rPr>
          <w:rFonts w:ascii="Helvetica" w:hAnsi="Helvetica" w:cs="Calibri"/>
          <w:bCs/>
          <w:color w:val="000000"/>
          <w:sz w:val="22"/>
          <w:szCs w:val="22"/>
          <w:lang w:val="en-US"/>
        </w:rPr>
        <w:t xml:space="preserve">Clinical characteristics of 5 </w:t>
      </w:r>
      <w:proofErr w:type="spellStart"/>
      <w:r w:rsidRPr="007E4A52">
        <w:rPr>
          <w:rFonts w:ascii="Helvetica" w:hAnsi="Helvetica" w:cs="Calibri"/>
          <w:bCs/>
          <w:color w:val="000000"/>
          <w:sz w:val="22"/>
          <w:szCs w:val="22"/>
          <w:lang w:val="en-US"/>
        </w:rPr>
        <w:t>cSCC</w:t>
      </w:r>
      <w:proofErr w:type="spellEnd"/>
      <w:r w:rsidRPr="007E4A52">
        <w:rPr>
          <w:rFonts w:ascii="Helvetica" w:hAnsi="Helvetica" w:cs="Calibri"/>
          <w:bCs/>
          <w:color w:val="000000"/>
          <w:sz w:val="22"/>
          <w:szCs w:val="22"/>
          <w:lang w:val="en-US"/>
        </w:rPr>
        <w:t xml:space="preserve"> clinical cohorts by sex, age and immune status. </w:t>
      </w:r>
    </w:p>
    <w:p w14:paraId="0CC8BF32" w14:textId="77777777" w:rsidR="00834906" w:rsidRPr="007E4A52" w:rsidRDefault="00834906" w:rsidP="00834906">
      <w:pPr>
        <w:ind w:left="720"/>
        <w:rPr>
          <w:rFonts w:ascii="Arial" w:hAnsi="Arial" w:cs="Arial"/>
          <w:color w:val="000000"/>
          <w:sz w:val="22"/>
          <w:szCs w:val="22"/>
        </w:rPr>
      </w:pPr>
      <w:r w:rsidRPr="007E4A52">
        <w:rPr>
          <w:rFonts w:ascii="Helvetica" w:hAnsi="Helvetica" w:cs="Calibri"/>
          <w:bCs/>
          <w:color w:val="000000"/>
          <w:sz w:val="22"/>
          <w:szCs w:val="22"/>
          <w:lang w:val="en-US"/>
        </w:rPr>
        <w:t xml:space="preserve">Supplementary Table </w:t>
      </w:r>
      <w:r w:rsidRPr="007E4A52">
        <w:rPr>
          <w:rFonts w:ascii="Helvetica" w:hAnsi="Helvetica" w:cs="Calibri"/>
          <w:b/>
          <w:bCs/>
          <w:color w:val="000000"/>
          <w:sz w:val="22"/>
          <w:szCs w:val="22"/>
          <w:lang w:val="en-US"/>
        </w:rPr>
        <w:t>1A:</w:t>
      </w:r>
      <w:r w:rsidRPr="007E4A52">
        <w:rPr>
          <w:rFonts w:ascii="Helvetica" w:hAnsi="Helvetica" w:cs="Calibri"/>
          <w:bCs/>
          <w:color w:val="000000"/>
          <w:sz w:val="22"/>
          <w:szCs w:val="22"/>
          <w:lang w:val="en-US"/>
        </w:rPr>
        <w:t xml:space="preserve"> </w:t>
      </w:r>
      <w:r w:rsidRPr="007E4A52">
        <w:rPr>
          <w:rFonts w:ascii="Arial" w:hAnsi="Arial" w:cs="Arial"/>
          <w:color w:val="000000"/>
          <w:sz w:val="22"/>
          <w:szCs w:val="22"/>
        </w:rPr>
        <w:t xml:space="preserve">Primary </w:t>
      </w:r>
      <w:proofErr w:type="spellStart"/>
      <w:r w:rsidRPr="007E4A52">
        <w:rPr>
          <w:rFonts w:ascii="Arial" w:hAnsi="Arial" w:cs="Arial"/>
          <w:color w:val="000000"/>
          <w:sz w:val="22"/>
          <w:szCs w:val="22"/>
        </w:rPr>
        <w:t>cSCCs</w:t>
      </w:r>
      <w:proofErr w:type="spellEnd"/>
      <w:r w:rsidRPr="007E4A52">
        <w:rPr>
          <w:rFonts w:ascii="Arial" w:hAnsi="Arial" w:cs="Arial"/>
          <w:color w:val="000000"/>
          <w:sz w:val="22"/>
          <w:szCs w:val="22"/>
        </w:rPr>
        <w:t xml:space="preserve"> cohort A: Christie NHS Foundation Trust. Cohort B: Salford Royal NHS Foundation Trust. Cohort C: St. George's Hospital NHS Foundation Trust. </w:t>
      </w:r>
    </w:p>
    <w:p w14:paraId="0C5B9C70" w14:textId="77777777" w:rsidR="00834906" w:rsidRPr="007E4A52" w:rsidRDefault="00834906" w:rsidP="00834906">
      <w:pPr>
        <w:ind w:left="720"/>
        <w:rPr>
          <w:rFonts w:ascii="Arial" w:hAnsi="Arial" w:cs="Arial"/>
          <w:color w:val="000000"/>
          <w:sz w:val="22"/>
          <w:szCs w:val="22"/>
        </w:rPr>
      </w:pPr>
    </w:p>
    <w:p w14:paraId="318D1BCD" w14:textId="77777777" w:rsidR="00834906" w:rsidRPr="007E4A52" w:rsidRDefault="00834906" w:rsidP="00834906">
      <w:pPr>
        <w:ind w:left="720"/>
        <w:rPr>
          <w:rFonts w:ascii="Arial" w:hAnsi="Arial" w:cs="Arial"/>
          <w:color w:val="000000"/>
          <w:sz w:val="22"/>
          <w:szCs w:val="22"/>
        </w:rPr>
      </w:pPr>
      <w:r w:rsidRPr="007E4A52">
        <w:rPr>
          <w:rFonts w:ascii="Arial" w:hAnsi="Arial" w:cs="Arial"/>
          <w:color w:val="000000"/>
          <w:sz w:val="22"/>
          <w:szCs w:val="22"/>
        </w:rPr>
        <w:t xml:space="preserve">Supplementary Table </w:t>
      </w:r>
      <w:r w:rsidRPr="007E4A52">
        <w:rPr>
          <w:rFonts w:ascii="Arial" w:hAnsi="Arial" w:cs="Arial"/>
          <w:b/>
          <w:color w:val="000000"/>
          <w:sz w:val="22"/>
          <w:szCs w:val="22"/>
        </w:rPr>
        <w:t>1B</w:t>
      </w:r>
      <w:r w:rsidRPr="007E4A52">
        <w:rPr>
          <w:rFonts w:ascii="Arial" w:hAnsi="Arial" w:cs="Arial"/>
          <w:color w:val="000000"/>
          <w:sz w:val="22"/>
          <w:szCs w:val="22"/>
        </w:rPr>
        <w:t xml:space="preserve">: Metastatic </w:t>
      </w:r>
      <w:proofErr w:type="spellStart"/>
      <w:r w:rsidRPr="007E4A52">
        <w:rPr>
          <w:rFonts w:ascii="Arial" w:hAnsi="Arial" w:cs="Arial"/>
          <w:color w:val="000000"/>
          <w:sz w:val="22"/>
          <w:szCs w:val="22"/>
        </w:rPr>
        <w:t>cSCC</w:t>
      </w:r>
      <w:proofErr w:type="spellEnd"/>
      <w:r w:rsidRPr="007E4A52">
        <w:rPr>
          <w:rFonts w:ascii="Arial" w:hAnsi="Arial" w:cs="Arial"/>
          <w:color w:val="000000"/>
          <w:sz w:val="22"/>
          <w:szCs w:val="22"/>
        </w:rPr>
        <w:t xml:space="preserve"> to the lymph node, excised at Christie NHS Foundation Trust</w:t>
      </w:r>
    </w:p>
    <w:p w14:paraId="0D705A46" w14:textId="77777777" w:rsidR="00834906" w:rsidRPr="007E4A52" w:rsidRDefault="00834906" w:rsidP="00834906">
      <w:pPr>
        <w:ind w:left="720"/>
        <w:rPr>
          <w:rFonts w:ascii="Arial" w:hAnsi="Arial" w:cs="Arial"/>
          <w:color w:val="000000"/>
          <w:sz w:val="22"/>
          <w:szCs w:val="22"/>
        </w:rPr>
      </w:pPr>
    </w:p>
    <w:p w14:paraId="2A43D7E5" w14:textId="77777777" w:rsidR="00834906" w:rsidRPr="007E4A52" w:rsidRDefault="00834906" w:rsidP="00834906">
      <w:pPr>
        <w:ind w:left="720"/>
        <w:rPr>
          <w:rFonts w:ascii="Arial" w:hAnsi="Arial" w:cs="Arial"/>
          <w:color w:val="000000"/>
          <w:sz w:val="22"/>
          <w:szCs w:val="22"/>
        </w:rPr>
      </w:pPr>
      <w:r w:rsidRPr="007E4A52">
        <w:rPr>
          <w:rFonts w:ascii="Arial" w:hAnsi="Arial" w:cs="Arial"/>
          <w:color w:val="000000"/>
          <w:sz w:val="22"/>
          <w:szCs w:val="22"/>
        </w:rPr>
        <w:t xml:space="preserve">Supplementary Table </w:t>
      </w:r>
      <w:r w:rsidRPr="007E4A52">
        <w:rPr>
          <w:rFonts w:ascii="Arial" w:hAnsi="Arial" w:cs="Arial"/>
          <w:b/>
          <w:color w:val="000000"/>
          <w:sz w:val="22"/>
          <w:szCs w:val="22"/>
        </w:rPr>
        <w:t>1C</w:t>
      </w:r>
      <w:r w:rsidRPr="007E4A52">
        <w:rPr>
          <w:rFonts w:ascii="Arial" w:hAnsi="Arial" w:cs="Arial"/>
          <w:color w:val="000000"/>
          <w:sz w:val="22"/>
          <w:szCs w:val="22"/>
        </w:rPr>
        <w:t xml:space="preserve">: Advanced stage </w:t>
      </w:r>
      <w:proofErr w:type="spellStart"/>
      <w:r w:rsidRPr="007E4A52">
        <w:rPr>
          <w:rFonts w:ascii="Arial" w:hAnsi="Arial" w:cs="Arial"/>
          <w:color w:val="000000"/>
          <w:sz w:val="22"/>
          <w:szCs w:val="22"/>
        </w:rPr>
        <w:t>cSCC</w:t>
      </w:r>
      <w:proofErr w:type="spellEnd"/>
      <w:r w:rsidRPr="007E4A52">
        <w:rPr>
          <w:rFonts w:ascii="Arial" w:hAnsi="Arial" w:cs="Arial"/>
          <w:color w:val="000000"/>
          <w:sz w:val="22"/>
          <w:szCs w:val="22"/>
        </w:rPr>
        <w:t xml:space="preserve"> on systemic treatment, treated at La </w:t>
      </w:r>
      <w:proofErr w:type="spellStart"/>
      <w:r w:rsidRPr="007E4A52">
        <w:rPr>
          <w:rFonts w:ascii="Arial" w:hAnsi="Arial" w:cs="Arial"/>
          <w:color w:val="000000"/>
          <w:sz w:val="22"/>
          <w:szCs w:val="22"/>
        </w:rPr>
        <w:t>Timoône</w:t>
      </w:r>
      <w:proofErr w:type="spellEnd"/>
      <w:r w:rsidRPr="007E4A52">
        <w:rPr>
          <w:rFonts w:ascii="Arial" w:hAnsi="Arial" w:cs="Arial"/>
          <w:color w:val="000000"/>
          <w:sz w:val="22"/>
          <w:szCs w:val="22"/>
        </w:rPr>
        <w:t xml:space="preserve"> Aix Marseille University Hospital.</w:t>
      </w:r>
    </w:p>
    <w:p w14:paraId="07BE22F8" w14:textId="77777777" w:rsidR="00834906" w:rsidRPr="007E4A52" w:rsidRDefault="00834906" w:rsidP="00834906">
      <w:pPr>
        <w:spacing w:line="480" w:lineRule="auto"/>
        <w:rPr>
          <w:rFonts w:ascii="Helvetica" w:hAnsi="Helvetica"/>
          <w:b/>
          <w:sz w:val="22"/>
          <w:szCs w:val="22"/>
          <w:lang w:val="en-US"/>
        </w:rPr>
      </w:pPr>
    </w:p>
    <w:p w14:paraId="24502F1B" w14:textId="77777777" w:rsidR="00834906" w:rsidRPr="007E4A52" w:rsidRDefault="00834906" w:rsidP="00834906">
      <w:pPr>
        <w:spacing w:line="480" w:lineRule="auto"/>
        <w:rPr>
          <w:rFonts w:ascii="Helvetica" w:hAnsi="Helvetica" w:cs="Calibri"/>
          <w:bCs/>
          <w:color w:val="000000"/>
          <w:sz w:val="22"/>
          <w:szCs w:val="22"/>
          <w:lang w:val="en-US"/>
        </w:rPr>
      </w:pPr>
      <w:r w:rsidRPr="007E4A52">
        <w:rPr>
          <w:rFonts w:ascii="Helvetica" w:hAnsi="Helvetica"/>
          <w:b/>
          <w:sz w:val="22"/>
          <w:szCs w:val="22"/>
          <w:lang w:val="en-US"/>
        </w:rPr>
        <w:t xml:space="preserve">Supplementary </w:t>
      </w:r>
      <w:r w:rsidRPr="007E4A52">
        <w:rPr>
          <w:rFonts w:ascii="Helvetica" w:hAnsi="Helvetica" w:cs="Calibri"/>
          <w:b/>
          <w:bCs/>
          <w:color w:val="000000"/>
          <w:sz w:val="22"/>
          <w:szCs w:val="22"/>
          <w:lang w:val="en-US"/>
        </w:rPr>
        <w:t xml:space="preserve">Table 2.  </w:t>
      </w:r>
      <w:r w:rsidRPr="007E4A52">
        <w:rPr>
          <w:rFonts w:ascii="Helvetica" w:hAnsi="Helvetica" w:cs="Calibri"/>
          <w:bCs/>
          <w:color w:val="000000"/>
          <w:sz w:val="22"/>
          <w:szCs w:val="22"/>
          <w:lang w:val="en-US"/>
        </w:rPr>
        <w:t>Mutations in tumors and DMBA/TPA treated skin</w:t>
      </w:r>
    </w:p>
    <w:p w14:paraId="332BDC53" w14:textId="77777777" w:rsidR="00834906" w:rsidRPr="007E4A52" w:rsidRDefault="00834906" w:rsidP="00834906">
      <w:pPr>
        <w:spacing w:line="480" w:lineRule="auto"/>
        <w:rPr>
          <w:rFonts w:ascii="Helvetica" w:hAnsi="Helvetica"/>
          <w:b/>
          <w:sz w:val="22"/>
          <w:szCs w:val="22"/>
          <w:lang w:val="en-US"/>
        </w:rPr>
      </w:pPr>
    </w:p>
    <w:p w14:paraId="34B03ADD" w14:textId="77777777" w:rsidR="00834906" w:rsidRPr="007E4A52" w:rsidRDefault="00834906" w:rsidP="00834906">
      <w:pPr>
        <w:spacing w:line="480" w:lineRule="auto"/>
        <w:rPr>
          <w:rFonts w:ascii="Helvetica" w:hAnsi="Helvetica" w:cs="Calibri"/>
          <w:bCs/>
          <w:color w:val="000000"/>
          <w:sz w:val="22"/>
          <w:szCs w:val="22"/>
          <w:lang w:val="en-US"/>
        </w:rPr>
      </w:pPr>
      <w:r w:rsidRPr="007E4A52">
        <w:rPr>
          <w:rFonts w:ascii="Helvetica" w:hAnsi="Helvetica"/>
          <w:b/>
          <w:sz w:val="22"/>
          <w:szCs w:val="22"/>
          <w:lang w:val="en-US"/>
        </w:rPr>
        <w:t xml:space="preserve">Supplementary </w:t>
      </w:r>
      <w:r w:rsidRPr="007E4A52">
        <w:rPr>
          <w:rFonts w:ascii="Helvetica" w:hAnsi="Helvetica" w:cs="Calibri"/>
          <w:b/>
          <w:bCs/>
          <w:color w:val="000000"/>
          <w:sz w:val="22"/>
          <w:szCs w:val="22"/>
          <w:lang w:val="en-US"/>
        </w:rPr>
        <w:t xml:space="preserve">Table 3. </w:t>
      </w:r>
      <w:r w:rsidRPr="007E4A52">
        <w:rPr>
          <w:rFonts w:ascii="Helvetica" w:hAnsi="Helvetica" w:cs="Calibri"/>
          <w:bCs/>
          <w:color w:val="000000"/>
          <w:sz w:val="22"/>
          <w:szCs w:val="22"/>
          <w:lang w:val="en-US"/>
        </w:rPr>
        <w:t>Differentially expressed genes by sex (A) in normal skin and (B) in DMBA/TPA treated skin.</w:t>
      </w:r>
    </w:p>
    <w:p w14:paraId="67CEFA89" w14:textId="77777777" w:rsidR="00834906" w:rsidRPr="007E4A52" w:rsidRDefault="00834906" w:rsidP="00834906">
      <w:pPr>
        <w:spacing w:line="480" w:lineRule="auto"/>
        <w:rPr>
          <w:rFonts w:ascii="Helvetica" w:hAnsi="Helvetica" w:cs="Calibri"/>
          <w:bCs/>
          <w:color w:val="000000"/>
          <w:sz w:val="22"/>
          <w:szCs w:val="22"/>
          <w:lang w:val="en-US"/>
        </w:rPr>
      </w:pPr>
    </w:p>
    <w:p w14:paraId="0A6E5A33" w14:textId="5BD056CD" w:rsidR="00834906" w:rsidRPr="007E4A52" w:rsidRDefault="00834906" w:rsidP="00834906">
      <w:pPr>
        <w:spacing w:line="480" w:lineRule="auto"/>
        <w:rPr>
          <w:rFonts w:ascii="Helvetica" w:hAnsi="Helvetica" w:cs="Calibri"/>
          <w:bCs/>
          <w:color w:val="000000"/>
          <w:sz w:val="22"/>
          <w:szCs w:val="22"/>
          <w:lang w:val="en-US"/>
        </w:rPr>
      </w:pPr>
      <w:r w:rsidRPr="007E4A52">
        <w:rPr>
          <w:rFonts w:ascii="Helvetica" w:hAnsi="Helvetica"/>
          <w:b/>
          <w:sz w:val="22"/>
          <w:szCs w:val="22"/>
          <w:lang w:val="en-US"/>
        </w:rPr>
        <w:t xml:space="preserve">Supplementary </w:t>
      </w:r>
      <w:r w:rsidRPr="007E4A52">
        <w:rPr>
          <w:rFonts w:ascii="Helvetica" w:hAnsi="Helvetica" w:cs="Calibri"/>
          <w:b/>
          <w:bCs/>
          <w:color w:val="000000"/>
          <w:sz w:val="22"/>
          <w:szCs w:val="22"/>
          <w:lang w:val="en-US"/>
        </w:rPr>
        <w:t xml:space="preserve">Table 4.  </w:t>
      </w:r>
      <w:r w:rsidRPr="007E4A52">
        <w:rPr>
          <w:rFonts w:ascii="Helvetica" w:hAnsi="Helvetica" w:cs="Calibri"/>
          <w:bCs/>
          <w:color w:val="000000"/>
          <w:sz w:val="22"/>
          <w:szCs w:val="22"/>
          <w:lang w:val="en-US"/>
        </w:rPr>
        <w:t xml:space="preserve">Histology of primary </w:t>
      </w:r>
      <w:proofErr w:type="spellStart"/>
      <w:r w:rsidRPr="007E4A52">
        <w:rPr>
          <w:rFonts w:ascii="Helvetica" w:hAnsi="Helvetica" w:cs="Calibri"/>
          <w:bCs/>
          <w:color w:val="000000"/>
          <w:sz w:val="22"/>
          <w:szCs w:val="22"/>
          <w:lang w:val="en-US"/>
        </w:rPr>
        <w:t>cSCC</w:t>
      </w:r>
      <w:proofErr w:type="spellEnd"/>
      <w:r w:rsidRPr="007E4A52">
        <w:rPr>
          <w:rFonts w:ascii="Helvetica" w:hAnsi="Helvetica" w:cs="Calibri"/>
          <w:bCs/>
          <w:color w:val="000000"/>
          <w:sz w:val="22"/>
          <w:szCs w:val="22"/>
          <w:lang w:val="en-US"/>
        </w:rPr>
        <w:t xml:space="preserve"> and rate of metastasis by sex in </w:t>
      </w:r>
      <w:r w:rsidRPr="007E4A52">
        <w:rPr>
          <w:rFonts w:ascii="Helvetica" w:hAnsi="Helvetica" w:cs="Calibri"/>
          <w:bCs/>
          <w:i/>
          <w:color w:val="000000"/>
          <w:sz w:val="22"/>
          <w:szCs w:val="22"/>
          <w:lang w:val="en-US"/>
        </w:rPr>
        <w:t>Cdkn2a</w:t>
      </w:r>
      <w:r w:rsidRPr="007E4A52">
        <w:rPr>
          <w:rFonts w:ascii="Helvetica" w:hAnsi="Helvetica" w:cs="Calibri"/>
          <w:bCs/>
          <w:color w:val="000000"/>
          <w:sz w:val="22"/>
          <w:szCs w:val="22"/>
          <w:lang w:val="en-US"/>
        </w:rPr>
        <w:t xml:space="preserve"> wild type and </w:t>
      </w:r>
      <w:r w:rsidRPr="007E4A52">
        <w:rPr>
          <w:rFonts w:ascii="Helvetica" w:hAnsi="Helvetica" w:cs="Calibri"/>
          <w:bCs/>
          <w:i/>
          <w:color w:val="000000"/>
          <w:sz w:val="22"/>
          <w:szCs w:val="22"/>
          <w:lang w:val="en-US"/>
        </w:rPr>
        <w:t>Cdkn2a</w:t>
      </w:r>
      <w:r w:rsidRPr="007E4A52">
        <w:rPr>
          <w:rFonts w:ascii="Helvetica" w:hAnsi="Helvetica" w:cs="Calibri"/>
          <w:bCs/>
          <w:color w:val="000000"/>
          <w:sz w:val="22"/>
          <w:szCs w:val="22"/>
          <w:lang w:val="en-US"/>
        </w:rPr>
        <w:t xml:space="preserve">  </w:t>
      </w:r>
      <w:proofErr w:type="spellStart"/>
      <w:r w:rsidRPr="007E4A52">
        <w:rPr>
          <w:rFonts w:ascii="Helvetica" w:hAnsi="Helvetica" w:cs="Calibri"/>
          <w:bCs/>
          <w:color w:val="000000"/>
          <w:sz w:val="22"/>
          <w:szCs w:val="22"/>
          <w:lang w:val="en-US"/>
        </w:rPr>
        <w:t>fl</w:t>
      </w:r>
      <w:proofErr w:type="spellEnd"/>
      <w:r w:rsidRPr="007E4A52">
        <w:rPr>
          <w:rFonts w:ascii="Helvetica" w:hAnsi="Helvetica" w:cs="Calibri"/>
          <w:bCs/>
          <w:color w:val="000000"/>
          <w:sz w:val="22"/>
          <w:szCs w:val="22"/>
          <w:lang w:val="en-US"/>
        </w:rPr>
        <w:t>/</w:t>
      </w:r>
      <w:proofErr w:type="spellStart"/>
      <w:r w:rsidRPr="007E4A52">
        <w:rPr>
          <w:rFonts w:ascii="Helvetica" w:hAnsi="Helvetica" w:cs="Calibri"/>
          <w:bCs/>
          <w:color w:val="000000"/>
          <w:sz w:val="22"/>
          <w:szCs w:val="22"/>
          <w:lang w:val="en-US"/>
        </w:rPr>
        <w:t>fl</w:t>
      </w:r>
      <w:proofErr w:type="spellEnd"/>
      <w:r w:rsidRPr="007E4A52">
        <w:rPr>
          <w:rFonts w:ascii="Helvetica" w:hAnsi="Helvetica" w:cs="Calibri"/>
          <w:bCs/>
          <w:color w:val="000000"/>
          <w:sz w:val="22"/>
          <w:szCs w:val="22"/>
          <w:lang w:val="en-US"/>
        </w:rPr>
        <w:t xml:space="preserve"> male and female mice</w:t>
      </w:r>
      <w:r w:rsidRPr="007E4A52">
        <w:rPr>
          <w:rFonts w:ascii="Helvetica" w:hAnsi="Helvetica" w:cs="Calibri"/>
          <w:bCs/>
          <w:color w:val="000000"/>
          <w:sz w:val="22"/>
          <w:szCs w:val="22"/>
          <w:lang w:val="en-US"/>
        </w:rPr>
        <w:fldChar w:fldCharType="begin" w:fldLock="1"/>
      </w:r>
      <w:r w:rsidR="00B22290" w:rsidRPr="007E4A52">
        <w:rPr>
          <w:rFonts w:ascii="Helvetica" w:hAnsi="Helvetica" w:cs="Calibri"/>
          <w:bCs/>
          <w:color w:val="000000"/>
          <w:sz w:val="22"/>
          <w:szCs w:val="22"/>
          <w:lang w:val="en-US"/>
        </w:rPr>
        <w:instrText>ADDIN CSL_CITATION {"citationItems":[{"id":"ITEM-1","itemData":{"DOI":"10.1002/path.4770","ISSN":"1096-9896 (Electronic)","PMID":"27447534","abstract":"p53 (TP53) is the most frequently mutated gene in squamous cell carcinomas (SCCs) of  the skin and head and neck. Certain p53 mutations are oncogenic and promote invasion and metastasis in SCCs. However, it is unclear how the oncogenic function of mutant p53 is modulated by other molecular alterations that co-exist in SCCs. Here, we show that deletion of the p53 gene and activation of an endogenous p53(R172H) gain-of-function mutation in the skin induce carcinomas with similar kinetics and penetrance. Deletion of p53 induced primarily well-differentiated SCCs. However, most of the tumours induced by p53(R172H) were poorly differentiated SCCs, the only metastatic tumours in this model. These tumours expressed higher levels of cyclin D1 than the well-differentiated SCCs and spindle carcinomas that developed in these mice. Unexpectedly, metastasis was not observed in mice that developed spindle carcinomas, which expressed high levels of the tumour suppressors p16(Ink4a) and p19(Arf) , encoded by Cdkn2a, a gene frequently deleted in human SCCs. Remarkably, deletion of the Cdkn2a gene in p53(R172H) -induced SCCs promoted a dramatic increase in metastasis rates and a shorter survival in mice that developed these tumours, compared with those observed in mice with tumours in which Cdkn2a was deleted in the presence of a p53 loss-of-function mutation or wild-type p53. Accordingly, the survival of patients with head and neck SCCs bearing co-occurring high-risk p53 mutations and CDKN2A homozygous deletions was much shorter than that of patients with tumours in which high-risk p53 mutations did not contain CDKN2A homozygous deletions, or that of patients with tumours in which homozygous CDKN2A deletions co-existed with either low-risk p53 mutations or potential loss-of-function mutations in p53. These findings genetically identify a population of SCC patients with worst outcomes and will help to predict outcomes according to the p53 status and alterations in CDKN2A. Copyright © 2016 Pathological Society of Great Britain and Ireland. Published by John Wiley &amp; Sons, Ltd.","author":[{"dropping-particle":"","family":"Li","given":"Zhongyou","non-dropping-particle":"","parse-names":false,"suffix":""},{"dropping-particle":"","family":"Gonzalez","given":"Cassandra L","non-dropping-particle":"","parse-names":false,"suffix":""},{"dropping-particle":"","family":"Wang","given":"Bingbing","non-dropping-particle":"","parse-names":false,"suffix":""},{"dropping-particle":"","family":"Zhang","given":"Yuanyuan","non-dropping-particle":"","parse-names":false,"suffix":""},{"dropping-particle":"","family":"Mejia","given":"Olga","non-dropping-particle":"","parse-names":false,"suffix":""},{"dropping-particle":"","family":"Katsonis","given":"Panagiotis","non-dropping-particle":"","parse-names":false,"suffix":""},{"dropping-particle":"","family":"Lichtarge","given":"Olivier","non-dropping-particle":"","parse-names":false,"suffix":""},{"dropping-particle":"","family":"Myers","given":"Jeffrey N","non-dropping-particle":"","parse-names":false,"suffix":""},{"dropping-particle":"","family":"El-Naggar","given":"Adel K","non-dropping-particle":"","parse-names":false,"suffix":""},{"dropping-particle":"","family":"Caulin","given":"Carlos","non-dropping-particle":"","parse-names":false,"suffix":""}],"container-title":"The Journal of pathology","id":"ITEM-1","issue":"2","issued":{"date-parts":[["2016","10"]]},"language":"eng","page":"224-234","publisher-place":"England","title":"Cdkn2a suppresses metastasis in squamous cell carcinomas induced by the  gain-of-function mutant p53(R172H).","type":"article-journal","volume":"240"},"uris":["http://www.mendeley.com/documents/?uuid=3dba2314-093d-4ddb-99b5-40f2f0b33fd6"]}],"mendeley":{"formattedCitation":"(2)","plainTextFormattedCitation":"(2)","previouslyFormattedCitation":"(Li et al. 2016)"},"properties":{"noteIndex":0},"schema":"https://github.com/citation-style-language/schema/raw/master/csl-citation.json"}</w:instrText>
      </w:r>
      <w:r w:rsidRPr="007E4A52">
        <w:rPr>
          <w:rFonts w:ascii="Helvetica" w:hAnsi="Helvetica" w:cs="Calibri"/>
          <w:bCs/>
          <w:color w:val="000000"/>
          <w:sz w:val="22"/>
          <w:szCs w:val="22"/>
          <w:lang w:val="en-US"/>
        </w:rPr>
        <w:fldChar w:fldCharType="separate"/>
      </w:r>
      <w:r w:rsidR="00B22290" w:rsidRPr="007E4A52">
        <w:rPr>
          <w:rFonts w:ascii="Helvetica" w:hAnsi="Helvetica" w:cs="Calibri"/>
          <w:bCs/>
          <w:noProof/>
          <w:color w:val="000000"/>
          <w:sz w:val="22"/>
          <w:szCs w:val="22"/>
          <w:lang w:val="en-US"/>
        </w:rPr>
        <w:t>(2)</w:t>
      </w:r>
      <w:r w:rsidRPr="007E4A52">
        <w:rPr>
          <w:rFonts w:ascii="Helvetica" w:hAnsi="Helvetica" w:cs="Calibri"/>
          <w:bCs/>
          <w:color w:val="000000"/>
          <w:sz w:val="22"/>
          <w:szCs w:val="22"/>
          <w:lang w:val="en-US"/>
        </w:rPr>
        <w:fldChar w:fldCharType="end"/>
      </w:r>
      <w:r w:rsidRPr="007E4A52">
        <w:rPr>
          <w:rFonts w:ascii="Helvetica" w:hAnsi="Helvetica" w:cs="Calibri"/>
          <w:bCs/>
          <w:color w:val="000000"/>
          <w:sz w:val="22"/>
          <w:szCs w:val="22"/>
          <w:lang w:val="en-US"/>
        </w:rPr>
        <w:t>.</w:t>
      </w:r>
    </w:p>
    <w:p w14:paraId="468716BE" w14:textId="77777777" w:rsidR="00834906" w:rsidRPr="007E4A52" w:rsidRDefault="00834906" w:rsidP="00834906">
      <w:pPr>
        <w:spacing w:line="480" w:lineRule="auto"/>
        <w:rPr>
          <w:rFonts w:ascii="Helvetica" w:hAnsi="Helvetica" w:cs="Calibri"/>
          <w:bCs/>
          <w:color w:val="000000"/>
          <w:sz w:val="22"/>
          <w:szCs w:val="22"/>
          <w:lang w:val="en-US"/>
        </w:rPr>
      </w:pPr>
    </w:p>
    <w:p w14:paraId="4780440D" w14:textId="77777777" w:rsidR="00834906" w:rsidRPr="007E4A52" w:rsidRDefault="00834906" w:rsidP="00834906">
      <w:pPr>
        <w:spacing w:line="480" w:lineRule="auto"/>
        <w:rPr>
          <w:rFonts w:ascii="Helvetica" w:hAnsi="Helvetica" w:cs="Calibri"/>
          <w:bCs/>
          <w:color w:val="000000"/>
          <w:sz w:val="22"/>
          <w:szCs w:val="22"/>
          <w:lang w:val="en-US"/>
        </w:rPr>
      </w:pPr>
      <w:r w:rsidRPr="007E4A52">
        <w:rPr>
          <w:rFonts w:ascii="Helvetica" w:hAnsi="Helvetica"/>
          <w:b/>
          <w:sz w:val="22"/>
          <w:szCs w:val="22"/>
          <w:lang w:val="en-US"/>
        </w:rPr>
        <w:t xml:space="preserve">Supplementary </w:t>
      </w:r>
      <w:r w:rsidRPr="007E4A52">
        <w:rPr>
          <w:rFonts w:ascii="Helvetica" w:hAnsi="Helvetica" w:cs="Calibri"/>
          <w:b/>
          <w:bCs/>
          <w:color w:val="000000"/>
          <w:sz w:val="22"/>
          <w:szCs w:val="22"/>
          <w:lang w:val="en-US"/>
        </w:rPr>
        <w:t xml:space="preserve">Table 5. </w:t>
      </w:r>
      <w:r w:rsidRPr="007E4A52">
        <w:rPr>
          <w:rFonts w:ascii="Helvetica" w:hAnsi="Helvetica" w:cs="Calibri"/>
          <w:bCs/>
          <w:color w:val="000000"/>
          <w:sz w:val="22"/>
          <w:szCs w:val="22"/>
          <w:lang w:val="en-US"/>
        </w:rPr>
        <w:t>Genes differentially expressed by sex in (A) normal tumor- adjacent basal human keratinocytes; (B) in normal tumor-adjacent cycling human keratinocytes; (C) in normal tumor-adjacent differentiated keratinocytes.</w:t>
      </w:r>
    </w:p>
    <w:p w14:paraId="1EBF7613" w14:textId="77777777" w:rsidR="00834906" w:rsidRPr="007E4A52" w:rsidRDefault="00834906" w:rsidP="00834906">
      <w:pPr>
        <w:spacing w:line="480" w:lineRule="auto"/>
        <w:rPr>
          <w:rFonts w:ascii="Helvetica" w:hAnsi="Helvetica" w:cs="Calibri"/>
          <w:bCs/>
          <w:color w:val="000000"/>
          <w:sz w:val="22"/>
          <w:szCs w:val="22"/>
          <w:lang w:val="en-US"/>
        </w:rPr>
      </w:pPr>
    </w:p>
    <w:p w14:paraId="32217817" w14:textId="77777777" w:rsidR="00834906" w:rsidRPr="007E4A52" w:rsidRDefault="00834906" w:rsidP="00834906">
      <w:pPr>
        <w:spacing w:line="480" w:lineRule="auto"/>
        <w:rPr>
          <w:rFonts w:ascii="Helvetica" w:hAnsi="Helvetica" w:cs="Calibri"/>
          <w:b/>
          <w:bCs/>
          <w:color w:val="000000"/>
          <w:sz w:val="22"/>
          <w:szCs w:val="22"/>
          <w:lang w:val="en-US"/>
        </w:rPr>
      </w:pPr>
      <w:r w:rsidRPr="007E4A52">
        <w:rPr>
          <w:rFonts w:ascii="Helvetica" w:hAnsi="Helvetica"/>
          <w:b/>
          <w:sz w:val="22"/>
          <w:szCs w:val="22"/>
          <w:lang w:val="en-US"/>
        </w:rPr>
        <w:t xml:space="preserve">Supplementary </w:t>
      </w:r>
      <w:r w:rsidRPr="007E4A52">
        <w:rPr>
          <w:rFonts w:ascii="Helvetica" w:hAnsi="Helvetica" w:cs="Calibri"/>
          <w:b/>
          <w:bCs/>
          <w:color w:val="000000"/>
          <w:sz w:val="22"/>
          <w:szCs w:val="22"/>
          <w:lang w:val="en-US"/>
        </w:rPr>
        <w:t xml:space="preserve">Table 6. Clinical data by sex and immune status information in the clinical cohorts. </w:t>
      </w:r>
    </w:p>
    <w:p w14:paraId="4908E53E" w14:textId="77777777" w:rsidR="00834906" w:rsidRPr="007E4A52" w:rsidRDefault="00834906" w:rsidP="00834906">
      <w:pPr>
        <w:ind w:left="720"/>
        <w:rPr>
          <w:rFonts w:ascii="Helvetica" w:hAnsi="Helvetica" w:cs="Calibri"/>
          <w:bCs/>
          <w:color w:val="000000"/>
          <w:sz w:val="22"/>
          <w:szCs w:val="22"/>
          <w:lang w:val="en-US"/>
        </w:rPr>
      </w:pPr>
      <w:r w:rsidRPr="007E4A52">
        <w:rPr>
          <w:rFonts w:ascii="Helvetica" w:hAnsi="Helvetica" w:cs="Calibri"/>
          <w:bCs/>
          <w:color w:val="000000"/>
          <w:sz w:val="22"/>
          <w:szCs w:val="22"/>
          <w:lang w:val="en-US"/>
        </w:rPr>
        <w:t xml:space="preserve">Supplementary Table 6A: Clinical data of immunosuppressed patients with primary </w:t>
      </w:r>
      <w:proofErr w:type="spellStart"/>
      <w:r w:rsidRPr="007E4A52">
        <w:rPr>
          <w:rFonts w:ascii="Helvetica" w:hAnsi="Helvetica" w:cs="Calibri"/>
          <w:bCs/>
          <w:color w:val="000000"/>
          <w:sz w:val="22"/>
          <w:szCs w:val="22"/>
          <w:lang w:val="en-US"/>
        </w:rPr>
        <w:t>cSCC</w:t>
      </w:r>
      <w:proofErr w:type="spellEnd"/>
      <w:r w:rsidRPr="007E4A52">
        <w:rPr>
          <w:rFonts w:ascii="Helvetica" w:hAnsi="Helvetica" w:cs="Calibri"/>
          <w:bCs/>
          <w:color w:val="000000"/>
          <w:sz w:val="22"/>
          <w:szCs w:val="22"/>
          <w:lang w:val="en-US"/>
        </w:rPr>
        <w:t xml:space="preserve"> in the </w:t>
      </w:r>
      <w:proofErr w:type="spellStart"/>
      <w:r w:rsidRPr="007E4A52">
        <w:rPr>
          <w:rFonts w:ascii="Helvetica" w:hAnsi="Helvetica" w:cs="Calibri"/>
          <w:bCs/>
          <w:color w:val="000000"/>
          <w:sz w:val="22"/>
          <w:szCs w:val="22"/>
          <w:lang w:val="en-US"/>
        </w:rPr>
        <w:t>Salford</w:t>
      </w:r>
      <w:proofErr w:type="spellEnd"/>
      <w:r w:rsidRPr="007E4A52">
        <w:rPr>
          <w:rFonts w:ascii="Helvetica" w:hAnsi="Helvetica" w:cs="Calibri"/>
          <w:bCs/>
          <w:color w:val="000000"/>
          <w:sz w:val="22"/>
          <w:szCs w:val="22"/>
          <w:lang w:val="en-US"/>
        </w:rPr>
        <w:t>, Christie and St George's NHS Foundation Trust cohorts</w:t>
      </w:r>
    </w:p>
    <w:p w14:paraId="754F6206" w14:textId="77777777" w:rsidR="00834906" w:rsidRPr="007E4A52" w:rsidRDefault="00834906" w:rsidP="00834906">
      <w:pPr>
        <w:ind w:left="720"/>
        <w:rPr>
          <w:rFonts w:ascii="Helvetica" w:hAnsi="Helvetica" w:cs="Calibri"/>
          <w:bCs/>
          <w:color w:val="000000"/>
          <w:sz w:val="22"/>
          <w:szCs w:val="22"/>
          <w:lang w:val="en-US"/>
        </w:rPr>
      </w:pPr>
    </w:p>
    <w:p w14:paraId="01706C9B" w14:textId="77777777" w:rsidR="00834906" w:rsidRPr="007E4A52" w:rsidRDefault="00834906" w:rsidP="00834906">
      <w:pPr>
        <w:ind w:left="720"/>
        <w:rPr>
          <w:rFonts w:ascii="Helvetica" w:hAnsi="Helvetica" w:cs="Calibri"/>
          <w:bCs/>
          <w:color w:val="000000"/>
          <w:sz w:val="22"/>
          <w:szCs w:val="22"/>
          <w:lang w:val="en-US"/>
        </w:rPr>
      </w:pPr>
      <w:r w:rsidRPr="007E4A52">
        <w:rPr>
          <w:rFonts w:ascii="Helvetica" w:hAnsi="Helvetica" w:cs="Calibri"/>
          <w:bCs/>
          <w:color w:val="000000"/>
          <w:sz w:val="22"/>
          <w:szCs w:val="22"/>
          <w:lang w:val="en-US"/>
        </w:rPr>
        <w:t xml:space="preserve">Supplementary Table 6B: Clinical data immunocompetent and immunosuppressed patients with metastatic </w:t>
      </w:r>
      <w:proofErr w:type="spellStart"/>
      <w:r w:rsidRPr="007E4A52">
        <w:rPr>
          <w:rFonts w:ascii="Helvetica" w:hAnsi="Helvetica" w:cs="Calibri"/>
          <w:bCs/>
          <w:color w:val="000000"/>
          <w:sz w:val="22"/>
          <w:szCs w:val="22"/>
          <w:lang w:val="en-US"/>
        </w:rPr>
        <w:t>cSCC</w:t>
      </w:r>
      <w:proofErr w:type="spellEnd"/>
      <w:r w:rsidRPr="007E4A52">
        <w:rPr>
          <w:rFonts w:ascii="Helvetica" w:hAnsi="Helvetica" w:cs="Calibri"/>
          <w:bCs/>
          <w:color w:val="000000"/>
          <w:sz w:val="22"/>
          <w:szCs w:val="22"/>
          <w:lang w:val="en-US"/>
        </w:rPr>
        <w:t xml:space="preserve"> to the lymph nodes, Christie NHS Foundation Trust</w:t>
      </w:r>
    </w:p>
    <w:p w14:paraId="5103237D" w14:textId="77777777" w:rsidR="00834906" w:rsidRPr="007E4A52" w:rsidRDefault="00834906" w:rsidP="00834906">
      <w:pPr>
        <w:ind w:left="720"/>
        <w:rPr>
          <w:rFonts w:ascii="Helvetica" w:hAnsi="Helvetica" w:cs="Calibri"/>
          <w:bCs/>
          <w:color w:val="000000"/>
          <w:sz w:val="22"/>
          <w:szCs w:val="22"/>
          <w:lang w:val="en-US"/>
        </w:rPr>
      </w:pPr>
    </w:p>
    <w:p w14:paraId="0075608F" w14:textId="77777777" w:rsidR="00834906" w:rsidRPr="007E4A52" w:rsidRDefault="00834906" w:rsidP="00834906">
      <w:pPr>
        <w:ind w:left="720"/>
        <w:rPr>
          <w:rFonts w:ascii="Helvetica" w:hAnsi="Helvetica" w:cs="Calibri"/>
          <w:bCs/>
          <w:color w:val="000000"/>
          <w:sz w:val="22"/>
          <w:szCs w:val="22"/>
          <w:lang w:val="en-US"/>
        </w:rPr>
      </w:pPr>
      <w:r w:rsidRPr="007E4A52">
        <w:rPr>
          <w:rFonts w:ascii="Helvetica" w:hAnsi="Helvetica" w:cs="Calibri"/>
          <w:bCs/>
          <w:color w:val="000000"/>
          <w:sz w:val="22"/>
          <w:szCs w:val="22"/>
          <w:lang w:val="en-US"/>
        </w:rPr>
        <w:lastRenderedPageBreak/>
        <w:t xml:space="preserve">Supplementary Table 6C: Clinical data in immunocompetent and immunosuppressed patients with advanced stage </w:t>
      </w:r>
      <w:proofErr w:type="spellStart"/>
      <w:r w:rsidRPr="007E4A52">
        <w:rPr>
          <w:rFonts w:ascii="Helvetica" w:hAnsi="Helvetica" w:cs="Calibri"/>
          <w:bCs/>
          <w:color w:val="000000"/>
          <w:sz w:val="22"/>
          <w:szCs w:val="22"/>
          <w:lang w:val="en-US"/>
        </w:rPr>
        <w:t>cSCC</w:t>
      </w:r>
      <w:proofErr w:type="spellEnd"/>
      <w:r w:rsidRPr="007E4A52">
        <w:rPr>
          <w:rFonts w:ascii="Helvetica" w:hAnsi="Helvetica" w:cs="Calibri"/>
          <w:bCs/>
          <w:color w:val="000000"/>
          <w:sz w:val="22"/>
          <w:szCs w:val="22"/>
          <w:lang w:val="en-US"/>
        </w:rPr>
        <w:t xml:space="preserve">, La </w:t>
      </w:r>
      <w:proofErr w:type="spellStart"/>
      <w:r w:rsidRPr="007E4A52">
        <w:rPr>
          <w:rFonts w:ascii="Helvetica" w:hAnsi="Helvetica" w:cs="Calibri"/>
          <w:bCs/>
          <w:color w:val="000000"/>
          <w:sz w:val="22"/>
          <w:szCs w:val="22"/>
          <w:lang w:val="en-US"/>
        </w:rPr>
        <w:t>Timône</w:t>
      </w:r>
      <w:proofErr w:type="spellEnd"/>
      <w:r w:rsidRPr="007E4A52">
        <w:rPr>
          <w:rFonts w:ascii="Helvetica" w:hAnsi="Helvetica" w:cs="Calibri"/>
          <w:bCs/>
          <w:color w:val="000000"/>
          <w:sz w:val="22"/>
          <w:szCs w:val="22"/>
          <w:lang w:val="en-US"/>
        </w:rPr>
        <w:t xml:space="preserve"> University Hospitals, Marseille, France</w:t>
      </w:r>
    </w:p>
    <w:p w14:paraId="32060D57" w14:textId="77777777" w:rsidR="00834906" w:rsidRPr="007E4A52" w:rsidRDefault="00834906" w:rsidP="00834906">
      <w:pPr>
        <w:rPr>
          <w:rFonts w:ascii="Helvetica" w:hAnsi="Helvetica" w:cs="Calibri"/>
          <w:bCs/>
          <w:color w:val="000000"/>
          <w:sz w:val="22"/>
          <w:szCs w:val="22"/>
          <w:lang w:val="en-US"/>
        </w:rPr>
      </w:pPr>
      <w:r w:rsidRPr="007E4A52">
        <w:rPr>
          <w:rFonts w:ascii="Helvetica" w:hAnsi="Helvetica" w:cs="Calibri"/>
          <w:bCs/>
          <w:color w:val="000000"/>
          <w:sz w:val="22"/>
          <w:szCs w:val="22"/>
          <w:lang w:val="en-US"/>
        </w:rPr>
        <w:br w:type="page"/>
      </w:r>
    </w:p>
    <w:p w14:paraId="2D3A8FB6" w14:textId="77777777" w:rsidR="00834906" w:rsidRPr="007E4A52" w:rsidRDefault="00834906" w:rsidP="00834906">
      <w:pPr>
        <w:rPr>
          <w:rFonts w:ascii="Arial" w:hAnsi="Arial" w:cs="Arial"/>
          <w:b/>
          <w:lang w:val="en-US"/>
        </w:rPr>
      </w:pPr>
      <w:r w:rsidRPr="007E4A52">
        <w:rPr>
          <w:rFonts w:ascii="Arial" w:hAnsi="Arial" w:cs="Arial"/>
          <w:b/>
          <w:lang w:val="en-US"/>
        </w:rPr>
        <w:lastRenderedPageBreak/>
        <w:t>Supplementary Methods</w:t>
      </w:r>
    </w:p>
    <w:p w14:paraId="3AA7F493" w14:textId="77777777" w:rsidR="00834906" w:rsidRPr="007E4A52" w:rsidRDefault="00834906" w:rsidP="00834906">
      <w:pPr>
        <w:rPr>
          <w:rFonts w:ascii="Helvetica" w:hAnsi="Helvetica"/>
          <w:sz w:val="22"/>
          <w:szCs w:val="22"/>
          <w:lang w:val="en-US"/>
        </w:rPr>
      </w:pPr>
    </w:p>
    <w:p w14:paraId="585E771E" w14:textId="77777777" w:rsidR="00834906" w:rsidRPr="007E4A52" w:rsidRDefault="00834906" w:rsidP="00834906">
      <w:pPr>
        <w:spacing w:line="480" w:lineRule="auto"/>
        <w:contextualSpacing/>
        <w:jc w:val="both"/>
        <w:rPr>
          <w:rFonts w:ascii="Helvetica" w:hAnsi="Helvetica" w:cs="Arial"/>
          <w:b/>
          <w:sz w:val="22"/>
          <w:szCs w:val="22"/>
          <w:lang w:val="en-US"/>
        </w:rPr>
      </w:pPr>
      <w:r w:rsidRPr="007E4A52">
        <w:rPr>
          <w:rFonts w:ascii="Helvetica" w:hAnsi="Helvetica" w:cs="Arial"/>
          <w:b/>
          <w:sz w:val="22"/>
          <w:szCs w:val="22"/>
          <w:lang w:val="en-US"/>
        </w:rPr>
        <w:t>Animal experiments</w:t>
      </w:r>
    </w:p>
    <w:p w14:paraId="3B0C959C" w14:textId="77777777" w:rsidR="00834906" w:rsidRPr="007E4A52" w:rsidRDefault="00834906" w:rsidP="00834906">
      <w:pPr>
        <w:spacing w:line="480" w:lineRule="auto"/>
        <w:jc w:val="both"/>
        <w:rPr>
          <w:rFonts w:ascii="Helvetica" w:hAnsi="Helvetica" w:cs="Arial"/>
          <w:sz w:val="22"/>
          <w:szCs w:val="22"/>
          <w:lang w:val="en-US"/>
        </w:rPr>
      </w:pPr>
      <w:r w:rsidRPr="007E4A52">
        <w:rPr>
          <w:rFonts w:ascii="Helvetica" w:hAnsi="Helvetica" w:cs="Arial"/>
          <w:color w:val="222222"/>
          <w:sz w:val="22"/>
          <w:szCs w:val="22"/>
          <w:shd w:val="clear" w:color="auto" w:fill="FFFFFF"/>
          <w:lang w:val="en-US"/>
        </w:rPr>
        <w:t xml:space="preserve">All procedures involving animals were performed under the Home Office approved project license </w:t>
      </w:r>
      <w:r w:rsidRPr="007E4A52">
        <w:rPr>
          <w:rFonts w:ascii="Helvetica" w:hAnsi="Helvetica" w:cs="Arial"/>
          <w:bCs/>
          <w:color w:val="000000"/>
          <w:sz w:val="22"/>
          <w:szCs w:val="22"/>
          <w:lang w:val="en-US"/>
        </w:rPr>
        <w:t>P8ADED6C8</w:t>
      </w:r>
      <w:r w:rsidRPr="007E4A52">
        <w:rPr>
          <w:rFonts w:ascii="Helvetica" w:hAnsi="Helvetica" w:cs="Arial"/>
          <w:color w:val="222222"/>
          <w:sz w:val="22"/>
          <w:szCs w:val="22"/>
          <w:shd w:val="clear" w:color="auto" w:fill="FFFFFF"/>
          <w:lang w:val="en-US"/>
        </w:rPr>
        <w:t xml:space="preserve">, and UK Home Office regulations under the Animals (Scientific Procedures) Act 1986. The study received ethical approval by the Cancer Research UK Manchester Institute’s Animal Welfare and Ethics Review Body (AWERB). All mice were maintained in pathogen-free, ventilated cages in the Biological Resources Unit at our Institute, and allowed free access to irradiated food and autoclaved water in a 12 h light/dark cycle, with room temperature at 21 ± 2 °C. All cages contained wood shavings, bedding and a cardboard tube for environmental enrichment.  </w:t>
      </w:r>
      <w:r w:rsidRPr="007E4A52">
        <w:rPr>
          <w:rFonts w:ascii="Helvetica" w:hAnsi="Helvetica" w:cs="Arial"/>
          <w:sz w:val="22"/>
          <w:szCs w:val="22"/>
          <w:lang w:val="en-US"/>
        </w:rPr>
        <w:t xml:space="preserve">Experiments were performed in three consecutive cohorts of 4-week-old FVB/N mice acclimatized for 6 days before study (cohort 1: 6 females, 6 males, cohort 2: 7 females, 7 males, cohort 3: 7 females, 7 males). 200 </w:t>
      </w:r>
      <w:r w:rsidRPr="007E4A52">
        <w:rPr>
          <w:rFonts w:ascii="Helvetica" w:hAnsi="Helvetica" w:cs="Helvetica"/>
          <w:sz w:val="22"/>
          <w:szCs w:val="22"/>
          <w:lang w:val="en-US"/>
        </w:rPr>
        <w:t>µ</w:t>
      </w:r>
      <w:r w:rsidRPr="007E4A52">
        <w:rPr>
          <w:rFonts w:ascii="Helvetica" w:hAnsi="Helvetica" w:cs="Arial"/>
          <w:sz w:val="22"/>
          <w:szCs w:val="22"/>
          <w:lang w:val="en-US"/>
        </w:rPr>
        <w:t xml:space="preserve">l DMBA (25mg/ml) 200 </w:t>
      </w:r>
      <w:r w:rsidRPr="007E4A52">
        <w:rPr>
          <w:rFonts w:ascii="Helvetica" w:hAnsi="Helvetica" w:cs="Helvetica"/>
          <w:sz w:val="22"/>
          <w:szCs w:val="22"/>
          <w:lang w:val="en-US"/>
        </w:rPr>
        <w:t>µ</w:t>
      </w:r>
      <w:r w:rsidRPr="007E4A52">
        <w:rPr>
          <w:rFonts w:ascii="Helvetica" w:hAnsi="Helvetica" w:cs="Arial"/>
          <w:sz w:val="22"/>
          <w:szCs w:val="22"/>
          <w:lang w:val="en-US"/>
        </w:rPr>
        <w:t>l and TPA (0.02mg/ml) diluted in acetone was applied separately to the shaved backs of mice once a week, two days apart for 6 weeks, followed by TPA only weekly for a further 10 weeks or until first tumors started to develop. In the third cohort, 14 mice were treated with DMBA and TPA on consecutive days over a 10-day period; of these, 8 mice (4 female, 4 male) were given oral prednisolone at 1 mg/kg daily by oral gavage, in addition to DMBA/TPA treatment. Animal tumor development was closely monitored and once tumor development began tumors were counted weekly and classified by size (papule: palpable 1-4mm, papilloma: exophytic, pedunculated lesions of small diameter 2-3.5 mm, tumor: broad-based or endophytic lesions of larger diameter &gt;3.5mm). Animals culled in the first cohort were culled by schedule 1 at 7 weeks following tumor development, or if a single tumor interfered with the quality of life before this point. The second cohort animals were monitored and culled by schedule 1 when tumor volume occupied &gt;50% of the treated area of the back, or a single tumor interfered with the quality of life. The third cohort of animals were culled approximately 48 hours after completion of the last DMBA and TPA treatment. No animals were excluded from the analysis.</w:t>
      </w:r>
    </w:p>
    <w:p w14:paraId="6CD46819" w14:textId="77777777" w:rsidR="00834906" w:rsidRPr="007E4A52" w:rsidRDefault="00834906" w:rsidP="00834906">
      <w:pPr>
        <w:spacing w:line="480" w:lineRule="auto"/>
        <w:jc w:val="both"/>
        <w:rPr>
          <w:rFonts w:ascii="Helvetica" w:hAnsi="Helvetica" w:cs="Helvetica"/>
          <w:b/>
          <w:sz w:val="22"/>
          <w:lang w:val="en-US"/>
        </w:rPr>
      </w:pPr>
    </w:p>
    <w:p w14:paraId="2BAA6C89" w14:textId="77777777" w:rsidR="00834906" w:rsidRPr="007E4A52" w:rsidRDefault="00834906" w:rsidP="00834906">
      <w:pPr>
        <w:spacing w:line="480" w:lineRule="auto"/>
        <w:jc w:val="both"/>
        <w:rPr>
          <w:rFonts w:ascii="Helvetica" w:hAnsi="Helvetica" w:cs="Helvetica"/>
          <w:b/>
          <w:sz w:val="22"/>
          <w:lang w:val="en-US"/>
        </w:rPr>
      </w:pPr>
      <w:r w:rsidRPr="007E4A52">
        <w:rPr>
          <w:rFonts w:ascii="Helvetica" w:hAnsi="Helvetica" w:cs="Helvetica"/>
          <w:b/>
          <w:sz w:val="22"/>
          <w:lang w:val="en-US"/>
        </w:rPr>
        <w:t>Whole exome sequencing</w:t>
      </w:r>
    </w:p>
    <w:p w14:paraId="44129B83" w14:textId="283869E7" w:rsidR="00834906" w:rsidRPr="007E4A52" w:rsidRDefault="00834906" w:rsidP="00834906">
      <w:pPr>
        <w:spacing w:line="480" w:lineRule="auto"/>
        <w:jc w:val="both"/>
        <w:rPr>
          <w:rFonts w:ascii="Helvetica" w:hAnsi="Helvetica" w:cs="Helvetica"/>
          <w:sz w:val="22"/>
          <w:lang w:val="en-US"/>
        </w:rPr>
      </w:pPr>
      <w:r w:rsidRPr="007E4A52">
        <w:rPr>
          <w:rFonts w:ascii="Helvetica" w:hAnsi="Helvetica" w:cs="Helvetica"/>
          <w:sz w:val="22"/>
          <w:lang w:val="en-US"/>
        </w:rPr>
        <w:t xml:space="preserve">DNA was extracted from the largest sized tumor for each mouse along with adjacent treated skin, and a kidney using </w:t>
      </w:r>
      <w:proofErr w:type="spellStart"/>
      <w:r w:rsidRPr="007E4A52">
        <w:rPr>
          <w:rFonts w:ascii="Helvetica" w:hAnsi="Helvetica" w:cs="Helvetica"/>
          <w:sz w:val="22"/>
          <w:lang w:val="en-US"/>
        </w:rPr>
        <w:t>DNeasy</w:t>
      </w:r>
      <w:proofErr w:type="spellEnd"/>
      <w:r w:rsidRPr="007E4A52">
        <w:rPr>
          <w:rFonts w:ascii="Helvetica" w:hAnsi="Helvetica" w:cs="Helvetica"/>
          <w:sz w:val="22"/>
          <w:lang w:val="en-US"/>
        </w:rPr>
        <w:t xml:space="preserve"> Blood and Tissue Kit</w:t>
      </w:r>
      <w:r w:rsidR="00525FDB">
        <w:rPr>
          <w:rFonts w:ascii="Helvetica" w:hAnsi="Helvetica" w:cs="Helvetica"/>
          <w:sz w:val="22"/>
          <w:lang w:val="en-US"/>
        </w:rPr>
        <w:t xml:space="preserve"> (QIAGEN, 69504)</w:t>
      </w:r>
      <w:r w:rsidRPr="007E4A52">
        <w:rPr>
          <w:rFonts w:ascii="Helvetica" w:hAnsi="Helvetica" w:cs="Helvetica"/>
          <w:sz w:val="22"/>
          <w:lang w:val="en-US"/>
        </w:rPr>
        <w:t xml:space="preserve">. Whole exome sequencing was performed by </w:t>
      </w:r>
      <w:proofErr w:type="spellStart"/>
      <w:r w:rsidRPr="007E4A52">
        <w:rPr>
          <w:rFonts w:ascii="Helvetica" w:hAnsi="Helvetica" w:cs="Helvetica"/>
          <w:sz w:val="22"/>
          <w:lang w:val="en-US"/>
        </w:rPr>
        <w:t>Novogene</w:t>
      </w:r>
      <w:proofErr w:type="spellEnd"/>
      <w:r w:rsidRPr="007E4A52">
        <w:rPr>
          <w:rFonts w:ascii="Helvetica" w:hAnsi="Helvetica" w:cs="Helvetica"/>
          <w:sz w:val="22"/>
          <w:lang w:val="en-US"/>
        </w:rPr>
        <w:t xml:space="preserve"> (</w:t>
      </w:r>
      <w:proofErr w:type="spellStart"/>
      <w:r w:rsidRPr="007E4A52">
        <w:rPr>
          <w:rFonts w:ascii="Helvetica" w:hAnsi="Helvetica" w:cs="Helvetica"/>
          <w:sz w:val="22"/>
          <w:lang w:val="en-US"/>
        </w:rPr>
        <w:t>Novogene</w:t>
      </w:r>
      <w:proofErr w:type="spellEnd"/>
      <w:r w:rsidRPr="007E4A52">
        <w:rPr>
          <w:rFonts w:ascii="Helvetica" w:hAnsi="Helvetica" w:cs="Helvetica"/>
          <w:sz w:val="22"/>
          <w:lang w:val="en-US"/>
        </w:rPr>
        <w:t xml:space="preserve"> UK). Exome capture was performed with Agilent </w:t>
      </w:r>
      <w:proofErr w:type="spellStart"/>
      <w:r w:rsidRPr="007E4A52">
        <w:rPr>
          <w:rFonts w:ascii="Helvetica" w:hAnsi="Helvetica" w:cs="Helvetica"/>
          <w:sz w:val="22"/>
          <w:lang w:val="en-US"/>
        </w:rPr>
        <w:t>SureSelect</w:t>
      </w:r>
      <w:proofErr w:type="spellEnd"/>
      <w:r w:rsidRPr="007E4A52">
        <w:rPr>
          <w:rFonts w:ascii="Helvetica" w:hAnsi="Helvetica" w:cs="Helvetica"/>
          <w:sz w:val="22"/>
          <w:lang w:val="en-US"/>
        </w:rPr>
        <w:t xml:space="preserve"> Mouse All Exon Kit and sequenced on the Illumina </w:t>
      </w:r>
      <w:proofErr w:type="spellStart"/>
      <w:r w:rsidRPr="007E4A52">
        <w:rPr>
          <w:rFonts w:ascii="Helvetica" w:hAnsi="Helvetica" w:cs="Helvetica"/>
          <w:sz w:val="22"/>
          <w:lang w:val="en-US"/>
        </w:rPr>
        <w:t>HiSeq</w:t>
      </w:r>
      <w:proofErr w:type="spellEnd"/>
      <w:r w:rsidRPr="007E4A52">
        <w:rPr>
          <w:rFonts w:ascii="Helvetica" w:hAnsi="Helvetica" w:cs="Helvetica"/>
          <w:sz w:val="22"/>
          <w:lang w:val="en-US"/>
        </w:rPr>
        <w:t xml:space="preserve"> platform. Sequencing reads were trimmed using </w:t>
      </w:r>
      <w:proofErr w:type="spellStart"/>
      <w:r w:rsidRPr="007E4A52">
        <w:rPr>
          <w:rFonts w:ascii="Helvetica" w:eastAsia="Calibri" w:hAnsi="Helvetica" w:cs="Helvetica"/>
          <w:sz w:val="22"/>
          <w:lang w:val="en-US"/>
        </w:rPr>
        <w:t>Trimmomatic</w:t>
      </w:r>
      <w:proofErr w:type="spellEnd"/>
      <w:r w:rsidRPr="007E4A52">
        <w:rPr>
          <w:rFonts w:ascii="Helvetica" w:eastAsia="Calibri" w:hAnsi="Helvetica" w:cs="Helvetica"/>
          <w:sz w:val="22"/>
          <w:lang w:val="en-US"/>
        </w:rPr>
        <w:fldChar w:fldCharType="begin" w:fldLock="1"/>
      </w:r>
      <w:r w:rsidR="00B22290" w:rsidRPr="007E4A52">
        <w:rPr>
          <w:rFonts w:ascii="Helvetica" w:eastAsia="Calibri" w:hAnsi="Helvetica" w:cs="Helvetica"/>
          <w:sz w:val="22"/>
          <w:lang w:val="en-US"/>
        </w:rPr>
        <w:instrText>ADDIN CSL_CITATION {"citationItems":[{"id":"ITEM-1","itemData":{"DOI":"10.1093/bioinformatics/btu170","ISSN":"1367-4811 (Electronic)","PMID":"24695404","abstract":"MOTIVATION: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 usadel@bio1.rwth-aachen.de 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 (Oxford, England)","id":"ITEM-1","issue":"15","issued":{"date-parts":[["2014","8"]]},"language":"eng","page":"2114-2120","title":"Trimmomatic: a flexible trimmer for Illumina sequence data.","type":"article-journal","volume":"30"},"uris":["http://www.mendeley.com/documents/?uuid=c2753b69-1522-4c68-9f20-db6081ed4aee"]}],"mendeley":{"formattedCitation":"(3)","plainTextFormattedCitation":"(3)","previouslyFormattedCitation":"(Bolger et al. 2014)"},"properties":{"noteIndex":0},"schema":"https://github.com/citation-style-language/schema/raw/master/csl-citation.json"}</w:instrText>
      </w:r>
      <w:r w:rsidRPr="007E4A52">
        <w:rPr>
          <w:rFonts w:ascii="Helvetica" w:eastAsia="Calibri" w:hAnsi="Helvetica" w:cs="Helvetica"/>
          <w:sz w:val="22"/>
          <w:lang w:val="en-US"/>
        </w:rPr>
        <w:fldChar w:fldCharType="separate"/>
      </w:r>
      <w:r w:rsidR="00B22290" w:rsidRPr="007E4A52">
        <w:rPr>
          <w:rFonts w:ascii="Helvetica" w:eastAsia="Calibri" w:hAnsi="Helvetica" w:cs="Helvetica"/>
          <w:noProof/>
          <w:sz w:val="22"/>
          <w:lang w:val="en-US"/>
        </w:rPr>
        <w:t>(3)</w:t>
      </w:r>
      <w:r w:rsidRPr="007E4A52">
        <w:rPr>
          <w:rFonts w:ascii="Helvetica" w:eastAsia="Calibri" w:hAnsi="Helvetica" w:cs="Helvetica"/>
          <w:sz w:val="22"/>
          <w:lang w:val="en-US"/>
        </w:rPr>
        <w:fldChar w:fldCharType="end"/>
      </w:r>
      <w:r w:rsidRPr="007E4A52">
        <w:rPr>
          <w:rFonts w:ascii="Helvetica" w:eastAsia="Calibri" w:hAnsi="Helvetica" w:cs="Helvetica"/>
          <w:sz w:val="22"/>
          <w:lang w:val="en-US"/>
        </w:rPr>
        <w:t xml:space="preserve">, </w:t>
      </w:r>
      <w:r w:rsidRPr="007E4A52">
        <w:rPr>
          <w:rFonts w:ascii="Helvetica" w:hAnsi="Helvetica" w:cs="Helvetica"/>
          <w:sz w:val="22"/>
          <w:lang w:val="en-US"/>
        </w:rPr>
        <w:t>aligned to the mm38 reference genome using BWA</w:t>
      </w:r>
      <w:r w:rsidRPr="007E4A52">
        <w:rPr>
          <w:rFonts w:ascii="Helvetica" w:hAnsi="Helvetica" w:cs="Helvetica"/>
          <w:sz w:val="22"/>
          <w:lang w:val="en-US"/>
        </w:rPr>
        <w:fldChar w:fldCharType="begin" w:fldLock="1"/>
      </w:r>
      <w:r w:rsidR="00B22290" w:rsidRPr="007E4A52">
        <w:rPr>
          <w:rFonts w:ascii="Helvetica" w:hAnsi="Helvetica" w:cs="Helvetica"/>
          <w:sz w:val="22"/>
          <w:lang w:val="en-US"/>
        </w:rPr>
        <w:instrText>ADDIN CSL_CITATION {"citationItems":[{"id":"ITEM-1","itemData":{"DOI":"10.1093/bioinformatics/btp324","ISBN":"1367-4811 (Electronic)\r1367-4803 (Linking)","PMID":"19451168","abstract":"MOTIVATION: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approximately 10-20x faster than MAQ, while achieving similar accuracy. In addition, BWA outputs alignment in the new standard SAM (Sequence Alignment/Map) format. Variant calling and other downstream analyses after the alignment can be achieved with the open source SAMtools software package. AVAILABILITY: http://maq.sourceforge.net.","author":[{"dropping-particle":"","family":"Li","given":"H","non-dropping-particle":"","parse-names":false,"suffix":""},{"dropping-particle":"","family":"Durbin","given":"R","non-dropping-particle":"","parse-names":false,"suffix":""}],"container-title":"Bioinformatics","id":"ITEM-1","issue":"14","issued":{"date-parts":[["2009"]]},"note":"Li, Heng\nDurbin, Richard\neng\n077192/Z/05/Z/Wellcome Trust/United Kingdom\nResearch Support, Non-U.S. Gov't\nEngland\nOxford, England\n2009/05/20 09:00\nBioinformatics. 2009 Jul 15;25(14):1754-60. doi: 10.1093/bioinformatics/btp324. Epub 2009 May 18.","page":"1754-1760","title":"Fast and accurate short read alignment with Burrows-Wheeler transform","type":"article-journal","volume":"25"},"uris":["http://www.mendeley.com/documents/?uuid=a647f50a-77cd-4c5d-87d8-8ab659eb8d29"]}],"mendeley":{"formattedCitation":"(4)","plainTextFormattedCitation":"(4)","previouslyFormattedCitation":"(Li and Durbin 2009)"},"properties":{"noteIndex":0},"schema":"https://github.com/citation-style-language/schema/raw/master/csl-citation.json"}</w:instrText>
      </w:r>
      <w:r w:rsidRPr="007E4A52">
        <w:rPr>
          <w:rFonts w:ascii="Helvetica" w:hAnsi="Helvetica" w:cs="Helvetica"/>
          <w:sz w:val="22"/>
          <w:lang w:val="en-US"/>
        </w:rPr>
        <w:fldChar w:fldCharType="separate"/>
      </w:r>
      <w:r w:rsidR="00B22290" w:rsidRPr="007E4A52">
        <w:rPr>
          <w:rFonts w:ascii="Helvetica" w:hAnsi="Helvetica" w:cs="Helvetica"/>
          <w:noProof/>
          <w:sz w:val="22"/>
          <w:lang w:val="en-US"/>
        </w:rPr>
        <w:t>(4)</w:t>
      </w:r>
      <w:r w:rsidRPr="007E4A52">
        <w:rPr>
          <w:rFonts w:ascii="Helvetica" w:hAnsi="Helvetica" w:cs="Helvetica"/>
          <w:sz w:val="22"/>
          <w:lang w:val="en-US"/>
        </w:rPr>
        <w:fldChar w:fldCharType="end"/>
      </w:r>
      <w:r w:rsidRPr="007E4A52">
        <w:rPr>
          <w:rFonts w:ascii="Helvetica" w:hAnsi="Helvetica" w:cs="Helvetica"/>
          <w:sz w:val="22"/>
          <w:lang w:val="en-US"/>
        </w:rPr>
        <w:t xml:space="preserve"> and duplicate reads were marked using Picard Tools (http://broadinstitute.github.io/picard). Somatic mutations were called using the </w:t>
      </w:r>
      <w:proofErr w:type="spellStart"/>
      <w:r w:rsidRPr="007E4A52">
        <w:rPr>
          <w:rFonts w:ascii="Helvetica" w:hAnsi="Helvetica" w:cs="Helvetica"/>
          <w:sz w:val="22"/>
          <w:lang w:val="en-US"/>
        </w:rPr>
        <w:t>Varscan</w:t>
      </w:r>
      <w:proofErr w:type="spellEnd"/>
      <w:r w:rsidRPr="007E4A52">
        <w:rPr>
          <w:rFonts w:ascii="Helvetica" w:hAnsi="Helvetica" w:cs="Helvetica"/>
          <w:sz w:val="22"/>
          <w:lang w:val="en-US"/>
        </w:rPr>
        <w:t xml:space="preserve"> 2 pipeline using reads with mapping quality &gt;=20, and tumor and normal coverage &gt;=10</w:t>
      </w:r>
      <w:r w:rsidRPr="007E4A52">
        <w:rPr>
          <w:rFonts w:ascii="Helvetica" w:hAnsi="Helvetica" w:cs="Helvetica"/>
          <w:sz w:val="22"/>
          <w:lang w:val="en-US"/>
        </w:rPr>
        <w:fldChar w:fldCharType="begin" w:fldLock="1"/>
      </w:r>
      <w:r w:rsidR="00B22290" w:rsidRPr="007E4A52">
        <w:rPr>
          <w:rFonts w:ascii="Helvetica" w:hAnsi="Helvetica" w:cs="Helvetica"/>
          <w:sz w:val="22"/>
          <w:lang w:val="en-US"/>
        </w:rPr>
        <w:instrText>ADDIN CSL_CITATION {"citationItems":[{"id":"ITEM-1","itemData":{"DOI":"10.1101/gr.129684.111","ISBN":"1549-5469 (Electronic)\r1088-9051 (Linking)","PMID":"22300766","abstract":"Cancer is a disease driven by genetic variation and mutation. Exome sequencing can be utilized for discovering these variants and mutations across hundreds of tumors. Here we present an analysis tool, VarScan 2, for the detection of somatic mutations and copy number alterations (CNAs) in exome data from tumor-normal pairs. Unlike most current approaches, our algorithm reads data from both samples simultaneously; a heuristic and statistical algorithm detects sequence variants and classifies them by somatic status (germline, somatic, or LOH); while a comparison of normalized read depth delineates relative copy number changes. We apply these methods to the analysis of exome sequence data from 151 high-grade ovarian tumors characterized as part of the Cancer Genome Atlas (TCGA). We validated some 7790 somatic coding mutations, achieving 93% sensitivity and 85% precision for single nucleotide variant (SNV) detection. Exome-based CNA analysis identified 29 large-scale alterations and 619 focal events per tumor on average. As in our previous analysis of these data, we observed frequent amplification of oncogenes (e.g., CCNE1, MYC) and deletion of tumor suppressors (NF1, PTEN, and CDKN2A). We searched for additional recurrent focal CNAs using the correlation matrix diagonal segmentation (CMDS) algorithm, which identified 424 significant events affecting 582 genes. Taken together, our results demonstrate the robust performance of VarScan 2 for somatic mutation and CNA detection and shed new light on the landscape of genetic alterations in ovarian cancer.","author":[{"dropping-particle":"","family":"Koboldt","given":"D C","non-dropping-particle":"","parse-names":false,"suffix":""},{"dropping-particle":"","family":"Zhang","given":"Q","non-dropping-particle":"","parse-names":false,"suffix":""},{"dropping-particle":"","family":"Larson","given":"D E","non-dropping-particle":"","parse-names":false,"suffix":""},{"dropping-particle":"","family":"Shen","given":"D","non-dropping-particle":"","parse-names":false,"suffix":""},{"dropping-particle":"","family":"McLellan","given":"M D","non-dropping-particle":"","parse-names":false,"suffix":""},{"dropping-particle":"","family":"Lin","given":"L","non-dropping-particle":"","parse-names":false,"suffix":""},{"dropping-particle":"","family":"Miller","given":"C A","non-dropping-particle":"","parse-names":false,"suffix":""},{"dropping-particle":"","family":"Mardis","given":"E R","non-dropping-particle":"","parse-names":false,"suffix":""},{"dropping-particle":"","family":"Ding","given":"L","non-dropping-particle":"","parse-names":false,"suffix":""},{"dropping-particle":"","family":"Wilson","given":"R K","non-dropping-particle":"","parse-names":false,"suffix":""}],"container-title":"Genome Res","id":"ITEM-1","issue":"3","issued":{"date-parts":[["2012"]]},"note":"Koboldt, Daniel C\nZhang, Qunyuan\nLarson, David E\nShen, Dong\nMcLellan, Michael D\nLin, Ling\nMiller, Christopher A\nMardis, Elaine R\nDing, Li\nWilson, Richard K\neng\n2012/02/04 06:00\nGenome Res. 2012 Mar;22(3):568-76. doi: 10.1101/gr.129684.111. Epub 2012 Feb 2.","page":"568-576","title":"VarScan 2: somatic mutation and copy number alteration discovery in cancer by exome sequencing","type":"article-journal","volume":"22"},"uris":["http://www.mendeley.com/documents/?uuid=2d592783-6ff7-4581-905b-af7646a93ee5"]}],"mendeley":{"formattedCitation":"(5)","plainTextFormattedCitation":"(5)","previouslyFormattedCitation":"(Koboldt et al. 2012)"},"properties":{"noteIndex":0},"schema":"https://github.com/citation-style-language/schema/raw/master/csl-citation.json"}</w:instrText>
      </w:r>
      <w:r w:rsidRPr="007E4A52">
        <w:rPr>
          <w:rFonts w:ascii="Helvetica" w:hAnsi="Helvetica" w:cs="Helvetica"/>
          <w:sz w:val="22"/>
          <w:lang w:val="en-US"/>
        </w:rPr>
        <w:fldChar w:fldCharType="separate"/>
      </w:r>
      <w:r w:rsidR="00B22290" w:rsidRPr="007E4A52">
        <w:rPr>
          <w:rFonts w:ascii="Helvetica" w:hAnsi="Helvetica" w:cs="Helvetica"/>
          <w:noProof/>
          <w:sz w:val="22"/>
          <w:lang w:val="en-US"/>
        </w:rPr>
        <w:t>(5)</w:t>
      </w:r>
      <w:r w:rsidRPr="007E4A52">
        <w:rPr>
          <w:rFonts w:ascii="Helvetica" w:hAnsi="Helvetica" w:cs="Helvetica"/>
          <w:sz w:val="22"/>
          <w:lang w:val="en-US"/>
        </w:rPr>
        <w:fldChar w:fldCharType="end"/>
      </w:r>
      <w:r w:rsidRPr="007E4A52">
        <w:rPr>
          <w:rFonts w:ascii="Helvetica" w:hAnsi="Helvetica" w:cs="Helvetica"/>
          <w:sz w:val="22"/>
          <w:lang w:val="en-US"/>
        </w:rPr>
        <w:t>. V</w:t>
      </w:r>
      <w:r w:rsidRPr="007E4A52">
        <w:rPr>
          <w:rFonts w:ascii="Helvetica" w:eastAsia="Calibri" w:hAnsi="Helvetica" w:cs="Helvetica"/>
          <w:sz w:val="22"/>
          <w:lang w:val="en-US"/>
        </w:rPr>
        <w:t>ariants within the targeted capture genes were kept for further analysis and were annotated using Variant Effect Predictor</w:t>
      </w:r>
      <w:r w:rsidRPr="007E4A52">
        <w:rPr>
          <w:rFonts w:ascii="Helvetica" w:eastAsia="Calibri" w:hAnsi="Helvetica" w:cs="Helvetica"/>
          <w:sz w:val="22"/>
          <w:lang w:val="en-US"/>
        </w:rPr>
        <w:fldChar w:fldCharType="begin" w:fldLock="1"/>
      </w:r>
      <w:r w:rsidR="00B22290" w:rsidRPr="007E4A52">
        <w:rPr>
          <w:rFonts w:ascii="Helvetica" w:eastAsia="Calibri" w:hAnsi="Helvetica" w:cs="Helvetica"/>
          <w:sz w:val="22"/>
          <w:lang w:val="en-US"/>
        </w:rPr>
        <w:instrText>ADDIN CSL_CITATION {"citationItems":[{"id":"ITEM-1","itemData":{"DOI":"10.1093/bioinformatics/btq330","ISSN":"1367-4811 (Electronic)","PMID":"20562413","abstract":"SUMMARY: A tool to predict the effect that newly discovered genomic variants have on  known transcripts is indispensible in prioritizing and categorizing such variants. In Ensembl, a web-based tool (the SNP Effect Predictor) and API interface can now functionally annotate variants in all Ensembl and Ensembl Genomes supported species. AVAILABILITY: The Ensembl SNP Effect Predictor can be accessed via the Ensembl website at http://www.ensembl.org/. The Ensembl API (http://www.ensembl.org/info/docs/api/api_installation.html for installation instructions) is open source software.","author":[{"dropping-particle":"","family":"McLaren","given":"William","non-dropping-particle":"","parse-names":false,"suffix":""},{"dropping-particle":"","family":"Pritchard","given":"Bethan","non-dropping-particle":"","parse-names":false,"suffix":""},{"dropping-particle":"","family":"Rios","given":"Daniel","non-dropping-particle":"","parse-names":false,"suffix":""},{"dropping-particle":"","family":"Chen","given":"Yuan","non-dropping-particle":"","parse-names":false,"suffix":""},{"dropping-particle":"","family":"Flicek","given":"Paul","non-dropping-particle":"","parse-names":false,"suffix":""},{"dropping-particle":"","family":"Cunningham","given":"Fiona","non-dropping-particle":"","parse-names":false,"suffix":""}],"container-title":"Bioinformatics (Oxford, England)","id":"ITEM-1","issue":"16","issued":{"date-parts":[["2010","8"]]},"language":"eng","page":"2069-2070","title":"Deriving the consequences of genomic variants with the Ensembl API and SNP Effect  Predictor.","type":"article-journal","volume":"26"},"uris":["http://www.mendeley.com/documents/?uuid=55f984c5-b3c0-4798-a172-e1cbeeb1c382"]}],"mendeley":{"formattedCitation":"(6)","plainTextFormattedCitation":"(6)","previouslyFormattedCitation":"(McLaren et al. 2010)"},"properties":{"noteIndex":0},"schema":"https://github.com/citation-style-language/schema/raw/master/csl-citation.json"}</w:instrText>
      </w:r>
      <w:r w:rsidRPr="007E4A52">
        <w:rPr>
          <w:rFonts w:ascii="Helvetica" w:eastAsia="Calibri" w:hAnsi="Helvetica" w:cs="Helvetica"/>
          <w:sz w:val="22"/>
          <w:lang w:val="en-US"/>
        </w:rPr>
        <w:fldChar w:fldCharType="separate"/>
      </w:r>
      <w:r w:rsidR="00B22290" w:rsidRPr="007E4A52">
        <w:rPr>
          <w:rFonts w:ascii="Helvetica" w:eastAsia="Calibri" w:hAnsi="Helvetica" w:cs="Helvetica"/>
          <w:noProof/>
          <w:sz w:val="22"/>
          <w:lang w:val="en-US"/>
        </w:rPr>
        <w:t>(6)</w:t>
      </w:r>
      <w:r w:rsidRPr="007E4A52">
        <w:rPr>
          <w:rFonts w:ascii="Helvetica" w:eastAsia="Calibri" w:hAnsi="Helvetica" w:cs="Helvetica"/>
          <w:sz w:val="22"/>
          <w:lang w:val="en-US"/>
        </w:rPr>
        <w:fldChar w:fldCharType="end"/>
      </w:r>
      <w:r w:rsidRPr="007E4A52">
        <w:rPr>
          <w:rFonts w:ascii="Helvetica" w:eastAsia="Calibri" w:hAnsi="Helvetica" w:cs="Helvetica"/>
          <w:sz w:val="22"/>
          <w:lang w:val="en-US"/>
        </w:rPr>
        <w:t xml:space="preserve">. Variants present in </w:t>
      </w:r>
      <w:proofErr w:type="spellStart"/>
      <w:r w:rsidRPr="007E4A52">
        <w:rPr>
          <w:rFonts w:ascii="Helvetica" w:eastAsia="Calibri" w:hAnsi="Helvetica" w:cs="Helvetica"/>
          <w:sz w:val="22"/>
          <w:lang w:val="en-US"/>
        </w:rPr>
        <w:t>dbSNP</w:t>
      </w:r>
      <w:proofErr w:type="spellEnd"/>
      <w:r w:rsidRPr="007E4A52">
        <w:rPr>
          <w:rFonts w:ascii="Helvetica" w:eastAsia="Calibri" w:hAnsi="Helvetica" w:cs="Helvetica"/>
          <w:sz w:val="22"/>
          <w:lang w:val="en-US"/>
        </w:rPr>
        <w:t xml:space="preserve"> were excluded. </w:t>
      </w:r>
      <w:r w:rsidRPr="007E4A52">
        <w:rPr>
          <w:rFonts w:ascii="Helvetica" w:hAnsi="Helvetica" w:cs="Helvetica"/>
          <w:sz w:val="22"/>
          <w:lang w:val="en-US"/>
        </w:rPr>
        <w:t xml:space="preserve">Patterns of single nucleotide variation, and insertion and deletions in tumors and skin were </w:t>
      </w:r>
      <w:proofErr w:type="spellStart"/>
      <w:r w:rsidRPr="007E4A52">
        <w:rPr>
          <w:rFonts w:ascii="Helvetica" w:hAnsi="Helvetica" w:cs="Helvetica"/>
          <w:sz w:val="22"/>
          <w:lang w:val="en-US"/>
        </w:rPr>
        <w:t>analysed</w:t>
      </w:r>
      <w:proofErr w:type="spellEnd"/>
      <w:r w:rsidRPr="007E4A52">
        <w:rPr>
          <w:rFonts w:ascii="Helvetica" w:hAnsi="Helvetica" w:cs="Helvetica"/>
          <w:sz w:val="22"/>
          <w:lang w:val="en-US"/>
        </w:rPr>
        <w:t xml:space="preserve"> using </w:t>
      </w:r>
      <w:proofErr w:type="spellStart"/>
      <w:r w:rsidRPr="007E4A52">
        <w:rPr>
          <w:rFonts w:ascii="Helvetica" w:hAnsi="Helvetica" w:cs="Helvetica"/>
          <w:sz w:val="22"/>
          <w:lang w:val="en-US"/>
        </w:rPr>
        <w:t>MAFTools</w:t>
      </w:r>
      <w:proofErr w:type="spellEnd"/>
      <w:r w:rsidRPr="007E4A52">
        <w:rPr>
          <w:rFonts w:ascii="Helvetica" w:hAnsi="Helvetica" w:cs="Helvetica"/>
          <w:sz w:val="22"/>
          <w:lang w:val="en-US"/>
        </w:rPr>
        <w:t xml:space="preserve">  in R</w:t>
      </w:r>
      <w:r w:rsidRPr="007E4A52">
        <w:rPr>
          <w:rFonts w:ascii="Helvetica" w:hAnsi="Helvetica" w:cs="Helvetica"/>
          <w:sz w:val="22"/>
          <w:lang w:val="en-US"/>
        </w:rPr>
        <w:fldChar w:fldCharType="begin" w:fldLock="1"/>
      </w:r>
      <w:r w:rsidR="00B22290" w:rsidRPr="007E4A52">
        <w:rPr>
          <w:rFonts w:ascii="Helvetica" w:hAnsi="Helvetica" w:cs="Helvetica"/>
          <w:sz w:val="22"/>
          <w:lang w:val="en-US"/>
        </w:rPr>
        <w:instrText>ADDIN CSL_CITATION {"citationItems":[{"id":"ITEM-1","itemData":{"DOI":"10.1101/gr.239244.118","ISSN":"1549-5469","PMID":"30341162","abstract":"Numerous large-scale genomic studies of matched tumor-normal samples have established the somatic landscapes of most cancer types. However, the downstream analysis of data from somatic mutations entails a number of computational and statistical approaches, requiring usage of independent software and numerous tools. Here, we describe an R Bioconductor package, Maftools, which offers a multitude of analysis and visualization modules that are commonly used in cancer genomic studies, including driver gene identification, pathway, signature, enrichment, and association analyses. Maftools only requires somatic variants in Mutation Annotation Format (MAF) and is independent of larger alignment files. With the implementation of well-established statistical and computational methods, Maftools facilitates data-driven research and comparative analysis to discover novel results from publicly available data sets. In the present study, using three of the well-annotated cohorts from The Cancer Genome Atlas (TCGA), we describe the application of Maftools to reproduce known results. More importantly, we show that Maftools can also be used to uncover novel findings through integrative analysis.","author":[{"dropping-particle":"","family":"Mayakonda","given":"Anand","non-dropping-particle":"","parse-names":false,"suffix":""},{"dropping-particle":"","family":"Lin","given":"De-Chen","non-dropping-particle":"","parse-names":false,"suffix":""},{"dropping-particle":"","family":"Assenov","given":"Yassen","non-dropping-particle":"","parse-names":false,"suffix":""},{"dropping-particle":"","family":"Plass","given":"Christoph","non-dropping-particle":"","parse-names":false,"suffix":""},{"dropping-particle":"","family":"Koeffler","given":"H Phillip","non-dropping-particle":"","parse-names":false,"suffix":""}],"container-title":"Genome research","id":"ITEM-1","issue":"11","issued":{"date-parts":[["2018","11"]]},"page":"1747-1756","title":"Maftools: efficient and comprehensive analysis of somatic variants in cancer.","type":"article-journal","volume":"28"},"uris":["http://www.mendeley.com/documents/?uuid=edb30333-b32b-337a-8c3b-d2753accd384"]}],"mendeley":{"formattedCitation":"(7)","plainTextFormattedCitation":"(7)","previouslyFormattedCitation":"(Mayakonda et al. 2018)"},"properties":{"noteIndex":0},"schema":"https://github.com/citation-style-language/schema/raw/master/csl-citation.json"}</w:instrText>
      </w:r>
      <w:r w:rsidRPr="007E4A52">
        <w:rPr>
          <w:rFonts w:ascii="Helvetica" w:hAnsi="Helvetica" w:cs="Helvetica"/>
          <w:sz w:val="22"/>
          <w:lang w:val="en-US"/>
        </w:rPr>
        <w:fldChar w:fldCharType="separate"/>
      </w:r>
      <w:r w:rsidR="00B22290" w:rsidRPr="007E4A52">
        <w:rPr>
          <w:rFonts w:ascii="Helvetica" w:hAnsi="Helvetica" w:cs="Helvetica"/>
          <w:noProof/>
          <w:sz w:val="22"/>
          <w:lang w:val="en-US"/>
        </w:rPr>
        <w:t>(7)</w:t>
      </w:r>
      <w:r w:rsidRPr="007E4A52">
        <w:rPr>
          <w:rFonts w:ascii="Helvetica" w:hAnsi="Helvetica" w:cs="Helvetica"/>
          <w:sz w:val="22"/>
          <w:lang w:val="en-US"/>
        </w:rPr>
        <w:fldChar w:fldCharType="end"/>
      </w:r>
      <w:r w:rsidRPr="007E4A52">
        <w:rPr>
          <w:rFonts w:ascii="Helvetica" w:hAnsi="Helvetica" w:cs="Helvetica"/>
          <w:sz w:val="22"/>
          <w:lang w:val="en-US"/>
        </w:rPr>
        <w:t xml:space="preserve"> (version 3.5.1). </w:t>
      </w:r>
      <w:proofErr w:type="spellStart"/>
      <w:r w:rsidRPr="007E4A52">
        <w:rPr>
          <w:rFonts w:ascii="Helvetica" w:hAnsi="Helvetica" w:cs="Helvetica"/>
          <w:sz w:val="22"/>
          <w:lang w:val="en-US"/>
        </w:rPr>
        <w:t>Oncoplots</w:t>
      </w:r>
      <w:proofErr w:type="spellEnd"/>
      <w:r w:rsidRPr="007E4A52">
        <w:rPr>
          <w:rFonts w:ascii="Helvetica" w:hAnsi="Helvetica" w:cs="Helvetica"/>
          <w:sz w:val="22"/>
          <w:lang w:val="en-US"/>
        </w:rPr>
        <w:t xml:space="preserve"> were generated of the top 20 frequently mutated genes by sex and histology to identify patterns of mutations. </w:t>
      </w:r>
    </w:p>
    <w:p w14:paraId="18E4BEF8" w14:textId="77777777" w:rsidR="00834906" w:rsidRPr="007E4A52" w:rsidRDefault="00834906" w:rsidP="00834906">
      <w:pPr>
        <w:spacing w:line="480" w:lineRule="auto"/>
        <w:jc w:val="both"/>
        <w:rPr>
          <w:rFonts w:ascii="Helvetica" w:hAnsi="Helvetica" w:cs="Helvetica"/>
          <w:b/>
          <w:sz w:val="22"/>
          <w:lang w:val="en-US"/>
        </w:rPr>
      </w:pPr>
    </w:p>
    <w:p w14:paraId="1A7EE36C" w14:textId="77777777" w:rsidR="00834906" w:rsidRPr="007E4A52" w:rsidRDefault="00834906" w:rsidP="00834906">
      <w:pPr>
        <w:spacing w:line="480" w:lineRule="auto"/>
        <w:jc w:val="both"/>
        <w:rPr>
          <w:rFonts w:ascii="Helvetica" w:hAnsi="Helvetica" w:cs="Helvetica"/>
          <w:b/>
          <w:sz w:val="22"/>
          <w:lang w:val="en-US"/>
        </w:rPr>
      </w:pPr>
      <w:r w:rsidRPr="007E4A52">
        <w:rPr>
          <w:rFonts w:ascii="Helvetica" w:hAnsi="Helvetica" w:cs="Helvetica"/>
          <w:b/>
          <w:sz w:val="22"/>
          <w:lang w:val="en-US"/>
        </w:rPr>
        <w:t>RNA-seq analysis</w:t>
      </w:r>
    </w:p>
    <w:p w14:paraId="10E769F9" w14:textId="1743986A" w:rsidR="00834906" w:rsidRPr="007E4A52" w:rsidRDefault="00834906" w:rsidP="00834906">
      <w:pPr>
        <w:spacing w:line="480" w:lineRule="auto"/>
        <w:contextualSpacing/>
        <w:jc w:val="both"/>
        <w:rPr>
          <w:rFonts w:ascii="Helvetica" w:hAnsi="Helvetica" w:cs="Helvetica"/>
          <w:sz w:val="22"/>
          <w:szCs w:val="22"/>
          <w:lang w:val="en-US"/>
        </w:rPr>
      </w:pPr>
      <w:r w:rsidRPr="007E4A52">
        <w:rPr>
          <w:rFonts w:ascii="Helvetica" w:hAnsi="Helvetica" w:cs="Helvetica"/>
          <w:sz w:val="22"/>
          <w:lang w:val="en-US"/>
        </w:rPr>
        <w:t xml:space="preserve">Fresh whole DMBA/TPA treated skin from the back and normal skin from the abdomen were collected and DNA and RNA extracted using </w:t>
      </w:r>
      <w:proofErr w:type="gramStart"/>
      <w:r w:rsidRPr="007E4A52">
        <w:rPr>
          <w:rFonts w:ascii="Helvetica" w:hAnsi="Helvetica" w:cs="Helvetica"/>
          <w:sz w:val="22"/>
          <w:lang w:val="en-US"/>
        </w:rPr>
        <w:t>a</w:t>
      </w:r>
      <w:proofErr w:type="gramEnd"/>
      <w:r w:rsidRPr="007E4A52">
        <w:rPr>
          <w:rFonts w:ascii="Helvetica" w:hAnsi="Helvetica" w:cs="Helvetica"/>
          <w:sz w:val="22"/>
          <w:lang w:val="en-US"/>
        </w:rPr>
        <w:t xml:space="preserve"> </w:t>
      </w:r>
      <w:proofErr w:type="spellStart"/>
      <w:r w:rsidRPr="007E4A52">
        <w:rPr>
          <w:rFonts w:ascii="Helvetica" w:hAnsi="Helvetica" w:cs="Helvetica"/>
          <w:sz w:val="22"/>
          <w:lang w:val="en-US"/>
        </w:rPr>
        <w:t>AllPrep</w:t>
      </w:r>
      <w:proofErr w:type="spellEnd"/>
      <w:r w:rsidRPr="007E4A52">
        <w:rPr>
          <w:rFonts w:ascii="Helvetica" w:hAnsi="Helvetica" w:cs="Helvetica"/>
          <w:sz w:val="22"/>
          <w:lang w:val="en-US"/>
        </w:rPr>
        <w:t xml:space="preserve"> DNA/RNA extraction kit</w:t>
      </w:r>
      <w:r w:rsidR="00525FDB">
        <w:rPr>
          <w:rFonts w:ascii="Helvetica" w:hAnsi="Helvetica" w:cs="Helvetica"/>
          <w:sz w:val="22"/>
          <w:lang w:val="en-US"/>
        </w:rPr>
        <w:t xml:space="preserve"> (QIAGEN, 80284)</w:t>
      </w:r>
      <w:r w:rsidRPr="007E4A52">
        <w:rPr>
          <w:rFonts w:ascii="Helvetica" w:hAnsi="Helvetica" w:cs="Helvetica"/>
          <w:sz w:val="22"/>
          <w:lang w:val="en-US"/>
        </w:rPr>
        <w:t xml:space="preserve"> and a QIAGEN </w:t>
      </w:r>
      <w:proofErr w:type="spellStart"/>
      <w:r w:rsidRPr="007E4A52">
        <w:rPr>
          <w:rFonts w:ascii="Helvetica" w:hAnsi="Helvetica" w:cs="Helvetica"/>
          <w:sz w:val="22"/>
          <w:lang w:val="en-US"/>
        </w:rPr>
        <w:t>TissueLyser</w:t>
      </w:r>
      <w:proofErr w:type="spellEnd"/>
      <w:r w:rsidRPr="007E4A52">
        <w:rPr>
          <w:rFonts w:ascii="Helvetica" w:hAnsi="Helvetica" w:cs="Helvetica"/>
          <w:sz w:val="22"/>
          <w:lang w:val="en-US"/>
        </w:rPr>
        <w:t xml:space="preserve"> II. RNA sequencing of paired skin samples </w:t>
      </w:r>
      <w:r w:rsidRPr="007E4A52">
        <w:rPr>
          <w:rFonts w:ascii="Helvetica" w:hAnsi="Helvetica" w:cs="Helvetica"/>
          <w:sz w:val="22"/>
          <w:szCs w:val="22"/>
          <w:lang w:val="en-US"/>
        </w:rPr>
        <w:t xml:space="preserve">from 6 mice (3 females, 3 males) was performed by </w:t>
      </w:r>
      <w:proofErr w:type="spellStart"/>
      <w:r w:rsidRPr="007E4A52">
        <w:rPr>
          <w:rFonts w:ascii="Helvetica" w:hAnsi="Helvetica" w:cs="Helvetica"/>
          <w:sz w:val="22"/>
          <w:szCs w:val="22"/>
          <w:lang w:val="en-US"/>
        </w:rPr>
        <w:t>Novogene</w:t>
      </w:r>
      <w:proofErr w:type="spellEnd"/>
      <w:r w:rsidRPr="007E4A52">
        <w:rPr>
          <w:rFonts w:ascii="Helvetica" w:hAnsi="Helvetica" w:cs="Helvetica"/>
          <w:sz w:val="22"/>
          <w:szCs w:val="22"/>
          <w:lang w:val="en-US"/>
        </w:rPr>
        <w:t xml:space="preserve"> (</w:t>
      </w:r>
      <w:proofErr w:type="spellStart"/>
      <w:r w:rsidRPr="007E4A52">
        <w:rPr>
          <w:rFonts w:ascii="Helvetica" w:hAnsi="Helvetica" w:cs="Helvetica"/>
          <w:sz w:val="22"/>
          <w:szCs w:val="22"/>
          <w:lang w:val="en-US"/>
        </w:rPr>
        <w:t>Novogene</w:t>
      </w:r>
      <w:proofErr w:type="spellEnd"/>
      <w:r w:rsidRPr="007E4A52">
        <w:rPr>
          <w:rFonts w:ascii="Helvetica" w:hAnsi="Helvetica" w:cs="Helvetica"/>
          <w:sz w:val="22"/>
          <w:szCs w:val="22"/>
          <w:lang w:val="en-US"/>
        </w:rPr>
        <w:t xml:space="preserve"> UK). </w:t>
      </w:r>
      <w:r w:rsidRPr="007E4A52">
        <w:rPr>
          <w:rFonts w:ascii="Helvetica" w:hAnsi="Helvetica" w:cs="Helvetica"/>
          <w:color w:val="000000" w:themeColor="text1"/>
          <w:sz w:val="22"/>
          <w:szCs w:val="22"/>
          <w:lang w:val="en-US"/>
        </w:rPr>
        <w:t xml:space="preserve">Paired-end sequencing reads were trimmed with </w:t>
      </w:r>
      <w:proofErr w:type="spellStart"/>
      <w:r w:rsidRPr="007E4A52">
        <w:rPr>
          <w:rFonts w:ascii="Helvetica" w:hAnsi="Helvetica" w:cs="Helvetica"/>
          <w:color w:val="000000" w:themeColor="text1"/>
          <w:sz w:val="22"/>
          <w:szCs w:val="22"/>
          <w:lang w:val="en-US"/>
        </w:rPr>
        <w:t>Trimmomatic</w:t>
      </w:r>
      <w:proofErr w:type="spellEnd"/>
      <w:r w:rsidRPr="007E4A52">
        <w:rPr>
          <w:rFonts w:ascii="Helvetica" w:hAnsi="Helvetica" w:cs="Helvetica"/>
          <w:color w:val="000000" w:themeColor="text1"/>
          <w:sz w:val="22"/>
          <w:szCs w:val="22"/>
          <w:lang w:val="en-US"/>
        </w:rPr>
        <w:fldChar w:fldCharType="begin" w:fldLock="1"/>
      </w:r>
      <w:r w:rsidR="00B22290" w:rsidRPr="007E4A52">
        <w:rPr>
          <w:rFonts w:ascii="Helvetica" w:hAnsi="Helvetica" w:cs="Helvetica"/>
          <w:color w:val="000000" w:themeColor="text1"/>
          <w:sz w:val="22"/>
          <w:szCs w:val="22"/>
          <w:lang w:val="en-US"/>
        </w:rPr>
        <w:instrText>ADDIN CSL_CITATION {"citationItems":[{"id":"ITEM-1","itemData":{"DOI":"10.1093/bioinformatics/btu170","ISSN":"1367-4811 (Electronic)","PMID":"24695404","abstract":"MOTIVATION: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 usadel@bio1.rwth-aachen.de 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 (Oxford, England)","id":"ITEM-1","issue":"15","issued":{"date-parts":[["2014","8"]]},"language":"eng","page":"2114-2120","title":"Trimmomatic: a flexible trimmer for Illumina sequence data.","type":"article-journal","volume":"30"},"uris":["http://www.mendeley.com/documents/?uuid=c2753b69-1522-4c68-9f20-db6081ed4aee"]}],"mendeley":{"formattedCitation":"(3)","plainTextFormattedCitation":"(3)","previouslyFormattedCitation":"(Bolger et al. 2014)"},"properties":{"noteIndex":0},"schema":"https://github.com/citation-style-language/schema/raw/master/csl-citation.json"}</w:instrText>
      </w:r>
      <w:r w:rsidRPr="007E4A52">
        <w:rPr>
          <w:rFonts w:ascii="Helvetica" w:hAnsi="Helvetica" w:cs="Helvetica"/>
          <w:color w:val="000000" w:themeColor="text1"/>
          <w:sz w:val="22"/>
          <w:szCs w:val="22"/>
          <w:lang w:val="en-US"/>
        </w:rPr>
        <w:fldChar w:fldCharType="separate"/>
      </w:r>
      <w:r w:rsidR="00B22290" w:rsidRPr="007E4A52">
        <w:rPr>
          <w:rFonts w:ascii="Helvetica" w:hAnsi="Helvetica" w:cs="Helvetica"/>
          <w:noProof/>
          <w:color w:val="000000" w:themeColor="text1"/>
          <w:sz w:val="22"/>
          <w:szCs w:val="22"/>
          <w:lang w:val="en-US"/>
        </w:rPr>
        <w:t>(3)</w:t>
      </w:r>
      <w:r w:rsidRPr="007E4A52">
        <w:rPr>
          <w:rFonts w:ascii="Helvetica" w:hAnsi="Helvetica" w:cs="Helvetica"/>
          <w:color w:val="000000" w:themeColor="text1"/>
          <w:sz w:val="22"/>
          <w:szCs w:val="22"/>
          <w:lang w:val="en-US"/>
        </w:rPr>
        <w:fldChar w:fldCharType="end"/>
      </w:r>
      <w:r w:rsidRPr="007E4A52">
        <w:rPr>
          <w:rFonts w:ascii="Helvetica" w:hAnsi="Helvetica" w:cs="Helvetica"/>
          <w:color w:val="000000" w:themeColor="text1"/>
          <w:sz w:val="22"/>
          <w:szCs w:val="22"/>
          <w:lang w:val="en-US"/>
        </w:rPr>
        <w:t xml:space="preserve">  and aligned to the mouse reference genome (GRCm38) using STAR version 2.7.0a</w:t>
      </w:r>
      <w:r w:rsidRPr="007E4A52">
        <w:rPr>
          <w:rFonts w:ascii="Helvetica" w:hAnsi="Helvetica" w:cs="Helvetica"/>
          <w:color w:val="000000" w:themeColor="text1"/>
          <w:sz w:val="22"/>
          <w:szCs w:val="22"/>
          <w:lang w:val="en-US"/>
        </w:rPr>
        <w:fldChar w:fldCharType="begin" w:fldLock="1"/>
      </w:r>
      <w:r w:rsidR="00B22290" w:rsidRPr="007E4A52">
        <w:rPr>
          <w:rFonts w:ascii="Helvetica" w:hAnsi="Helvetica" w:cs="Helvetica"/>
          <w:color w:val="000000" w:themeColor="text1"/>
          <w:sz w:val="22"/>
          <w:szCs w:val="22"/>
          <w:lang w:val="en-US"/>
        </w:rPr>
        <w:instrText>ADDIN CSL_CITATION {"citationItems":[{"id":"ITEM-1","itemData":{"DOI":"10.1093/bioinformatics/bts635","ISSN":"1367-4811 (Electronic)","PMID":"23104886","abstract":"MOTIVATION: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 (Oxford, England)","id":"ITEM-1","issue":"1","issued":{"date-parts":[["2013","1"]]},"language":"eng","page":"15-21","title":"STAR: ultrafast universal RNA-seq aligner.","type":"article-journal","volume":"29"},"uris":["http://www.mendeley.com/documents/?uuid=ce1d2c90-4afb-4876-982e-053882895dc7"]}],"mendeley":{"formattedCitation":"(8)","plainTextFormattedCitation":"(8)","previouslyFormattedCitation":"(Dobin et al. 2013)"},"properties":{"noteIndex":0},"schema":"https://github.com/citation-style-language/schema/raw/master/csl-citation.json"}</w:instrText>
      </w:r>
      <w:r w:rsidRPr="007E4A52">
        <w:rPr>
          <w:rFonts w:ascii="Helvetica" w:hAnsi="Helvetica" w:cs="Helvetica"/>
          <w:color w:val="000000" w:themeColor="text1"/>
          <w:sz w:val="22"/>
          <w:szCs w:val="22"/>
          <w:lang w:val="en-US"/>
        </w:rPr>
        <w:fldChar w:fldCharType="separate"/>
      </w:r>
      <w:r w:rsidR="00B22290" w:rsidRPr="007E4A52">
        <w:rPr>
          <w:rFonts w:ascii="Helvetica" w:hAnsi="Helvetica" w:cs="Helvetica"/>
          <w:noProof/>
          <w:color w:val="000000" w:themeColor="text1"/>
          <w:sz w:val="22"/>
          <w:szCs w:val="22"/>
          <w:lang w:val="en-US"/>
        </w:rPr>
        <w:t>(8)</w:t>
      </w:r>
      <w:r w:rsidRPr="007E4A52">
        <w:rPr>
          <w:rFonts w:ascii="Helvetica" w:hAnsi="Helvetica" w:cs="Helvetica"/>
          <w:color w:val="000000" w:themeColor="text1"/>
          <w:sz w:val="22"/>
          <w:szCs w:val="22"/>
          <w:lang w:val="en-US"/>
        </w:rPr>
        <w:fldChar w:fldCharType="end"/>
      </w:r>
      <w:r w:rsidRPr="007E4A52">
        <w:rPr>
          <w:rFonts w:ascii="Helvetica" w:hAnsi="Helvetica" w:cs="Helvetica"/>
          <w:color w:val="000000" w:themeColor="text1"/>
          <w:sz w:val="22"/>
          <w:szCs w:val="22"/>
          <w:lang w:val="en-US"/>
        </w:rPr>
        <w:t xml:space="preserve">. Transcript counts were generated by </w:t>
      </w:r>
      <w:proofErr w:type="spellStart"/>
      <w:r w:rsidRPr="007E4A52">
        <w:rPr>
          <w:rFonts w:ascii="Helvetica" w:hAnsi="Helvetica" w:cs="Helvetica"/>
          <w:color w:val="000000" w:themeColor="text1"/>
          <w:sz w:val="22"/>
          <w:szCs w:val="22"/>
          <w:lang w:val="en-US"/>
        </w:rPr>
        <w:t>htseq</w:t>
      </w:r>
      <w:proofErr w:type="spellEnd"/>
      <w:r w:rsidRPr="007E4A52">
        <w:rPr>
          <w:rFonts w:ascii="Helvetica" w:hAnsi="Helvetica" w:cs="Helvetica"/>
          <w:color w:val="000000" w:themeColor="text1"/>
          <w:sz w:val="22"/>
          <w:szCs w:val="22"/>
          <w:lang w:val="en-US"/>
        </w:rPr>
        <w:t>-count</w:t>
      </w:r>
      <w:r w:rsidRPr="007E4A52">
        <w:rPr>
          <w:rFonts w:ascii="Helvetica" w:hAnsi="Helvetica" w:cs="Helvetica"/>
          <w:color w:val="000000" w:themeColor="text1"/>
          <w:sz w:val="22"/>
          <w:szCs w:val="22"/>
          <w:lang w:val="en-US"/>
        </w:rPr>
        <w:fldChar w:fldCharType="begin" w:fldLock="1"/>
      </w:r>
      <w:r w:rsidR="00B22290" w:rsidRPr="007E4A52">
        <w:rPr>
          <w:rFonts w:ascii="Helvetica" w:hAnsi="Helvetica" w:cs="Helvetica"/>
          <w:color w:val="000000" w:themeColor="text1"/>
          <w:sz w:val="22"/>
          <w:szCs w:val="22"/>
          <w:lang w:val="en-US"/>
        </w:rPr>
        <w:instrText>ADDIN CSL_CITATION {"citationItems":[{"id":"ITEM-1","itemData":{"DOI":"10.1093/bioinformatics/btu638","ISSN":"1367-4811 (Electronic)","PMID":"25260700","abstract":"MOTIVATION: A large choice of tools exists for many standard tasks in the analysis  of high-throughput sequencing (HTS) data. However, once a project deviates from standard workflows, custom scripts are needed. 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and variant calls, and provides data structures that allow for querying via genomic coordinates. We also present htseq-count, a tool developed with HTSeq that preprocesses RNA-Seq data for differential expression analysis by counting the overlap of reads with genes. AVAILABILITY AND IMPLEMENTATION: HTSeq is released as an open-source software under the GNU General Public Licence and available from http://www-huber.embl.de/HTSeq or from the Python Package Index at https://pypi.python.org/pypi/HTSeq.","author":[{"dropping-particle":"","family":"Anders","given":"Simon","non-dropping-particle":"","parse-names":false,"suffix":""},{"dropping-particle":"","family":"Pyl","given":"Paul Theodor","non-dropping-particle":"","parse-names":false,"suffix":""},{"dropping-particle":"","family":"Huber","given":"Wolfgang","non-dropping-particle":"","parse-names":false,"suffix":""}],"container-title":"Bioinformatics (Oxford, England)","id":"ITEM-1","issue":"2","issued":{"date-parts":[["2015","1"]]},"language":"eng","page":"166-169","title":"HTSeq--a Python framework to work with high-throughput sequencing data.","type":"article-journal","volume":"31"},"uris":["http://www.mendeley.com/documents/?uuid=f57ec499-c23c-4cef-bd11-328ec75c6b3e"]}],"mendeley":{"formattedCitation":"(9)","plainTextFormattedCitation":"(9)","previouslyFormattedCitation":"(Anders et al. 2015)"},"properties":{"noteIndex":0},"schema":"https://github.com/citation-style-language/schema/raw/master/csl-citation.json"}</w:instrText>
      </w:r>
      <w:r w:rsidRPr="007E4A52">
        <w:rPr>
          <w:rFonts w:ascii="Helvetica" w:hAnsi="Helvetica" w:cs="Helvetica"/>
          <w:color w:val="000000" w:themeColor="text1"/>
          <w:sz w:val="22"/>
          <w:szCs w:val="22"/>
          <w:lang w:val="en-US"/>
        </w:rPr>
        <w:fldChar w:fldCharType="separate"/>
      </w:r>
      <w:r w:rsidR="00B22290" w:rsidRPr="007E4A52">
        <w:rPr>
          <w:rFonts w:ascii="Helvetica" w:hAnsi="Helvetica" w:cs="Helvetica"/>
          <w:noProof/>
          <w:color w:val="000000" w:themeColor="text1"/>
          <w:sz w:val="22"/>
          <w:szCs w:val="22"/>
          <w:lang w:val="en-US"/>
        </w:rPr>
        <w:t>(9)</w:t>
      </w:r>
      <w:r w:rsidRPr="007E4A52">
        <w:rPr>
          <w:rFonts w:ascii="Helvetica" w:hAnsi="Helvetica" w:cs="Helvetica"/>
          <w:color w:val="000000" w:themeColor="text1"/>
          <w:sz w:val="22"/>
          <w:szCs w:val="22"/>
          <w:lang w:val="en-US"/>
        </w:rPr>
        <w:fldChar w:fldCharType="end"/>
      </w:r>
      <w:r w:rsidRPr="007E4A52">
        <w:rPr>
          <w:rFonts w:ascii="Helvetica" w:hAnsi="Helvetica" w:cs="Helvetica"/>
          <w:color w:val="000000" w:themeColor="text1"/>
          <w:sz w:val="22"/>
          <w:szCs w:val="22"/>
          <w:lang w:val="en-US"/>
        </w:rPr>
        <w:t xml:space="preserve"> using an </w:t>
      </w:r>
      <w:proofErr w:type="spellStart"/>
      <w:r w:rsidRPr="007E4A52">
        <w:rPr>
          <w:rFonts w:ascii="Helvetica" w:hAnsi="Helvetica" w:cs="Helvetica"/>
          <w:color w:val="000000" w:themeColor="text1"/>
          <w:sz w:val="22"/>
          <w:szCs w:val="22"/>
          <w:lang w:val="en-US"/>
        </w:rPr>
        <w:t>Ensembl</w:t>
      </w:r>
      <w:proofErr w:type="spellEnd"/>
      <w:r w:rsidRPr="007E4A52">
        <w:rPr>
          <w:rFonts w:ascii="Helvetica" w:hAnsi="Helvetica" w:cs="Helvetica"/>
          <w:color w:val="000000" w:themeColor="text1"/>
          <w:sz w:val="22"/>
          <w:szCs w:val="22"/>
          <w:lang w:val="en-US"/>
        </w:rPr>
        <w:t xml:space="preserve"> version 99 </w:t>
      </w:r>
      <w:proofErr w:type="spellStart"/>
      <w:r w:rsidRPr="007E4A52">
        <w:rPr>
          <w:rFonts w:ascii="Helvetica" w:hAnsi="Helvetica" w:cs="Helvetica"/>
          <w:color w:val="000000" w:themeColor="text1"/>
          <w:sz w:val="22"/>
          <w:szCs w:val="22"/>
          <w:lang w:val="en-US"/>
        </w:rPr>
        <w:t>gtf</w:t>
      </w:r>
      <w:proofErr w:type="spellEnd"/>
      <w:r w:rsidRPr="007E4A52">
        <w:rPr>
          <w:rFonts w:ascii="Helvetica" w:hAnsi="Helvetica" w:cs="Helvetica"/>
          <w:color w:val="000000" w:themeColor="text1"/>
          <w:sz w:val="22"/>
          <w:szCs w:val="22"/>
          <w:lang w:val="en-US"/>
        </w:rPr>
        <w:t xml:space="preserve"> (Mus_musculus.GRCm38.99.gtf). </w:t>
      </w:r>
      <w:r w:rsidRPr="007E4A52">
        <w:rPr>
          <w:rFonts w:ascii="Helvetica" w:hAnsi="Helvetica" w:cs="Helvetica"/>
          <w:sz w:val="22"/>
          <w:szCs w:val="22"/>
          <w:lang w:val="en-US"/>
        </w:rPr>
        <w:t>Differential gene expression analysis was performed using the DESeq2 package</w:t>
      </w:r>
      <w:r w:rsidRPr="007E4A52">
        <w:rPr>
          <w:rFonts w:ascii="Helvetica" w:hAnsi="Helvetica" w:cs="Helvetica"/>
          <w:sz w:val="22"/>
          <w:szCs w:val="22"/>
          <w:lang w:val="en-US"/>
        </w:rPr>
        <w:fldChar w:fldCharType="begin" w:fldLock="1"/>
      </w:r>
      <w:r w:rsidR="00B22290" w:rsidRPr="007E4A52">
        <w:rPr>
          <w:rFonts w:ascii="Helvetica" w:hAnsi="Helvetica" w:cs="Helvetica"/>
          <w:sz w:val="22"/>
          <w:szCs w:val="22"/>
          <w:lang w:val="en-US"/>
        </w:rPr>
        <w:instrText>ADDIN CSL_CITATION {"citationItems":[{"id":"ITEM-1","itemData":{"DOI":"10.1186/s13059-014-0550-8","ISSN":"1474-760X (Electronic)","PMID":"25516281","abstract":"In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webcite.","author":[{"dropping-particle":"","family":"Love","given":"Michael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biology","id":"ITEM-1","issue":"12","issued":{"date-parts":[["2014"]]},"language":"eng","page":"550","title":"Moderated estimation of fold change and dispersion for RNA-seq data with DESeq2.","type":"article-journal","volume":"15"},"uris":["http://www.mendeley.com/documents/?uuid=954a4ce6-b76f-4b4d-9b42-b062651e4919"]}],"mendeley":{"formattedCitation":"(10)","plainTextFormattedCitation":"(10)","previouslyFormattedCitation":"(Love et al. 2014)"},"properties":{"noteIndex":0},"schema":"https://github.com/citation-style-language/schema/raw/master/csl-citation.json"}</w:instrText>
      </w:r>
      <w:r w:rsidRPr="007E4A52">
        <w:rPr>
          <w:rFonts w:ascii="Helvetica" w:hAnsi="Helvetica" w:cs="Helvetica"/>
          <w:sz w:val="22"/>
          <w:szCs w:val="22"/>
          <w:lang w:val="en-US"/>
        </w:rPr>
        <w:fldChar w:fldCharType="separate"/>
      </w:r>
      <w:r w:rsidR="00B22290" w:rsidRPr="007E4A52">
        <w:rPr>
          <w:rFonts w:ascii="Helvetica" w:hAnsi="Helvetica" w:cs="Helvetica"/>
          <w:noProof/>
          <w:sz w:val="22"/>
          <w:szCs w:val="22"/>
          <w:lang w:val="en-US"/>
        </w:rPr>
        <w:t>(10)</w:t>
      </w:r>
      <w:r w:rsidRPr="007E4A52">
        <w:rPr>
          <w:rFonts w:ascii="Helvetica" w:hAnsi="Helvetica" w:cs="Helvetica"/>
          <w:sz w:val="22"/>
          <w:szCs w:val="22"/>
          <w:lang w:val="en-US"/>
        </w:rPr>
        <w:fldChar w:fldCharType="end"/>
      </w:r>
      <w:r w:rsidRPr="007E4A52">
        <w:rPr>
          <w:rFonts w:ascii="Helvetica" w:hAnsi="Helvetica" w:cs="Helvetica"/>
          <w:sz w:val="22"/>
          <w:szCs w:val="22"/>
          <w:lang w:val="en-US"/>
        </w:rPr>
        <w:t xml:space="preserve"> </w:t>
      </w:r>
      <w:r w:rsidRPr="007E4A52">
        <w:rPr>
          <w:rFonts w:ascii="Helvetica" w:hAnsi="Helvetica" w:cs="Helvetica"/>
          <w:sz w:val="22"/>
          <w:lang w:val="en-US"/>
        </w:rPr>
        <w:t xml:space="preserve">(version 1.22.2) in R (version 3.5.1). To identify sex specific autosomal responses analysis was performed on </w:t>
      </w:r>
      <w:r w:rsidRPr="007E4A52">
        <w:rPr>
          <w:rFonts w:ascii="Helvetica" w:hAnsi="Helvetica" w:cs="Helvetica"/>
          <w:sz w:val="22"/>
          <w:lang w:val="en-US"/>
        </w:rPr>
        <w:lastRenderedPageBreak/>
        <w:t xml:space="preserve">protein coding genes with the X and Y chromosomes removed from analysis. Reads counts of genes were filtered by removing any gene with less than 10 counts across all samples. Analysis of normal and treated skin between sex was performed independently. </w:t>
      </w:r>
      <w:bookmarkStart w:id="0" w:name="_Hlk63419204"/>
      <w:r w:rsidRPr="007E4A52">
        <w:rPr>
          <w:rFonts w:ascii="Helvetica" w:hAnsi="Helvetica" w:cs="Helvetica"/>
          <w:sz w:val="22"/>
          <w:lang w:val="en-US"/>
        </w:rPr>
        <w:t>For differential expression between sex, data is presented as male expression relative to female. Genes expressed higher in males are represented by positive fold change, and genes higher in females by a negative fold change.</w:t>
      </w:r>
      <w:bookmarkEnd w:id="0"/>
      <w:r w:rsidRPr="007E4A52">
        <w:rPr>
          <w:rFonts w:ascii="Helvetica" w:hAnsi="Helvetica" w:cs="Helvetica"/>
          <w:sz w:val="22"/>
          <w:lang w:val="en-US"/>
        </w:rPr>
        <w:t xml:space="preserve"> For pathway enrichment analysis genes that were </w:t>
      </w:r>
      <w:r w:rsidRPr="007E4A52">
        <w:rPr>
          <w:rFonts w:ascii="Helvetica" w:hAnsi="Helvetica" w:cs="Helvetica"/>
          <w:sz w:val="22"/>
          <w:szCs w:val="22"/>
          <w:lang w:val="en-US"/>
        </w:rPr>
        <w:t>significantly differentially expressed between sexes in normal or treated skin (FDR p-value &lt; 0.2) were compared against the Hallmark Database using the Molecular Signatures Database v7.0 (</w:t>
      </w:r>
      <w:proofErr w:type="spellStart"/>
      <w:r w:rsidRPr="007E4A52">
        <w:rPr>
          <w:rFonts w:ascii="Helvetica" w:hAnsi="Helvetica" w:cs="Helvetica"/>
          <w:sz w:val="22"/>
          <w:szCs w:val="22"/>
          <w:lang w:val="en-US"/>
        </w:rPr>
        <w:t>Msigdb</w:t>
      </w:r>
      <w:proofErr w:type="spellEnd"/>
      <w:r w:rsidRPr="007E4A52">
        <w:rPr>
          <w:rFonts w:ascii="Helvetica" w:hAnsi="Helvetica" w:cs="Helvetica"/>
          <w:sz w:val="22"/>
          <w:szCs w:val="22"/>
          <w:lang w:val="en-US"/>
        </w:rPr>
        <w:t>, Broad Institute, https://www.gsea-msigdb.org/gsea/msigdb/index.jsp). Immune cell populations were inferred from RNA-</w:t>
      </w:r>
      <w:proofErr w:type="spellStart"/>
      <w:r w:rsidRPr="007E4A52">
        <w:rPr>
          <w:rFonts w:ascii="Helvetica" w:hAnsi="Helvetica" w:cs="Helvetica"/>
          <w:sz w:val="22"/>
          <w:szCs w:val="22"/>
          <w:lang w:val="en-US"/>
        </w:rPr>
        <w:t>seq</w:t>
      </w:r>
      <w:proofErr w:type="spellEnd"/>
      <w:r w:rsidRPr="007E4A52">
        <w:rPr>
          <w:rFonts w:ascii="Helvetica" w:hAnsi="Helvetica" w:cs="Helvetica"/>
          <w:sz w:val="22"/>
          <w:szCs w:val="22"/>
          <w:lang w:val="en-US"/>
        </w:rPr>
        <w:t xml:space="preserve"> data using </w:t>
      </w:r>
      <w:proofErr w:type="spellStart"/>
      <w:r w:rsidRPr="007E4A52">
        <w:rPr>
          <w:rFonts w:ascii="Helvetica" w:hAnsi="Helvetica" w:cs="Helvetica"/>
          <w:sz w:val="22"/>
          <w:szCs w:val="22"/>
          <w:lang w:val="en-US"/>
        </w:rPr>
        <w:t>ImmuCC</w:t>
      </w:r>
      <w:proofErr w:type="spellEnd"/>
      <w:r w:rsidRPr="007E4A52">
        <w:rPr>
          <w:rFonts w:ascii="Helvetica" w:hAnsi="Helvetica" w:cs="Helvetica"/>
          <w:sz w:val="22"/>
          <w:szCs w:val="22"/>
          <w:lang w:val="en-US"/>
        </w:rPr>
        <w:fldChar w:fldCharType="begin" w:fldLock="1"/>
      </w:r>
      <w:r w:rsidR="00B22290" w:rsidRPr="007E4A52">
        <w:rPr>
          <w:rFonts w:ascii="Helvetica" w:hAnsi="Helvetica" w:cs="Helvetica"/>
          <w:sz w:val="22"/>
          <w:szCs w:val="22"/>
          <w:lang w:val="en-US"/>
        </w:rPr>
        <w:instrText>ADDIN CSL_CITATION {"citationItems":[{"id":"ITEM-1","itemData":{"DOI":"10.3389/fimmu.2018.01286","ISSN":"1664-3224 (Print)","PMID":"29922297","abstract":"The RNA sequencing approach has been broadly used to provide gene-, pathway-, and  network-centric analyses for various cell and tissue samples. However, thus far, rich cellular information carried in tissue samples has not been thoroughly characterized from RNA-Seq data. Therefore, it would expand our horizons to better understand the biological processes of the body by incorporating a cell-centric view of tissue transcriptome. Here, a computational model named seq-ImmuCC was developed to infer the relative proportions of 10 major immune cells in mouse tissues from RNA-Seq data. The performance of seq-ImmuCC was evaluated among multiple computational algorithms, transcriptional platforms, and simulated and experimental datasets. The test results showed its stable performance and superb consistency with experimental observations under different conditions. With seq-ImmuCC, we generated the comprehensive landscape of immune cell compositions in 27 normal mouse tissues and extracted the distinct signatures of immune cell proportion among various tissue types. Furthermore, we quantitatively characterized and compared 18 different types of mouse tumor tissues of distinct cell origins with their immune cell compositions, which provided a comprehensive and informative measurement for the immune microenvironment inside tumor tissues. The online server of seq-ImmuCC are freely available at http://wap-lab.org:3200/immune/.","author":[{"dropping-particle":"","family":"Chen","given":"Ziyi","non-dropping-particle":"","parse-names":false,"suffix":""},{"dropping-particle":"","family":"Quan","given":"Lijun","non-dropping-particle":"","parse-names":false,"suffix":""},{"dropping-particle":"","family":"Huang","given":"Anfei","non-dropping-particle":"","parse-names":false,"suffix":""},{"dropping-particle":"","family":"Zhao","given":"Qiang","non-dropping-particle":"","parse-names":false,"suffix":""},{"dropping-particle":"","family":"Yuan","given":"Yao","non-dropping-particle":"","parse-names":false,"suffix":""},{"dropping-particle":"","family":"Yuan","given":"Xuye","non-dropping-particle":"","parse-names":false,"suffix":""},{"dropping-particle":"","family":"Shen","given":"Qin","non-dropping-particle":"","parse-names":false,"suffix":""},{"dropping-particle":"","family":"Shang","given":"Jingzhe","non-dropping-particle":"","parse-names":false,"suffix":""},{"dropping-particle":"","family":"Ben","given":"Yinyin","non-dropping-particle":"","parse-names":false,"suffix":""},{"dropping-particle":"","family":"Qin","given":"F Xiao-Feng","non-dropping-particle":"","parse-names":false,"suffix":""},{"dropping-particle":"","family":"Wu","given":"Aiping","non-dropping-particle":"","parse-names":false,"suffix":""}],"container-title":"Frontiers in immunology","id":"ITEM-1","issued":{"date-parts":[["2018"]]},"language":"eng","page":"1286","title":"seq-ImmuCC: Cell-Centric View of Tissue Transcriptome Measuring Cellular  Compositions of Immune Microenvironment From Mouse RNA-Seq Data.","type":"article-journal","volume":"9"},"uris":["http://www.mendeley.com/documents/?uuid=1c2aeb83-d2b4-431c-bab4-f0fb43e2bc06"]}],"mendeley":{"formattedCitation":"(11)","plainTextFormattedCitation":"(11)","previouslyFormattedCitation":"(Chen et al. 2018)"},"properties":{"noteIndex":0},"schema":"https://github.com/citation-style-language/schema/raw/master/csl-citation.json"}</w:instrText>
      </w:r>
      <w:r w:rsidRPr="007E4A52">
        <w:rPr>
          <w:rFonts w:ascii="Helvetica" w:hAnsi="Helvetica" w:cs="Helvetica"/>
          <w:sz w:val="22"/>
          <w:szCs w:val="22"/>
          <w:lang w:val="en-US"/>
        </w:rPr>
        <w:fldChar w:fldCharType="separate"/>
      </w:r>
      <w:r w:rsidR="00B22290" w:rsidRPr="007E4A52">
        <w:rPr>
          <w:rFonts w:ascii="Helvetica" w:hAnsi="Helvetica" w:cs="Helvetica"/>
          <w:noProof/>
          <w:sz w:val="22"/>
          <w:szCs w:val="22"/>
          <w:lang w:val="en-US"/>
        </w:rPr>
        <w:t>(11)</w:t>
      </w:r>
      <w:r w:rsidRPr="007E4A52">
        <w:rPr>
          <w:rFonts w:ascii="Helvetica" w:hAnsi="Helvetica" w:cs="Helvetica"/>
          <w:sz w:val="22"/>
          <w:szCs w:val="22"/>
          <w:lang w:val="en-US"/>
        </w:rPr>
        <w:fldChar w:fldCharType="end"/>
      </w:r>
      <w:r w:rsidRPr="007E4A52">
        <w:rPr>
          <w:rFonts w:ascii="Helvetica" w:hAnsi="Helvetica" w:cs="Helvetica"/>
          <w:sz w:val="22"/>
          <w:szCs w:val="22"/>
          <w:lang w:val="en-US"/>
        </w:rPr>
        <w:t xml:space="preserve">. </w:t>
      </w:r>
    </w:p>
    <w:p w14:paraId="18D930BA" w14:textId="77777777" w:rsidR="00834906" w:rsidRPr="007E4A52" w:rsidRDefault="00834906" w:rsidP="00834906">
      <w:pPr>
        <w:spacing w:line="480" w:lineRule="auto"/>
        <w:contextualSpacing/>
        <w:jc w:val="both"/>
        <w:rPr>
          <w:rFonts w:ascii="Helvetica" w:hAnsi="Helvetica" w:cs="Arial"/>
          <w:b/>
          <w:sz w:val="22"/>
          <w:szCs w:val="22"/>
          <w:lang w:val="en-US"/>
        </w:rPr>
      </w:pPr>
    </w:p>
    <w:p w14:paraId="5F2F1D0B" w14:textId="77777777" w:rsidR="00834906" w:rsidRPr="007E4A52" w:rsidRDefault="00834906" w:rsidP="00834906">
      <w:pPr>
        <w:spacing w:line="480" w:lineRule="auto"/>
        <w:contextualSpacing/>
        <w:jc w:val="both"/>
        <w:rPr>
          <w:rFonts w:ascii="Helvetica" w:hAnsi="Helvetica" w:cs="Arial"/>
          <w:b/>
          <w:sz w:val="22"/>
          <w:szCs w:val="22"/>
          <w:lang w:val="en-US"/>
        </w:rPr>
      </w:pPr>
      <w:r w:rsidRPr="007E4A52">
        <w:rPr>
          <w:rFonts w:ascii="Helvetica" w:hAnsi="Helvetica" w:cs="Arial"/>
          <w:b/>
          <w:sz w:val="22"/>
          <w:szCs w:val="22"/>
          <w:lang w:val="en-US"/>
        </w:rPr>
        <w:t>Histological mouse sample analysis</w:t>
      </w:r>
    </w:p>
    <w:p w14:paraId="2D7A2828" w14:textId="7B688BAD" w:rsidR="00834906" w:rsidRPr="007E4A52" w:rsidRDefault="00834906" w:rsidP="00834906">
      <w:pPr>
        <w:spacing w:line="480" w:lineRule="auto"/>
        <w:jc w:val="both"/>
        <w:rPr>
          <w:rFonts w:ascii="Helvetica" w:hAnsi="Helvetica" w:cs="Helvetica"/>
          <w:color w:val="000000" w:themeColor="text1"/>
          <w:sz w:val="22"/>
          <w:szCs w:val="22"/>
        </w:rPr>
      </w:pPr>
      <w:r w:rsidRPr="007E4A52">
        <w:rPr>
          <w:rFonts w:ascii="Helvetica" w:hAnsi="Helvetica"/>
          <w:sz w:val="22"/>
          <w:szCs w:val="22"/>
          <w:lang w:val="en-US"/>
        </w:rPr>
        <w:t xml:space="preserve">The histological analysis of animals was performed on the four most prominent lesions per mouse, by diameter, blinded for mouse sex. (A.V., L.M.). Tumors were scored as </w:t>
      </w:r>
      <w:proofErr w:type="spellStart"/>
      <w:r w:rsidRPr="007E4A52">
        <w:rPr>
          <w:rFonts w:ascii="Helvetica" w:hAnsi="Helvetica"/>
          <w:sz w:val="22"/>
          <w:szCs w:val="22"/>
          <w:lang w:val="en-US"/>
        </w:rPr>
        <w:t>papillomas</w:t>
      </w:r>
      <w:proofErr w:type="spellEnd"/>
      <w:r w:rsidRPr="007E4A52">
        <w:rPr>
          <w:rFonts w:ascii="Helvetica" w:hAnsi="Helvetica"/>
          <w:sz w:val="22"/>
          <w:szCs w:val="22"/>
          <w:lang w:val="en-US"/>
        </w:rPr>
        <w:t xml:space="preserve"> where the histological features revealed papillary or pedunculated neoplasms of the epithelium with marked acanthosis, papillomatosis and hyperkeratosis surrounding a fibrovascular core, with no evidence of invasion of the dermis. </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xml:space="preserve"> was defined as a carcinoma of the keratinocytes invading the dermis, and graded: </w:t>
      </w:r>
      <w:r w:rsidRPr="007E4A52">
        <w:rPr>
          <w:rFonts w:ascii="Helvetica" w:hAnsi="Helvetica"/>
          <w:color w:val="000000"/>
          <w:sz w:val="22"/>
          <w:szCs w:val="22"/>
          <w:lang w:val="en-US"/>
        </w:rPr>
        <w:t xml:space="preserve">Well differentiated where there was an easily recognizable squamous epithelium, abundant keratinization, apparent intercellular bridges, minimal pleomorphism, and only basally located mitotic figures; Keratoacanthoma when in addition to features of squamous differentiation, the lesion had a marked crateriform appearance limited by squamous lips;  Moderately differentiated where only focal keratinization was present and features observed ranged between well and poorly differentiated, with more mitoses across the layers of tumor; and Poorly differentiated where minimal keratinization, marked nuclear atypia, multiple mitoses and scarce squamous differentiation was present. Complete body autopsies were performed, and lymph nodes and </w:t>
      </w:r>
      <w:r w:rsidRPr="007E4A52">
        <w:rPr>
          <w:rFonts w:ascii="Helvetica" w:hAnsi="Helvetica"/>
          <w:color w:val="000000"/>
          <w:sz w:val="22"/>
          <w:szCs w:val="22"/>
          <w:lang w:val="en-US"/>
        </w:rPr>
        <w:lastRenderedPageBreak/>
        <w:t xml:space="preserve">organs (except brain) assessed by H&amp;E and pan-keratin stains to confirm metastatic deposits. To measure skin thickness, 10 areas of non-DT exposed and DT exposed skin were examined at 20x, with a Leica Biosystems multiheaded microscope, and superposed layers of epidermis counted. The median number of layers was recorded per site, for n=13 animals. To establish the rate of mitosis, we stained a subset of </w:t>
      </w:r>
      <w:proofErr w:type="spellStart"/>
      <w:r w:rsidRPr="007E4A52">
        <w:rPr>
          <w:rFonts w:ascii="Helvetica" w:hAnsi="Helvetica"/>
          <w:color w:val="000000"/>
          <w:sz w:val="22"/>
          <w:szCs w:val="22"/>
          <w:lang w:val="en-US"/>
        </w:rPr>
        <w:t>cSCCs</w:t>
      </w:r>
      <w:proofErr w:type="spellEnd"/>
      <w:r w:rsidRPr="007E4A52">
        <w:rPr>
          <w:rFonts w:ascii="Helvetica" w:hAnsi="Helvetica"/>
          <w:color w:val="000000"/>
          <w:sz w:val="22"/>
          <w:szCs w:val="22"/>
          <w:lang w:val="en-US"/>
        </w:rPr>
        <w:t xml:space="preserve"> (n =12) and adjacent skin (n =24) with </w:t>
      </w:r>
      <w:r w:rsidRPr="007E4A52">
        <w:rPr>
          <w:rFonts w:ascii="Helvetica" w:hAnsi="Helvetica" w:cs="Arial"/>
          <w:color w:val="000000" w:themeColor="text1"/>
          <w:sz w:val="22"/>
          <w:szCs w:val="22"/>
          <w:lang w:val="en-US"/>
        </w:rPr>
        <w:t>Anti-phospho-Histone H3 (Ser10)</w:t>
      </w:r>
      <w:r w:rsidRPr="007E4A52">
        <w:rPr>
          <w:rStyle w:val="apple-converted-space"/>
          <w:rFonts w:ascii="Helvetica" w:hAnsi="Helvetica" w:cs="Arial"/>
          <w:color w:val="000000" w:themeColor="text1"/>
          <w:sz w:val="22"/>
          <w:szCs w:val="22"/>
          <w:lang w:val="en-US"/>
        </w:rPr>
        <w:t> </w:t>
      </w:r>
      <w:r w:rsidRPr="007E4A52">
        <w:rPr>
          <w:rFonts w:ascii="Helvetica" w:hAnsi="Helvetica" w:cs="Arial"/>
          <w:color w:val="000000" w:themeColor="text1"/>
          <w:sz w:val="22"/>
          <w:szCs w:val="22"/>
          <w:shd w:val="clear" w:color="auto" w:fill="FFFFFF"/>
          <w:lang w:val="en-US"/>
        </w:rPr>
        <w:t>(06-570)</w:t>
      </w:r>
      <w:r w:rsidRPr="007E4A52">
        <w:rPr>
          <w:rFonts w:ascii="Helvetica" w:hAnsi="Helvetica" w:cs="Arial"/>
          <w:color w:val="000000" w:themeColor="text1"/>
          <w:sz w:val="22"/>
          <w:szCs w:val="22"/>
          <w:lang w:val="en-US"/>
        </w:rPr>
        <w:t xml:space="preserve"> </w:t>
      </w:r>
      <w:proofErr w:type="spellStart"/>
      <w:r w:rsidRPr="007E4A52">
        <w:rPr>
          <w:rFonts w:ascii="Helvetica" w:hAnsi="Helvetica" w:cs="Arial"/>
          <w:color w:val="000000" w:themeColor="text1"/>
          <w:sz w:val="22"/>
          <w:szCs w:val="22"/>
          <w:lang w:val="en-US"/>
        </w:rPr>
        <w:t>MilliporeSigma</w:t>
      </w:r>
      <w:proofErr w:type="spellEnd"/>
      <w:r w:rsidRPr="007E4A52">
        <w:rPr>
          <w:rFonts w:ascii="Helvetica" w:hAnsi="Helvetica"/>
          <w:color w:val="000000" w:themeColor="text1"/>
          <w:sz w:val="22"/>
          <w:szCs w:val="22"/>
          <w:lang w:val="en-US"/>
        </w:rPr>
        <w:t xml:space="preserve">. </w:t>
      </w:r>
      <w:proofErr w:type="spellStart"/>
      <w:r w:rsidRPr="007E4A52">
        <w:rPr>
          <w:rFonts w:ascii="Helvetica" w:hAnsi="Helvetica"/>
          <w:color w:val="000000" w:themeColor="text1"/>
          <w:sz w:val="22"/>
          <w:szCs w:val="22"/>
          <w:lang w:val="en-US"/>
        </w:rPr>
        <w:t>cSCCs</w:t>
      </w:r>
      <w:proofErr w:type="spellEnd"/>
      <w:r w:rsidRPr="007E4A52">
        <w:rPr>
          <w:rFonts w:ascii="Helvetica" w:hAnsi="Helvetica"/>
          <w:color w:val="000000" w:themeColor="text1"/>
          <w:sz w:val="22"/>
          <w:szCs w:val="22"/>
          <w:lang w:val="en-US"/>
        </w:rPr>
        <w:t xml:space="preserve"> and skin wer</w:t>
      </w:r>
      <w:r w:rsidRPr="007E4A52">
        <w:rPr>
          <w:rFonts w:ascii="Helvetica" w:hAnsi="Helvetica"/>
          <w:color w:val="000000"/>
          <w:sz w:val="22"/>
          <w:szCs w:val="22"/>
          <w:lang w:val="en-US"/>
        </w:rPr>
        <w:t xml:space="preserve">e scored by proportion of positive cells </w:t>
      </w:r>
      <w:r w:rsidRPr="007E4A52">
        <w:rPr>
          <w:rFonts w:ascii="Helvetica" w:hAnsi="Helvetica"/>
          <w:color w:val="000000" w:themeColor="text1"/>
          <w:sz w:val="22"/>
          <w:szCs w:val="22"/>
          <w:lang w:val="en-US"/>
        </w:rPr>
        <w:t xml:space="preserve">incrementally in 4 categories. To compare the density of infiltrating CD4 and CD8 T cells, we stained </w:t>
      </w:r>
      <w:proofErr w:type="spellStart"/>
      <w:r w:rsidRPr="007E4A52">
        <w:rPr>
          <w:rFonts w:ascii="Helvetica" w:hAnsi="Helvetica"/>
          <w:color w:val="000000" w:themeColor="text1"/>
          <w:sz w:val="22"/>
          <w:szCs w:val="22"/>
          <w:lang w:val="en-US"/>
        </w:rPr>
        <w:t>cSCCs</w:t>
      </w:r>
      <w:proofErr w:type="spellEnd"/>
      <w:r w:rsidRPr="007E4A52">
        <w:rPr>
          <w:rFonts w:ascii="Helvetica" w:hAnsi="Helvetica"/>
          <w:color w:val="000000" w:themeColor="text1"/>
          <w:sz w:val="22"/>
          <w:szCs w:val="22"/>
          <w:lang w:val="en-US"/>
        </w:rPr>
        <w:t xml:space="preserve"> and adjacent skin with </w:t>
      </w:r>
      <w:r w:rsidRPr="007E4A52">
        <w:rPr>
          <w:rFonts w:ascii="Helvetica" w:hAnsi="Helvetica" w:cs="Arial"/>
          <w:color w:val="000000" w:themeColor="text1"/>
          <w:spacing w:val="8"/>
          <w:sz w:val="22"/>
          <w:szCs w:val="22"/>
          <w:lang w:val="en-US"/>
        </w:rPr>
        <w:t>CD4 Antibody (</w:t>
      </w:r>
      <w:hyperlink r:id="rId12" w:history="1">
        <w:r w:rsidRPr="007E4A52">
          <w:rPr>
            <w:rStyle w:val="Hyperlink"/>
            <w:rFonts w:ascii="Helvetica" w:hAnsi="Helvetica" w:cs="Arial"/>
            <w:color w:val="000000" w:themeColor="text1"/>
            <w:spacing w:val="8"/>
            <w:sz w:val="22"/>
            <w:szCs w:val="22"/>
            <w:u w:val="none"/>
            <w:lang w:val="en-US"/>
          </w:rPr>
          <w:t>14-9766-82</w:t>
        </w:r>
      </w:hyperlink>
      <w:r w:rsidRPr="00525FDB">
        <w:rPr>
          <w:rFonts w:ascii="Helvetica" w:hAnsi="Helvetica" w:cs="Arial"/>
          <w:color w:val="000000" w:themeColor="text1"/>
          <w:spacing w:val="8"/>
          <w:sz w:val="22"/>
          <w:szCs w:val="22"/>
          <w:lang w:val="en-US"/>
        </w:rPr>
        <w:t>)</w:t>
      </w:r>
      <w:r w:rsidR="00525FDB" w:rsidRPr="00525FDB" w:rsidDel="00525FDB">
        <w:rPr>
          <w:rFonts w:ascii="Helvetica" w:hAnsi="Helvetica" w:cs="Arial"/>
          <w:color w:val="000000" w:themeColor="text1"/>
          <w:spacing w:val="8"/>
          <w:sz w:val="22"/>
          <w:szCs w:val="22"/>
          <w:shd w:val="clear" w:color="auto" w:fill="F7F7F7"/>
          <w:lang w:val="en-US"/>
        </w:rPr>
        <w:t xml:space="preserve"> </w:t>
      </w:r>
      <w:proofErr w:type="spellStart"/>
      <w:r w:rsidR="00525FDB">
        <w:rPr>
          <w:rFonts w:ascii="Helvetica" w:hAnsi="Helvetica" w:cs="Arial"/>
          <w:color w:val="000000" w:themeColor="text1"/>
          <w:spacing w:val="8"/>
          <w:sz w:val="22"/>
          <w:szCs w:val="22"/>
          <w:lang w:val="en-US"/>
        </w:rPr>
        <w:t>ThermoFisher</w:t>
      </w:r>
      <w:proofErr w:type="spellEnd"/>
      <w:r w:rsidR="00525FDB">
        <w:rPr>
          <w:rFonts w:ascii="Helvetica" w:hAnsi="Helvetica" w:cs="Arial"/>
          <w:color w:val="000000" w:themeColor="text1"/>
          <w:spacing w:val="8"/>
          <w:sz w:val="22"/>
          <w:szCs w:val="22"/>
          <w:lang w:val="en-US"/>
        </w:rPr>
        <w:t xml:space="preserve"> / </w:t>
      </w:r>
      <w:proofErr w:type="spellStart"/>
      <w:r w:rsidR="00525FDB">
        <w:rPr>
          <w:rFonts w:ascii="Helvetica" w:hAnsi="Helvetica" w:cs="Arial"/>
          <w:color w:val="000000" w:themeColor="text1"/>
          <w:spacing w:val="8"/>
          <w:sz w:val="22"/>
          <w:szCs w:val="22"/>
          <w:lang w:val="en-US"/>
        </w:rPr>
        <w:t>e</w:t>
      </w:r>
      <w:r w:rsidRPr="007E4A52">
        <w:rPr>
          <w:rFonts w:ascii="Helvetica" w:hAnsi="Helvetica" w:cs="Arial"/>
          <w:color w:val="000000" w:themeColor="text1"/>
          <w:spacing w:val="8"/>
          <w:sz w:val="22"/>
          <w:szCs w:val="22"/>
          <w:lang w:val="en-US"/>
        </w:rPr>
        <w:t>Bioscience</w:t>
      </w:r>
      <w:proofErr w:type="spellEnd"/>
      <w:r w:rsidRPr="007E4A52">
        <w:rPr>
          <w:rFonts w:ascii="Helvetica" w:hAnsi="Helvetica"/>
          <w:color w:val="000000" w:themeColor="text1"/>
          <w:sz w:val="22"/>
          <w:szCs w:val="22"/>
          <w:lang w:val="en-US"/>
        </w:rPr>
        <w:t xml:space="preserve"> and </w:t>
      </w:r>
      <w:r w:rsidRPr="007E4A52">
        <w:rPr>
          <w:rFonts w:ascii="Helvetica" w:hAnsi="Helvetica" w:cs="Arial"/>
          <w:color w:val="000000" w:themeColor="text1"/>
          <w:sz w:val="22"/>
          <w:szCs w:val="22"/>
          <w:lang w:val="en-US"/>
        </w:rPr>
        <w:t>CD8a Antibody (</w:t>
      </w:r>
      <w:hyperlink r:id="rId13" w:history="1">
        <w:r w:rsidRPr="007E4A52">
          <w:rPr>
            <w:rStyle w:val="Hyperlink"/>
            <w:rFonts w:ascii="Helvetica" w:hAnsi="Helvetica" w:cs="Arial"/>
            <w:color w:val="000000" w:themeColor="text1"/>
            <w:sz w:val="22"/>
            <w:szCs w:val="22"/>
            <w:u w:val="none"/>
            <w:lang w:val="en-US"/>
          </w:rPr>
          <w:t>14-0808-82</w:t>
        </w:r>
      </w:hyperlink>
      <w:r w:rsidRPr="007E4A52">
        <w:rPr>
          <w:rFonts w:ascii="Helvetica" w:hAnsi="Helvetica" w:cs="Arial"/>
          <w:color w:val="000000" w:themeColor="text1"/>
          <w:sz w:val="22"/>
          <w:szCs w:val="22"/>
          <w:lang w:val="en-US"/>
        </w:rPr>
        <w:t xml:space="preserve">)  </w:t>
      </w:r>
      <w:proofErr w:type="spellStart"/>
      <w:r w:rsidRPr="007E4A52">
        <w:rPr>
          <w:rFonts w:ascii="Helvetica" w:hAnsi="Helvetica" w:cs="Arial"/>
          <w:color w:val="000000" w:themeColor="text1"/>
          <w:sz w:val="22"/>
          <w:szCs w:val="22"/>
          <w:lang w:val="en-US"/>
        </w:rPr>
        <w:t>ThermoFisher</w:t>
      </w:r>
      <w:proofErr w:type="spellEnd"/>
      <w:r w:rsidRPr="007E4A52">
        <w:rPr>
          <w:rFonts w:ascii="Helvetica" w:hAnsi="Helvetica" w:cs="Arial"/>
          <w:color w:val="000000" w:themeColor="text1"/>
          <w:sz w:val="22"/>
          <w:szCs w:val="22"/>
          <w:lang w:val="en-US"/>
        </w:rPr>
        <w:t xml:space="preserve"> / </w:t>
      </w:r>
      <w:proofErr w:type="spellStart"/>
      <w:r w:rsidRPr="007E4A52">
        <w:rPr>
          <w:rFonts w:ascii="Helvetica" w:hAnsi="Helvetica" w:cs="Arial"/>
          <w:color w:val="000000" w:themeColor="text1"/>
          <w:sz w:val="22"/>
          <w:szCs w:val="22"/>
          <w:lang w:val="en-US"/>
        </w:rPr>
        <w:t>eBioscience.</w:t>
      </w:r>
      <w:r w:rsidRPr="007E4A52">
        <w:rPr>
          <w:rFonts w:ascii="Helvetica" w:hAnsi="Helvetica" w:cs="Arial"/>
          <w:color w:val="000000" w:themeColor="text1"/>
          <w:kern w:val="36"/>
          <w:sz w:val="22"/>
          <w:szCs w:val="22"/>
          <w:lang w:val="en-US"/>
        </w:rPr>
        <w:t>The</w:t>
      </w:r>
      <w:proofErr w:type="spellEnd"/>
      <w:r w:rsidRPr="007E4A52">
        <w:rPr>
          <w:rFonts w:ascii="Helvetica" w:hAnsi="Helvetica" w:cs="Arial"/>
          <w:color w:val="000000" w:themeColor="text1"/>
          <w:kern w:val="36"/>
          <w:sz w:val="22"/>
          <w:szCs w:val="22"/>
          <w:lang w:val="en-US"/>
        </w:rPr>
        <w:t xml:space="preserve"> samples were scored in 5 incremental categories. For the inflammatory infiltration in the DMBA/TPA +/- prednisolone cohorts, </w:t>
      </w:r>
      <w:r w:rsidRPr="007E4A52">
        <w:rPr>
          <w:rFonts w:ascii="Helvetica" w:hAnsi="Helvetica" w:cs="Helvetica"/>
          <w:color w:val="000000" w:themeColor="text1"/>
          <w:sz w:val="22"/>
          <w:szCs w:val="22"/>
        </w:rPr>
        <w:t>scores were obtained across n=15 fields of skin per condition x100 magnification.</w:t>
      </w:r>
    </w:p>
    <w:p w14:paraId="4263555B" w14:textId="77777777" w:rsidR="00834906" w:rsidRPr="007E4A52" w:rsidRDefault="00834906" w:rsidP="00834906">
      <w:pPr>
        <w:spacing w:line="480" w:lineRule="auto"/>
        <w:contextualSpacing/>
        <w:jc w:val="both"/>
        <w:rPr>
          <w:rFonts w:ascii="Helvetica" w:hAnsi="Helvetica" w:cs="Arial"/>
          <w:b/>
          <w:sz w:val="22"/>
          <w:szCs w:val="22"/>
          <w:lang w:val="en-US"/>
        </w:rPr>
      </w:pPr>
    </w:p>
    <w:p w14:paraId="77CE6131" w14:textId="77777777" w:rsidR="00834906" w:rsidRPr="007E4A52" w:rsidRDefault="00834906" w:rsidP="00834906">
      <w:pPr>
        <w:spacing w:line="480" w:lineRule="auto"/>
        <w:contextualSpacing/>
        <w:jc w:val="both"/>
        <w:rPr>
          <w:rFonts w:ascii="Helvetica" w:hAnsi="Helvetica" w:cs="Arial"/>
          <w:sz w:val="22"/>
          <w:szCs w:val="22"/>
          <w:lang w:val="en-US"/>
        </w:rPr>
      </w:pPr>
      <w:bookmarkStart w:id="1" w:name="_GoBack"/>
      <w:r w:rsidRPr="007E4A52">
        <w:rPr>
          <w:rFonts w:ascii="Helvetica" w:hAnsi="Helvetica" w:cs="Arial"/>
          <w:b/>
          <w:sz w:val="22"/>
          <w:szCs w:val="22"/>
          <w:lang w:val="en-US"/>
        </w:rPr>
        <w:t>Clinical human sample analysis</w:t>
      </w:r>
    </w:p>
    <w:p w14:paraId="43738C89" w14:textId="75610906" w:rsidR="00834906" w:rsidRPr="007E4A52" w:rsidRDefault="00834906" w:rsidP="00834906">
      <w:pPr>
        <w:autoSpaceDE w:val="0"/>
        <w:autoSpaceDN w:val="0"/>
        <w:adjustRightInd w:val="0"/>
        <w:spacing w:line="480" w:lineRule="auto"/>
        <w:jc w:val="both"/>
        <w:rPr>
          <w:rFonts w:ascii="Helvetica" w:hAnsi="Helvetica"/>
          <w:sz w:val="22"/>
          <w:szCs w:val="22"/>
          <w:lang w:val="en-US"/>
        </w:rPr>
      </w:pPr>
      <w:r w:rsidRPr="007E4A52">
        <w:rPr>
          <w:rFonts w:ascii="Helvetica" w:hAnsi="Helvetica" w:cs="Arial"/>
          <w:sz w:val="22"/>
          <w:szCs w:val="22"/>
          <w:lang w:val="en-US"/>
        </w:rPr>
        <w:t xml:space="preserve">Age, sex, immune status and histological grade of human primary cutaneous squamous cell carcinoma were audited from 3 UK NHS hospitals: A: the Christie NHS Foundation Trust, Manchester B: Salford Royal NHS Foundation Trust, Manchester and C: St George’s NHS Foundation Trust, London. Samples from immune-competent and immune-suppressed patients were identified from consecutive, routine pathology reports coded for excised </w:t>
      </w:r>
      <w:proofErr w:type="spellStart"/>
      <w:r w:rsidRPr="007E4A52">
        <w:rPr>
          <w:rFonts w:ascii="Helvetica" w:hAnsi="Helvetica" w:cs="Arial"/>
          <w:sz w:val="22"/>
          <w:szCs w:val="22"/>
          <w:lang w:val="en-US"/>
        </w:rPr>
        <w:t>cSCC</w:t>
      </w:r>
      <w:proofErr w:type="spellEnd"/>
      <w:r w:rsidRPr="007E4A52">
        <w:rPr>
          <w:rFonts w:ascii="Helvetica" w:hAnsi="Helvetica" w:cs="Arial"/>
          <w:sz w:val="22"/>
          <w:szCs w:val="22"/>
          <w:lang w:val="en-US"/>
        </w:rPr>
        <w:t xml:space="preserve"> in a period of 18 months at A and B.  An additional search for </w:t>
      </w:r>
      <w:proofErr w:type="spellStart"/>
      <w:r w:rsidRPr="007E4A52">
        <w:rPr>
          <w:rFonts w:ascii="Helvetica" w:hAnsi="Helvetica" w:cs="Arial"/>
          <w:sz w:val="22"/>
          <w:szCs w:val="22"/>
          <w:lang w:val="en-US"/>
        </w:rPr>
        <w:t>cSCC</w:t>
      </w:r>
      <w:proofErr w:type="spellEnd"/>
      <w:r w:rsidRPr="007E4A52">
        <w:rPr>
          <w:rFonts w:ascii="Helvetica" w:hAnsi="Helvetica" w:cs="Arial"/>
          <w:sz w:val="22"/>
          <w:szCs w:val="22"/>
          <w:lang w:val="en-US"/>
        </w:rPr>
        <w:t xml:space="preserve"> from immune-suppressed </w:t>
      </w:r>
      <w:proofErr w:type="spellStart"/>
      <w:r w:rsidRPr="007E4A52">
        <w:rPr>
          <w:rFonts w:ascii="Helvetica" w:hAnsi="Helvetica" w:cs="Arial"/>
          <w:sz w:val="22"/>
          <w:szCs w:val="22"/>
          <w:lang w:val="en-US"/>
        </w:rPr>
        <w:t>cSCC</w:t>
      </w:r>
      <w:proofErr w:type="spellEnd"/>
      <w:r w:rsidRPr="007E4A52">
        <w:rPr>
          <w:rFonts w:ascii="Helvetica" w:hAnsi="Helvetica" w:cs="Arial"/>
          <w:sz w:val="22"/>
          <w:szCs w:val="22"/>
          <w:lang w:val="en-US"/>
        </w:rPr>
        <w:t xml:space="preserve"> was performed by identifying patients in clinical lists of organ transplant recipients/ immunosuppressed patient skin cancer clinics seen at B. Samples from immunocompetent and suppressed patients from C were identified from consecutive multidisciplinary team meetings and from consecutive dermatology-led organ transplant skin cancer clinics. Bowen’s, in situ and rare histological variants of </w:t>
      </w:r>
      <w:proofErr w:type="spellStart"/>
      <w:r w:rsidRPr="007E4A52">
        <w:rPr>
          <w:rFonts w:ascii="Helvetica" w:hAnsi="Helvetica" w:cs="Arial"/>
          <w:sz w:val="22"/>
          <w:szCs w:val="22"/>
          <w:lang w:val="en-US"/>
        </w:rPr>
        <w:t>cSCC</w:t>
      </w:r>
      <w:proofErr w:type="spellEnd"/>
      <w:r w:rsidRPr="007E4A52">
        <w:rPr>
          <w:rFonts w:ascii="Helvetica" w:hAnsi="Helvetica" w:cs="Arial"/>
          <w:sz w:val="22"/>
          <w:szCs w:val="22"/>
          <w:lang w:val="en-US"/>
        </w:rPr>
        <w:t xml:space="preserve"> (</w:t>
      </w:r>
      <w:r w:rsidRPr="007E4A52">
        <w:rPr>
          <w:rFonts w:ascii="Helvetica" w:hAnsi="Helvetica" w:cs="Arial"/>
          <w:iCs/>
          <w:color w:val="1C1D1E"/>
          <w:sz w:val="22"/>
          <w:szCs w:val="22"/>
          <w:lang w:val="en-US"/>
        </w:rPr>
        <w:t>SCC with osteoclast</w:t>
      </w:r>
      <w:r w:rsidRPr="007E4A52">
        <w:rPr>
          <w:rFonts w:ascii="Helvetica" w:hAnsi="Helvetica" w:cs="Cambria Math"/>
          <w:iCs/>
          <w:color w:val="1C1D1E"/>
          <w:sz w:val="22"/>
          <w:szCs w:val="22"/>
          <w:lang w:val="en-US"/>
        </w:rPr>
        <w:t>‐</w:t>
      </w:r>
      <w:r w:rsidRPr="007E4A52">
        <w:rPr>
          <w:rFonts w:ascii="Helvetica" w:hAnsi="Helvetica" w:cs="Arial"/>
          <w:iCs/>
          <w:color w:val="1C1D1E"/>
          <w:sz w:val="22"/>
          <w:szCs w:val="22"/>
          <w:lang w:val="en-US"/>
        </w:rPr>
        <w:t>like giant cells</w:t>
      </w:r>
      <w:r w:rsidRPr="007E4A52">
        <w:rPr>
          <w:rFonts w:ascii="Helvetica" w:hAnsi="Helvetica"/>
          <w:sz w:val="22"/>
          <w:szCs w:val="22"/>
          <w:lang w:val="en-US"/>
        </w:rPr>
        <w:t xml:space="preserve">, </w:t>
      </w:r>
      <w:r w:rsidRPr="007E4A52">
        <w:rPr>
          <w:rFonts w:ascii="Helvetica" w:hAnsi="Helvetica" w:cs="Arial"/>
          <w:iCs/>
          <w:color w:val="1C1D1E"/>
          <w:sz w:val="22"/>
          <w:szCs w:val="22"/>
          <w:lang w:val="en-US"/>
        </w:rPr>
        <w:t xml:space="preserve">with </w:t>
      </w:r>
      <w:proofErr w:type="spellStart"/>
      <w:r w:rsidRPr="007E4A52">
        <w:rPr>
          <w:rFonts w:ascii="Helvetica" w:hAnsi="Helvetica" w:cs="Arial"/>
          <w:iCs/>
          <w:color w:val="1C1D1E"/>
          <w:sz w:val="22"/>
          <w:szCs w:val="22"/>
          <w:lang w:val="en-US"/>
        </w:rPr>
        <w:t>sarcomatoid</w:t>
      </w:r>
      <w:proofErr w:type="spellEnd"/>
      <w:r w:rsidRPr="007E4A52">
        <w:rPr>
          <w:rFonts w:ascii="Helvetica" w:hAnsi="Helvetica" w:cs="Arial"/>
          <w:iCs/>
          <w:color w:val="1C1D1E"/>
          <w:sz w:val="22"/>
          <w:szCs w:val="22"/>
          <w:lang w:val="en-US"/>
        </w:rPr>
        <w:t xml:space="preserve"> differentiation, </w:t>
      </w:r>
      <w:proofErr w:type="spellStart"/>
      <w:r w:rsidRPr="007E4A52">
        <w:rPr>
          <w:rFonts w:ascii="Helvetica" w:hAnsi="Helvetica" w:cs="Arial"/>
          <w:iCs/>
          <w:color w:val="1C1D1E"/>
          <w:sz w:val="22"/>
          <w:szCs w:val="22"/>
          <w:lang w:val="en-US"/>
        </w:rPr>
        <w:t>pseudovascular</w:t>
      </w:r>
      <w:proofErr w:type="spellEnd"/>
      <w:r w:rsidRPr="007E4A52">
        <w:rPr>
          <w:rFonts w:ascii="Helvetica" w:hAnsi="Helvetica" w:cs="Arial"/>
          <w:iCs/>
          <w:color w:val="1C1D1E"/>
          <w:sz w:val="22"/>
          <w:szCs w:val="22"/>
          <w:lang w:val="en-US"/>
        </w:rPr>
        <w:t xml:space="preserve">/ </w:t>
      </w:r>
      <w:proofErr w:type="spellStart"/>
      <w:r w:rsidRPr="007E4A52">
        <w:rPr>
          <w:rFonts w:ascii="Helvetica" w:hAnsi="Helvetica" w:cs="Arial"/>
          <w:iCs/>
          <w:color w:val="1C1D1E"/>
          <w:sz w:val="22"/>
          <w:szCs w:val="22"/>
          <w:lang w:val="en-US"/>
        </w:rPr>
        <w:t>pseudoangiomatoid</w:t>
      </w:r>
      <w:proofErr w:type="spellEnd"/>
      <w:r w:rsidRPr="007E4A52">
        <w:rPr>
          <w:rFonts w:ascii="Helvetica" w:hAnsi="Helvetica" w:cs="Arial"/>
          <w:iCs/>
          <w:color w:val="1C1D1E"/>
          <w:sz w:val="22"/>
          <w:szCs w:val="22"/>
          <w:lang w:val="en-US"/>
        </w:rPr>
        <w:t xml:space="preserve"> SCC</w:t>
      </w:r>
      <w:r w:rsidRPr="007E4A52">
        <w:rPr>
          <w:rFonts w:ascii="Helvetica" w:hAnsi="Helvetica"/>
          <w:sz w:val="22"/>
          <w:szCs w:val="22"/>
          <w:lang w:val="en-US"/>
        </w:rPr>
        <w:t xml:space="preserve">, </w:t>
      </w:r>
      <w:r w:rsidRPr="007E4A52">
        <w:rPr>
          <w:rFonts w:ascii="Helvetica" w:hAnsi="Helvetica"/>
          <w:sz w:val="22"/>
          <w:szCs w:val="22"/>
          <w:lang w:val="en-US"/>
        </w:rPr>
        <w:lastRenderedPageBreak/>
        <w:t>l</w:t>
      </w:r>
      <w:r w:rsidRPr="007E4A52">
        <w:rPr>
          <w:rFonts w:ascii="Helvetica" w:hAnsi="Helvetica" w:cs="Arial"/>
          <w:iCs/>
          <w:color w:val="1C1D1E"/>
          <w:sz w:val="22"/>
          <w:szCs w:val="22"/>
          <w:lang w:val="en-US"/>
        </w:rPr>
        <w:t>ymphoepithelioma</w:t>
      </w:r>
      <w:r w:rsidRPr="007E4A52">
        <w:rPr>
          <w:rFonts w:ascii="Helvetica" w:hAnsi="Helvetica" w:cs="Cambria Math"/>
          <w:iCs/>
          <w:color w:val="1C1D1E"/>
          <w:sz w:val="22"/>
          <w:szCs w:val="22"/>
          <w:lang w:val="en-US"/>
        </w:rPr>
        <w:t>‐</w:t>
      </w:r>
      <w:r w:rsidRPr="007E4A52">
        <w:rPr>
          <w:rFonts w:ascii="Helvetica" w:hAnsi="Helvetica" w:cs="Arial"/>
          <w:iCs/>
          <w:color w:val="1C1D1E"/>
          <w:sz w:val="22"/>
          <w:szCs w:val="22"/>
          <w:lang w:val="en-US"/>
        </w:rPr>
        <w:t>like SCC</w:t>
      </w:r>
      <w:r w:rsidRPr="007E4A52">
        <w:rPr>
          <w:rFonts w:ascii="Helvetica" w:hAnsi="Helvetica"/>
          <w:sz w:val="22"/>
          <w:szCs w:val="22"/>
          <w:lang w:val="en-US"/>
        </w:rPr>
        <w:t xml:space="preserve">, </w:t>
      </w:r>
      <w:proofErr w:type="spellStart"/>
      <w:r w:rsidRPr="007E4A52">
        <w:rPr>
          <w:rFonts w:ascii="Helvetica" w:hAnsi="Helvetica" w:cs="Arial"/>
          <w:iCs/>
          <w:color w:val="1C1D1E"/>
          <w:sz w:val="22"/>
          <w:szCs w:val="22"/>
          <w:lang w:val="en-US"/>
        </w:rPr>
        <w:t>adenosquamous</w:t>
      </w:r>
      <w:proofErr w:type="spellEnd"/>
      <w:r w:rsidRPr="007E4A52">
        <w:rPr>
          <w:rFonts w:ascii="Helvetica" w:hAnsi="Helvetica" w:cs="Arial"/>
          <w:iCs/>
          <w:color w:val="1C1D1E"/>
          <w:sz w:val="22"/>
          <w:szCs w:val="22"/>
          <w:lang w:val="en-US"/>
        </w:rPr>
        <w:t xml:space="preserve"> SCC, purely spindle</w:t>
      </w:r>
      <w:r w:rsidRPr="007E4A52">
        <w:rPr>
          <w:rFonts w:ascii="Helvetica" w:hAnsi="Helvetica" w:cs="Cambria Math"/>
          <w:iCs/>
          <w:color w:val="1C1D1E"/>
          <w:sz w:val="22"/>
          <w:szCs w:val="22"/>
          <w:lang w:val="en-US"/>
        </w:rPr>
        <w:t>‐</w:t>
      </w:r>
      <w:r w:rsidRPr="007E4A52">
        <w:rPr>
          <w:rFonts w:ascii="Helvetica" w:hAnsi="Helvetica" w:cs="Arial"/>
          <w:iCs/>
          <w:color w:val="1C1D1E"/>
          <w:sz w:val="22"/>
          <w:szCs w:val="22"/>
          <w:lang w:val="en-US"/>
        </w:rPr>
        <w:t xml:space="preserve">cell, acantholytic, clear-cell SCCs and epithelioma </w:t>
      </w:r>
      <w:proofErr w:type="spellStart"/>
      <w:r w:rsidRPr="007E4A52">
        <w:rPr>
          <w:rFonts w:ascii="Helvetica" w:hAnsi="Helvetica" w:cs="Arial"/>
          <w:iCs/>
          <w:color w:val="1C1D1E"/>
          <w:sz w:val="22"/>
          <w:szCs w:val="22"/>
          <w:lang w:val="en-US"/>
        </w:rPr>
        <w:t>cuniculatum</w:t>
      </w:r>
      <w:proofErr w:type="spellEnd"/>
      <w:r w:rsidRPr="007E4A52">
        <w:rPr>
          <w:rFonts w:ascii="Helvetica" w:hAnsi="Helvetica" w:cs="Arial"/>
          <w:iCs/>
          <w:color w:val="1C1D1E"/>
          <w:sz w:val="22"/>
          <w:szCs w:val="22"/>
          <w:lang w:val="en-US"/>
        </w:rPr>
        <w:t>)</w:t>
      </w:r>
      <w:r w:rsidRPr="007E4A52">
        <w:rPr>
          <w:rFonts w:ascii="Helvetica" w:hAnsi="Helvetica"/>
          <w:sz w:val="22"/>
          <w:szCs w:val="22"/>
          <w:lang w:val="en-US"/>
        </w:rPr>
        <w:t xml:space="preserve"> </w:t>
      </w:r>
      <w:r w:rsidRPr="007E4A52">
        <w:rPr>
          <w:rFonts w:ascii="Helvetica" w:hAnsi="Helvetica" w:cs="Arial"/>
          <w:sz w:val="22"/>
          <w:szCs w:val="22"/>
          <w:lang w:val="en-US"/>
        </w:rPr>
        <w:t>were excluded from the audit. Samples were graded by NHS pathologists under routine diagnostic practice according to increasing degrees of histologically aggressive features: keratoacanthoma (KA)/ well differentiated invasive SCC (1), moderately differentiated SCC (2) and poorly differentiated SCC (3). Occasionally, the pathology report stated tumors depicted two distinct areas of differentiation (well-to-moderately differentiated, moderate-to-poorly differentiated), which we graded intermediately. The immune status of patients is not routinely available in the pathology report and was retrieved from clinical histories. The collection of clinical variables at Salford Royal was done under IRAS approval</w:t>
      </w:r>
      <w:r w:rsidRPr="007E4A52">
        <w:rPr>
          <w:rFonts w:ascii="Helvetica" w:hAnsi="Helvetica"/>
          <w:sz w:val="22"/>
          <w:szCs w:val="22"/>
          <w:lang w:val="en-US"/>
        </w:rPr>
        <w:t>: 216310, REC reference: 16/LO/2098</w:t>
      </w:r>
      <w:r w:rsidR="002F6905">
        <w:rPr>
          <w:rFonts w:ascii="Helvetica" w:hAnsi="Helvetica"/>
          <w:sz w:val="22"/>
          <w:szCs w:val="22"/>
          <w:lang w:val="en-US"/>
        </w:rPr>
        <w:t xml:space="preserve"> within a larger skin cancer study</w:t>
      </w:r>
      <w:r w:rsidRPr="007E4A52">
        <w:rPr>
          <w:rFonts w:ascii="Helvetica" w:hAnsi="Helvetica"/>
          <w:sz w:val="22"/>
          <w:szCs w:val="22"/>
          <w:lang w:val="en-US"/>
        </w:rPr>
        <w:t xml:space="preserve">. The collection of data at Christie and </w:t>
      </w:r>
      <w:proofErr w:type="spellStart"/>
      <w:proofErr w:type="gramStart"/>
      <w:r w:rsidRPr="007E4A52">
        <w:rPr>
          <w:rFonts w:ascii="Helvetica" w:hAnsi="Helvetica"/>
          <w:sz w:val="22"/>
          <w:szCs w:val="22"/>
          <w:lang w:val="en-US"/>
        </w:rPr>
        <w:t>St.George’s</w:t>
      </w:r>
      <w:proofErr w:type="spellEnd"/>
      <w:proofErr w:type="gramEnd"/>
      <w:r w:rsidRPr="007E4A52">
        <w:rPr>
          <w:rFonts w:ascii="Helvetica" w:hAnsi="Helvetica"/>
          <w:sz w:val="22"/>
          <w:szCs w:val="22"/>
          <w:lang w:val="en-US"/>
        </w:rPr>
        <w:t xml:space="preserve"> was approved as an audit on histological grade of </w:t>
      </w:r>
      <w:proofErr w:type="spellStart"/>
      <w:r w:rsidRPr="007E4A52">
        <w:rPr>
          <w:rFonts w:ascii="Helvetica" w:hAnsi="Helvetica"/>
          <w:sz w:val="22"/>
          <w:szCs w:val="22"/>
          <w:lang w:val="en-US"/>
        </w:rPr>
        <w:t>cSCC</w:t>
      </w:r>
      <w:proofErr w:type="spellEnd"/>
      <w:r w:rsidRPr="007E4A52">
        <w:rPr>
          <w:rFonts w:ascii="Helvetica" w:hAnsi="Helvetica"/>
          <w:sz w:val="22"/>
          <w:szCs w:val="22"/>
          <w:lang w:val="en-US"/>
        </w:rPr>
        <w:t>, sex and treatment.</w:t>
      </w:r>
    </w:p>
    <w:p w14:paraId="42E347CD" w14:textId="77777777" w:rsidR="00834906" w:rsidRPr="007E4A52" w:rsidRDefault="00834906" w:rsidP="00834906">
      <w:pPr>
        <w:autoSpaceDE w:val="0"/>
        <w:autoSpaceDN w:val="0"/>
        <w:adjustRightInd w:val="0"/>
        <w:spacing w:line="480" w:lineRule="auto"/>
        <w:jc w:val="both"/>
        <w:rPr>
          <w:rFonts w:ascii="Helvetica" w:hAnsi="Helvetica" w:cs="Helvetica"/>
          <w:color w:val="000000" w:themeColor="text1"/>
          <w:sz w:val="22"/>
          <w:szCs w:val="22"/>
        </w:rPr>
      </w:pPr>
      <w:r w:rsidRPr="007E4A52">
        <w:rPr>
          <w:rFonts w:ascii="Helvetica" w:hAnsi="Helvetica" w:cs="Helvetica"/>
          <w:color w:val="000000" w:themeColor="text1"/>
          <w:sz w:val="22"/>
          <w:szCs w:val="22"/>
        </w:rPr>
        <w:t xml:space="preserve">The fourth clinical cohort of metastatic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to the lymph nodes was obtained by collecting all consecutive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metastatic to the lymph node cases from 2012-2017, recording age, sex and immune status, treated by surgical excision at the Christie NHS Foundation Trust, Manchester, identified from the pathology database searching for lymph node metastasis of primary cutaneous squamous cell carcinoma. </w:t>
      </w:r>
    </w:p>
    <w:p w14:paraId="244649C2" w14:textId="06E16E3C" w:rsidR="00834906" w:rsidRPr="007E4A52" w:rsidRDefault="00834906" w:rsidP="00834906">
      <w:pPr>
        <w:spacing w:line="480" w:lineRule="auto"/>
        <w:jc w:val="both"/>
        <w:rPr>
          <w:rFonts w:ascii="Helvetica" w:hAnsi="Helvetica"/>
          <w:color w:val="000000" w:themeColor="text1"/>
          <w:sz w:val="22"/>
          <w:szCs w:val="22"/>
        </w:rPr>
      </w:pPr>
      <w:r w:rsidRPr="007E4A52">
        <w:rPr>
          <w:rFonts w:ascii="Helvetica" w:hAnsi="Helvetica" w:cs="Helvetica"/>
          <w:color w:val="000000" w:themeColor="text1"/>
          <w:sz w:val="22"/>
          <w:szCs w:val="22"/>
        </w:rPr>
        <w:t xml:space="preserve">The fifth cohort of advanced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cases treated at a single institution with systemic agents for advanced stage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was collected from La </w:t>
      </w:r>
      <w:proofErr w:type="spellStart"/>
      <w:r w:rsidRPr="007E4A52">
        <w:rPr>
          <w:rFonts w:ascii="Helvetica" w:hAnsi="Helvetica" w:cs="Helvetica"/>
          <w:color w:val="000000" w:themeColor="text1"/>
          <w:sz w:val="22"/>
          <w:szCs w:val="22"/>
        </w:rPr>
        <w:t>Timône</w:t>
      </w:r>
      <w:proofErr w:type="spellEnd"/>
      <w:r w:rsidRPr="007E4A52">
        <w:rPr>
          <w:rFonts w:ascii="Helvetica" w:hAnsi="Helvetica" w:cs="Helvetica"/>
          <w:color w:val="000000" w:themeColor="text1"/>
          <w:sz w:val="22"/>
          <w:szCs w:val="22"/>
        </w:rPr>
        <w:t xml:space="preserve"> Aix Marseille University Hospital Marseille, France. This included patients treated with systemic medication for: inoperable metastatic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locally advanced, radioresistant </w:t>
      </w:r>
      <w:proofErr w:type="spellStart"/>
      <w:r w:rsidRPr="007E4A52">
        <w:rPr>
          <w:rFonts w:ascii="Helvetica" w:hAnsi="Helvetica" w:cs="Helvetica"/>
          <w:color w:val="000000" w:themeColor="text1"/>
          <w:sz w:val="22"/>
          <w:szCs w:val="22"/>
        </w:rPr>
        <w:t>cSCC</w:t>
      </w:r>
      <w:proofErr w:type="spellEnd"/>
      <w:r w:rsidRPr="007E4A52">
        <w:rPr>
          <w:rFonts w:ascii="Helvetica" w:hAnsi="Helvetica" w:cs="Helvetica"/>
          <w:color w:val="000000" w:themeColor="text1"/>
          <w:sz w:val="22"/>
          <w:szCs w:val="22"/>
        </w:rPr>
        <w:t xml:space="preserve">. Patients received </w:t>
      </w:r>
      <w:r w:rsidRPr="007E4A52">
        <w:rPr>
          <w:rFonts w:ascii="Helvetica" w:hAnsi="Helvetica"/>
          <w:color w:val="000000" w:themeColor="text1"/>
          <w:sz w:val="22"/>
          <w:szCs w:val="22"/>
        </w:rPr>
        <w:t xml:space="preserve">cetuximab, pembrolizumab, </w:t>
      </w:r>
      <w:proofErr w:type="spellStart"/>
      <w:r w:rsidRPr="007E4A52">
        <w:rPr>
          <w:rFonts w:ascii="Helvetica" w:hAnsi="Helvetica"/>
          <w:color w:val="000000" w:themeColor="text1"/>
          <w:sz w:val="22"/>
          <w:szCs w:val="22"/>
        </w:rPr>
        <w:t>cemiplimab</w:t>
      </w:r>
      <w:proofErr w:type="spellEnd"/>
      <w:r w:rsidRPr="007E4A52">
        <w:rPr>
          <w:rFonts w:ascii="Helvetica" w:hAnsi="Helvetica"/>
          <w:color w:val="000000" w:themeColor="text1"/>
          <w:sz w:val="22"/>
          <w:szCs w:val="22"/>
        </w:rPr>
        <w:t xml:space="preserve">, </w:t>
      </w:r>
      <w:proofErr w:type="spellStart"/>
      <w:r w:rsidRPr="007E4A52">
        <w:rPr>
          <w:rFonts w:ascii="Helvetica" w:hAnsi="Helvetica"/>
          <w:color w:val="000000" w:themeColor="text1"/>
          <w:sz w:val="22"/>
          <w:szCs w:val="22"/>
        </w:rPr>
        <w:t>convential</w:t>
      </w:r>
      <w:proofErr w:type="spellEnd"/>
      <w:r w:rsidRPr="007E4A52">
        <w:rPr>
          <w:rFonts w:ascii="Helvetica" w:hAnsi="Helvetica"/>
          <w:color w:val="000000" w:themeColor="text1"/>
          <w:sz w:val="22"/>
          <w:szCs w:val="22"/>
        </w:rPr>
        <w:t xml:space="preserve"> chemotherapy or palliative care, from 12/ 2017 -12/ 2020. The information was collected as part of a clinical audit </w:t>
      </w:r>
      <w:r w:rsidR="009A2292">
        <w:rPr>
          <w:rFonts w:ascii="Helvetica" w:hAnsi="Helvetica"/>
          <w:color w:val="000000" w:themeColor="text1"/>
          <w:sz w:val="22"/>
          <w:szCs w:val="22"/>
        </w:rPr>
        <w:t>approved by</w:t>
      </w:r>
      <w:r w:rsidRPr="007E4A52">
        <w:rPr>
          <w:rFonts w:ascii="Helvetica" w:hAnsi="Helvetica"/>
          <w:color w:val="000000" w:themeColor="text1"/>
          <w:sz w:val="22"/>
          <w:szCs w:val="22"/>
        </w:rPr>
        <w:t xml:space="preserve"> tumour board local, national regulations, with patient written consent</w:t>
      </w:r>
      <w:r w:rsidR="009A2292">
        <w:rPr>
          <w:rFonts w:ascii="Helvetica" w:hAnsi="Helvetica" w:cs="Calibri"/>
          <w:color w:val="000000"/>
          <w:sz w:val="22"/>
          <w:szCs w:val="22"/>
        </w:rPr>
        <w:t xml:space="preserve">, by </w:t>
      </w:r>
      <w:proofErr w:type="spellStart"/>
      <w:r w:rsidR="009A2292" w:rsidRPr="00640579">
        <w:rPr>
          <w:rFonts w:ascii="Helvetica" w:hAnsi="Helvetica" w:cs="Calibri"/>
          <w:color w:val="000000"/>
          <w:sz w:val="22"/>
          <w:szCs w:val="22"/>
        </w:rPr>
        <w:t>Comite</w:t>
      </w:r>
      <w:proofErr w:type="spellEnd"/>
      <w:r w:rsidR="009A2292" w:rsidRPr="00640579">
        <w:rPr>
          <w:rFonts w:ascii="Helvetica" w:hAnsi="Helvetica" w:cs="Calibri"/>
          <w:color w:val="000000"/>
          <w:sz w:val="22"/>
          <w:szCs w:val="22"/>
        </w:rPr>
        <w:t xml:space="preserve"> de Protection des </w:t>
      </w:r>
      <w:proofErr w:type="spellStart"/>
      <w:r w:rsidR="009A2292" w:rsidRPr="00640579">
        <w:rPr>
          <w:rFonts w:ascii="Helvetica" w:hAnsi="Helvetica" w:cs="Calibri"/>
          <w:color w:val="000000"/>
          <w:sz w:val="22"/>
          <w:szCs w:val="22"/>
        </w:rPr>
        <w:t>Personnes</w:t>
      </w:r>
      <w:proofErr w:type="spellEnd"/>
      <w:r w:rsidR="009A2292" w:rsidRPr="00640579">
        <w:rPr>
          <w:rFonts w:ascii="Helvetica" w:hAnsi="Helvetica" w:cs="Calibri"/>
          <w:color w:val="000000"/>
          <w:sz w:val="22"/>
          <w:szCs w:val="22"/>
        </w:rPr>
        <w:t xml:space="preserve"> Sud </w:t>
      </w:r>
      <w:proofErr w:type="spellStart"/>
      <w:r w:rsidR="009A2292" w:rsidRPr="00640579">
        <w:rPr>
          <w:rFonts w:ascii="Helvetica" w:hAnsi="Helvetica" w:cs="Calibri"/>
          <w:color w:val="000000"/>
          <w:sz w:val="22"/>
          <w:szCs w:val="22"/>
        </w:rPr>
        <w:t>Méditerranée</w:t>
      </w:r>
      <w:proofErr w:type="spellEnd"/>
      <w:r w:rsidR="009A2292" w:rsidRPr="00640579">
        <w:rPr>
          <w:rFonts w:ascii="Helvetica" w:hAnsi="Helvetica" w:cs="Calibri"/>
          <w:color w:val="000000"/>
          <w:sz w:val="22"/>
          <w:szCs w:val="22"/>
        </w:rPr>
        <w:t xml:space="preserve"> and Aix-</w:t>
      </w:r>
      <w:proofErr w:type="spellStart"/>
      <w:r w:rsidR="009A2292" w:rsidRPr="00640579">
        <w:rPr>
          <w:rFonts w:ascii="Helvetica" w:hAnsi="Helvetica" w:cs="Calibri"/>
          <w:color w:val="000000"/>
          <w:sz w:val="22"/>
          <w:szCs w:val="22"/>
        </w:rPr>
        <w:t>Marseile</w:t>
      </w:r>
      <w:proofErr w:type="spellEnd"/>
      <w:r w:rsidR="009A2292" w:rsidRPr="00640579">
        <w:rPr>
          <w:rFonts w:ascii="Helvetica" w:hAnsi="Helvetica" w:cs="Calibri"/>
          <w:color w:val="000000"/>
          <w:sz w:val="22"/>
          <w:szCs w:val="22"/>
        </w:rPr>
        <w:t xml:space="preserve"> University Hospital approval</w:t>
      </w:r>
      <w:r w:rsidR="009A2292" w:rsidRPr="00640579">
        <w:rPr>
          <w:rFonts w:ascii="Helvetica" w:hAnsi="Helvetica" w:cs="Arial"/>
          <w:sz w:val="22"/>
          <w:szCs w:val="22"/>
        </w:rPr>
        <w:t>.</w:t>
      </w:r>
    </w:p>
    <w:p w14:paraId="3788597D" w14:textId="69B310EB" w:rsidR="00834906" w:rsidRPr="007E4A52" w:rsidRDefault="00834906" w:rsidP="00834906">
      <w:pPr>
        <w:spacing w:line="480" w:lineRule="auto"/>
        <w:jc w:val="both"/>
        <w:rPr>
          <w:rFonts w:ascii="Helvetica" w:hAnsi="Helvetica"/>
          <w:color w:val="000000" w:themeColor="text1"/>
          <w:sz w:val="22"/>
          <w:szCs w:val="22"/>
        </w:rPr>
      </w:pPr>
      <w:r w:rsidRPr="007E4A52">
        <w:rPr>
          <w:rFonts w:ascii="Helvetica" w:hAnsi="Helvetica"/>
          <w:color w:val="000000" w:themeColor="text1"/>
          <w:sz w:val="22"/>
          <w:szCs w:val="22"/>
        </w:rPr>
        <w:lastRenderedPageBreak/>
        <w:t xml:space="preserve">The immune status was investigated for all patients, and </w:t>
      </w:r>
      <w:r w:rsidRPr="007E4A52">
        <w:rPr>
          <w:rFonts w:ascii="Helvetica" w:hAnsi="Helvetica"/>
          <w:sz w:val="22"/>
          <w:szCs w:val="22"/>
          <w:lang w:val="en-US"/>
        </w:rPr>
        <w:t>immunosuppressed patients held the following concurrent diagnoses pr</w:t>
      </w:r>
      <w:r w:rsidR="00486759" w:rsidRPr="007E4A52">
        <w:rPr>
          <w:rFonts w:ascii="Helvetica" w:hAnsi="Helvetica"/>
          <w:sz w:val="22"/>
          <w:szCs w:val="22"/>
          <w:lang w:val="en-US"/>
        </w:rPr>
        <w:t>i</w:t>
      </w:r>
      <w:r w:rsidRPr="007E4A52">
        <w:rPr>
          <w:rFonts w:ascii="Helvetica" w:hAnsi="Helvetica"/>
          <w:sz w:val="22"/>
          <w:szCs w:val="22"/>
          <w:lang w:val="en-US"/>
        </w:rPr>
        <w:t>marily: organ transplant recipients on immunosuppressive medication, white blood cell dyscrasia or systemic cancer treatment with immunotherapy, radiotherapy or chemotherapy in the past 10 years, chronic inflammatory disorders and autoimmune disorders on systemic immunosuppressive medication, and is detailed in Supplementary Table 6.</w:t>
      </w:r>
    </w:p>
    <w:p w14:paraId="04DDEB3A" w14:textId="77777777" w:rsidR="00834906" w:rsidRPr="007E4A52" w:rsidRDefault="00834906" w:rsidP="00834906">
      <w:pPr>
        <w:spacing w:line="480" w:lineRule="auto"/>
        <w:contextualSpacing/>
        <w:jc w:val="both"/>
        <w:rPr>
          <w:rFonts w:ascii="Helvetica" w:hAnsi="Helvetica" w:cs="Helvetica"/>
          <w:b/>
          <w:sz w:val="22"/>
          <w:szCs w:val="22"/>
          <w:lang w:val="en-US"/>
        </w:rPr>
      </w:pPr>
    </w:p>
    <w:bookmarkEnd w:id="1"/>
    <w:p w14:paraId="5095C93D" w14:textId="77777777" w:rsidR="00834906" w:rsidRPr="007E4A52" w:rsidRDefault="00834906" w:rsidP="00834906">
      <w:pPr>
        <w:spacing w:line="480" w:lineRule="auto"/>
        <w:contextualSpacing/>
        <w:jc w:val="both"/>
        <w:rPr>
          <w:rFonts w:ascii="Helvetica" w:hAnsi="Helvetica" w:cs="Helvetica"/>
          <w:b/>
          <w:sz w:val="22"/>
          <w:szCs w:val="22"/>
          <w:lang w:val="en-US"/>
        </w:rPr>
      </w:pPr>
      <w:r w:rsidRPr="007E4A52">
        <w:rPr>
          <w:rFonts w:ascii="Helvetica" w:hAnsi="Helvetica" w:cs="Helvetica"/>
          <w:b/>
          <w:sz w:val="22"/>
          <w:szCs w:val="22"/>
          <w:lang w:val="en-US"/>
        </w:rPr>
        <w:t>Data Analysis</w:t>
      </w:r>
    </w:p>
    <w:p w14:paraId="1D5619B4" w14:textId="00BCD411" w:rsidR="00834906" w:rsidRPr="007E4A52" w:rsidRDefault="00834906" w:rsidP="00834906">
      <w:pPr>
        <w:spacing w:line="480" w:lineRule="auto"/>
        <w:jc w:val="both"/>
        <w:rPr>
          <w:rFonts w:ascii="Helvetica" w:hAnsi="Helvetica"/>
          <w:color w:val="000000" w:themeColor="text1"/>
          <w:sz w:val="22"/>
          <w:szCs w:val="22"/>
        </w:rPr>
      </w:pPr>
      <w:r w:rsidRPr="007E4A52">
        <w:rPr>
          <w:rFonts w:ascii="Helvetica" w:hAnsi="Helvetica" w:cs="Helvetica"/>
          <w:color w:val="000000" w:themeColor="text1"/>
          <w:sz w:val="22"/>
          <w:szCs w:val="22"/>
          <w:lang w:val="en-US"/>
        </w:rPr>
        <w:t>Statistical analysis was performed using GraphPad Prism (Version 7.01). Mann-Whitney U test was used to compare significant difference between groups.</w:t>
      </w:r>
      <w:bookmarkStart w:id="2" w:name="_Hlk63419387"/>
      <w:r w:rsidRPr="007E4A52">
        <w:rPr>
          <w:rFonts w:ascii="Helvetica" w:hAnsi="Helvetica" w:cs="Helvetica"/>
          <w:color w:val="000000" w:themeColor="text1"/>
          <w:sz w:val="22"/>
          <w:szCs w:val="22"/>
          <w:lang w:val="en-US"/>
        </w:rPr>
        <w:t xml:space="preserve"> Fisher exact test used to identify significant association between categorical variables sex and tumor histology. </w:t>
      </w:r>
      <w:bookmarkEnd w:id="2"/>
      <w:r w:rsidRPr="007E4A52">
        <w:rPr>
          <w:rFonts w:ascii="Helvetica" w:hAnsi="Helvetica"/>
          <w:color w:val="000000" w:themeColor="text1"/>
          <w:sz w:val="22"/>
          <w:szCs w:val="22"/>
          <w:shd w:val="clear" w:color="auto" w:fill="FFFFFF"/>
        </w:rPr>
        <w:t xml:space="preserve">To compare the observed proportion of men versus women in the clinical cohorts to a theoretical expected 50:50 ratio we used </w:t>
      </w:r>
      <w:r w:rsidRPr="007E4A52">
        <w:rPr>
          <w:rStyle w:val="Emphasis"/>
          <w:rFonts w:ascii="Helvetica" w:hAnsi="Helvetica"/>
          <w:color w:val="000000" w:themeColor="text1"/>
          <w:sz w:val="22"/>
          <w:szCs w:val="22"/>
        </w:rPr>
        <w:t>one-proportion Z-tests</w:t>
      </w:r>
      <w:r w:rsidRPr="007E4A52">
        <w:rPr>
          <w:rFonts w:ascii="Helvetica" w:hAnsi="Helvetica"/>
          <w:color w:val="000000" w:themeColor="text1"/>
          <w:sz w:val="22"/>
          <w:szCs w:val="22"/>
          <w:shd w:val="clear" w:color="auto" w:fill="FFFFFF"/>
        </w:rPr>
        <w:t xml:space="preserve">. </w:t>
      </w:r>
      <w:r w:rsidR="00486759" w:rsidRPr="007E4A52">
        <w:rPr>
          <w:rFonts w:ascii="Helvetica" w:hAnsi="Helvetica"/>
          <w:color w:val="000000" w:themeColor="text1"/>
          <w:sz w:val="22"/>
          <w:szCs w:val="22"/>
          <w:shd w:val="clear" w:color="auto" w:fill="FFFFFF"/>
        </w:rPr>
        <w:t xml:space="preserve">Individual data points are displayed in all violin plots where n&lt;50. </w:t>
      </w:r>
      <w:r w:rsidRPr="007E4A52">
        <w:rPr>
          <w:rFonts w:ascii="Helvetica" w:hAnsi="Helvetica" w:cs="Helvetica"/>
          <w:color w:val="000000" w:themeColor="text1"/>
          <w:sz w:val="22"/>
          <w:szCs w:val="22"/>
          <w:lang w:val="en-US"/>
        </w:rPr>
        <w:t>Human single cell RNA-seq data from a study of squamous cell carcinoma</w:t>
      </w:r>
      <w:r w:rsidRPr="007E4A52">
        <w:rPr>
          <w:rFonts w:ascii="Helvetica" w:hAnsi="Helvetica" w:cs="Helvetica"/>
          <w:color w:val="000000" w:themeColor="text1"/>
          <w:sz w:val="22"/>
          <w:szCs w:val="22"/>
          <w:lang w:val="en-US"/>
        </w:rPr>
        <w:fldChar w:fldCharType="begin" w:fldLock="1"/>
      </w:r>
      <w:r w:rsidR="00B22290" w:rsidRPr="007E4A52">
        <w:rPr>
          <w:rFonts w:ascii="Helvetica" w:hAnsi="Helvetica" w:cs="Helvetica"/>
          <w:color w:val="000000" w:themeColor="text1"/>
          <w:sz w:val="22"/>
          <w:szCs w:val="22"/>
          <w:lang w:val="en-US"/>
        </w:rPr>
        <w:instrText>ADDIN CSL_CITATION {"citationItems":[{"id":"ITEM-1","itemData":{"DOI":"10.1016/j.cell.2020.05.039","ISSN":"1097-4172 (Electronic)","PMID":"32579974","abstract":"To define the cellular composition and architecture of cutaneous squamous cell  carcinoma (cSCC), we combined single-cell RNA sequencing with spatial transcriptomics and multiplexed ion beam imaging from a series of human cSCCs and matched normal skin. cSCC exhibited four tumor subpopulations, three recapitulating normal epidermal states, and a tumor-specific keratinocyte (TSK) population unique to cancer, which localized to a fibrovascular niche. Integration of single-cell and spatial data mapped ligand-receptor networks to specific cell types, revealing TSK cells as a hub for intercellular communication. Multiple features of potential immunosuppression were observed, including T regulatory cell (Treg) co-localization with CD8 T cells in compartmentalized tumor stroma. Finally, single-cell characterization of human tumor xenografts and in vivo CRISPR screens identified essential roles for specific tumor subpopulation-enriched gene networks in tumorigenesis. These data define cSCC tumor and stromal cell subpopulations, the spatial niches where they interact, and the communicating gene networks that they engage in cancer.","author":[{"dropping-particle":"","family":"Ji","given":"Andrew L","non-dropping-particle":"","parse-names":false,"suffix":""},{"dropping-particle":"","family":"Rubin","given":"Adam J","non-dropping-particle":"","parse-names":false,"suffix":""},{"dropping-particle":"","family":"Thrane","given":"Kim","non-dropping-particle":"","parse-names":false,"suffix":""},{"dropping-particle":"","family":"Jiang","given":"Sizun","non-dropping-particle":"","parse-names":false,"suffix":""},{"dropping-particle":"","family":"Reynolds","given":"David L","non-dropping-particle":"","parse-names":false,"suffix":""},{"dropping-particle":"","family":"Meyers","given":"Robin M","non-dropping-particle":"","parse-names":false,"suffix":""},{"dropping-particle":"","family":"Guo","given":"Margaret G","non-dropping-particle":"","parse-names":false,"suffix":""},{"dropping-particle":"","family":"George","given":"Benson M","non-dropping-particle":"","parse-names":false,"suffix":""},{"dropping-particle":"","family":"Mollbrink","given":"Annelie","non-dropping-particle":"","parse-names":false,"suffix":""},{"dropping-particle":"","family":"Bergenstråhle","given":"Joseph","non-dropping-particle":"","parse-names":false,"suffix":""},{"dropping-particle":"","family":"Larsson","given":"Ludvig","non-dropping-particle":"","parse-names":false,"suffix":""},{"dropping-particle":"","family":"Bai","given":"Yunhao","non-dropping-particle":"","parse-names":false,"suffix":""},{"dropping-particle":"","family":"Zhu","given":"Bokai","non-dropping-particle":"","parse-names":false,"suffix":""},{"dropping-particle":"","family":"Bhaduri","given":"Aparna","non-dropping-particle":"","parse-names":false,"suffix":""},{"dropping-particle":"","family":"Meyers","given":"Jordan M","non-dropping-particle":"","parse-names":false,"suffix":""},{"dropping-particle":"","family":"Rovira-Clavé","given":"Xavier","non-dropping-particle":"","parse-names":false,"suffix":""},{"dropping-particle":"","family":"Hollmig","given":"S Tyler","non-dropping-particle":"","parse-names":false,"suffix":""},{"dropping-particle":"","family":"Aasi","given":"Sumaira Z","non-dropping-particle":"","parse-names":false,"suffix":""},{"dropping-particle":"","family":"Nolan","given":"Garry P","non-dropping-particle":"","parse-names":false,"suffix":""},{"dropping-particle":"","family":"Lundeberg","given":"Joakim","non-dropping-particle":"","parse-names":false,"suffix":""},{"dropping-particle":"","family":"Khavari","given":"Paul A","non-dropping-particle":"","parse-names":false,"suffix":""}],"container-title":"Cell","id":"ITEM-1","issue":"2","issued":{"date-parts":[["2020","7"]]},"language":"eng","page":"497-514.e22","title":"Multimodal Analysis of Composition and Spatial Architecture in Human Squamous Cell  Carcinoma.","type":"article-journal","volume":"182"},"uris":["http://www.mendeley.com/documents/?uuid=16ad7f10-7e7a-4bd0-a2da-97b4d559d65e"]}],"mendeley":{"formattedCitation":"(1)","plainTextFormattedCitation":"(1)","previouslyFormattedCitation":"(Ji et al. 2020)"},"properties":{"noteIndex":0},"schema":"https://github.com/citation-style-language/schema/raw/master/csl-citation.json"}</w:instrText>
      </w:r>
      <w:r w:rsidRPr="007E4A52">
        <w:rPr>
          <w:rFonts w:ascii="Helvetica" w:hAnsi="Helvetica" w:cs="Helvetica"/>
          <w:color w:val="000000" w:themeColor="text1"/>
          <w:sz w:val="22"/>
          <w:szCs w:val="22"/>
          <w:lang w:val="en-US"/>
        </w:rPr>
        <w:fldChar w:fldCharType="separate"/>
      </w:r>
      <w:r w:rsidR="00B22290" w:rsidRPr="007E4A52">
        <w:rPr>
          <w:rFonts w:ascii="Helvetica" w:hAnsi="Helvetica" w:cs="Helvetica"/>
          <w:noProof/>
          <w:color w:val="000000" w:themeColor="text1"/>
          <w:sz w:val="22"/>
          <w:szCs w:val="22"/>
          <w:lang w:val="en-US"/>
        </w:rPr>
        <w:t>(1)</w:t>
      </w:r>
      <w:r w:rsidRPr="007E4A52">
        <w:rPr>
          <w:rFonts w:ascii="Helvetica" w:hAnsi="Helvetica" w:cs="Helvetica"/>
          <w:color w:val="000000" w:themeColor="text1"/>
          <w:sz w:val="22"/>
          <w:szCs w:val="22"/>
          <w:lang w:val="en-US"/>
        </w:rPr>
        <w:fldChar w:fldCharType="end"/>
      </w:r>
      <w:r w:rsidRPr="007E4A52">
        <w:rPr>
          <w:rFonts w:ascii="Helvetica" w:hAnsi="Helvetica" w:cs="Helvetica"/>
          <w:color w:val="000000" w:themeColor="text1"/>
          <w:sz w:val="22"/>
          <w:szCs w:val="22"/>
          <w:lang w:val="en-US"/>
        </w:rPr>
        <w:t xml:space="preserve"> was downloaded from GEO database (GSE144236) and </w:t>
      </w:r>
      <w:proofErr w:type="spellStart"/>
      <w:r w:rsidRPr="007E4A52">
        <w:rPr>
          <w:rFonts w:ascii="Helvetica" w:hAnsi="Helvetica" w:cs="Helvetica"/>
          <w:color w:val="000000" w:themeColor="text1"/>
          <w:sz w:val="22"/>
          <w:szCs w:val="22"/>
          <w:lang w:val="en-US"/>
        </w:rPr>
        <w:t>analysed</w:t>
      </w:r>
      <w:proofErr w:type="spellEnd"/>
      <w:r w:rsidRPr="007E4A52">
        <w:rPr>
          <w:rFonts w:ascii="Helvetica" w:hAnsi="Helvetica" w:cs="Helvetica"/>
          <w:color w:val="000000" w:themeColor="text1"/>
          <w:sz w:val="22"/>
          <w:szCs w:val="22"/>
          <w:lang w:val="en-US"/>
        </w:rPr>
        <w:t xml:space="preserve"> in the Seurat R package</w:t>
      </w:r>
      <w:r w:rsidRPr="007E4A52">
        <w:rPr>
          <w:rFonts w:ascii="Helvetica" w:hAnsi="Helvetica" w:cs="Helvetica"/>
          <w:color w:val="000000" w:themeColor="text1"/>
          <w:sz w:val="22"/>
          <w:szCs w:val="22"/>
          <w:lang w:val="en-US"/>
        </w:rPr>
        <w:fldChar w:fldCharType="begin" w:fldLock="1"/>
      </w:r>
      <w:r w:rsidR="00B22290" w:rsidRPr="007E4A52">
        <w:rPr>
          <w:rFonts w:ascii="Helvetica" w:hAnsi="Helvetica" w:cs="Helvetica"/>
          <w:color w:val="000000" w:themeColor="text1"/>
          <w:sz w:val="22"/>
          <w:szCs w:val="22"/>
          <w:lang w:val="en-US"/>
        </w:rPr>
        <w:instrText>ADDIN CSL_CITATION {"citationItems":[{"id":"ITEM-1","itemData":{"DOI":"10.1038/nbt.4096","ISSN":"1546-1696 (Electronic)","PMID":"29608179","abstract":"Computational single-cell RNA-seq (scRNA-seq) methods have been successfully applied  to experiments representing a single condition, technology, or species to discover and define cellular phenotypes. However, identifying subpopulations of cells that are present across multiple data sets remains challenging. Here, we introduce an analytical strategy for integrating scRNA-seq data sets based on common sources of variation, enabling the identification of shared populations across data sets and downstream comparative analysis. We apply this approach, implemented in our R toolkit Seurat (http://satijalab.org/seurat/), to align scRNA-seq data sets of peripheral blood mononuclear cells under resting and stimulated conditions, hematopoietic progenitors sequenced using two profiling technologies, and pancreatic cell 'atlases' generated from human and mouse islets. In each case, we learn distinct or transitional cell states jointly across data sets, while boosting statistical power through integrated analysis. Our approach facilitates general comparisons of scRNA-seq data sets, potentially deepening our understanding of how distinct cell states respond to perturbation, disease, and evolution.","author":[{"dropping-particle":"","family":"Butler","given":"Andrew","non-dropping-particle":"","parse-names":false,"suffix":""},{"dropping-particle":"","family":"Hoffman","given":"Paul","non-dropping-particle":"","parse-names":false,"suffix":""},{"dropping-particle":"","family":"Smibert","given":"Peter","non-dropping-particle":"","parse-names":false,"suffix":""},{"dropping-particle":"","family":"Papalexi","given":"Efthymia","non-dropping-particle":"","parse-names":false,"suffix":""},{"dropping-particle":"","family":"Satija","given":"Rahul","non-dropping-particle":"","parse-names":false,"suffix":""}],"container-title":"Nature biotechnology","id":"ITEM-1","issue":"5","issued":{"date-parts":[["2018","6"]]},"language":"eng","page":"411-420","title":"Integrating single-cell transcriptomic data across different conditions,  technologies, and species.","type":"article-journal","volume":"36"},"uris":["http://www.mendeley.com/documents/?uuid=24768e33-376d-47fe-ad26-1aae08c2564d"]}],"mendeley":{"formattedCitation":"(12)","plainTextFormattedCitation":"(12)","previouslyFormattedCitation":"(Butler et al. 2018)"},"properties":{"noteIndex":0},"schema":"https://github.com/citation-style-language/schema/raw/master/csl-citation.json"}</w:instrText>
      </w:r>
      <w:r w:rsidRPr="007E4A52">
        <w:rPr>
          <w:rFonts w:ascii="Helvetica" w:hAnsi="Helvetica" w:cs="Helvetica"/>
          <w:color w:val="000000" w:themeColor="text1"/>
          <w:sz w:val="22"/>
          <w:szCs w:val="22"/>
          <w:lang w:val="en-US"/>
        </w:rPr>
        <w:fldChar w:fldCharType="separate"/>
      </w:r>
      <w:r w:rsidR="00B22290" w:rsidRPr="007E4A52">
        <w:rPr>
          <w:rFonts w:ascii="Helvetica" w:hAnsi="Helvetica" w:cs="Helvetica"/>
          <w:noProof/>
          <w:color w:val="000000" w:themeColor="text1"/>
          <w:sz w:val="22"/>
          <w:szCs w:val="22"/>
          <w:lang w:val="en-US"/>
        </w:rPr>
        <w:t>(12)</w:t>
      </w:r>
      <w:r w:rsidRPr="007E4A52">
        <w:rPr>
          <w:rFonts w:ascii="Helvetica" w:hAnsi="Helvetica" w:cs="Helvetica"/>
          <w:color w:val="000000" w:themeColor="text1"/>
          <w:sz w:val="22"/>
          <w:szCs w:val="22"/>
          <w:lang w:val="en-US"/>
        </w:rPr>
        <w:fldChar w:fldCharType="end"/>
      </w:r>
      <w:r w:rsidRPr="007E4A52">
        <w:rPr>
          <w:rFonts w:ascii="Helvetica" w:hAnsi="Helvetica" w:cs="Helvetica"/>
          <w:color w:val="000000" w:themeColor="text1"/>
          <w:sz w:val="22"/>
          <w:szCs w:val="22"/>
          <w:lang w:val="en-US"/>
        </w:rPr>
        <w:t xml:space="preserve"> following standard pipeline and authors analyses. </w:t>
      </w:r>
      <w:bookmarkStart w:id="3" w:name="_Hlk63419595"/>
      <w:r w:rsidRPr="007E4A52">
        <w:rPr>
          <w:rFonts w:ascii="Helvetica" w:hAnsi="Helvetica" w:cs="Helvetica"/>
          <w:color w:val="000000" w:themeColor="text1"/>
          <w:sz w:val="22"/>
          <w:szCs w:val="22"/>
        </w:rPr>
        <w:t xml:space="preserve">This study sequenced individual cells in human </w:t>
      </w:r>
      <w:proofErr w:type="spellStart"/>
      <w:r w:rsidRPr="007E4A52">
        <w:rPr>
          <w:rFonts w:ascii="Helvetica" w:hAnsi="Helvetica" w:cs="Helvetica"/>
          <w:color w:val="000000" w:themeColor="text1"/>
          <w:sz w:val="22"/>
          <w:szCs w:val="22"/>
        </w:rPr>
        <w:t>cSCCs</w:t>
      </w:r>
      <w:proofErr w:type="spellEnd"/>
      <w:r w:rsidRPr="007E4A52">
        <w:rPr>
          <w:rFonts w:ascii="Helvetica" w:hAnsi="Helvetica" w:cs="Helvetica"/>
          <w:color w:val="000000" w:themeColor="text1"/>
          <w:sz w:val="22"/>
          <w:szCs w:val="22"/>
        </w:rPr>
        <w:t xml:space="preserve"> and adjacent normal UVR-skin. Cell types are identified by the expression of marker genes that are restricted to specific cell types. </w:t>
      </w:r>
      <w:r w:rsidRPr="007E4A52">
        <w:rPr>
          <w:rFonts w:ascii="Helvetica" w:hAnsi="Helvetica" w:cs="Helvetica"/>
          <w:color w:val="000000" w:themeColor="text1"/>
          <w:sz w:val="22"/>
          <w:szCs w:val="22"/>
          <w:lang w:val="en-US"/>
        </w:rPr>
        <w:t>Cell populations were measured as a percent representation of all cells detected within the sample.</w:t>
      </w:r>
      <w:bookmarkEnd w:id="3"/>
      <w:r w:rsidRPr="007E4A52">
        <w:rPr>
          <w:rFonts w:ascii="Helvetica" w:hAnsi="Helvetica" w:cs="Helvetica"/>
          <w:color w:val="000000" w:themeColor="text1"/>
          <w:sz w:val="22"/>
          <w:szCs w:val="22"/>
          <w:lang w:val="en-US"/>
        </w:rPr>
        <w:t xml:space="preserve"> Differential expression in the normal tumor-adjacent keratinocytes between sex (female n=3, males n=6) was performed with the </w:t>
      </w:r>
      <w:proofErr w:type="spellStart"/>
      <w:r w:rsidRPr="007E4A52">
        <w:rPr>
          <w:rFonts w:ascii="Helvetica" w:hAnsi="Helvetica" w:cs="Helvetica"/>
          <w:color w:val="000000" w:themeColor="text1"/>
          <w:sz w:val="22"/>
          <w:szCs w:val="22"/>
          <w:lang w:val="en-US"/>
        </w:rPr>
        <w:t>FindMarkers</w:t>
      </w:r>
      <w:proofErr w:type="spellEnd"/>
      <w:r w:rsidRPr="007E4A52">
        <w:rPr>
          <w:rFonts w:ascii="Helvetica" w:hAnsi="Helvetica" w:cs="Helvetica"/>
          <w:color w:val="000000" w:themeColor="text1"/>
          <w:sz w:val="22"/>
          <w:szCs w:val="22"/>
          <w:lang w:val="en-US"/>
        </w:rPr>
        <w:t xml:space="preserve"> function after </w:t>
      </w:r>
      <w:proofErr w:type="spellStart"/>
      <w:r w:rsidRPr="007E4A52">
        <w:rPr>
          <w:rFonts w:ascii="Helvetica" w:hAnsi="Helvetica" w:cs="Helvetica"/>
          <w:color w:val="000000" w:themeColor="text1"/>
          <w:sz w:val="22"/>
          <w:szCs w:val="22"/>
          <w:lang w:val="en-US"/>
        </w:rPr>
        <w:t>subsetting</w:t>
      </w:r>
      <w:proofErr w:type="spellEnd"/>
      <w:r w:rsidRPr="007E4A52">
        <w:rPr>
          <w:rFonts w:ascii="Helvetica" w:hAnsi="Helvetica" w:cs="Helvetica"/>
          <w:color w:val="000000" w:themeColor="text1"/>
          <w:sz w:val="22"/>
          <w:szCs w:val="22"/>
          <w:lang w:val="en-US"/>
        </w:rPr>
        <w:t xml:space="preserve"> samples for normal keratinocytes. Pathway analysis was performed as described above.</w:t>
      </w:r>
    </w:p>
    <w:p w14:paraId="4DBD10C2" w14:textId="77777777" w:rsidR="00B22290" w:rsidRPr="007E4A52" w:rsidRDefault="00B22290" w:rsidP="00834906">
      <w:pPr>
        <w:spacing w:line="480" w:lineRule="auto"/>
        <w:jc w:val="both"/>
        <w:rPr>
          <w:rFonts w:ascii="Helvetica" w:hAnsi="Helvetica" w:cs="Helvetica"/>
          <w:sz w:val="22"/>
          <w:szCs w:val="22"/>
          <w:lang w:val="en-US"/>
        </w:rPr>
      </w:pPr>
    </w:p>
    <w:p w14:paraId="3EDCD546" w14:textId="77777777" w:rsidR="00B22290" w:rsidRPr="007E4A52" w:rsidRDefault="00B22290" w:rsidP="00834906">
      <w:pPr>
        <w:spacing w:line="480" w:lineRule="auto"/>
        <w:jc w:val="both"/>
        <w:rPr>
          <w:rFonts w:ascii="Helvetica" w:hAnsi="Helvetica" w:cs="Helvetica"/>
          <w:sz w:val="22"/>
          <w:szCs w:val="22"/>
          <w:lang w:val="en-US"/>
        </w:rPr>
      </w:pPr>
    </w:p>
    <w:p w14:paraId="37AA518D" w14:textId="77777777" w:rsidR="00B22290" w:rsidRPr="007E4A52" w:rsidRDefault="00B22290" w:rsidP="00834906">
      <w:pPr>
        <w:spacing w:line="480" w:lineRule="auto"/>
        <w:jc w:val="both"/>
        <w:rPr>
          <w:rFonts w:ascii="Helvetica" w:hAnsi="Helvetica" w:cs="Helvetica"/>
          <w:sz w:val="22"/>
          <w:szCs w:val="22"/>
          <w:lang w:val="en-US"/>
        </w:rPr>
      </w:pPr>
    </w:p>
    <w:p w14:paraId="62EB0296" w14:textId="77777777" w:rsidR="00B22290" w:rsidRPr="007E4A52" w:rsidRDefault="00B22290" w:rsidP="00834906">
      <w:pPr>
        <w:spacing w:line="480" w:lineRule="auto"/>
        <w:jc w:val="both"/>
        <w:rPr>
          <w:rFonts w:ascii="Helvetica" w:hAnsi="Helvetica" w:cs="Helvetica"/>
          <w:sz w:val="22"/>
          <w:szCs w:val="22"/>
          <w:lang w:val="en-US"/>
        </w:rPr>
      </w:pPr>
    </w:p>
    <w:p w14:paraId="713B0586" w14:textId="77777777" w:rsidR="00B22290" w:rsidRPr="007E4A52" w:rsidRDefault="00B22290" w:rsidP="00B22290">
      <w:pPr>
        <w:spacing w:line="480" w:lineRule="auto"/>
        <w:jc w:val="both"/>
        <w:rPr>
          <w:rFonts w:ascii="Helvetica" w:hAnsi="Helvetica" w:cs="Helvetica"/>
          <w:b/>
          <w:sz w:val="22"/>
          <w:szCs w:val="22"/>
          <w:lang w:val="en-US"/>
        </w:rPr>
      </w:pPr>
    </w:p>
    <w:p w14:paraId="1352AAF0" w14:textId="77777777" w:rsidR="00B22290" w:rsidRPr="007E4A52" w:rsidRDefault="00B22290" w:rsidP="00B22290">
      <w:pPr>
        <w:spacing w:line="480" w:lineRule="auto"/>
        <w:jc w:val="both"/>
        <w:rPr>
          <w:rFonts w:ascii="Helvetica" w:hAnsi="Helvetica" w:cs="Helvetica"/>
          <w:b/>
          <w:sz w:val="22"/>
          <w:szCs w:val="22"/>
          <w:lang w:val="en-US"/>
        </w:rPr>
      </w:pPr>
    </w:p>
    <w:p w14:paraId="41A15175" w14:textId="77777777" w:rsidR="00B22290" w:rsidRPr="007E4A52" w:rsidRDefault="00B22290" w:rsidP="00B22290">
      <w:pPr>
        <w:spacing w:line="480" w:lineRule="auto"/>
        <w:jc w:val="both"/>
        <w:rPr>
          <w:rFonts w:ascii="Helvetica" w:hAnsi="Helvetica" w:cs="Helvetica"/>
          <w:b/>
          <w:sz w:val="22"/>
          <w:szCs w:val="22"/>
          <w:lang w:val="en-US"/>
        </w:rPr>
      </w:pPr>
    </w:p>
    <w:p w14:paraId="0678BC67" w14:textId="77777777" w:rsidR="00B22290" w:rsidRPr="007E4A52" w:rsidRDefault="00B22290" w:rsidP="00B22290">
      <w:pPr>
        <w:spacing w:line="480" w:lineRule="auto"/>
        <w:jc w:val="both"/>
        <w:rPr>
          <w:rFonts w:ascii="Helvetica" w:hAnsi="Helvetica" w:cs="Helvetica"/>
          <w:b/>
          <w:sz w:val="22"/>
          <w:szCs w:val="22"/>
          <w:lang w:val="en-US"/>
        </w:rPr>
      </w:pPr>
    </w:p>
    <w:p w14:paraId="20EB3CBF" w14:textId="60E07F87" w:rsidR="00834906" w:rsidRPr="007E4A52" w:rsidRDefault="00B22290" w:rsidP="00B22290">
      <w:pPr>
        <w:spacing w:line="480" w:lineRule="auto"/>
        <w:jc w:val="both"/>
        <w:rPr>
          <w:rFonts w:ascii="Helvetica" w:hAnsi="Helvetica" w:cs="Helvetica"/>
          <w:b/>
          <w:sz w:val="22"/>
          <w:szCs w:val="22"/>
          <w:lang w:val="en-US"/>
        </w:rPr>
      </w:pPr>
      <w:r w:rsidRPr="007E4A52">
        <w:rPr>
          <w:rFonts w:ascii="Helvetica" w:hAnsi="Helvetica" w:cs="Helvetica"/>
          <w:b/>
          <w:sz w:val="22"/>
          <w:szCs w:val="22"/>
          <w:lang w:val="en-US"/>
        </w:rPr>
        <w:t>References (Methods)</w:t>
      </w:r>
    </w:p>
    <w:p w14:paraId="1F8F9F8D" w14:textId="7FCF6632" w:rsidR="00B22290" w:rsidRPr="007E4A52" w:rsidRDefault="00834906"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Helvetica"/>
          <w:sz w:val="22"/>
          <w:szCs w:val="22"/>
          <w:lang w:val="en-US"/>
        </w:rPr>
        <w:fldChar w:fldCharType="begin" w:fldLock="1"/>
      </w:r>
      <w:r w:rsidRPr="007E4A52">
        <w:rPr>
          <w:rFonts w:ascii="Helvetica" w:hAnsi="Helvetica" w:cs="Helvetica"/>
          <w:sz w:val="22"/>
          <w:szCs w:val="22"/>
          <w:lang w:val="en-US"/>
        </w:rPr>
        <w:instrText xml:space="preserve">ADDIN Mendeley Bibliography CSL_BIBLIOGRAPHY </w:instrText>
      </w:r>
      <w:r w:rsidRPr="007E4A52">
        <w:rPr>
          <w:rFonts w:ascii="Helvetica" w:hAnsi="Helvetica" w:cs="Helvetica"/>
          <w:sz w:val="22"/>
          <w:szCs w:val="22"/>
          <w:lang w:val="en-US"/>
        </w:rPr>
        <w:fldChar w:fldCharType="separate"/>
      </w:r>
      <w:r w:rsidR="00B22290" w:rsidRPr="007E4A52">
        <w:rPr>
          <w:rFonts w:ascii="Helvetica" w:hAnsi="Helvetica" w:cs="Arial"/>
          <w:noProof/>
          <w:sz w:val="22"/>
          <w:lang w:val="en-US"/>
        </w:rPr>
        <w:t xml:space="preserve">1. </w:t>
      </w:r>
      <w:r w:rsidR="00B22290" w:rsidRPr="007E4A52">
        <w:rPr>
          <w:rFonts w:ascii="Helvetica" w:hAnsi="Helvetica" w:cs="Arial"/>
          <w:noProof/>
          <w:sz w:val="22"/>
          <w:lang w:val="en-US"/>
        </w:rPr>
        <w:tab/>
        <w:t xml:space="preserve">Ji AL, Rubin AJ, Thrane K, Jiang S, Reynolds DL, Meyers RM, et al. Multimodal Analysis of Composition and Spatial Architecture in Human Squamous Cell  Carcinoma. Cell. 2020;182:497-514.e22. </w:t>
      </w:r>
    </w:p>
    <w:p w14:paraId="63E8B059"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2. </w:t>
      </w:r>
      <w:r w:rsidRPr="007E4A52">
        <w:rPr>
          <w:rFonts w:ascii="Helvetica" w:hAnsi="Helvetica" w:cs="Arial"/>
          <w:noProof/>
          <w:sz w:val="22"/>
          <w:lang w:val="en-US"/>
        </w:rPr>
        <w:tab/>
        <w:t xml:space="preserve">Li Z, Gonzalez CL, Wang B, Zhang Y, Mejia O, Katsonis P, et al. Cdkn2a suppresses metastasis in squamous cell carcinomas induced by the  gain-of-function mutant p53(R172H). J Pathol. England; 2016;240:224–34. </w:t>
      </w:r>
    </w:p>
    <w:p w14:paraId="70C23526"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3. </w:t>
      </w:r>
      <w:r w:rsidRPr="007E4A52">
        <w:rPr>
          <w:rFonts w:ascii="Helvetica" w:hAnsi="Helvetica" w:cs="Arial"/>
          <w:noProof/>
          <w:sz w:val="22"/>
          <w:lang w:val="en-US"/>
        </w:rPr>
        <w:tab/>
        <w:t xml:space="preserve">Bolger AM, Lohse M, Usadel B. Trimmomatic: a flexible trimmer for Illumina sequence data. Bioinformatics. 2014;30:2114–20. </w:t>
      </w:r>
    </w:p>
    <w:p w14:paraId="657DE571"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4. </w:t>
      </w:r>
      <w:r w:rsidRPr="007E4A52">
        <w:rPr>
          <w:rFonts w:ascii="Helvetica" w:hAnsi="Helvetica" w:cs="Arial"/>
          <w:noProof/>
          <w:sz w:val="22"/>
          <w:lang w:val="en-US"/>
        </w:rPr>
        <w:tab/>
        <w:t>Li H, Durbin R. Fast and accurate short read alignment with Burrows-Wheeler transform. Bioinformatics [Internet]. 2009;25:1754–60. Available from: http://www.ncbi.nlm.nih.gov/pubmed/19451168</w:t>
      </w:r>
    </w:p>
    <w:p w14:paraId="29D81CF5"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5. </w:t>
      </w:r>
      <w:r w:rsidRPr="007E4A52">
        <w:rPr>
          <w:rFonts w:ascii="Helvetica" w:hAnsi="Helvetica" w:cs="Arial"/>
          <w:noProof/>
          <w:sz w:val="22"/>
          <w:lang w:val="en-US"/>
        </w:rPr>
        <w:tab/>
        <w:t>Koboldt DC, Zhang Q, Larson DE, Shen D, McLellan MD, Lin L, et al. VarScan 2: somatic mutation and copy number alteration discovery in cancer by exome sequencing. Genome Res [Internet]. 2012;22:568–76. Available from: http://www.ncbi.nlm.nih.gov/pubmed/22300766</w:t>
      </w:r>
    </w:p>
    <w:p w14:paraId="62DBB4F9"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6. </w:t>
      </w:r>
      <w:r w:rsidRPr="007E4A52">
        <w:rPr>
          <w:rFonts w:ascii="Helvetica" w:hAnsi="Helvetica" w:cs="Arial"/>
          <w:noProof/>
          <w:sz w:val="22"/>
          <w:lang w:val="en-US"/>
        </w:rPr>
        <w:tab/>
        <w:t xml:space="preserve">McLaren W, Pritchard B, Rios D, Chen Y, Flicek P, Cunningham F. Deriving the consequences of genomic variants with the Ensembl API and SNP Effect  Predictor. Bioinformatics. 2010;26:2069–70. </w:t>
      </w:r>
    </w:p>
    <w:p w14:paraId="21BAA9B9"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7. </w:t>
      </w:r>
      <w:r w:rsidRPr="007E4A52">
        <w:rPr>
          <w:rFonts w:ascii="Helvetica" w:hAnsi="Helvetica" w:cs="Arial"/>
          <w:noProof/>
          <w:sz w:val="22"/>
          <w:lang w:val="en-US"/>
        </w:rPr>
        <w:tab/>
        <w:t>Mayakonda A, Lin D-C, Assenov Y, Plass C, Koeffler HP. Maftools: efficient and comprehensive analysis of somatic variants in cancer. Genome Res [Internet]. 2018 [cited 2018 Dec 13];28:1747–56. Available from: http://genome.cshlp.org/lookup/doi/10.1101/gr.239244.118</w:t>
      </w:r>
    </w:p>
    <w:p w14:paraId="110DDBF3"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8. </w:t>
      </w:r>
      <w:r w:rsidRPr="007E4A52">
        <w:rPr>
          <w:rFonts w:ascii="Helvetica" w:hAnsi="Helvetica" w:cs="Arial"/>
          <w:noProof/>
          <w:sz w:val="22"/>
          <w:lang w:val="en-US"/>
        </w:rPr>
        <w:tab/>
        <w:t xml:space="preserve">Dobin A, Davis CA, Schlesinger F, Drenkow J, Zaleski C, Jha S, et al. STAR: ultrafast universal RNA-seq aligner. Bioinformatics. 2013;29:15–21. </w:t>
      </w:r>
    </w:p>
    <w:p w14:paraId="5BBBC687"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9. </w:t>
      </w:r>
      <w:r w:rsidRPr="007E4A52">
        <w:rPr>
          <w:rFonts w:ascii="Helvetica" w:hAnsi="Helvetica" w:cs="Arial"/>
          <w:noProof/>
          <w:sz w:val="22"/>
          <w:lang w:val="en-US"/>
        </w:rPr>
        <w:tab/>
        <w:t xml:space="preserve">Anders S, Pyl PT, Huber W. HTSeq--a Python framework to work with high-throughput sequencing data. Bioinformatics. 2015;31:166–9. </w:t>
      </w:r>
    </w:p>
    <w:p w14:paraId="4DBC0D4C"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10. </w:t>
      </w:r>
      <w:r w:rsidRPr="007E4A52">
        <w:rPr>
          <w:rFonts w:ascii="Helvetica" w:hAnsi="Helvetica" w:cs="Arial"/>
          <w:noProof/>
          <w:sz w:val="22"/>
          <w:lang w:val="en-US"/>
        </w:rPr>
        <w:tab/>
        <w:t xml:space="preserve">Love MI, Huber W, Anders S. Moderated estimation of fold change and dispersion for RNA-seq data with DESeq2. Genome Biol. 2014;15:550. </w:t>
      </w:r>
    </w:p>
    <w:p w14:paraId="4256F7CC" w14:textId="77777777" w:rsidR="00B22290" w:rsidRPr="007E4A52" w:rsidRDefault="00B22290" w:rsidP="00B22290">
      <w:pPr>
        <w:widowControl w:val="0"/>
        <w:autoSpaceDE w:val="0"/>
        <w:autoSpaceDN w:val="0"/>
        <w:adjustRightInd w:val="0"/>
        <w:ind w:left="640" w:hanging="640"/>
        <w:rPr>
          <w:rFonts w:ascii="Helvetica" w:hAnsi="Helvetica" w:cs="Arial"/>
          <w:noProof/>
          <w:sz w:val="22"/>
          <w:lang w:val="en-US"/>
        </w:rPr>
      </w:pPr>
      <w:r w:rsidRPr="007E4A52">
        <w:rPr>
          <w:rFonts w:ascii="Helvetica" w:hAnsi="Helvetica" w:cs="Arial"/>
          <w:noProof/>
          <w:sz w:val="22"/>
          <w:lang w:val="en-US"/>
        </w:rPr>
        <w:t xml:space="preserve">11. </w:t>
      </w:r>
      <w:r w:rsidRPr="007E4A52">
        <w:rPr>
          <w:rFonts w:ascii="Helvetica" w:hAnsi="Helvetica" w:cs="Arial"/>
          <w:noProof/>
          <w:sz w:val="22"/>
          <w:lang w:val="en-US"/>
        </w:rPr>
        <w:tab/>
        <w:t xml:space="preserve">Chen Z, Quan L, Huang A, Zhao Q, Yuan Y, Yuan X, et al. seq-ImmuCC: Cell-Centric View of Tissue Transcriptome Measuring Cellular  Compositions of Immune Microenvironment From Mouse RNA-Seq Data. Front Immunol. 2018;9:1286. </w:t>
      </w:r>
    </w:p>
    <w:p w14:paraId="1D6D2920" w14:textId="77777777" w:rsidR="00B22290" w:rsidRPr="007E4A52" w:rsidRDefault="00B22290" w:rsidP="00B22290">
      <w:pPr>
        <w:widowControl w:val="0"/>
        <w:autoSpaceDE w:val="0"/>
        <w:autoSpaceDN w:val="0"/>
        <w:adjustRightInd w:val="0"/>
        <w:ind w:left="640" w:hanging="640"/>
        <w:rPr>
          <w:rFonts w:ascii="Helvetica" w:hAnsi="Helvetica"/>
          <w:noProof/>
          <w:sz w:val="22"/>
        </w:rPr>
      </w:pPr>
      <w:r w:rsidRPr="007E4A52">
        <w:rPr>
          <w:rFonts w:ascii="Helvetica" w:hAnsi="Helvetica" w:cs="Arial"/>
          <w:noProof/>
          <w:sz w:val="22"/>
          <w:lang w:val="en-US"/>
        </w:rPr>
        <w:t xml:space="preserve">12. </w:t>
      </w:r>
      <w:r w:rsidRPr="007E4A52">
        <w:rPr>
          <w:rFonts w:ascii="Helvetica" w:hAnsi="Helvetica" w:cs="Arial"/>
          <w:noProof/>
          <w:sz w:val="22"/>
          <w:lang w:val="en-US"/>
        </w:rPr>
        <w:tab/>
        <w:t xml:space="preserve">Butler A, Hoffman P, Smibert P, Papalexi E, Satija R. Integrating single-cell transcriptomic data across different conditions,  technologies, and species. Nat Biotechnol. 2018;36:411–20. </w:t>
      </w:r>
    </w:p>
    <w:p w14:paraId="352FB046" w14:textId="59785F55" w:rsidR="0015253F" w:rsidRPr="007E4A52" w:rsidRDefault="00834906" w:rsidP="00B22290">
      <w:pPr>
        <w:widowControl w:val="0"/>
        <w:autoSpaceDE w:val="0"/>
        <w:autoSpaceDN w:val="0"/>
        <w:adjustRightInd w:val="0"/>
      </w:pPr>
      <w:r w:rsidRPr="007E4A52">
        <w:rPr>
          <w:rFonts w:ascii="Helvetica" w:hAnsi="Helvetica" w:cs="Helvetica"/>
          <w:sz w:val="22"/>
          <w:szCs w:val="22"/>
          <w:lang w:val="en-US"/>
        </w:rPr>
        <w:fldChar w:fldCharType="end"/>
      </w:r>
    </w:p>
    <w:sectPr w:rsidR="0015253F" w:rsidRPr="007E4A52" w:rsidSect="008B4D6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70066" w14:textId="77777777" w:rsidR="0067289F" w:rsidRDefault="0067289F">
      <w:r>
        <w:separator/>
      </w:r>
    </w:p>
  </w:endnote>
  <w:endnote w:type="continuationSeparator" w:id="0">
    <w:p w14:paraId="44E164E6" w14:textId="77777777" w:rsidR="0067289F" w:rsidRDefault="0067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0876032"/>
      <w:docPartObj>
        <w:docPartGallery w:val="Page Numbers (Bottom of Page)"/>
        <w:docPartUnique/>
      </w:docPartObj>
    </w:sdtPr>
    <w:sdtEndPr>
      <w:rPr>
        <w:rStyle w:val="PageNumber"/>
      </w:rPr>
    </w:sdtEndPr>
    <w:sdtContent>
      <w:p w14:paraId="67886081" w14:textId="77777777" w:rsidR="00234429" w:rsidRDefault="009E4A4D" w:rsidP="00B27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EB1D4F" w14:textId="77777777" w:rsidR="00234429" w:rsidRDefault="0067289F" w:rsidP="00D331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7064278"/>
      <w:docPartObj>
        <w:docPartGallery w:val="Page Numbers (Bottom of Page)"/>
        <w:docPartUnique/>
      </w:docPartObj>
    </w:sdtPr>
    <w:sdtEndPr>
      <w:rPr>
        <w:rStyle w:val="PageNumber"/>
      </w:rPr>
    </w:sdtEndPr>
    <w:sdtContent>
      <w:p w14:paraId="712CA4F4" w14:textId="77777777" w:rsidR="00234429" w:rsidRDefault="009E4A4D" w:rsidP="00B27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8C11C86" w14:textId="77777777" w:rsidR="00234429" w:rsidRDefault="0067289F" w:rsidP="00D331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A3D46" w14:textId="77777777" w:rsidR="0067289F" w:rsidRDefault="0067289F">
      <w:r>
        <w:separator/>
      </w:r>
    </w:p>
  </w:footnote>
  <w:footnote w:type="continuationSeparator" w:id="0">
    <w:p w14:paraId="6FCFFEAA" w14:textId="77777777" w:rsidR="0067289F" w:rsidRDefault="00672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E9D0" w14:textId="77777777" w:rsidR="00234429" w:rsidRPr="00572683" w:rsidRDefault="009E4A4D">
    <w:pPr>
      <w:pStyle w:val="Header"/>
      <w:rPr>
        <w:rFonts w:ascii="Arial" w:hAnsi="Arial" w:cs="Arial"/>
        <w:sz w:val="22"/>
        <w:szCs w:val="22"/>
      </w:rPr>
    </w:pPr>
    <w:r>
      <w:tab/>
    </w:r>
    <w:r>
      <w:tab/>
    </w:r>
    <w:r w:rsidRPr="00572683">
      <w:rPr>
        <w:rFonts w:ascii="Arial" w:hAnsi="Arial" w:cs="Arial"/>
        <w:sz w:val="22"/>
        <w:szCs w:val="22"/>
      </w:rPr>
      <w:t xml:space="preserve">Budden </w:t>
    </w:r>
    <w:r w:rsidRPr="00572683">
      <w:rPr>
        <w:rFonts w:ascii="Arial" w:hAnsi="Arial" w:cs="Arial"/>
        <w:i/>
        <w:sz w:val="22"/>
        <w:szCs w:val="22"/>
      </w:rPr>
      <w:t>et al</w:t>
    </w:r>
    <w:r w:rsidRPr="00572683">
      <w:rPr>
        <w:rFonts w:ascii="Arial" w:hAnsi="Arial" w:cs="Arial"/>
        <w:sz w:val="22"/>
        <w:szCs w:val="22"/>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06"/>
    <w:rsid w:val="002516F9"/>
    <w:rsid w:val="002F6905"/>
    <w:rsid w:val="003A57E9"/>
    <w:rsid w:val="00486759"/>
    <w:rsid w:val="00525FDB"/>
    <w:rsid w:val="00640579"/>
    <w:rsid w:val="0067289F"/>
    <w:rsid w:val="00776FA2"/>
    <w:rsid w:val="007E4A52"/>
    <w:rsid w:val="00834906"/>
    <w:rsid w:val="00876FC0"/>
    <w:rsid w:val="00893D89"/>
    <w:rsid w:val="008B4D61"/>
    <w:rsid w:val="009A2292"/>
    <w:rsid w:val="009E4A4D"/>
    <w:rsid w:val="00B22290"/>
    <w:rsid w:val="00B80E45"/>
    <w:rsid w:val="00BE623B"/>
    <w:rsid w:val="00E55FEE"/>
    <w:rsid w:val="00EA28CF"/>
    <w:rsid w:val="00EC2D5C"/>
    <w:rsid w:val="00EF1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4F19D"/>
  <w14:defaultImageDpi w14:val="32767"/>
  <w15:chartTrackingRefBased/>
  <w15:docId w15:val="{F514956B-2958-5D4D-9558-DF4D5561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9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4906"/>
    <w:rPr>
      <w:color w:val="0000FF"/>
      <w:u w:val="single"/>
    </w:rPr>
  </w:style>
  <w:style w:type="character" w:customStyle="1" w:styleId="apple-converted-space">
    <w:name w:val="apple-converted-space"/>
    <w:basedOn w:val="DefaultParagraphFont"/>
    <w:rsid w:val="00834906"/>
  </w:style>
  <w:style w:type="paragraph" w:styleId="Header">
    <w:name w:val="header"/>
    <w:basedOn w:val="Normal"/>
    <w:link w:val="HeaderChar"/>
    <w:uiPriority w:val="99"/>
    <w:unhideWhenUsed/>
    <w:rsid w:val="00834906"/>
    <w:pPr>
      <w:tabs>
        <w:tab w:val="center" w:pos="4680"/>
        <w:tab w:val="right" w:pos="9360"/>
      </w:tabs>
    </w:pPr>
  </w:style>
  <w:style w:type="character" w:customStyle="1" w:styleId="HeaderChar">
    <w:name w:val="Header Char"/>
    <w:basedOn w:val="DefaultParagraphFont"/>
    <w:link w:val="Header"/>
    <w:uiPriority w:val="99"/>
    <w:rsid w:val="00834906"/>
    <w:rPr>
      <w:rFonts w:ascii="Times New Roman" w:eastAsia="Times New Roman" w:hAnsi="Times New Roman" w:cs="Times New Roman"/>
    </w:rPr>
  </w:style>
  <w:style w:type="paragraph" w:styleId="Footer">
    <w:name w:val="footer"/>
    <w:basedOn w:val="Normal"/>
    <w:link w:val="FooterChar"/>
    <w:uiPriority w:val="99"/>
    <w:unhideWhenUsed/>
    <w:rsid w:val="00834906"/>
    <w:pPr>
      <w:tabs>
        <w:tab w:val="center" w:pos="4680"/>
        <w:tab w:val="right" w:pos="9360"/>
      </w:tabs>
    </w:pPr>
  </w:style>
  <w:style w:type="character" w:customStyle="1" w:styleId="FooterChar">
    <w:name w:val="Footer Char"/>
    <w:basedOn w:val="DefaultParagraphFont"/>
    <w:link w:val="Footer"/>
    <w:uiPriority w:val="99"/>
    <w:rsid w:val="00834906"/>
    <w:rPr>
      <w:rFonts w:ascii="Times New Roman" w:eastAsia="Times New Roman" w:hAnsi="Times New Roman" w:cs="Times New Roman"/>
    </w:rPr>
  </w:style>
  <w:style w:type="character" w:styleId="PageNumber">
    <w:name w:val="page number"/>
    <w:basedOn w:val="DefaultParagraphFont"/>
    <w:uiPriority w:val="99"/>
    <w:semiHidden/>
    <w:unhideWhenUsed/>
    <w:rsid w:val="00834906"/>
  </w:style>
  <w:style w:type="character" w:styleId="Emphasis">
    <w:name w:val="Emphasis"/>
    <w:basedOn w:val="DefaultParagraphFont"/>
    <w:uiPriority w:val="20"/>
    <w:qFormat/>
    <w:rsid w:val="00834906"/>
    <w:rPr>
      <w:i/>
      <w:iCs/>
    </w:rPr>
  </w:style>
  <w:style w:type="paragraph" w:styleId="BalloonText">
    <w:name w:val="Balloon Text"/>
    <w:basedOn w:val="Normal"/>
    <w:link w:val="BalloonTextChar"/>
    <w:uiPriority w:val="99"/>
    <w:semiHidden/>
    <w:unhideWhenUsed/>
    <w:rsid w:val="00E55FEE"/>
    <w:rPr>
      <w:sz w:val="18"/>
      <w:szCs w:val="18"/>
    </w:rPr>
  </w:style>
  <w:style w:type="character" w:customStyle="1" w:styleId="BalloonTextChar">
    <w:name w:val="Balloon Text Char"/>
    <w:basedOn w:val="DefaultParagraphFont"/>
    <w:link w:val="BalloonText"/>
    <w:uiPriority w:val="99"/>
    <w:semiHidden/>
    <w:rsid w:val="00E55FEE"/>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tel:14-0808-8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tel:14-9766-8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443F5-90C0-B146-B290-3E6D5158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9151</Words>
  <Characters>52167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2021-03-17T16:08:00Z</dcterms:created>
  <dcterms:modified xsi:type="dcterms:W3CDTF">2021-03-17T16:08:00Z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http://www.zotero.org/styles/american-association-for-cancer-research</vt:lpwstr>
  </property>
  <property fmtid="{D5CDD505-2E9C-101B-9397-08002B2CF9AE}" pid="3" name="Mendeley Recent Style Name 0_1">
    <vt:lpwstr>American Association for Cancer Research</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http://www.zotero.org/styles/cancer-cell</vt:lpwstr>
  </property>
  <property fmtid="{D5CDD505-2E9C-101B-9397-08002B2CF9AE}" pid="7" name="Mendeley Recent Style Name 2_1">
    <vt:lpwstr>Cancer Cell</vt:lpwstr>
  </property>
  <property fmtid="{D5CDD505-2E9C-101B-9397-08002B2CF9AE}" pid="8" name="Mendeley Recent Style Id 3_1">
    <vt:lpwstr>http://www.zotero.org/styles/journal-of-investigative-dermatology</vt:lpwstr>
  </property>
  <property fmtid="{D5CDD505-2E9C-101B-9397-08002B2CF9AE}" pid="9" name="Mendeley Recent Style Name 3_1">
    <vt:lpwstr>Journal of Investigative Dermatology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http://www.zotero.org/styles/science-advances</vt:lpwstr>
  </property>
  <property fmtid="{D5CDD505-2E9C-101B-9397-08002B2CF9AE}" pid="13" name="Mendeley Recent Style Name 5_1">
    <vt:lpwstr>Science Advances</vt:lpwstr>
  </property>
  <property fmtid="{D5CDD505-2E9C-101B-9397-08002B2CF9AE}" pid="14" name="Mendeley Recent Style Id 6_1">
    <vt:lpwstr>http://www.zotero.org/styles/science-translational-medicine</vt:lpwstr>
  </property>
  <property fmtid="{D5CDD505-2E9C-101B-9397-08002B2CF9AE}" pid="15" name="Mendeley Recent Style Name 6_1">
    <vt:lpwstr>Science Translational Medicine</vt:lpwstr>
  </property>
  <property fmtid="{D5CDD505-2E9C-101B-9397-08002B2CF9AE}" pid="16" name="Mendeley Recent Style Id 7_1">
    <vt:lpwstr>http://www.zotero.org/styles/the-journal-of-clinical-investigation</vt:lpwstr>
  </property>
  <property fmtid="{D5CDD505-2E9C-101B-9397-08002B2CF9AE}" pid="17" name="Mendeley Recent Style Name 7_1">
    <vt:lpwstr>The Journal of Clinical Investigation</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fbabb322-9480-3e37-963b-fab8ad11a29b</vt:lpwstr>
  </property>
  <property fmtid="{D5CDD505-2E9C-101B-9397-08002B2CF9AE}" pid="24" name="Mendeley Citation Style_1">
    <vt:lpwstr>http://www.zotero.org/styles/american-association-for-cancer-research</vt:lpwstr>
  </property>
</Properties>
</file>