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7276D" w14:textId="479E0638" w:rsidR="006F0F28" w:rsidRPr="000F607F" w:rsidRDefault="00D1408D" w:rsidP="006F0F28">
      <w:pPr>
        <w:rPr>
          <w:rFonts w:ascii="Arial" w:hAnsi="Arial" w:cs="Arial"/>
          <w:sz w:val="28"/>
          <w:szCs w:val="28"/>
        </w:rPr>
      </w:pPr>
      <w:r w:rsidRPr="000F607F">
        <w:rPr>
          <w:rFonts w:ascii="Arial" w:hAnsi="Arial" w:cs="Arial"/>
          <w:sz w:val="28"/>
          <w:szCs w:val="28"/>
        </w:rPr>
        <w:t>Supplement</w:t>
      </w:r>
      <w:r w:rsidR="00637ABB">
        <w:rPr>
          <w:rFonts w:ascii="Arial" w:hAnsi="Arial" w:cs="Arial"/>
          <w:sz w:val="28"/>
          <w:szCs w:val="28"/>
        </w:rPr>
        <w:t>a</w:t>
      </w:r>
      <w:r w:rsidR="00837018">
        <w:rPr>
          <w:rFonts w:ascii="Arial" w:hAnsi="Arial" w:cs="Arial"/>
          <w:sz w:val="28"/>
          <w:szCs w:val="28"/>
        </w:rPr>
        <w:t>l</w:t>
      </w:r>
      <w:r w:rsidR="00637ABB">
        <w:rPr>
          <w:rFonts w:ascii="Arial" w:hAnsi="Arial" w:cs="Arial"/>
          <w:sz w:val="28"/>
          <w:szCs w:val="28"/>
        </w:rPr>
        <w:t xml:space="preserve"> Materials</w:t>
      </w:r>
      <w:r w:rsidR="003C76D1" w:rsidRPr="000F607F">
        <w:rPr>
          <w:rFonts w:ascii="Arial" w:hAnsi="Arial" w:cs="Arial"/>
          <w:sz w:val="28"/>
          <w:szCs w:val="28"/>
        </w:rPr>
        <w:t xml:space="preserve">, </w:t>
      </w:r>
      <w:r w:rsidR="00372AA3" w:rsidRPr="000F607F">
        <w:rPr>
          <w:rFonts w:ascii="Arial" w:hAnsi="Arial" w:cs="Arial"/>
          <w:sz w:val="28"/>
          <w:szCs w:val="28"/>
        </w:rPr>
        <w:t xml:space="preserve">Detection of Chemotherapy-Resistant Pancreatic Cancer </w:t>
      </w:r>
      <w:r w:rsidR="000B0D4F">
        <w:rPr>
          <w:rFonts w:ascii="Arial" w:hAnsi="Arial" w:cs="Arial"/>
          <w:sz w:val="28"/>
          <w:szCs w:val="28"/>
        </w:rPr>
        <w:t>Using a Glycan Biomarker</w:t>
      </w:r>
    </w:p>
    <w:p w14:paraId="3AB04BD4" w14:textId="77777777" w:rsidR="006F0F28" w:rsidRPr="000F607F" w:rsidRDefault="006F0F28" w:rsidP="006F0F28">
      <w:pPr>
        <w:rPr>
          <w:rFonts w:ascii="Arial" w:hAnsi="Arial" w:cs="Arial"/>
        </w:rPr>
      </w:pPr>
    </w:p>
    <w:p w14:paraId="01CFE460" w14:textId="77777777" w:rsidR="0078640A" w:rsidRPr="00D04AC3" w:rsidRDefault="0078640A" w:rsidP="0078640A">
      <w:pPr>
        <w:outlineLvl w:val="0"/>
        <w:rPr>
          <w:rFonts w:ascii="Arial" w:hAnsi="Arial" w:cs="Arial"/>
          <w:b/>
          <w:sz w:val="22"/>
          <w:szCs w:val="22"/>
        </w:rPr>
      </w:pPr>
      <w:r w:rsidRPr="00D04AC3">
        <w:rPr>
          <w:rFonts w:ascii="Arial" w:hAnsi="Arial" w:cs="Arial"/>
          <w:b/>
          <w:sz w:val="22"/>
          <w:szCs w:val="22"/>
        </w:rPr>
        <w:t>ChongFeng Gao</w:t>
      </w:r>
      <w:r w:rsidRPr="00D04AC3">
        <w:rPr>
          <w:rFonts w:ascii="Arial" w:hAnsi="Arial" w:cs="Arial"/>
          <w:b/>
          <w:sz w:val="22"/>
          <w:szCs w:val="22"/>
          <w:vertAlign w:val="superscript"/>
        </w:rPr>
        <w:t>1</w:t>
      </w:r>
      <w:r w:rsidRPr="00D04AC3">
        <w:rPr>
          <w:rFonts w:ascii="Arial" w:hAnsi="Arial" w:cs="Arial"/>
          <w:b/>
          <w:sz w:val="22"/>
          <w:szCs w:val="22"/>
        </w:rPr>
        <w:t>, Luke Wisniewski</w:t>
      </w:r>
      <w:r w:rsidRPr="00D04AC3">
        <w:rPr>
          <w:rFonts w:ascii="Arial" w:hAnsi="Arial" w:cs="Arial"/>
          <w:b/>
          <w:sz w:val="22"/>
          <w:szCs w:val="22"/>
          <w:vertAlign w:val="superscript"/>
        </w:rPr>
        <w:t>1</w:t>
      </w:r>
      <w:r w:rsidRPr="00D04AC3">
        <w:rPr>
          <w:rFonts w:ascii="Arial" w:hAnsi="Arial" w:cs="Arial"/>
          <w:b/>
          <w:sz w:val="22"/>
          <w:szCs w:val="22"/>
        </w:rPr>
        <w:t>, Ying Liu</w:t>
      </w:r>
      <w:r w:rsidRPr="00D04AC3">
        <w:rPr>
          <w:rFonts w:ascii="Arial" w:hAnsi="Arial" w:cs="Arial"/>
          <w:b/>
          <w:sz w:val="22"/>
          <w:szCs w:val="22"/>
          <w:vertAlign w:val="superscript"/>
        </w:rPr>
        <w:t>1</w:t>
      </w:r>
      <w:r w:rsidRPr="00D04AC3">
        <w:rPr>
          <w:rFonts w:ascii="Arial" w:hAnsi="Arial" w:cs="Arial"/>
          <w:b/>
          <w:sz w:val="22"/>
          <w:szCs w:val="22"/>
        </w:rPr>
        <w:t>, Ben Staal</w:t>
      </w:r>
      <w:r w:rsidRPr="00D04AC3">
        <w:rPr>
          <w:rFonts w:ascii="Arial" w:hAnsi="Arial" w:cs="Arial"/>
          <w:b/>
          <w:sz w:val="22"/>
          <w:szCs w:val="22"/>
          <w:vertAlign w:val="superscript"/>
        </w:rPr>
        <w:t>1</w:t>
      </w:r>
      <w:r w:rsidRPr="00D04AC3">
        <w:rPr>
          <w:rFonts w:ascii="Arial" w:hAnsi="Arial" w:cs="Arial"/>
          <w:b/>
          <w:sz w:val="22"/>
          <w:szCs w:val="22"/>
        </w:rPr>
        <w:t>, Ian Beddows</w:t>
      </w:r>
      <w:r w:rsidRPr="00D04AC3">
        <w:rPr>
          <w:rFonts w:ascii="Arial" w:hAnsi="Arial" w:cs="Arial"/>
          <w:b/>
          <w:sz w:val="22"/>
          <w:szCs w:val="22"/>
          <w:vertAlign w:val="superscript"/>
        </w:rPr>
        <w:t>1</w:t>
      </w:r>
      <w:r w:rsidRPr="00D04AC3">
        <w:rPr>
          <w:rFonts w:ascii="Arial" w:hAnsi="Arial" w:cs="Arial"/>
          <w:b/>
          <w:sz w:val="22"/>
          <w:szCs w:val="22"/>
        </w:rPr>
        <w:t>, Dennis Plenker</w:t>
      </w:r>
      <w:r w:rsidRPr="00D04AC3">
        <w:rPr>
          <w:rFonts w:ascii="Arial" w:hAnsi="Arial" w:cs="Arial"/>
          <w:b/>
          <w:sz w:val="22"/>
          <w:szCs w:val="22"/>
          <w:vertAlign w:val="superscript"/>
        </w:rPr>
        <w:t>2</w:t>
      </w:r>
      <w:r w:rsidRPr="00D04AC3">
        <w:rPr>
          <w:rFonts w:ascii="Arial" w:hAnsi="Arial" w:cs="Arial"/>
          <w:b/>
          <w:sz w:val="22"/>
          <w:szCs w:val="22"/>
        </w:rPr>
        <w:t>, Mohammed Aldakkak</w:t>
      </w:r>
      <w:r w:rsidRPr="00D04AC3">
        <w:rPr>
          <w:rFonts w:ascii="Arial" w:hAnsi="Arial" w:cs="Arial"/>
          <w:b/>
          <w:sz w:val="22"/>
          <w:szCs w:val="22"/>
          <w:vertAlign w:val="superscript"/>
        </w:rPr>
        <w:t>3</w:t>
      </w:r>
      <w:r w:rsidRPr="00D04AC3">
        <w:rPr>
          <w:rFonts w:ascii="Arial" w:hAnsi="Arial" w:cs="Arial"/>
          <w:b/>
          <w:sz w:val="22"/>
          <w:szCs w:val="22"/>
        </w:rPr>
        <w:t>, Johnathan Hall</w:t>
      </w:r>
      <w:r w:rsidRPr="00D04AC3">
        <w:rPr>
          <w:rFonts w:ascii="Arial" w:hAnsi="Arial" w:cs="Arial"/>
          <w:b/>
          <w:sz w:val="22"/>
          <w:szCs w:val="22"/>
          <w:vertAlign w:val="superscript"/>
        </w:rPr>
        <w:t>1</w:t>
      </w:r>
      <w:r w:rsidRPr="00D04AC3">
        <w:rPr>
          <w:rFonts w:ascii="Arial" w:hAnsi="Arial" w:cs="Arial"/>
          <w:b/>
          <w:sz w:val="22"/>
          <w:szCs w:val="22"/>
        </w:rPr>
        <w:t>, Daniel Barnett</w:t>
      </w:r>
      <w:r w:rsidRPr="00D04AC3">
        <w:rPr>
          <w:rFonts w:ascii="Arial" w:hAnsi="Arial" w:cs="Arial"/>
          <w:b/>
          <w:sz w:val="22"/>
          <w:szCs w:val="22"/>
          <w:vertAlign w:val="superscript"/>
        </w:rPr>
        <w:t>1</w:t>
      </w:r>
      <w:r w:rsidRPr="00D04AC3">
        <w:rPr>
          <w:rFonts w:ascii="Arial" w:hAnsi="Arial" w:cs="Arial"/>
          <w:b/>
          <w:sz w:val="22"/>
          <w:szCs w:val="22"/>
        </w:rPr>
        <w:t>, Mirna Kheir Gouda</w:t>
      </w:r>
      <w:r w:rsidRPr="00D04AC3">
        <w:rPr>
          <w:rFonts w:ascii="Arial" w:hAnsi="Arial" w:cs="Arial"/>
          <w:b/>
          <w:sz w:val="22"/>
          <w:szCs w:val="22"/>
          <w:vertAlign w:val="superscript"/>
        </w:rPr>
        <w:t>2</w:t>
      </w:r>
      <w:r w:rsidRPr="00D04AC3">
        <w:rPr>
          <w:rFonts w:ascii="Arial" w:hAnsi="Arial" w:cs="Arial"/>
          <w:b/>
          <w:sz w:val="22"/>
          <w:szCs w:val="22"/>
        </w:rPr>
        <w:t>, Peter Allen</w:t>
      </w:r>
      <w:r w:rsidRPr="00D04AC3">
        <w:rPr>
          <w:rFonts w:ascii="Arial" w:hAnsi="Arial" w:cs="Arial"/>
          <w:b/>
          <w:sz w:val="22"/>
          <w:szCs w:val="22"/>
          <w:vertAlign w:val="superscript"/>
        </w:rPr>
        <w:t>4</w:t>
      </w:r>
      <w:r w:rsidRPr="00D04AC3">
        <w:rPr>
          <w:rFonts w:ascii="Arial" w:hAnsi="Arial" w:cs="Arial"/>
          <w:b/>
          <w:sz w:val="22"/>
          <w:szCs w:val="22"/>
        </w:rPr>
        <w:t>, Richard Drake</w:t>
      </w:r>
      <w:r w:rsidRPr="00D04AC3">
        <w:rPr>
          <w:rFonts w:ascii="Arial" w:hAnsi="Arial" w:cs="Arial"/>
          <w:b/>
          <w:sz w:val="22"/>
          <w:szCs w:val="22"/>
          <w:vertAlign w:val="superscript"/>
        </w:rPr>
        <w:t>5</w:t>
      </w:r>
      <w:r w:rsidRPr="00D04AC3">
        <w:rPr>
          <w:rFonts w:ascii="Arial" w:hAnsi="Arial" w:cs="Arial"/>
          <w:b/>
          <w:sz w:val="22"/>
          <w:szCs w:val="22"/>
        </w:rPr>
        <w:t>, Amer Zureikat</w:t>
      </w:r>
      <w:r w:rsidRPr="00D04AC3">
        <w:rPr>
          <w:rFonts w:ascii="Arial" w:hAnsi="Arial" w:cs="Arial"/>
          <w:b/>
          <w:sz w:val="22"/>
          <w:szCs w:val="22"/>
          <w:vertAlign w:val="superscript"/>
        </w:rPr>
        <w:t>6</w:t>
      </w:r>
      <w:r w:rsidRPr="00D04AC3">
        <w:rPr>
          <w:rFonts w:ascii="Arial" w:hAnsi="Arial" w:cs="Arial"/>
          <w:b/>
          <w:sz w:val="22"/>
          <w:szCs w:val="22"/>
        </w:rPr>
        <w:t>, Ying Huang</w:t>
      </w:r>
      <w:r w:rsidRPr="00D04AC3">
        <w:rPr>
          <w:rFonts w:ascii="Arial" w:hAnsi="Arial" w:cs="Arial"/>
          <w:b/>
          <w:sz w:val="22"/>
          <w:szCs w:val="22"/>
          <w:vertAlign w:val="superscript"/>
        </w:rPr>
        <w:t>7</w:t>
      </w:r>
      <w:r w:rsidRPr="00D04AC3">
        <w:rPr>
          <w:rFonts w:ascii="Arial" w:hAnsi="Arial" w:cs="Arial"/>
          <w:b/>
          <w:sz w:val="22"/>
          <w:szCs w:val="22"/>
        </w:rPr>
        <w:t>, Douglas Evans</w:t>
      </w:r>
      <w:r w:rsidRPr="00D04AC3">
        <w:rPr>
          <w:rFonts w:ascii="Arial" w:hAnsi="Arial" w:cs="Arial"/>
          <w:b/>
          <w:sz w:val="22"/>
          <w:szCs w:val="22"/>
          <w:vertAlign w:val="superscript"/>
        </w:rPr>
        <w:t>3</w:t>
      </w:r>
      <w:r w:rsidRPr="00D04AC3">
        <w:rPr>
          <w:rFonts w:ascii="Arial" w:hAnsi="Arial" w:cs="Arial"/>
          <w:b/>
          <w:sz w:val="22"/>
          <w:szCs w:val="22"/>
        </w:rPr>
        <w:t>, Aatur Singhi</w:t>
      </w:r>
      <w:r w:rsidRPr="00D04AC3">
        <w:rPr>
          <w:rFonts w:ascii="Arial" w:hAnsi="Arial" w:cs="Arial"/>
          <w:b/>
          <w:sz w:val="22"/>
          <w:szCs w:val="22"/>
          <w:vertAlign w:val="superscript"/>
        </w:rPr>
        <w:t>6</w:t>
      </w:r>
      <w:r w:rsidRPr="00D04AC3">
        <w:rPr>
          <w:rFonts w:ascii="Arial" w:hAnsi="Arial" w:cs="Arial"/>
          <w:b/>
          <w:sz w:val="22"/>
          <w:szCs w:val="22"/>
        </w:rPr>
        <w:t>, Randall E. Brand</w:t>
      </w:r>
      <w:r w:rsidRPr="00D04AC3">
        <w:rPr>
          <w:rFonts w:ascii="Arial" w:hAnsi="Arial" w:cs="Arial"/>
          <w:b/>
          <w:sz w:val="22"/>
          <w:szCs w:val="22"/>
          <w:vertAlign w:val="superscript"/>
        </w:rPr>
        <w:t>6</w:t>
      </w:r>
      <w:r w:rsidRPr="00D04AC3">
        <w:rPr>
          <w:rFonts w:ascii="Arial" w:hAnsi="Arial" w:cs="Arial"/>
          <w:b/>
          <w:sz w:val="22"/>
          <w:szCs w:val="22"/>
        </w:rPr>
        <w:t>, David A. Tuveson</w:t>
      </w:r>
      <w:r w:rsidRPr="00D04AC3">
        <w:rPr>
          <w:rFonts w:ascii="Arial" w:hAnsi="Arial" w:cs="Arial"/>
          <w:b/>
          <w:sz w:val="22"/>
          <w:szCs w:val="22"/>
          <w:vertAlign w:val="superscript"/>
        </w:rPr>
        <w:t>2</w:t>
      </w:r>
      <w:r w:rsidRPr="00D04AC3">
        <w:rPr>
          <w:rFonts w:ascii="Arial" w:hAnsi="Arial" w:cs="Arial"/>
          <w:b/>
          <w:sz w:val="22"/>
          <w:szCs w:val="22"/>
        </w:rPr>
        <w:t>, Susan Tsai</w:t>
      </w:r>
      <w:r w:rsidRPr="00D04AC3">
        <w:rPr>
          <w:rFonts w:ascii="Arial" w:hAnsi="Arial" w:cs="Arial"/>
          <w:b/>
          <w:sz w:val="22"/>
          <w:szCs w:val="22"/>
          <w:vertAlign w:val="superscript"/>
        </w:rPr>
        <w:t>3</w:t>
      </w:r>
      <w:r w:rsidRPr="00D04AC3">
        <w:rPr>
          <w:rFonts w:ascii="Arial" w:hAnsi="Arial" w:cs="Arial"/>
          <w:b/>
          <w:sz w:val="22"/>
          <w:szCs w:val="22"/>
        </w:rPr>
        <w:t>, and Brian B. Haab</w:t>
      </w:r>
      <w:r w:rsidRPr="00D04AC3">
        <w:rPr>
          <w:rFonts w:ascii="Arial" w:hAnsi="Arial" w:cs="Arial"/>
          <w:b/>
          <w:sz w:val="22"/>
          <w:szCs w:val="22"/>
          <w:vertAlign w:val="superscript"/>
        </w:rPr>
        <w:t>1</w:t>
      </w:r>
    </w:p>
    <w:p w14:paraId="1F78F1FF" w14:textId="77777777" w:rsidR="0078640A" w:rsidRPr="00D04AC3" w:rsidRDefault="0078640A" w:rsidP="0078640A">
      <w:pPr>
        <w:outlineLvl w:val="0"/>
        <w:rPr>
          <w:rFonts w:ascii="Arial" w:hAnsi="Arial" w:cs="Arial"/>
          <w:sz w:val="22"/>
          <w:szCs w:val="22"/>
        </w:rPr>
      </w:pPr>
    </w:p>
    <w:p w14:paraId="7DE8832D" w14:textId="43CFFDEA" w:rsidR="0078640A" w:rsidRPr="00D04AC3" w:rsidRDefault="0078640A" w:rsidP="0078640A">
      <w:pPr>
        <w:rPr>
          <w:rFonts w:ascii="Arial" w:hAnsi="Arial" w:cs="Arial"/>
          <w:bCs/>
          <w:i/>
          <w:iCs/>
          <w:sz w:val="22"/>
          <w:szCs w:val="22"/>
        </w:rPr>
      </w:pPr>
      <w:r w:rsidRPr="00D04AC3">
        <w:rPr>
          <w:rFonts w:ascii="Arial" w:hAnsi="Arial" w:cs="Arial"/>
          <w:bCs/>
          <w:i/>
          <w:iCs/>
          <w:sz w:val="22"/>
          <w:szCs w:val="22"/>
          <w:vertAlign w:val="superscript"/>
        </w:rPr>
        <w:t>1</w:t>
      </w:r>
      <w:r w:rsidRPr="00D04AC3">
        <w:rPr>
          <w:rFonts w:ascii="Arial" w:hAnsi="Arial" w:cs="Arial"/>
          <w:bCs/>
          <w:i/>
          <w:iCs/>
          <w:sz w:val="22"/>
          <w:szCs w:val="22"/>
        </w:rPr>
        <w:t>Van Andel Institute, Grand Rapids, MI 49503, USA</w:t>
      </w:r>
    </w:p>
    <w:p w14:paraId="5BFD4763" w14:textId="77777777" w:rsidR="0078640A" w:rsidRPr="00D04AC3" w:rsidRDefault="0078640A" w:rsidP="0078640A">
      <w:pPr>
        <w:ind w:left="90" w:hanging="90"/>
        <w:rPr>
          <w:rFonts w:ascii="Arial" w:hAnsi="Arial" w:cs="Arial"/>
          <w:bCs/>
          <w:i/>
          <w:iCs/>
          <w:sz w:val="22"/>
          <w:szCs w:val="22"/>
        </w:rPr>
      </w:pPr>
      <w:r w:rsidRPr="00D04AC3">
        <w:rPr>
          <w:rFonts w:ascii="Arial" w:hAnsi="Arial" w:cs="Arial"/>
          <w:bCs/>
          <w:i/>
          <w:iCs/>
          <w:sz w:val="22"/>
          <w:szCs w:val="22"/>
          <w:vertAlign w:val="superscript"/>
        </w:rPr>
        <w:t>2</w:t>
      </w:r>
      <w:r w:rsidRPr="00D04AC3">
        <w:rPr>
          <w:rFonts w:ascii="Arial" w:eastAsia="Calibri" w:hAnsi="Arial" w:cs="Arial"/>
          <w:i/>
          <w:iCs/>
          <w:color w:val="000000"/>
          <w:sz w:val="22"/>
          <w:szCs w:val="22"/>
        </w:rPr>
        <w:t>Lustgarten Foundation Pancreatic Cancer Research Laboratory, Cold Spring Harbor Laboratory, Cold Spring Harbor, NY 11724, USA</w:t>
      </w:r>
    </w:p>
    <w:p w14:paraId="1EA88C7D" w14:textId="77777777" w:rsidR="0078640A" w:rsidRPr="00D04AC3" w:rsidRDefault="0078640A" w:rsidP="0078640A">
      <w:pPr>
        <w:rPr>
          <w:rFonts w:ascii="Arial" w:hAnsi="Arial" w:cs="Arial"/>
          <w:bCs/>
          <w:i/>
          <w:iCs/>
          <w:sz w:val="22"/>
          <w:szCs w:val="22"/>
        </w:rPr>
      </w:pPr>
      <w:r w:rsidRPr="00D04AC3">
        <w:rPr>
          <w:rFonts w:ascii="Arial" w:hAnsi="Arial" w:cs="Arial"/>
          <w:bCs/>
          <w:i/>
          <w:iCs/>
          <w:sz w:val="22"/>
          <w:szCs w:val="22"/>
          <w:vertAlign w:val="superscript"/>
        </w:rPr>
        <w:t>3</w:t>
      </w:r>
      <w:r w:rsidRPr="00D04AC3">
        <w:rPr>
          <w:rFonts w:ascii="Arial" w:hAnsi="Arial" w:cs="Arial"/>
          <w:bCs/>
          <w:i/>
          <w:iCs/>
          <w:sz w:val="22"/>
          <w:szCs w:val="22"/>
        </w:rPr>
        <w:t>Department of Surgery, Medical College of Wisconsin, Milwaukee, WI 53226, USA</w:t>
      </w:r>
    </w:p>
    <w:p w14:paraId="432263FD" w14:textId="77777777" w:rsidR="0078640A" w:rsidRPr="00D04AC3" w:rsidRDefault="0078640A" w:rsidP="0078640A">
      <w:pPr>
        <w:rPr>
          <w:rFonts w:ascii="Arial" w:hAnsi="Arial" w:cs="Arial"/>
          <w:bCs/>
          <w:i/>
          <w:iCs/>
          <w:sz w:val="22"/>
          <w:szCs w:val="22"/>
        </w:rPr>
      </w:pPr>
      <w:r w:rsidRPr="00D04AC3">
        <w:rPr>
          <w:rFonts w:ascii="Arial" w:hAnsi="Arial" w:cs="Arial"/>
          <w:bCs/>
          <w:i/>
          <w:iCs/>
          <w:sz w:val="22"/>
          <w:szCs w:val="22"/>
          <w:vertAlign w:val="superscript"/>
        </w:rPr>
        <w:t>4</w:t>
      </w:r>
      <w:r w:rsidRPr="00D04AC3">
        <w:rPr>
          <w:rFonts w:ascii="Arial" w:hAnsi="Arial" w:cs="Arial"/>
          <w:bCs/>
          <w:i/>
          <w:iCs/>
          <w:sz w:val="22"/>
          <w:szCs w:val="22"/>
        </w:rPr>
        <w:t xml:space="preserve">Duke University School of Medicine, Durham, North Carolina 27710, USA </w:t>
      </w:r>
    </w:p>
    <w:p w14:paraId="1962ACD1" w14:textId="77777777" w:rsidR="0078640A" w:rsidRPr="00D04AC3" w:rsidRDefault="0078640A" w:rsidP="0078640A">
      <w:pPr>
        <w:rPr>
          <w:rFonts w:ascii="Arial" w:hAnsi="Arial" w:cs="Arial"/>
          <w:bCs/>
          <w:i/>
          <w:iCs/>
          <w:sz w:val="22"/>
          <w:szCs w:val="22"/>
        </w:rPr>
      </w:pPr>
      <w:r w:rsidRPr="00D04AC3">
        <w:rPr>
          <w:rFonts w:ascii="Arial" w:hAnsi="Arial" w:cs="Arial"/>
          <w:bCs/>
          <w:i/>
          <w:iCs/>
          <w:sz w:val="22"/>
          <w:szCs w:val="22"/>
          <w:vertAlign w:val="superscript"/>
        </w:rPr>
        <w:t>5</w:t>
      </w:r>
      <w:r w:rsidRPr="00D04AC3">
        <w:rPr>
          <w:rFonts w:ascii="Arial" w:hAnsi="Arial" w:cs="Arial"/>
          <w:bCs/>
          <w:i/>
          <w:iCs/>
          <w:sz w:val="22"/>
          <w:szCs w:val="22"/>
        </w:rPr>
        <w:t>Medical University of South Carolina, Charleston, SC 29425, USA</w:t>
      </w:r>
    </w:p>
    <w:p w14:paraId="798C8179" w14:textId="77777777" w:rsidR="0078640A" w:rsidRPr="00D04AC3" w:rsidRDefault="0078640A" w:rsidP="0078640A">
      <w:pPr>
        <w:rPr>
          <w:rFonts w:ascii="Arial" w:hAnsi="Arial" w:cs="Arial"/>
          <w:bCs/>
          <w:i/>
          <w:iCs/>
          <w:sz w:val="22"/>
          <w:szCs w:val="22"/>
        </w:rPr>
      </w:pPr>
      <w:r w:rsidRPr="00D04AC3">
        <w:rPr>
          <w:rFonts w:ascii="Arial" w:hAnsi="Arial" w:cs="Arial"/>
          <w:bCs/>
          <w:i/>
          <w:iCs/>
          <w:sz w:val="22"/>
          <w:szCs w:val="22"/>
          <w:vertAlign w:val="superscript"/>
        </w:rPr>
        <w:t>6</w:t>
      </w:r>
      <w:r w:rsidRPr="00D04AC3">
        <w:rPr>
          <w:rFonts w:ascii="Arial" w:hAnsi="Arial" w:cs="Arial"/>
          <w:bCs/>
          <w:i/>
          <w:iCs/>
          <w:sz w:val="22"/>
          <w:szCs w:val="22"/>
        </w:rPr>
        <w:t>University of Pittsburgh Medical Center,</w:t>
      </w:r>
      <w:r w:rsidRPr="00D04AC3">
        <w:rPr>
          <w:sz w:val="22"/>
          <w:szCs w:val="22"/>
        </w:rPr>
        <w:t xml:space="preserve"> </w:t>
      </w:r>
      <w:r w:rsidRPr="00D04AC3">
        <w:rPr>
          <w:rFonts w:ascii="Arial" w:hAnsi="Arial" w:cs="Arial"/>
          <w:bCs/>
          <w:i/>
          <w:iCs/>
          <w:sz w:val="22"/>
          <w:szCs w:val="22"/>
        </w:rPr>
        <w:t xml:space="preserve">Pittsburgh, PA 15213, USA  </w:t>
      </w:r>
    </w:p>
    <w:p w14:paraId="1E4FFDF6" w14:textId="77777777" w:rsidR="0078640A" w:rsidRPr="00D04AC3" w:rsidRDefault="0078640A" w:rsidP="0078640A">
      <w:pPr>
        <w:rPr>
          <w:rFonts w:ascii="Arial" w:hAnsi="Arial" w:cs="Arial"/>
          <w:bCs/>
          <w:i/>
          <w:iCs/>
          <w:sz w:val="22"/>
          <w:szCs w:val="22"/>
        </w:rPr>
      </w:pPr>
      <w:r w:rsidRPr="00D04AC3">
        <w:rPr>
          <w:rFonts w:ascii="Arial" w:hAnsi="Arial" w:cs="Arial"/>
          <w:bCs/>
          <w:i/>
          <w:iCs/>
          <w:sz w:val="22"/>
          <w:szCs w:val="22"/>
          <w:vertAlign w:val="superscript"/>
        </w:rPr>
        <w:t>7</w:t>
      </w:r>
      <w:r w:rsidRPr="00D04AC3">
        <w:rPr>
          <w:rFonts w:ascii="Arial" w:hAnsi="Arial" w:cs="Arial"/>
          <w:bCs/>
          <w:i/>
          <w:iCs/>
          <w:sz w:val="22"/>
          <w:szCs w:val="22"/>
        </w:rPr>
        <w:t>Fred Hutchinson Cancer Research Center,</w:t>
      </w:r>
      <w:r w:rsidRPr="00D04AC3">
        <w:rPr>
          <w:sz w:val="22"/>
          <w:szCs w:val="22"/>
        </w:rPr>
        <w:t xml:space="preserve"> </w:t>
      </w:r>
      <w:r w:rsidRPr="00D04AC3">
        <w:rPr>
          <w:rFonts w:ascii="Arial" w:hAnsi="Arial" w:cs="Arial"/>
          <w:bCs/>
          <w:i/>
          <w:iCs/>
          <w:sz w:val="22"/>
          <w:szCs w:val="22"/>
        </w:rPr>
        <w:t xml:space="preserve">Seattle, WA 98109, USA </w:t>
      </w:r>
    </w:p>
    <w:p w14:paraId="6598EE2B" w14:textId="77777777" w:rsidR="006F0F28" w:rsidRPr="00D04AC3" w:rsidRDefault="006F0F28">
      <w:pPr>
        <w:rPr>
          <w:rFonts w:ascii="Arial" w:hAnsi="Arial" w:cs="Arial"/>
          <w:sz w:val="22"/>
          <w:szCs w:val="22"/>
        </w:rPr>
      </w:pPr>
    </w:p>
    <w:p w14:paraId="0DAA4AF1" w14:textId="77777777" w:rsidR="00FD7E2B" w:rsidRPr="003B0AA7" w:rsidRDefault="00FD7E2B" w:rsidP="00FD7E2B">
      <w:pPr>
        <w:rPr>
          <w:rFonts w:ascii="Arial" w:hAnsi="Arial" w:cs="Arial"/>
          <w:b/>
          <w:bCs/>
          <w:color w:val="000000"/>
          <w:sz w:val="22"/>
          <w:szCs w:val="22"/>
        </w:rPr>
      </w:pPr>
      <w:r w:rsidRPr="003B0AA7">
        <w:rPr>
          <w:rFonts w:ascii="Arial" w:hAnsi="Arial" w:cs="Arial"/>
          <w:b/>
          <w:bCs/>
          <w:color w:val="000000"/>
          <w:sz w:val="22"/>
          <w:szCs w:val="22"/>
        </w:rPr>
        <w:t>Supplemental Methods</w:t>
      </w:r>
    </w:p>
    <w:p w14:paraId="5909CAC7" w14:textId="77777777" w:rsidR="00FD7E2B" w:rsidRPr="003B0AA7" w:rsidRDefault="00FD7E2B" w:rsidP="00FD7E2B">
      <w:pPr>
        <w:pStyle w:val="MethodsHead2"/>
        <w:numPr>
          <w:ilvl w:val="0"/>
          <w:numId w:val="7"/>
        </w:numPr>
        <w:spacing w:before="0"/>
        <w:rPr>
          <w:b w:val="0"/>
          <w:bCs/>
        </w:rPr>
      </w:pPr>
      <w:r>
        <w:rPr>
          <w:b w:val="0"/>
          <w:bCs/>
        </w:rPr>
        <w:t>C</w:t>
      </w:r>
      <w:r w:rsidRPr="003B0AA7">
        <w:rPr>
          <w:b w:val="0"/>
          <w:bCs/>
        </w:rPr>
        <w:t xml:space="preserve">onstruction and sequencing of directional total </w:t>
      </w:r>
      <w:proofErr w:type="spellStart"/>
      <w:r w:rsidRPr="003B0AA7">
        <w:rPr>
          <w:b w:val="0"/>
          <w:bCs/>
        </w:rPr>
        <w:t>rna</w:t>
      </w:r>
      <w:proofErr w:type="spellEnd"/>
      <w:r w:rsidRPr="003B0AA7">
        <w:rPr>
          <w:b w:val="0"/>
          <w:bCs/>
        </w:rPr>
        <w:t>-seq libraries</w:t>
      </w:r>
    </w:p>
    <w:p w14:paraId="67B51C37" w14:textId="77777777" w:rsidR="00FD7E2B" w:rsidRPr="003B0AA7" w:rsidRDefault="00FD7E2B" w:rsidP="00FD7E2B">
      <w:pPr>
        <w:pStyle w:val="MethodsHead2"/>
        <w:numPr>
          <w:ilvl w:val="0"/>
          <w:numId w:val="7"/>
        </w:numPr>
        <w:spacing w:before="0"/>
        <w:rPr>
          <w:b w:val="0"/>
          <w:bCs/>
        </w:rPr>
      </w:pPr>
      <w:proofErr w:type="spellStart"/>
      <w:r>
        <w:rPr>
          <w:b w:val="0"/>
          <w:bCs/>
        </w:rPr>
        <w:t>RNA</w:t>
      </w:r>
      <w:r w:rsidRPr="003B0AA7">
        <w:rPr>
          <w:b w:val="0"/>
          <w:bCs/>
        </w:rPr>
        <w:t>seq</w:t>
      </w:r>
      <w:proofErr w:type="spellEnd"/>
      <w:r w:rsidRPr="003B0AA7">
        <w:rPr>
          <w:b w:val="0"/>
          <w:bCs/>
        </w:rPr>
        <w:t xml:space="preserve"> data processing</w:t>
      </w:r>
    </w:p>
    <w:p w14:paraId="2A0867B6" w14:textId="77777777" w:rsidR="00FD7E2B" w:rsidRPr="003B0AA7" w:rsidRDefault="00FD7E2B" w:rsidP="00FD7E2B">
      <w:pPr>
        <w:pStyle w:val="MethodsHead2"/>
        <w:numPr>
          <w:ilvl w:val="0"/>
          <w:numId w:val="7"/>
        </w:numPr>
        <w:spacing w:before="0"/>
        <w:rPr>
          <w:b w:val="0"/>
          <w:bCs/>
        </w:rPr>
      </w:pPr>
      <w:r>
        <w:rPr>
          <w:b w:val="0"/>
          <w:bCs/>
        </w:rPr>
        <w:t>T</w:t>
      </w:r>
      <w:r w:rsidRPr="003B0AA7">
        <w:rPr>
          <w:b w:val="0"/>
          <w:bCs/>
        </w:rPr>
        <w:t>argeted genome sequencing</w:t>
      </w:r>
    </w:p>
    <w:p w14:paraId="1F7F8304" w14:textId="77777777" w:rsidR="00FD7E2B" w:rsidRPr="003B0AA7" w:rsidRDefault="00FD7E2B" w:rsidP="00FD7E2B">
      <w:pPr>
        <w:pStyle w:val="MethodsHead2"/>
        <w:numPr>
          <w:ilvl w:val="0"/>
          <w:numId w:val="7"/>
        </w:numPr>
        <w:spacing w:before="0"/>
        <w:rPr>
          <w:b w:val="0"/>
          <w:bCs/>
        </w:rPr>
      </w:pPr>
      <w:r>
        <w:rPr>
          <w:b w:val="0"/>
          <w:bCs/>
        </w:rPr>
        <w:t>I</w:t>
      </w:r>
      <w:r w:rsidRPr="003B0AA7">
        <w:rPr>
          <w:b w:val="0"/>
          <w:bCs/>
        </w:rPr>
        <w:t xml:space="preserve">nfinium qc array </w:t>
      </w:r>
    </w:p>
    <w:p w14:paraId="79D1F862" w14:textId="77777777" w:rsidR="00FD7E2B" w:rsidRPr="00DB319E" w:rsidRDefault="00FD7E2B" w:rsidP="00FD7E2B">
      <w:pPr>
        <w:pStyle w:val="MethodsHead2"/>
        <w:numPr>
          <w:ilvl w:val="0"/>
          <w:numId w:val="7"/>
        </w:numPr>
        <w:spacing w:before="0"/>
        <w:rPr>
          <w:b w:val="0"/>
          <w:bCs/>
        </w:rPr>
      </w:pPr>
      <w:r>
        <w:rPr>
          <w:b w:val="0"/>
          <w:bCs/>
        </w:rPr>
        <w:t>G</w:t>
      </w:r>
      <w:r w:rsidRPr="003B0AA7">
        <w:rPr>
          <w:b w:val="0"/>
          <w:bCs/>
        </w:rPr>
        <w:t>ene-expression classification and survival analysis</w:t>
      </w:r>
    </w:p>
    <w:p w14:paraId="11992C99" w14:textId="5A2C6A00" w:rsidR="006A1E1E" w:rsidRPr="00D04AC3" w:rsidRDefault="006A1E1E" w:rsidP="00FD7E2B">
      <w:pPr>
        <w:spacing w:before="120"/>
        <w:rPr>
          <w:rFonts w:ascii="Arial" w:hAnsi="Arial" w:cs="Arial"/>
          <w:b/>
          <w:sz w:val="22"/>
          <w:szCs w:val="22"/>
        </w:rPr>
      </w:pPr>
      <w:r w:rsidRPr="00D04AC3">
        <w:rPr>
          <w:rFonts w:ascii="Arial" w:hAnsi="Arial" w:cs="Arial"/>
          <w:b/>
          <w:sz w:val="22"/>
          <w:szCs w:val="22"/>
        </w:rPr>
        <w:t>Supplementa</w:t>
      </w:r>
      <w:r w:rsidR="00837018">
        <w:rPr>
          <w:rFonts w:ascii="Arial" w:hAnsi="Arial" w:cs="Arial"/>
          <w:b/>
          <w:sz w:val="22"/>
          <w:szCs w:val="22"/>
        </w:rPr>
        <w:t>l</w:t>
      </w:r>
      <w:r w:rsidRPr="00D04AC3">
        <w:rPr>
          <w:rFonts w:ascii="Arial" w:hAnsi="Arial" w:cs="Arial"/>
          <w:b/>
          <w:sz w:val="22"/>
          <w:szCs w:val="22"/>
        </w:rPr>
        <w:t xml:space="preserve"> Tables</w:t>
      </w:r>
    </w:p>
    <w:p w14:paraId="3C509950" w14:textId="3B3C1A8B" w:rsidR="006A1E1E" w:rsidRPr="00D04AC3" w:rsidRDefault="00837018" w:rsidP="006A1E1E">
      <w:pPr>
        <w:pStyle w:val="ListParagraph"/>
        <w:numPr>
          <w:ilvl w:val="0"/>
          <w:numId w:val="3"/>
        </w:numPr>
        <w:rPr>
          <w:rFonts w:ascii="Arial" w:hAnsi="Arial" w:cs="Arial"/>
          <w:sz w:val="22"/>
          <w:szCs w:val="22"/>
        </w:rPr>
      </w:pPr>
      <w:r w:rsidRPr="00837018">
        <w:rPr>
          <w:rFonts w:ascii="Arial" w:hAnsi="Arial" w:cs="Arial"/>
          <w:sz w:val="22"/>
          <w:szCs w:val="22"/>
        </w:rPr>
        <w:t xml:space="preserve">Supplemental </w:t>
      </w:r>
      <w:r w:rsidR="006A1E1E" w:rsidRPr="00D04AC3">
        <w:rPr>
          <w:rFonts w:ascii="Arial" w:hAnsi="Arial" w:cs="Arial"/>
          <w:sz w:val="22"/>
          <w:szCs w:val="22"/>
        </w:rPr>
        <w:t>Table 1. Gene expression analyses (Excel document)</w:t>
      </w:r>
    </w:p>
    <w:p w14:paraId="7B166C16" w14:textId="0BD30B95" w:rsidR="006A1E1E" w:rsidRPr="00D04AC3" w:rsidRDefault="00837018" w:rsidP="006A1E1E">
      <w:pPr>
        <w:pStyle w:val="ListParagraph"/>
        <w:numPr>
          <w:ilvl w:val="0"/>
          <w:numId w:val="3"/>
        </w:numPr>
        <w:rPr>
          <w:rFonts w:ascii="Arial" w:hAnsi="Arial" w:cs="Arial"/>
          <w:sz w:val="22"/>
          <w:szCs w:val="22"/>
        </w:rPr>
      </w:pPr>
      <w:r w:rsidRPr="00837018">
        <w:rPr>
          <w:rFonts w:ascii="Arial" w:hAnsi="Arial" w:cs="Arial"/>
          <w:sz w:val="22"/>
          <w:szCs w:val="22"/>
        </w:rPr>
        <w:t xml:space="preserve">Supplemental </w:t>
      </w:r>
      <w:r w:rsidR="006A1E1E" w:rsidRPr="00D04AC3">
        <w:rPr>
          <w:rFonts w:ascii="Arial" w:hAnsi="Arial" w:cs="Arial"/>
          <w:sz w:val="22"/>
          <w:szCs w:val="22"/>
        </w:rPr>
        <w:t>Table 2. TMA data and analyses (Excel document)</w:t>
      </w:r>
    </w:p>
    <w:p w14:paraId="263D7E3B" w14:textId="3A7018BD" w:rsidR="006A1E1E" w:rsidRPr="00D04AC3" w:rsidRDefault="00837018" w:rsidP="006A1E1E">
      <w:pPr>
        <w:pStyle w:val="ListParagraph"/>
        <w:numPr>
          <w:ilvl w:val="0"/>
          <w:numId w:val="3"/>
        </w:numPr>
        <w:rPr>
          <w:rFonts w:ascii="Arial" w:hAnsi="Arial" w:cs="Arial"/>
          <w:sz w:val="22"/>
          <w:szCs w:val="22"/>
        </w:rPr>
      </w:pPr>
      <w:r w:rsidRPr="00837018">
        <w:rPr>
          <w:rFonts w:ascii="Arial" w:hAnsi="Arial" w:cs="Arial"/>
          <w:sz w:val="22"/>
          <w:szCs w:val="22"/>
        </w:rPr>
        <w:t xml:space="preserve">Supplemental </w:t>
      </w:r>
      <w:r w:rsidR="006A1E1E" w:rsidRPr="00D04AC3">
        <w:rPr>
          <w:rFonts w:ascii="Arial" w:hAnsi="Arial" w:cs="Arial"/>
          <w:sz w:val="22"/>
          <w:szCs w:val="22"/>
        </w:rPr>
        <w:t>Table 3. Plasma biomarker data (Excel document)</w:t>
      </w:r>
    </w:p>
    <w:p w14:paraId="20206930" w14:textId="7971DAAE" w:rsidR="006A1E1E" w:rsidRPr="00D04AC3" w:rsidRDefault="00837018" w:rsidP="006A1E1E">
      <w:pPr>
        <w:pStyle w:val="ListParagraph"/>
        <w:numPr>
          <w:ilvl w:val="0"/>
          <w:numId w:val="3"/>
        </w:numPr>
        <w:rPr>
          <w:rFonts w:ascii="Arial" w:hAnsi="Arial" w:cs="Arial"/>
          <w:sz w:val="22"/>
          <w:szCs w:val="22"/>
        </w:rPr>
      </w:pPr>
      <w:r w:rsidRPr="00837018">
        <w:rPr>
          <w:rFonts w:ascii="Arial" w:hAnsi="Arial" w:cs="Arial"/>
          <w:sz w:val="22"/>
          <w:szCs w:val="22"/>
        </w:rPr>
        <w:t xml:space="preserve">Supplemental </w:t>
      </w:r>
      <w:r w:rsidR="006A1E1E" w:rsidRPr="00D04AC3">
        <w:rPr>
          <w:rFonts w:ascii="Arial" w:hAnsi="Arial" w:cs="Arial"/>
          <w:sz w:val="22"/>
          <w:szCs w:val="22"/>
        </w:rPr>
        <w:t xml:space="preserve">Table 4. Antibody information </w:t>
      </w:r>
    </w:p>
    <w:p w14:paraId="7EA559D8" w14:textId="518618BA" w:rsidR="006A1E1E" w:rsidRPr="00D04AC3" w:rsidRDefault="006A1E1E" w:rsidP="00FD7E2B">
      <w:pPr>
        <w:spacing w:before="120"/>
        <w:rPr>
          <w:rFonts w:ascii="Arial" w:hAnsi="Arial" w:cs="Arial"/>
          <w:b/>
          <w:sz w:val="22"/>
          <w:szCs w:val="22"/>
        </w:rPr>
      </w:pPr>
      <w:r w:rsidRPr="00D04AC3">
        <w:rPr>
          <w:rFonts w:ascii="Arial" w:hAnsi="Arial" w:cs="Arial"/>
          <w:b/>
          <w:sz w:val="22"/>
          <w:szCs w:val="22"/>
        </w:rPr>
        <w:t>Supplementa</w:t>
      </w:r>
      <w:r w:rsidR="00837018">
        <w:rPr>
          <w:rFonts w:ascii="Arial" w:hAnsi="Arial" w:cs="Arial"/>
          <w:b/>
          <w:sz w:val="22"/>
          <w:szCs w:val="22"/>
        </w:rPr>
        <w:t>l</w:t>
      </w:r>
      <w:r w:rsidRPr="00D04AC3">
        <w:rPr>
          <w:rFonts w:ascii="Arial" w:hAnsi="Arial" w:cs="Arial"/>
          <w:b/>
          <w:sz w:val="22"/>
          <w:szCs w:val="22"/>
        </w:rPr>
        <w:t xml:space="preserve"> Figures</w:t>
      </w:r>
    </w:p>
    <w:p w14:paraId="2874AF7A" w14:textId="1FDF451E" w:rsidR="006A1E1E" w:rsidRPr="00D04AC3" w:rsidRDefault="00837018" w:rsidP="006A1E1E">
      <w:pPr>
        <w:pStyle w:val="ListParagraph"/>
        <w:numPr>
          <w:ilvl w:val="0"/>
          <w:numId w:val="4"/>
        </w:numPr>
        <w:rPr>
          <w:rFonts w:ascii="Arial" w:hAnsi="Arial" w:cs="Arial"/>
          <w:sz w:val="22"/>
          <w:szCs w:val="22"/>
        </w:rPr>
      </w:pPr>
      <w:r w:rsidRPr="00837018">
        <w:rPr>
          <w:rFonts w:ascii="Arial" w:hAnsi="Arial" w:cs="Arial"/>
          <w:sz w:val="22"/>
          <w:szCs w:val="22"/>
        </w:rPr>
        <w:t xml:space="preserve">Supplemental </w:t>
      </w:r>
      <w:r w:rsidR="006A1E1E" w:rsidRPr="00D04AC3">
        <w:rPr>
          <w:rFonts w:ascii="Arial" w:hAnsi="Arial" w:cs="Arial"/>
          <w:sz w:val="22"/>
          <w:szCs w:val="22"/>
        </w:rPr>
        <w:t>Figure 1. Cell line morphologies</w:t>
      </w:r>
    </w:p>
    <w:p w14:paraId="48B4EB79" w14:textId="536B45C5" w:rsidR="006E0246" w:rsidRDefault="00837018" w:rsidP="00A1369D">
      <w:pPr>
        <w:pStyle w:val="ListParagraph"/>
        <w:numPr>
          <w:ilvl w:val="0"/>
          <w:numId w:val="4"/>
        </w:numPr>
        <w:rPr>
          <w:rFonts w:ascii="Arial" w:hAnsi="Arial" w:cs="Arial"/>
          <w:sz w:val="22"/>
          <w:szCs w:val="22"/>
        </w:rPr>
      </w:pPr>
      <w:r w:rsidRPr="00837018">
        <w:rPr>
          <w:rFonts w:ascii="Arial" w:hAnsi="Arial" w:cs="Arial"/>
          <w:sz w:val="22"/>
          <w:szCs w:val="22"/>
        </w:rPr>
        <w:t xml:space="preserve">Supplemental </w:t>
      </w:r>
      <w:r w:rsidR="006A1E1E" w:rsidRPr="006E0246">
        <w:rPr>
          <w:rFonts w:ascii="Arial" w:hAnsi="Arial" w:cs="Arial"/>
          <w:sz w:val="22"/>
          <w:szCs w:val="22"/>
        </w:rPr>
        <w:t xml:space="preserve">Figure 2. </w:t>
      </w:r>
      <w:r w:rsidR="006E0246" w:rsidRPr="0086797F">
        <w:rPr>
          <w:rFonts w:ascii="Arial" w:hAnsi="Arial" w:cs="Arial"/>
          <w:sz w:val="22"/>
          <w:szCs w:val="22"/>
        </w:rPr>
        <w:t>Dose-response curves and chemosensitivity in CA19-9-expressing cell lines</w:t>
      </w:r>
      <w:r w:rsidR="006E0246" w:rsidRPr="006E0246">
        <w:rPr>
          <w:rFonts w:ascii="Arial" w:hAnsi="Arial" w:cs="Arial"/>
          <w:sz w:val="22"/>
          <w:szCs w:val="22"/>
        </w:rPr>
        <w:t xml:space="preserve"> </w:t>
      </w:r>
    </w:p>
    <w:p w14:paraId="5AFFAC3C" w14:textId="73D86010" w:rsidR="00A44510" w:rsidRDefault="00A44510" w:rsidP="00A1369D">
      <w:pPr>
        <w:pStyle w:val="ListParagraph"/>
        <w:numPr>
          <w:ilvl w:val="0"/>
          <w:numId w:val="4"/>
        </w:numPr>
        <w:rPr>
          <w:rFonts w:ascii="Arial" w:hAnsi="Arial" w:cs="Arial"/>
          <w:sz w:val="22"/>
          <w:szCs w:val="22"/>
        </w:rPr>
      </w:pPr>
      <w:r w:rsidRPr="00A44510">
        <w:rPr>
          <w:rFonts w:ascii="Arial" w:hAnsi="Arial" w:cs="Arial"/>
          <w:sz w:val="22"/>
          <w:szCs w:val="22"/>
        </w:rPr>
        <w:t>Supplemental Figure 3</w:t>
      </w:r>
      <w:r>
        <w:rPr>
          <w:rFonts w:ascii="Arial" w:hAnsi="Arial" w:cs="Arial"/>
          <w:sz w:val="22"/>
          <w:szCs w:val="22"/>
        </w:rPr>
        <w:t>. Drug resistant i</w:t>
      </w:r>
      <w:r w:rsidRPr="00A44510">
        <w:rPr>
          <w:rFonts w:ascii="Arial" w:hAnsi="Arial" w:cs="Arial"/>
          <w:sz w:val="22"/>
          <w:szCs w:val="22"/>
        </w:rPr>
        <w:t>sogenic cell lines</w:t>
      </w:r>
      <w:r>
        <w:rPr>
          <w:rFonts w:ascii="Arial" w:hAnsi="Arial" w:cs="Arial"/>
          <w:sz w:val="22"/>
          <w:szCs w:val="22"/>
        </w:rPr>
        <w:t xml:space="preserve"> are </w:t>
      </w:r>
      <w:proofErr w:type="spellStart"/>
      <w:r>
        <w:rPr>
          <w:rFonts w:ascii="Arial" w:hAnsi="Arial" w:cs="Arial"/>
          <w:sz w:val="22"/>
          <w:szCs w:val="22"/>
        </w:rPr>
        <w:t>sTRA</w:t>
      </w:r>
      <w:proofErr w:type="spellEnd"/>
      <w:r>
        <w:rPr>
          <w:rFonts w:ascii="Arial" w:hAnsi="Arial" w:cs="Arial"/>
          <w:sz w:val="22"/>
          <w:szCs w:val="22"/>
        </w:rPr>
        <w:t xml:space="preserve"> positive.</w:t>
      </w:r>
    </w:p>
    <w:p w14:paraId="4EEA4C62" w14:textId="4F008F89" w:rsidR="00F40EDB" w:rsidRDefault="00F40EDB" w:rsidP="00A1369D">
      <w:pPr>
        <w:pStyle w:val="ListParagraph"/>
        <w:numPr>
          <w:ilvl w:val="0"/>
          <w:numId w:val="4"/>
        </w:numPr>
        <w:rPr>
          <w:rFonts w:ascii="Arial" w:hAnsi="Arial" w:cs="Arial"/>
          <w:sz w:val="22"/>
          <w:szCs w:val="22"/>
        </w:rPr>
      </w:pPr>
      <w:r>
        <w:rPr>
          <w:rFonts w:ascii="Arial" w:hAnsi="Arial" w:cs="Arial"/>
          <w:sz w:val="22"/>
          <w:szCs w:val="22"/>
        </w:rPr>
        <w:t xml:space="preserve">Supplemental Figure 4. </w:t>
      </w:r>
      <w:r w:rsidR="00907E11" w:rsidRPr="00E64E69">
        <w:rPr>
          <w:rFonts w:ascii="Arial" w:hAnsi="Arial" w:cs="Arial"/>
          <w:sz w:val="22"/>
          <w:szCs w:val="22"/>
        </w:rPr>
        <w:t>A gene-expression classifier associated with progression free survival after adjuvant therapy</w:t>
      </w:r>
    </w:p>
    <w:p w14:paraId="0FF27530" w14:textId="54F5806F" w:rsidR="00604989" w:rsidRPr="006E0246" w:rsidRDefault="00837018" w:rsidP="00A1369D">
      <w:pPr>
        <w:pStyle w:val="ListParagraph"/>
        <w:numPr>
          <w:ilvl w:val="0"/>
          <w:numId w:val="4"/>
        </w:numPr>
        <w:rPr>
          <w:rFonts w:ascii="Arial" w:hAnsi="Arial" w:cs="Arial"/>
          <w:sz w:val="22"/>
          <w:szCs w:val="22"/>
        </w:rPr>
      </w:pPr>
      <w:r w:rsidRPr="00837018">
        <w:rPr>
          <w:rFonts w:ascii="Arial" w:hAnsi="Arial" w:cs="Arial"/>
          <w:sz w:val="22"/>
          <w:szCs w:val="22"/>
        </w:rPr>
        <w:t xml:space="preserve">Supplemental </w:t>
      </w:r>
      <w:r w:rsidR="00604989" w:rsidRPr="006E0246">
        <w:rPr>
          <w:rFonts w:ascii="Arial" w:hAnsi="Arial" w:cs="Arial"/>
          <w:sz w:val="22"/>
          <w:szCs w:val="22"/>
        </w:rPr>
        <w:t xml:space="preserve">Figure </w:t>
      </w:r>
      <w:r w:rsidR="00F40EDB">
        <w:rPr>
          <w:rFonts w:ascii="Arial" w:hAnsi="Arial" w:cs="Arial"/>
          <w:sz w:val="22"/>
          <w:szCs w:val="22"/>
        </w:rPr>
        <w:t>5</w:t>
      </w:r>
      <w:r w:rsidR="00604989" w:rsidRPr="006E0246">
        <w:rPr>
          <w:rFonts w:ascii="Arial" w:hAnsi="Arial" w:cs="Arial"/>
          <w:sz w:val="22"/>
          <w:szCs w:val="22"/>
        </w:rPr>
        <w:t xml:space="preserve">. </w:t>
      </w:r>
      <w:r w:rsidR="00990DDB" w:rsidRPr="00990DDB">
        <w:rPr>
          <w:rFonts w:ascii="Arial" w:hAnsi="Arial" w:cs="Arial"/>
          <w:sz w:val="22"/>
          <w:szCs w:val="22"/>
        </w:rPr>
        <w:t>Tissue expression and outcomes.</w:t>
      </w:r>
    </w:p>
    <w:p w14:paraId="770909F5" w14:textId="4CD9A1BE" w:rsidR="00990DDB" w:rsidRPr="00990DDB" w:rsidRDefault="00990DDB" w:rsidP="00990DDB">
      <w:pPr>
        <w:pStyle w:val="ListParagraph"/>
        <w:numPr>
          <w:ilvl w:val="0"/>
          <w:numId w:val="4"/>
        </w:numPr>
        <w:rPr>
          <w:rFonts w:ascii="Arial" w:hAnsi="Arial" w:cs="Arial"/>
          <w:sz w:val="22"/>
          <w:szCs w:val="22"/>
        </w:rPr>
      </w:pPr>
      <w:r w:rsidRPr="00990DDB">
        <w:rPr>
          <w:rFonts w:ascii="Arial" w:hAnsi="Arial" w:cs="Arial"/>
          <w:sz w:val="22"/>
          <w:szCs w:val="22"/>
        </w:rPr>
        <w:t xml:space="preserve">Supplemental Figure </w:t>
      </w:r>
      <w:r w:rsidR="00F40EDB">
        <w:rPr>
          <w:rFonts w:ascii="Arial" w:hAnsi="Arial" w:cs="Arial"/>
          <w:sz w:val="22"/>
          <w:szCs w:val="22"/>
        </w:rPr>
        <w:t>6</w:t>
      </w:r>
      <w:r w:rsidRPr="00990DDB">
        <w:rPr>
          <w:rFonts w:ascii="Arial" w:hAnsi="Arial" w:cs="Arial"/>
          <w:sz w:val="22"/>
          <w:szCs w:val="22"/>
        </w:rPr>
        <w:t xml:space="preserve">. Outcomes associated with tissue staining </w:t>
      </w:r>
    </w:p>
    <w:p w14:paraId="665D3CAB" w14:textId="3F9FE5DC" w:rsidR="00C66D9D" w:rsidRPr="00D04AC3" w:rsidRDefault="00837018" w:rsidP="006A1E1E">
      <w:pPr>
        <w:pStyle w:val="ListParagraph"/>
        <w:numPr>
          <w:ilvl w:val="0"/>
          <w:numId w:val="4"/>
        </w:numPr>
        <w:rPr>
          <w:rFonts w:ascii="Arial" w:hAnsi="Arial" w:cs="Arial"/>
          <w:sz w:val="22"/>
          <w:szCs w:val="22"/>
        </w:rPr>
      </w:pPr>
      <w:r w:rsidRPr="00837018">
        <w:rPr>
          <w:rFonts w:ascii="Arial" w:hAnsi="Arial" w:cs="Arial"/>
          <w:sz w:val="22"/>
          <w:szCs w:val="22"/>
        </w:rPr>
        <w:t xml:space="preserve">Supplemental </w:t>
      </w:r>
      <w:r w:rsidR="00C66D9D">
        <w:rPr>
          <w:rFonts w:ascii="Arial" w:hAnsi="Arial" w:cs="Arial"/>
          <w:sz w:val="22"/>
          <w:szCs w:val="22"/>
        </w:rPr>
        <w:t xml:space="preserve">Figure </w:t>
      </w:r>
      <w:r w:rsidR="00F40EDB">
        <w:rPr>
          <w:rFonts w:ascii="Arial" w:hAnsi="Arial" w:cs="Arial"/>
          <w:sz w:val="22"/>
          <w:szCs w:val="22"/>
        </w:rPr>
        <w:t>7</w:t>
      </w:r>
      <w:r w:rsidR="00C66D9D">
        <w:rPr>
          <w:rFonts w:ascii="Arial" w:hAnsi="Arial" w:cs="Arial"/>
          <w:sz w:val="22"/>
          <w:szCs w:val="22"/>
        </w:rPr>
        <w:t xml:space="preserve">. </w:t>
      </w:r>
      <w:r w:rsidR="006C7C73">
        <w:rPr>
          <w:rFonts w:ascii="Arial" w:hAnsi="Arial" w:cs="Arial"/>
          <w:sz w:val="22"/>
          <w:szCs w:val="22"/>
        </w:rPr>
        <w:t xml:space="preserve">Immunoassay </w:t>
      </w:r>
      <w:r w:rsidR="00F92D7B">
        <w:rPr>
          <w:rFonts w:ascii="Arial" w:hAnsi="Arial" w:cs="Arial"/>
          <w:sz w:val="22"/>
          <w:szCs w:val="22"/>
        </w:rPr>
        <w:t>correspondence</w:t>
      </w:r>
      <w:r w:rsidR="006C7C73">
        <w:rPr>
          <w:rFonts w:ascii="Arial" w:hAnsi="Arial" w:cs="Arial"/>
          <w:sz w:val="22"/>
          <w:szCs w:val="22"/>
        </w:rPr>
        <w:t xml:space="preserve"> between surface expression and secretions</w:t>
      </w:r>
    </w:p>
    <w:p w14:paraId="0C0B50EB" w14:textId="2265708B" w:rsidR="006A1E1E" w:rsidRPr="00D04AC3" w:rsidRDefault="00837018" w:rsidP="006A1E1E">
      <w:pPr>
        <w:pStyle w:val="ListParagraph"/>
        <w:numPr>
          <w:ilvl w:val="0"/>
          <w:numId w:val="4"/>
        </w:numPr>
        <w:rPr>
          <w:rFonts w:ascii="Arial" w:hAnsi="Arial" w:cs="Arial"/>
          <w:sz w:val="22"/>
          <w:szCs w:val="22"/>
        </w:rPr>
      </w:pPr>
      <w:r w:rsidRPr="00837018">
        <w:rPr>
          <w:rFonts w:ascii="Arial" w:hAnsi="Arial" w:cs="Arial"/>
          <w:sz w:val="22"/>
          <w:szCs w:val="22"/>
        </w:rPr>
        <w:t xml:space="preserve">Supplemental </w:t>
      </w:r>
      <w:r w:rsidR="006A1E1E" w:rsidRPr="00D04AC3">
        <w:rPr>
          <w:rFonts w:ascii="Arial" w:hAnsi="Arial" w:cs="Arial"/>
          <w:sz w:val="22"/>
          <w:szCs w:val="22"/>
        </w:rPr>
        <w:t xml:space="preserve">Figure </w:t>
      </w:r>
      <w:r w:rsidR="00F40EDB">
        <w:rPr>
          <w:rFonts w:ascii="Arial" w:hAnsi="Arial" w:cs="Arial"/>
          <w:sz w:val="22"/>
          <w:szCs w:val="22"/>
        </w:rPr>
        <w:t>8</w:t>
      </w:r>
      <w:r w:rsidR="006A1E1E" w:rsidRPr="00D04AC3">
        <w:rPr>
          <w:rFonts w:ascii="Arial" w:hAnsi="Arial" w:cs="Arial"/>
          <w:sz w:val="22"/>
          <w:szCs w:val="22"/>
        </w:rPr>
        <w:t xml:space="preserve">. Additional </w:t>
      </w:r>
      <w:r w:rsidR="00604989" w:rsidRPr="00D04AC3">
        <w:rPr>
          <w:rFonts w:ascii="Arial" w:hAnsi="Arial" w:cs="Arial"/>
          <w:sz w:val="22"/>
          <w:szCs w:val="22"/>
        </w:rPr>
        <w:t xml:space="preserve">plasma </w:t>
      </w:r>
      <w:r w:rsidR="006A1E1E" w:rsidRPr="00D04AC3">
        <w:rPr>
          <w:rFonts w:ascii="Arial" w:hAnsi="Arial" w:cs="Arial"/>
          <w:sz w:val="22"/>
          <w:szCs w:val="22"/>
        </w:rPr>
        <w:t>biomarker analyses</w:t>
      </w:r>
      <w:r w:rsidR="00604989" w:rsidRPr="00D04AC3">
        <w:rPr>
          <w:rFonts w:ascii="Arial" w:hAnsi="Arial" w:cs="Arial"/>
          <w:sz w:val="22"/>
          <w:szCs w:val="22"/>
        </w:rPr>
        <w:t xml:space="preserve"> in neoadjuvant therapy</w:t>
      </w:r>
    </w:p>
    <w:p w14:paraId="292BFC7F" w14:textId="77777777" w:rsidR="006A1E1E" w:rsidRPr="00D04AC3" w:rsidRDefault="006A1E1E" w:rsidP="006A1E1E">
      <w:pPr>
        <w:rPr>
          <w:rFonts w:ascii="Arial" w:hAnsi="Arial" w:cs="Arial"/>
          <w:sz w:val="22"/>
          <w:szCs w:val="22"/>
        </w:rPr>
      </w:pPr>
    </w:p>
    <w:p w14:paraId="19DC5346" w14:textId="779F0CE0" w:rsidR="008A01D5" w:rsidRPr="002B07B0" w:rsidRDefault="008A01D5" w:rsidP="008A01D5">
      <w:pPr>
        <w:rPr>
          <w:rFonts w:ascii="Arial" w:hAnsi="Arial" w:cs="Arial"/>
          <w:color w:val="000000"/>
        </w:rPr>
      </w:pPr>
      <w:r w:rsidRPr="002B07B0">
        <w:rPr>
          <w:rFonts w:ascii="Arial" w:hAnsi="Arial" w:cs="Arial"/>
          <w:color w:val="000000"/>
          <w:sz w:val="22"/>
          <w:szCs w:val="22"/>
        </w:rPr>
        <w:t xml:space="preserve">The </w:t>
      </w:r>
      <w:proofErr w:type="spellStart"/>
      <w:r w:rsidRPr="002B07B0">
        <w:rPr>
          <w:rFonts w:ascii="Arial" w:hAnsi="Arial" w:cs="Arial"/>
          <w:color w:val="000000"/>
          <w:sz w:val="22"/>
          <w:szCs w:val="22"/>
        </w:rPr>
        <w:t>RNAseq</w:t>
      </w:r>
      <w:proofErr w:type="spellEnd"/>
      <w:r w:rsidRPr="002B07B0">
        <w:rPr>
          <w:rFonts w:ascii="Arial" w:hAnsi="Arial" w:cs="Arial"/>
          <w:color w:val="000000"/>
          <w:sz w:val="22"/>
          <w:szCs w:val="22"/>
        </w:rPr>
        <w:t xml:space="preserve"> data for 27 samples and the expression counts matrices have been submitted to NCBI GEO</w:t>
      </w:r>
      <w:r w:rsidRPr="007E3564">
        <w:rPr>
          <w:rFonts w:ascii="Arial" w:hAnsi="Arial" w:cs="Arial"/>
          <w:color w:val="000000"/>
          <w:sz w:val="22"/>
          <w:szCs w:val="22"/>
        </w:rPr>
        <w:t>,</w:t>
      </w:r>
      <w:r w:rsidRPr="007E3564">
        <w:rPr>
          <w:rStyle w:val="apple-converted-space"/>
          <w:rFonts w:ascii="Arial" w:hAnsi="Arial" w:cs="Arial"/>
          <w:color w:val="000000"/>
          <w:sz w:val="22"/>
          <w:szCs w:val="22"/>
        </w:rPr>
        <w:t> </w:t>
      </w:r>
      <w:hyperlink r:id="rId10" w:history="1">
        <w:r w:rsidRPr="007E3564">
          <w:rPr>
            <w:rStyle w:val="Hyperlink"/>
            <w:rFonts w:ascii="Arial" w:hAnsi="Arial" w:cs="Arial"/>
            <w:b/>
            <w:bCs/>
            <w:color w:val="0563C1"/>
            <w:sz w:val="22"/>
            <w:szCs w:val="22"/>
          </w:rPr>
          <w:t>Series GSE146722</w:t>
        </w:r>
      </w:hyperlink>
      <w:r w:rsidRPr="007E3564">
        <w:rPr>
          <w:rStyle w:val="Strong"/>
          <w:rFonts w:ascii="Arial" w:hAnsi="Arial" w:cs="Arial"/>
          <w:color w:val="000000"/>
          <w:sz w:val="22"/>
          <w:szCs w:val="22"/>
        </w:rPr>
        <w:t>.</w:t>
      </w:r>
    </w:p>
    <w:p w14:paraId="34736AA3" w14:textId="77777777" w:rsidR="008A01D5" w:rsidRPr="002B07B0" w:rsidRDefault="008A01D5" w:rsidP="008A01D5">
      <w:pPr>
        <w:rPr>
          <w:rFonts w:ascii="Arial" w:hAnsi="Arial" w:cs="Arial"/>
          <w:color w:val="000000"/>
        </w:rPr>
      </w:pPr>
      <w:r w:rsidRPr="002B07B0">
        <w:rPr>
          <w:rStyle w:val="Strong"/>
          <w:rFonts w:ascii="Arial" w:hAnsi="Arial" w:cs="Arial"/>
          <w:color w:val="000000"/>
        </w:rPr>
        <w:t> </w:t>
      </w:r>
    </w:p>
    <w:p w14:paraId="4ACED09F" w14:textId="59439E2D" w:rsidR="008A01D5" w:rsidRPr="00DB319E" w:rsidRDefault="008A01D5" w:rsidP="008A01D5">
      <w:pPr>
        <w:rPr>
          <w:rFonts w:ascii="Arial" w:hAnsi="Arial" w:cs="Arial"/>
          <w:color w:val="000000"/>
          <w:sz w:val="22"/>
          <w:szCs w:val="22"/>
        </w:rPr>
      </w:pPr>
      <w:r w:rsidRPr="00DB319E">
        <w:rPr>
          <w:rStyle w:val="Strong"/>
          <w:rFonts w:ascii="Arial" w:hAnsi="Arial" w:cs="Arial"/>
          <w:b w:val="0"/>
          <w:bCs w:val="0"/>
          <w:color w:val="000000"/>
          <w:sz w:val="22"/>
          <w:szCs w:val="22"/>
        </w:rPr>
        <w:t>The release dat</w:t>
      </w:r>
      <w:r w:rsidR="009E1C31" w:rsidRPr="00DB319E">
        <w:rPr>
          <w:rStyle w:val="Strong"/>
          <w:rFonts w:ascii="Arial" w:hAnsi="Arial" w:cs="Arial"/>
          <w:b w:val="0"/>
          <w:bCs w:val="0"/>
          <w:color w:val="000000"/>
          <w:sz w:val="22"/>
          <w:szCs w:val="22"/>
        </w:rPr>
        <w:t>e</w:t>
      </w:r>
      <w:r w:rsidRPr="00DB319E">
        <w:rPr>
          <w:rStyle w:val="Strong"/>
          <w:rFonts w:ascii="Arial" w:hAnsi="Arial" w:cs="Arial"/>
          <w:b w:val="0"/>
          <w:bCs w:val="0"/>
          <w:color w:val="000000"/>
          <w:sz w:val="22"/>
          <w:szCs w:val="22"/>
        </w:rPr>
        <w:t xml:space="preserve"> is </w:t>
      </w:r>
      <w:r w:rsidR="009E1C31" w:rsidRPr="00DB319E">
        <w:rPr>
          <w:rStyle w:val="Strong"/>
          <w:rFonts w:ascii="Arial" w:hAnsi="Arial" w:cs="Arial"/>
          <w:b w:val="0"/>
          <w:bCs w:val="0"/>
          <w:color w:val="000000"/>
          <w:sz w:val="22"/>
          <w:szCs w:val="22"/>
        </w:rPr>
        <w:t>April</w:t>
      </w:r>
      <w:r w:rsidRPr="00DB319E">
        <w:rPr>
          <w:rStyle w:val="Strong"/>
          <w:rFonts w:ascii="Arial" w:hAnsi="Arial" w:cs="Arial"/>
          <w:b w:val="0"/>
          <w:bCs w:val="0"/>
          <w:color w:val="000000"/>
          <w:sz w:val="22"/>
          <w:szCs w:val="22"/>
        </w:rPr>
        <w:t xml:space="preserve"> 2021</w:t>
      </w:r>
      <w:r w:rsidR="009E1C31" w:rsidRPr="00DB319E">
        <w:rPr>
          <w:rStyle w:val="Strong"/>
          <w:rFonts w:ascii="Arial" w:hAnsi="Arial" w:cs="Arial"/>
          <w:b w:val="0"/>
          <w:bCs w:val="0"/>
          <w:color w:val="000000"/>
          <w:sz w:val="22"/>
          <w:szCs w:val="22"/>
        </w:rPr>
        <w:t>,</w:t>
      </w:r>
      <w:r w:rsidRPr="00DB319E">
        <w:rPr>
          <w:rStyle w:val="Strong"/>
          <w:rFonts w:ascii="Arial" w:hAnsi="Arial" w:cs="Arial"/>
          <w:b w:val="0"/>
          <w:bCs w:val="0"/>
          <w:color w:val="000000"/>
          <w:sz w:val="22"/>
          <w:szCs w:val="22"/>
        </w:rPr>
        <w:t xml:space="preserve"> or upon publication.</w:t>
      </w:r>
    </w:p>
    <w:p w14:paraId="33790B41" w14:textId="40E30E85" w:rsidR="007B3DEF" w:rsidRPr="000F607F" w:rsidRDefault="007B3DEF">
      <w:pPr>
        <w:rPr>
          <w:rFonts w:ascii="Arial" w:hAnsi="Arial" w:cs="Arial"/>
        </w:rPr>
      </w:pPr>
      <w:r w:rsidRPr="000F607F">
        <w:rPr>
          <w:rFonts w:ascii="Arial" w:hAnsi="Arial" w:cs="Arial"/>
        </w:rPr>
        <w:br w:type="page"/>
      </w:r>
    </w:p>
    <w:p w14:paraId="08243284" w14:textId="77777777" w:rsidR="00FD7E2B" w:rsidRDefault="00FD7E2B" w:rsidP="00FD7E2B">
      <w:pPr>
        <w:pStyle w:val="Draft2ndHead"/>
      </w:pPr>
      <w:r>
        <w:lastRenderedPageBreak/>
        <w:t>Supplemental Methods</w:t>
      </w:r>
    </w:p>
    <w:p w14:paraId="6FB2A055" w14:textId="77777777" w:rsidR="00FD7E2B" w:rsidRPr="0005640B" w:rsidRDefault="00FD7E2B" w:rsidP="00FD7E2B">
      <w:pPr>
        <w:pStyle w:val="MethodsHead2"/>
      </w:pPr>
      <w:r w:rsidRPr="0005640B">
        <w:t xml:space="preserve">Construction and sequencing of directional total </w:t>
      </w:r>
      <w:proofErr w:type="spellStart"/>
      <w:r>
        <w:t>RNA</w:t>
      </w:r>
      <w:r w:rsidRPr="0005640B">
        <w:t>seq</w:t>
      </w:r>
      <w:proofErr w:type="spellEnd"/>
      <w:r w:rsidRPr="0005640B">
        <w:t xml:space="preserve"> libraries</w:t>
      </w:r>
    </w:p>
    <w:p w14:paraId="32BDC76E" w14:textId="77777777" w:rsidR="00FD7E2B" w:rsidRPr="00E802F5" w:rsidRDefault="00FD7E2B" w:rsidP="00FD7E2B">
      <w:pPr>
        <w:pStyle w:val="MethodsPara"/>
      </w:pPr>
      <w:r w:rsidRPr="00E802F5">
        <w:t xml:space="preserve">Libraries were prepared by the Van </w:t>
      </w:r>
      <w:proofErr w:type="spellStart"/>
      <w:r w:rsidRPr="00E802F5">
        <w:t>Andel</w:t>
      </w:r>
      <w:proofErr w:type="spellEnd"/>
      <w:r w:rsidRPr="00E802F5">
        <w:t xml:space="preserve"> Genomics Core from 500 ng of total RNA using the KAPA RNA </w:t>
      </w:r>
      <w:proofErr w:type="spellStart"/>
      <w:r w:rsidRPr="00E802F5">
        <w:t>HyperPrep</w:t>
      </w:r>
      <w:proofErr w:type="spellEnd"/>
      <w:r w:rsidRPr="00E802F5">
        <w:t xml:space="preserve"> Kit with </w:t>
      </w:r>
      <w:proofErr w:type="spellStart"/>
      <w:r w:rsidRPr="00E802F5">
        <w:t>RiboseErase</w:t>
      </w:r>
      <w:proofErr w:type="spellEnd"/>
      <w:r w:rsidRPr="00E802F5">
        <w:t xml:space="preserve"> (v1.16) (Kapa Biosystems, Wilmington, MA USA). RNA was sheared to 300-400 bp. Prior to PCR amplification, cDNA fragments were ligated to </w:t>
      </w:r>
      <w:proofErr w:type="spellStart"/>
      <w:r w:rsidRPr="00E802F5">
        <w:t>Bioo</w:t>
      </w:r>
      <w:proofErr w:type="spellEnd"/>
      <w:r w:rsidRPr="00E802F5">
        <w:t xml:space="preserve"> Scientific </w:t>
      </w:r>
      <w:proofErr w:type="spellStart"/>
      <w:r w:rsidRPr="00E802F5">
        <w:t>NEXTflex</w:t>
      </w:r>
      <w:proofErr w:type="spellEnd"/>
      <w:r w:rsidRPr="00E802F5">
        <w:t xml:space="preserve"> Adapters (</w:t>
      </w:r>
      <w:proofErr w:type="spellStart"/>
      <w:r w:rsidRPr="00E802F5">
        <w:t>Bioo</w:t>
      </w:r>
      <w:proofErr w:type="spellEnd"/>
      <w:r w:rsidRPr="00E802F5">
        <w:t xml:space="preserve"> Scientific, Austin, TX, USA). The quality and quantity of the finished libraries were assessed using a combination of Agilent DNA High Sensitivity chip (Agilent Technologies, Inc.), </w:t>
      </w:r>
      <w:proofErr w:type="spellStart"/>
      <w:r w:rsidRPr="00E802F5">
        <w:t>QuantiFluor</w:t>
      </w:r>
      <w:proofErr w:type="spellEnd"/>
      <w:r w:rsidRPr="00E802F5">
        <w:t xml:space="preserve"> dsDNA System (Promega Corp., Madison, WI, USA), and Kapa Illumina Library Quantification qPCR assays (Kapa Biosystems). Individually indexed libraries were pooled and 75-bp, paired-end sequencing was performed on an Illumina </w:t>
      </w:r>
      <w:proofErr w:type="spellStart"/>
      <w:r w:rsidRPr="00E802F5">
        <w:t>NextSeq</w:t>
      </w:r>
      <w:proofErr w:type="spellEnd"/>
      <w:r w:rsidRPr="00E802F5">
        <w:t xml:space="preserve"> 500 sequencer using a 150-bp HO sequencing kit (v2) (Illumina Inc., San Diego, CA, USA), with all libraries sequenced to a minimum of 40 million reads. Base calling was done by Illumina </w:t>
      </w:r>
      <w:proofErr w:type="spellStart"/>
      <w:r w:rsidRPr="00E802F5">
        <w:t>NextSeq</w:t>
      </w:r>
      <w:proofErr w:type="spellEnd"/>
      <w:r w:rsidRPr="00E802F5">
        <w:t xml:space="preserve"> Control Software (NCS) v2.0 and output of NCS was demultiplexed and converted to </w:t>
      </w:r>
      <w:proofErr w:type="spellStart"/>
      <w:r w:rsidRPr="00E802F5">
        <w:t>FastQ</w:t>
      </w:r>
      <w:proofErr w:type="spellEnd"/>
      <w:r w:rsidRPr="00E802F5">
        <w:t xml:space="preserve"> format with Illumina Bcl2fastq v1.9.0.</w:t>
      </w:r>
    </w:p>
    <w:p w14:paraId="359885D4" w14:textId="77777777" w:rsidR="00FD7E2B" w:rsidRPr="00E802F5" w:rsidRDefault="00FD7E2B" w:rsidP="00FD7E2B">
      <w:pPr>
        <w:pStyle w:val="MethodsHead2"/>
      </w:pPr>
      <w:proofErr w:type="spellStart"/>
      <w:r w:rsidRPr="00E802F5">
        <w:t>RNAseq</w:t>
      </w:r>
      <w:proofErr w:type="spellEnd"/>
      <w:r w:rsidRPr="00E802F5">
        <w:t xml:space="preserve"> data processing</w:t>
      </w:r>
    </w:p>
    <w:p w14:paraId="3752D8B4" w14:textId="77777777" w:rsidR="00FD7E2B" w:rsidRPr="00E802F5" w:rsidRDefault="00FD7E2B" w:rsidP="00FD7E2B">
      <w:pPr>
        <w:pStyle w:val="MethodsPara"/>
      </w:pPr>
      <w:proofErr w:type="spellStart"/>
      <w:r w:rsidRPr="00E802F5">
        <w:t>RNAseq</w:t>
      </w:r>
      <w:proofErr w:type="spellEnd"/>
      <w:r w:rsidRPr="00E802F5">
        <w:t xml:space="preserve"> libraries were generated using the KAPA RNA </w:t>
      </w:r>
      <w:proofErr w:type="spellStart"/>
      <w:r w:rsidRPr="00E802F5">
        <w:t>HyperPrep</w:t>
      </w:r>
      <w:proofErr w:type="spellEnd"/>
      <w:r w:rsidRPr="00E802F5">
        <w:t xml:space="preserve"> kit with </w:t>
      </w:r>
      <w:proofErr w:type="spellStart"/>
      <w:r w:rsidRPr="00E802F5">
        <w:t>RiboErase</w:t>
      </w:r>
      <w:proofErr w:type="spellEnd"/>
      <w:r w:rsidRPr="00E802F5">
        <w:t xml:space="preserve">. Libraries were sequenced </w:t>
      </w:r>
      <w:proofErr w:type="gramStart"/>
      <w:r w:rsidRPr="00E802F5">
        <w:t>paired-end</w:t>
      </w:r>
      <w:proofErr w:type="gramEnd"/>
      <w:r w:rsidRPr="00E802F5">
        <w:t xml:space="preserve"> for 75 cycles on two Illumina </w:t>
      </w:r>
      <w:proofErr w:type="spellStart"/>
      <w:r w:rsidRPr="00E802F5">
        <w:t>NextSeq</w:t>
      </w:r>
      <w:proofErr w:type="spellEnd"/>
      <w:r w:rsidRPr="00E802F5">
        <w:t xml:space="preserve"> </w:t>
      </w:r>
      <w:proofErr w:type="spellStart"/>
      <w:r w:rsidRPr="00E802F5">
        <w:t>flowcells</w:t>
      </w:r>
      <w:proofErr w:type="spellEnd"/>
      <w:r w:rsidRPr="00E802F5">
        <w:t xml:space="preserve">. Following demultiplexing, adapters and low-quality bases were trimmed using </w:t>
      </w:r>
      <w:proofErr w:type="spellStart"/>
      <w:r w:rsidRPr="00E802F5">
        <w:t>Trimgalore</w:t>
      </w:r>
      <w:proofErr w:type="spellEnd"/>
      <w:r w:rsidRPr="00E802F5">
        <w:t xml:space="preserve"> v0.4.2 (</w:t>
      </w:r>
      <w:hyperlink r:id="rId11" w:history="1">
        <w:r w:rsidRPr="00E802F5">
          <w:rPr>
            <w:color w:val="0000FF"/>
            <w:u w:val="single"/>
          </w:rPr>
          <w:t>http://www.bioinformatics.babraham.ac.uk/projects/trim_galore/</w:t>
        </w:r>
      </w:hyperlink>
      <w:r w:rsidRPr="00E802F5">
        <w:t xml:space="preserve">). </w:t>
      </w:r>
      <w:r w:rsidRPr="00E802F5">
        <w:rPr>
          <w:rFonts w:eastAsia="Calibri"/>
        </w:rPr>
        <w:t xml:space="preserve">Trimmed data was quality controlled with </w:t>
      </w:r>
      <w:proofErr w:type="spellStart"/>
      <w:r w:rsidRPr="00E802F5">
        <w:rPr>
          <w:rFonts w:eastAsia="Calibri"/>
        </w:rPr>
        <w:t>FastQC</w:t>
      </w:r>
      <w:proofErr w:type="spellEnd"/>
      <w:r w:rsidRPr="00E802F5">
        <w:rPr>
          <w:rFonts w:eastAsia="Calibri"/>
        </w:rPr>
        <w:t xml:space="preserve"> v0.11.7 and then mapped with STAR v2.5.2b to the hg38 genome using the default settings.</w:t>
      </w:r>
      <w:r w:rsidRPr="00E802F5">
        <w:t xml:space="preserve"> Raw gene counts (mean of 27M/sample) generated by STAR were imported into R v3.6.0. Genes with greater than 10 counts in 2 or more samples were retained and the rest removed in order to minimize multiple testing adjustments and remove genes that are unlikely to give meaningful information. A quasi-likelihood negative binomial generalized log-linear model was then fit to the filtered count data using the weighted trimmed mean of M-values to normalize for library size and composition biases</w:t>
      </w:r>
      <w:r w:rsidRPr="00E802F5">
        <w:rPr>
          <w:rFonts w:eastAsia="Calibri"/>
        </w:rPr>
        <w:t>.</w:t>
      </w:r>
    </w:p>
    <w:p w14:paraId="216EBE9C" w14:textId="33DE5934" w:rsidR="00FD7E2B" w:rsidRPr="00FD7E2B" w:rsidRDefault="00FD7E2B" w:rsidP="00FD7E2B">
      <w:pPr>
        <w:pStyle w:val="MethodsPara"/>
        <w:rPr>
          <w:rFonts w:eastAsia="Calibri"/>
        </w:rPr>
      </w:pPr>
      <w:r w:rsidRPr="00E802F5">
        <w:t>For all differential expression contrasts, the gene set was further filtered so that, for the subset of samples being used in the comparison, a minimum of two samples have more than zero counts. A quasi-likelihood, negative binomial, generalized log-linear model was then fit to the filtered count data using the weighted trimmed mean of M-values to normalize for library size and composition biases</w:t>
      </w:r>
      <w:r w:rsidRPr="00E802F5">
        <w:rPr>
          <w:rFonts w:eastAsia="Calibri"/>
        </w:rPr>
        <w:t>.</w:t>
      </w:r>
      <w:r w:rsidRPr="00E802F5">
        <w:t xml:space="preserve"> </w:t>
      </w:r>
      <w:r w:rsidRPr="00E802F5">
        <w:rPr>
          <w:rFonts w:eastAsia="Calibri"/>
        </w:rPr>
        <w:t xml:space="preserve">GSEA v3.0 was used to test for enrichment of various gene sets in glycan phenotype groups. Significance of enrichment was tested using 1000 phenotype permutations. All gene sets were run simultaneously to adjust for multiple testing. Heatmaps were made using the R package </w:t>
      </w:r>
      <w:proofErr w:type="spellStart"/>
      <w:r w:rsidRPr="00E802F5">
        <w:rPr>
          <w:rFonts w:eastAsia="Calibri"/>
        </w:rPr>
        <w:t>pheatmap</w:t>
      </w:r>
      <w:proofErr w:type="spellEnd"/>
      <w:r w:rsidRPr="00E802F5">
        <w:rPr>
          <w:rFonts w:eastAsia="Calibri"/>
        </w:rPr>
        <w:t xml:space="preserve"> v1.0.12. Samples and genes were clustered using the default method of the </w:t>
      </w:r>
      <w:proofErr w:type="spellStart"/>
      <w:r w:rsidRPr="00E802F5">
        <w:rPr>
          <w:rFonts w:eastAsia="Calibri"/>
        </w:rPr>
        <w:t>pheatmap</w:t>
      </w:r>
      <w:proofErr w:type="spellEnd"/>
      <w:r w:rsidRPr="00E802F5">
        <w:rPr>
          <w:rFonts w:eastAsia="Calibri"/>
        </w:rPr>
        <w:t xml:space="preserve"> function. Normalized counts were used, median-centered across genes.</w:t>
      </w:r>
    </w:p>
    <w:p w14:paraId="3093343A" w14:textId="77777777" w:rsidR="00FD7E2B" w:rsidRPr="00E802F5" w:rsidRDefault="00FD7E2B" w:rsidP="00FD7E2B">
      <w:pPr>
        <w:pStyle w:val="MethodsHead2"/>
      </w:pPr>
      <w:r w:rsidRPr="00E802F5">
        <w:t>Targeted genome sequencing</w:t>
      </w:r>
    </w:p>
    <w:p w14:paraId="1A4756DC" w14:textId="77777777" w:rsidR="00FD7E2B" w:rsidRPr="00E802F5" w:rsidRDefault="00FD7E2B" w:rsidP="00FD7E2B">
      <w:pPr>
        <w:pStyle w:val="MethodsPara"/>
      </w:pPr>
      <w:r w:rsidRPr="00E802F5">
        <w:t xml:space="preserve">Libraries were prepared by the Van </w:t>
      </w:r>
      <w:proofErr w:type="spellStart"/>
      <w:r w:rsidRPr="00E802F5">
        <w:t>Andel</w:t>
      </w:r>
      <w:proofErr w:type="spellEnd"/>
      <w:r w:rsidRPr="00E802F5">
        <w:t xml:space="preserve"> Genomics Core from 50 ng of high-molecular-weight genomic DNA using the KAPA Hyper Prep Kit (v5.16) (Kapa Biosystems, Wilmington, MA USA). In brief, DNA is sheared to an average size of 200 bp, then end-repaired and A-tailed DNA fragments were ligated to </w:t>
      </w:r>
      <w:proofErr w:type="spellStart"/>
      <w:r w:rsidRPr="00E802F5">
        <w:t>to</w:t>
      </w:r>
      <w:proofErr w:type="spellEnd"/>
      <w:r w:rsidRPr="00E802F5">
        <w:t xml:space="preserve"> </w:t>
      </w:r>
      <w:proofErr w:type="spellStart"/>
      <w:r w:rsidRPr="00E802F5">
        <w:t>Bioo</w:t>
      </w:r>
      <w:proofErr w:type="spellEnd"/>
      <w:r w:rsidRPr="00E802F5">
        <w:t xml:space="preserve"> Scientific </w:t>
      </w:r>
      <w:proofErr w:type="spellStart"/>
      <w:r w:rsidRPr="00E802F5">
        <w:t>NEXTflex</w:t>
      </w:r>
      <w:proofErr w:type="spellEnd"/>
      <w:r w:rsidRPr="00E802F5">
        <w:t xml:space="preserve"> Adapters (</w:t>
      </w:r>
      <w:proofErr w:type="spellStart"/>
      <w:r w:rsidRPr="00E802F5">
        <w:t>Bioo</w:t>
      </w:r>
      <w:proofErr w:type="spellEnd"/>
      <w:r w:rsidRPr="00E802F5">
        <w:t xml:space="preserve"> Scientific, Austin, TX, USA). Libraries were amplified and pooled for targeted capture in batches of 16 libraries, using 31 ng of each indexed library. Capture baits were designed using IDT </w:t>
      </w:r>
      <w:proofErr w:type="spellStart"/>
      <w:r w:rsidRPr="00E802F5">
        <w:t>xGen</w:t>
      </w:r>
      <w:proofErr w:type="spellEnd"/>
      <w:r w:rsidRPr="00E802F5">
        <w:t xml:space="preserve"> Lockdown Probes and Reagents (Integrated DNA Technologies, Coralville, IA, USA) with minimal modification. Quality and quantity of the captured library pools were assessed using a combination of Agilent </w:t>
      </w:r>
      <w:r w:rsidRPr="00E802F5">
        <w:lastRenderedPageBreak/>
        <w:t xml:space="preserve">DNA High Sensitivity chip (Agilent Technologies, Inc.), </w:t>
      </w:r>
      <w:proofErr w:type="spellStart"/>
      <w:r w:rsidRPr="00E802F5">
        <w:t>QuantiFluor</w:t>
      </w:r>
      <w:proofErr w:type="spellEnd"/>
      <w:r w:rsidRPr="00E802F5">
        <w:t xml:space="preserve"> dsDNA System (Promega Corp., Madison, WI, USA), and Kapa Illumina Library Quantification qPCR assays (Kapa Biosystems). A 150-bp, paired-end sequencing was performed on an Illumina </w:t>
      </w:r>
      <w:proofErr w:type="spellStart"/>
      <w:r w:rsidRPr="00E802F5">
        <w:t>MiSeq</w:t>
      </w:r>
      <w:proofErr w:type="spellEnd"/>
      <w:r w:rsidRPr="00E802F5">
        <w:t xml:space="preserve"> sequencer (Illumina Inc., San Diego, CA, USA) at the Michigan State University RTSF Genomics Core. Base calling was done by Illumina RTA3 and output of NCS was demultiplexed and converted to </w:t>
      </w:r>
      <w:proofErr w:type="spellStart"/>
      <w:r w:rsidRPr="00E802F5">
        <w:t>FastQ</w:t>
      </w:r>
      <w:proofErr w:type="spellEnd"/>
      <w:r w:rsidRPr="00E802F5">
        <w:t xml:space="preserve"> format with Illumina Bcl2fastq v1.9.0.</w:t>
      </w:r>
    </w:p>
    <w:p w14:paraId="3DDBFBD5" w14:textId="77777777" w:rsidR="00FD7E2B" w:rsidRPr="00E802F5" w:rsidRDefault="00FD7E2B" w:rsidP="00FD7E2B">
      <w:pPr>
        <w:pStyle w:val="MethodsPara"/>
      </w:pPr>
      <w:r w:rsidRPr="00E802F5">
        <w:t xml:space="preserve">For all data, adapters and low-quality sequences (median Q&lt;20) were removed with </w:t>
      </w:r>
      <w:proofErr w:type="spellStart"/>
      <w:r w:rsidRPr="00E802F5">
        <w:t>Trimgalore</w:t>
      </w:r>
      <w:proofErr w:type="spellEnd"/>
      <w:r w:rsidRPr="00E802F5">
        <w:t xml:space="preserve">. </w:t>
      </w:r>
      <w:r w:rsidRPr="00E802F5">
        <w:rPr>
          <w:rFonts w:eastAsia="Calibri"/>
        </w:rPr>
        <w:t>Data was then mapped to hg38 using bwa mem. F</w:t>
      </w:r>
      <w:r w:rsidRPr="00E802F5">
        <w:t>ollowing mapping, the median non-duplicate read depth for captured regions was 156x. From this high-depth data, variants were called using the best-practice workflow of the GATK4 tool Mutect2</w:t>
      </w:r>
      <w:r w:rsidRPr="00E802F5">
        <w:rPr>
          <w:rFonts w:eastAsia="Calibri"/>
        </w:rPr>
        <w:t>. V</w:t>
      </w:r>
      <w:r w:rsidRPr="00E802F5">
        <w:t xml:space="preserve">ariants were then annotated using the command-line variant effect predictor tool from </w:t>
      </w:r>
      <w:proofErr w:type="spellStart"/>
      <w:r w:rsidRPr="00E802F5">
        <w:t>Ensembl</w:t>
      </w:r>
      <w:proofErr w:type="spellEnd"/>
      <w:r w:rsidRPr="00E802F5">
        <w:t xml:space="preserve"> using release 92</w:t>
      </w:r>
      <w:r w:rsidRPr="00E802F5">
        <w:rPr>
          <w:rFonts w:eastAsia="Calibri"/>
        </w:rPr>
        <w:t>. T</w:t>
      </w:r>
      <w:r w:rsidRPr="00E802F5">
        <w:t>he annotated variant files were converted to mutation annotation format (MAF) using vcf2maf (</w:t>
      </w:r>
      <w:hyperlink r:id="rId12" w:history="1">
        <w:r w:rsidRPr="00E802F5">
          <w:rPr>
            <w:color w:val="0000FF"/>
            <w:u w:val="single"/>
          </w:rPr>
          <w:t>https://github.com/mskcc/vcf2maf</w:t>
        </w:r>
      </w:hyperlink>
      <w:r w:rsidRPr="00E802F5">
        <w:t xml:space="preserve">), and </w:t>
      </w:r>
      <w:proofErr w:type="spellStart"/>
      <w:r w:rsidRPr="00E802F5">
        <w:t>oncoplots</w:t>
      </w:r>
      <w:proofErr w:type="spellEnd"/>
      <w:r w:rsidRPr="00E802F5">
        <w:t xml:space="preserve"> and lollipop plots were generated using the R package </w:t>
      </w:r>
      <w:proofErr w:type="spellStart"/>
      <w:r w:rsidRPr="00E802F5">
        <w:t>maftools</w:t>
      </w:r>
      <w:proofErr w:type="spellEnd"/>
      <w:r w:rsidRPr="00E802F5">
        <w:t xml:space="preserve"> v1.6.15. To confirm specific mutations, eight samples were also re-sequenced </w:t>
      </w:r>
      <w:proofErr w:type="gramStart"/>
      <w:r w:rsidRPr="00E802F5">
        <w:t>paired-end</w:t>
      </w:r>
      <w:proofErr w:type="gramEnd"/>
      <w:r w:rsidRPr="00E802F5">
        <w:t xml:space="preserve"> for 300 cycles on an Illumina </w:t>
      </w:r>
      <w:proofErr w:type="spellStart"/>
      <w:r w:rsidRPr="00E802F5">
        <w:t>MiSeq</w:t>
      </w:r>
      <w:proofErr w:type="spellEnd"/>
      <w:r w:rsidRPr="00E802F5">
        <w:t>.</w:t>
      </w:r>
    </w:p>
    <w:p w14:paraId="3B58DFEA" w14:textId="77777777" w:rsidR="00FD7E2B" w:rsidRPr="00E802F5" w:rsidRDefault="00FD7E2B" w:rsidP="00FD7E2B">
      <w:pPr>
        <w:pStyle w:val="MethodsHead2"/>
      </w:pPr>
      <w:r w:rsidRPr="00E802F5">
        <w:t xml:space="preserve">Infinium QC </w:t>
      </w:r>
      <w:r>
        <w:t>a</w:t>
      </w:r>
      <w:r w:rsidRPr="00E802F5">
        <w:t xml:space="preserve">rray </w:t>
      </w:r>
    </w:p>
    <w:p w14:paraId="5B92DD10" w14:textId="77777777" w:rsidR="00FD7E2B" w:rsidRPr="00E802F5" w:rsidRDefault="00FD7E2B" w:rsidP="00FD7E2B">
      <w:pPr>
        <w:pStyle w:val="MethodsPara"/>
      </w:pPr>
      <w:r w:rsidRPr="00E802F5">
        <w:t xml:space="preserve">DNA was quantified by Qubit fluorometry (Life Technologies) and 200 ng of DNA from each sample was processed by the VARI Genomics Core using the Illumina Infinium QC array v1.0 (Illumina), which contains some 16,000 SNPs focused on sex determination, ethnic ancestry, ADME, and genetic linkage markers. DNA was amplified, hybridized to the QC Array bead chip, and an extension reaction was performed using </w:t>
      </w:r>
      <w:proofErr w:type="spellStart"/>
      <w:r w:rsidRPr="00E802F5">
        <w:t>flurophore</w:t>
      </w:r>
      <w:proofErr w:type="spellEnd"/>
      <w:r w:rsidRPr="00E802F5">
        <w:t xml:space="preserve"> labeled nucleotides per the manufacturer’s protocol. Array </w:t>
      </w:r>
      <w:proofErr w:type="spellStart"/>
      <w:r w:rsidRPr="00E802F5">
        <w:t>beadchips</w:t>
      </w:r>
      <w:proofErr w:type="spellEnd"/>
      <w:r w:rsidRPr="00E802F5">
        <w:t xml:space="preserve"> were scanned on the Illumina </w:t>
      </w:r>
      <w:proofErr w:type="spellStart"/>
      <w:r w:rsidRPr="00E802F5">
        <w:t>iScan</w:t>
      </w:r>
      <w:proofErr w:type="spellEnd"/>
      <w:r w:rsidRPr="00E802F5">
        <w:t xml:space="preserve"> platform and probe specific calls were made using Illumina Genome Studio software. </w:t>
      </w:r>
    </w:p>
    <w:p w14:paraId="2C378C79" w14:textId="77777777" w:rsidR="00FD7E2B" w:rsidRPr="00E802F5" w:rsidRDefault="00FD7E2B" w:rsidP="00FD7E2B">
      <w:pPr>
        <w:pStyle w:val="MethodsHead2"/>
      </w:pPr>
      <w:r w:rsidRPr="00E802F5">
        <w:t>Gene-expression classification and survival analysis</w:t>
      </w:r>
    </w:p>
    <w:p w14:paraId="6A14D9BE" w14:textId="77777777" w:rsidR="00FD7E2B" w:rsidRPr="00E802F5" w:rsidRDefault="00FD7E2B" w:rsidP="00FD7E2B">
      <w:pPr>
        <w:pStyle w:val="MethodsPara"/>
      </w:pPr>
      <w:r w:rsidRPr="00E802F5">
        <w:t xml:space="preserve">The gene classifier for </w:t>
      </w:r>
      <w:proofErr w:type="spellStart"/>
      <w:r w:rsidRPr="00E802F5">
        <w:t>sTRA</w:t>
      </w:r>
      <w:proofErr w:type="spellEnd"/>
      <w:r w:rsidRPr="00E802F5">
        <w:t xml:space="preserve"> included the top 14 up-regulated and top 14 down-regulated genes (p &lt; 0.02 after multiple-testing correction) in </w:t>
      </w:r>
      <w:proofErr w:type="spellStart"/>
      <w:r w:rsidRPr="00E802F5">
        <w:t>sTRA</w:t>
      </w:r>
      <w:proofErr w:type="spellEnd"/>
      <w:r w:rsidRPr="00E802F5">
        <w:t xml:space="preserve">-expressing cells versus </w:t>
      </w:r>
      <w:proofErr w:type="spellStart"/>
      <w:r w:rsidRPr="00E802F5">
        <w:t>sTRA</w:t>
      </w:r>
      <w:proofErr w:type="spellEnd"/>
      <w:r w:rsidRPr="00E802F5">
        <w:t xml:space="preserve">-negative cells in the </w:t>
      </w:r>
      <w:proofErr w:type="spellStart"/>
      <w:r w:rsidRPr="00E802F5">
        <w:t>RNAseq</w:t>
      </w:r>
      <w:proofErr w:type="spellEnd"/>
      <w:r w:rsidRPr="00E802F5">
        <w:t xml:space="preserve"> analysis of 27 cell lines. </w:t>
      </w:r>
      <w:bookmarkStart w:id="0" w:name="_Hlk25573786"/>
      <w:r w:rsidRPr="00E802F5">
        <w:t xml:space="preserve">We obtained the expression data (Z scores) for the gene list from The </w:t>
      </w:r>
      <w:bookmarkStart w:id="1" w:name="_Hlk19536238"/>
      <w:r w:rsidRPr="00E802F5">
        <w:t xml:space="preserve">Cancer Genome Atlas (TCGA dataset provisions, </w:t>
      </w:r>
      <w:hyperlink r:id="rId13" w:history="1">
        <w:r w:rsidRPr="00E802F5">
          <w:rPr>
            <w:rStyle w:val="Hyperlink"/>
          </w:rPr>
          <w:t>https://www.cbioportal.org/</w:t>
        </w:r>
      </w:hyperlink>
      <w:r w:rsidRPr="00E802F5">
        <w:t xml:space="preserve">)) </w:t>
      </w:r>
      <w:bookmarkEnd w:id="1"/>
      <w:r w:rsidRPr="00E802F5">
        <w:t>and the International Cancer Genome Consortium</w:t>
      </w:r>
      <w:r w:rsidRPr="00E802F5" w:rsidDel="008F24F4">
        <w:t xml:space="preserve"> </w:t>
      </w:r>
      <w:r w:rsidRPr="00E802F5">
        <w:t xml:space="preserve">(ICGC data portal </w:t>
      </w:r>
      <w:hyperlink r:id="rId14" w:history="1">
        <w:r w:rsidRPr="00E802F5">
          <w:rPr>
            <w:rStyle w:val="Hyperlink"/>
          </w:rPr>
          <w:t>https://dcc.icgc.org/projects/PACA-CA</w:t>
        </w:r>
      </w:hyperlink>
      <w:r w:rsidRPr="00E802F5">
        <w:t xml:space="preserve">). For each case of PDAC, we calculated a score by subtracting the average of the down-regulated genes from the average of the up-regulated genes. The patients above the median score were classified as </w:t>
      </w:r>
      <w:proofErr w:type="spellStart"/>
      <w:r w:rsidRPr="00E802F5">
        <w:t>sTRA</w:t>
      </w:r>
      <w:proofErr w:type="spellEnd"/>
      <w:r w:rsidRPr="00E802F5">
        <w:t xml:space="preserve">-signature positive. To classify patients as classical or basal in the ICGC data, we used the same algorithm but with a </w:t>
      </w:r>
      <w:proofErr w:type="gramStart"/>
      <w:r w:rsidRPr="00E802F5">
        <w:t>previously-i</w:t>
      </w:r>
      <w:r w:rsidRPr="005D348D">
        <w:t>dentified</w:t>
      </w:r>
      <w:proofErr w:type="gramEnd"/>
      <w:r w:rsidRPr="005D348D">
        <w:t xml:space="preserve"> gene list that included 23 classical-associated gene and 23 basal-associated genes (2). The Kaplan-Meier survival curves were generated with GraphPad Prism 6. The subjects who were </w:t>
      </w:r>
      <w:r w:rsidRPr="00E802F5">
        <w:t xml:space="preserve">alive at the end of the study or who died of other causes were censored. </w:t>
      </w:r>
      <w:bookmarkEnd w:id="0"/>
    </w:p>
    <w:p w14:paraId="09CB9AA4" w14:textId="77777777" w:rsidR="00094A3B" w:rsidRPr="00094A3B" w:rsidRDefault="00094A3B" w:rsidP="00094A3B">
      <w:pPr>
        <w:pStyle w:val="MethodsHead2"/>
        <w:rPr>
          <w:sz w:val="24"/>
          <w:szCs w:val="24"/>
        </w:rPr>
      </w:pPr>
      <w:r w:rsidRPr="00094A3B">
        <w:rPr>
          <w:sz w:val="24"/>
          <w:szCs w:val="24"/>
        </w:rPr>
        <w:t>References</w:t>
      </w:r>
    </w:p>
    <w:p w14:paraId="62F8298B" w14:textId="77777777" w:rsidR="00094A3B" w:rsidRPr="00094A3B" w:rsidRDefault="00094A3B" w:rsidP="00094A3B">
      <w:pPr>
        <w:pStyle w:val="EndNoteBibliography"/>
        <w:spacing w:before="120" w:line="260" w:lineRule="exact"/>
        <w:ind w:left="720" w:hanging="720"/>
        <w:rPr>
          <w:rFonts w:ascii="Arial" w:hAnsi="Arial" w:cs="Arial"/>
          <w:noProof/>
          <w:sz w:val="22"/>
          <w:szCs w:val="22"/>
        </w:rPr>
      </w:pPr>
      <w:r w:rsidRPr="00094A3B">
        <w:rPr>
          <w:rFonts w:ascii="Arial" w:hAnsi="Arial" w:cs="Arial"/>
          <w:sz w:val="22"/>
          <w:szCs w:val="22"/>
        </w:rPr>
        <w:fldChar w:fldCharType="begin"/>
      </w:r>
      <w:r w:rsidRPr="00094A3B">
        <w:rPr>
          <w:rFonts w:ascii="Arial" w:hAnsi="Arial" w:cs="Arial"/>
          <w:sz w:val="22"/>
          <w:szCs w:val="22"/>
        </w:rPr>
        <w:instrText xml:space="preserve"> ADDIN EN.REFLIST </w:instrText>
      </w:r>
      <w:r w:rsidRPr="00094A3B">
        <w:rPr>
          <w:rFonts w:ascii="Arial" w:hAnsi="Arial" w:cs="Arial"/>
          <w:sz w:val="22"/>
          <w:szCs w:val="22"/>
        </w:rPr>
        <w:fldChar w:fldCharType="separate"/>
      </w:r>
      <w:r w:rsidRPr="00094A3B">
        <w:rPr>
          <w:rFonts w:ascii="Arial" w:hAnsi="Arial" w:cs="Arial"/>
          <w:noProof/>
          <w:sz w:val="22"/>
          <w:szCs w:val="22"/>
        </w:rPr>
        <w:t>1.</w:t>
      </w:r>
      <w:r w:rsidRPr="00094A3B">
        <w:rPr>
          <w:rFonts w:ascii="Arial" w:hAnsi="Arial" w:cs="Arial"/>
          <w:noProof/>
          <w:sz w:val="22"/>
          <w:szCs w:val="22"/>
        </w:rPr>
        <w:tab/>
        <w:t xml:space="preserve">Staal B, Liu Y, Barnett D, Hsueh P, He Z, Gao CF, et al. The sTRA Plasma Biomarker: Blinded Validation of Improved Accuracy over CA19-9 in Pancreatic Cancer Diagnosis. </w:t>
      </w:r>
      <w:r w:rsidRPr="00094A3B">
        <w:rPr>
          <w:rFonts w:ascii="Arial" w:hAnsi="Arial" w:cs="Arial"/>
          <w:i/>
          <w:noProof/>
          <w:sz w:val="22"/>
          <w:szCs w:val="22"/>
        </w:rPr>
        <w:t>Clin Cancer Res</w:t>
      </w:r>
      <w:r w:rsidRPr="00094A3B">
        <w:rPr>
          <w:rFonts w:ascii="Arial" w:hAnsi="Arial" w:cs="Arial"/>
          <w:noProof/>
          <w:sz w:val="22"/>
          <w:szCs w:val="22"/>
        </w:rPr>
        <w:t xml:space="preserve"> </w:t>
      </w:r>
      <w:r w:rsidRPr="00094A3B">
        <w:rPr>
          <w:rFonts w:ascii="Arial" w:hAnsi="Arial" w:cs="Arial"/>
          <w:b/>
          <w:noProof/>
          <w:sz w:val="22"/>
          <w:szCs w:val="22"/>
        </w:rPr>
        <w:t>2019</w:t>
      </w:r>
      <w:r w:rsidRPr="00094A3B">
        <w:rPr>
          <w:rFonts w:ascii="Arial" w:hAnsi="Arial" w:cs="Arial"/>
          <w:noProof/>
          <w:sz w:val="22"/>
          <w:szCs w:val="22"/>
        </w:rPr>
        <w:t>;29:2745-54.</w:t>
      </w:r>
    </w:p>
    <w:p w14:paraId="655E9A87" w14:textId="77777777" w:rsidR="00094A3B" w:rsidRPr="00094A3B" w:rsidRDefault="00094A3B" w:rsidP="00094A3B">
      <w:pPr>
        <w:pStyle w:val="EndNoteBibliography"/>
        <w:spacing w:before="120" w:line="260" w:lineRule="exact"/>
        <w:ind w:left="720" w:hanging="720"/>
        <w:rPr>
          <w:rFonts w:ascii="Arial" w:hAnsi="Arial" w:cs="Arial"/>
          <w:noProof/>
          <w:sz w:val="22"/>
          <w:szCs w:val="22"/>
        </w:rPr>
      </w:pPr>
      <w:r w:rsidRPr="00094A3B">
        <w:rPr>
          <w:rFonts w:ascii="Arial" w:hAnsi="Arial" w:cs="Arial"/>
          <w:noProof/>
          <w:sz w:val="22"/>
          <w:szCs w:val="22"/>
        </w:rPr>
        <w:t>2.</w:t>
      </w:r>
      <w:r w:rsidRPr="00094A3B">
        <w:rPr>
          <w:rFonts w:ascii="Arial" w:hAnsi="Arial" w:cs="Arial"/>
          <w:noProof/>
          <w:sz w:val="22"/>
          <w:szCs w:val="22"/>
        </w:rPr>
        <w:tab/>
        <w:t xml:space="preserve">Moffitt RA, Marayati R, Flate EL, Volmar KE, Loeza SG, Hoadley KA, et al. Virtual microdissection identifies distinct tumor- and stroma-specific subtypes of pancreatic ductal adenocarcinoma. </w:t>
      </w:r>
      <w:r w:rsidRPr="00094A3B">
        <w:rPr>
          <w:rFonts w:ascii="Arial" w:hAnsi="Arial" w:cs="Arial"/>
          <w:i/>
          <w:noProof/>
          <w:sz w:val="22"/>
          <w:szCs w:val="22"/>
        </w:rPr>
        <w:t>Nat Genet</w:t>
      </w:r>
      <w:r w:rsidRPr="00094A3B">
        <w:rPr>
          <w:rFonts w:ascii="Arial" w:hAnsi="Arial" w:cs="Arial"/>
          <w:noProof/>
          <w:sz w:val="22"/>
          <w:szCs w:val="22"/>
        </w:rPr>
        <w:t xml:space="preserve"> </w:t>
      </w:r>
      <w:r w:rsidRPr="00094A3B">
        <w:rPr>
          <w:rFonts w:ascii="Arial" w:hAnsi="Arial" w:cs="Arial"/>
          <w:b/>
          <w:noProof/>
          <w:sz w:val="22"/>
          <w:szCs w:val="22"/>
        </w:rPr>
        <w:t>2015</w:t>
      </w:r>
      <w:r w:rsidRPr="00094A3B">
        <w:rPr>
          <w:rFonts w:ascii="Arial" w:hAnsi="Arial" w:cs="Arial"/>
          <w:noProof/>
          <w:sz w:val="22"/>
          <w:szCs w:val="22"/>
        </w:rPr>
        <w:t>;47:1168-78.</w:t>
      </w:r>
    </w:p>
    <w:p w14:paraId="4527441A" w14:textId="77777777" w:rsidR="00094A3B" w:rsidRDefault="00094A3B" w:rsidP="00094A3B">
      <w:pPr>
        <w:rPr>
          <w:rFonts w:ascii="Arial" w:hAnsi="Arial" w:cs="Arial"/>
          <w:sz w:val="22"/>
          <w:szCs w:val="22"/>
        </w:rPr>
      </w:pPr>
      <w:r w:rsidRPr="00094A3B">
        <w:rPr>
          <w:rFonts w:ascii="Arial" w:hAnsi="Arial" w:cs="Arial"/>
          <w:sz w:val="22"/>
          <w:szCs w:val="22"/>
        </w:rPr>
        <w:lastRenderedPageBreak/>
        <w:fldChar w:fldCharType="end"/>
      </w:r>
    </w:p>
    <w:p w14:paraId="05185ADF" w14:textId="06CEC34E" w:rsidR="009016A3" w:rsidRPr="00094A3B" w:rsidRDefault="009016A3" w:rsidP="00094A3B">
      <w:pPr>
        <w:rPr>
          <w:rFonts w:ascii="Arial" w:hAnsi="Arial" w:cs="Arial"/>
          <w:b/>
          <w:bCs/>
        </w:rPr>
      </w:pPr>
      <w:r w:rsidRPr="00094A3B">
        <w:rPr>
          <w:rFonts w:ascii="Arial" w:hAnsi="Arial" w:cs="Arial"/>
          <w:b/>
          <w:bCs/>
        </w:rPr>
        <w:t>Supplementa</w:t>
      </w:r>
      <w:r w:rsidR="00837018" w:rsidRPr="00094A3B">
        <w:rPr>
          <w:rFonts w:ascii="Arial" w:hAnsi="Arial" w:cs="Arial"/>
          <w:b/>
          <w:bCs/>
        </w:rPr>
        <w:t>l</w:t>
      </w:r>
      <w:r w:rsidRPr="00094A3B">
        <w:rPr>
          <w:rFonts w:ascii="Arial" w:hAnsi="Arial" w:cs="Arial"/>
          <w:b/>
          <w:bCs/>
        </w:rPr>
        <w:t xml:space="preserve"> Tables</w:t>
      </w:r>
    </w:p>
    <w:p w14:paraId="4027B941" w14:textId="77777777" w:rsidR="00AD51D9" w:rsidRDefault="00AD51D9" w:rsidP="009016A3">
      <w:pPr>
        <w:rPr>
          <w:rFonts w:ascii="Arial" w:hAnsi="Arial" w:cs="Arial"/>
          <w:b/>
          <w:bCs/>
          <w:sz w:val="22"/>
          <w:szCs w:val="22"/>
        </w:rPr>
      </w:pPr>
    </w:p>
    <w:p w14:paraId="6149036C" w14:textId="4EFAB9CB" w:rsidR="00422D29" w:rsidRPr="00AD51D9" w:rsidRDefault="00837018" w:rsidP="009016A3">
      <w:pPr>
        <w:rPr>
          <w:rFonts w:ascii="Arial" w:hAnsi="Arial" w:cs="Arial"/>
          <w:b/>
          <w:bCs/>
          <w:sz w:val="22"/>
          <w:szCs w:val="22"/>
        </w:rPr>
      </w:pPr>
      <w:r w:rsidRPr="00837018">
        <w:rPr>
          <w:rFonts w:ascii="Arial" w:hAnsi="Arial" w:cs="Arial"/>
          <w:b/>
          <w:bCs/>
          <w:sz w:val="22"/>
          <w:szCs w:val="22"/>
        </w:rPr>
        <w:t xml:space="preserve">Supplemental </w:t>
      </w:r>
      <w:r w:rsidR="00422D29" w:rsidRPr="00D04AC3">
        <w:rPr>
          <w:rFonts w:ascii="Arial" w:hAnsi="Arial" w:cs="Arial"/>
          <w:b/>
          <w:bCs/>
          <w:sz w:val="22"/>
          <w:szCs w:val="22"/>
        </w:rPr>
        <w:t>Table 4. Antibody information</w:t>
      </w:r>
      <w:r w:rsidR="00030820" w:rsidRPr="00D04AC3">
        <w:rPr>
          <w:rFonts w:ascii="Arial" w:hAnsi="Arial" w:cs="Arial"/>
          <w:b/>
          <w:bCs/>
          <w:sz w:val="22"/>
          <w:szCs w:val="22"/>
        </w:rPr>
        <w:t>.</w:t>
      </w:r>
    </w:p>
    <w:p w14:paraId="1D9511A0" w14:textId="7AD1F413" w:rsidR="007C68DE" w:rsidRPr="000F607F" w:rsidRDefault="007C68DE" w:rsidP="009016A3">
      <w:pPr>
        <w:rPr>
          <w:rFonts w:ascii="Arial" w:hAnsi="Arial" w:cs="Arial"/>
          <w:b/>
          <w:bCs/>
        </w:rPr>
      </w:pPr>
    </w:p>
    <w:tbl>
      <w:tblPr>
        <w:tblW w:w="9175" w:type="dxa"/>
        <w:tblLook w:val="04A0" w:firstRow="1" w:lastRow="0" w:firstColumn="1" w:lastColumn="0" w:noHBand="0" w:noVBand="1"/>
      </w:tblPr>
      <w:tblGrid>
        <w:gridCol w:w="1615"/>
        <w:gridCol w:w="1077"/>
        <w:gridCol w:w="1087"/>
        <w:gridCol w:w="1887"/>
        <w:gridCol w:w="1440"/>
        <w:gridCol w:w="1259"/>
        <w:gridCol w:w="810"/>
      </w:tblGrid>
      <w:tr w:rsidR="00866800" w:rsidRPr="00356301" w14:paraId="41414F83" w14:textId="77777777" w:rsidTr="00866800">
        <w:trPr>
          <w:trHeight w:val="315"/>
        </w:trPr>
        <w:tc>
          <w:tcPr>
            <w:tcW w:w="1615" w:type="dxa"/>
            <w:tcBorders>
              <w:top w:val="single" w:sz="4" w:space="0" w:color="000000"/>
              <w:left w:val="single" w:sz="4" w:space="0" w:color="000000"/>
              <w:bottom w:val="single" w:sz="8" w:space="0" w:color="000000"/>
              <w:right w:val="single" w:sz="8" w:space="0" w:color="000000"/>
            </w:tcBorders>
            <w:shd w:val="clear" w:color="auto" w:fill="auto"/>
            <w:vAlign w:val="center"/>
            <w:hideMark/>
          </w:tcPr>
          <w:p w14:paraId="3E2CE14C" w14:textId="77777777" w:rsidR="00356301" w:rsidRPr="00356301" w:rsidRDefault="00356301" w:rsidP="00356301">
            <w:pPr>
              <w:rPr>
                <w:rFonts w:ascii="Arial" w:hAnsi="Arial" w:cs="Arial"/>
                <w:b/>
                <w:bCs/>
                <w:color w:val="000000"/>
                <w:sz w:val="18"/>
                <w:szCs w:val="18"/>
              </w:rPr>
            </w:pPr>
            <w:r w:rsidRPr="00356301">
              <w:rPr>
                <w:rFonts w:ascii="Arial" w:hAnsi="Arial" w:cs="Arial"/>
                <w:b/>
                <w:bCs/>
                <w:color w:val="000000"/>
                <w:sz w:val="18"/>
                <w:szCs w:val="18"/>
              </w:rPr>
              <w:t>Antibody</w:t>
            </w:r>
            <w:r w:rsidRPr="00356301">
              <w:rPr>
                <w:rFonts w:ascii="Arial" w:hAnsi="Arial" w:cs="Arial"/>
                <w:sz w:val="18"/>
                <w:szCs w:val="18"/>
              </w:rPr>
              <w:t> </w:t>
            </w:r>
          </w:p>
        </w:tc>
        <w:tc>
          <w:tcPr>
            <w:tcW w:w="1077" w:type="dxa"/>
            <w:tcBorders>
              <w:top w:val="single" w:sz="4" w:space="0" w:color="000000"/>
              <w:left w:val="nil"/>
              <w:bottom w:val="single" w:sz="8" w:space="0" w:color="000000"/>
              <w:right w:val="single" w:sz="8" w:space="0" w:color="000000"/>
            </w:tcBorders>
            <w:shd w:val="clear" w:color="auto" w:fill="auto"/>
            <w:vAlign w:val="center"/>
            <w:hideMark/>
          </w:tcPr>
          <w:p w14:paraId="5ACBEBE9" w14:textId="77777777" w:rsidR="00356301" w:rsidRPr="00356301" w:rsidRDefault="00356301" w:rsidP="00356301">
            <w:pPr>
              <w:rPr>
                <w:rFonts w:ascii="Arial" w:hAnsi="Arial" w:cs="Arial"/>
                <w:b/>
                <w:bCs/>
                <w:color w:val="000000"/>
                <w:sz w:val="18"/>
                <w:szCs w:val="18"/>
              </w:rPr>
            </w:pPr>
            <w:r w:rsidRPr="00356301">
              <w:rPr>
                <w:rFonts w:ascii="Arial" w:hAnsi="Arial" w:cs="Arial"/>
                <w:b/>
                <w:bCs/>
                <w:color w:val="000000"/>
                <w:sz w:val="18"/>
                <w:szCs w:val="18"/>
              </w:rPr>
              <w:t>Host</w:t>
            </w:r>
            <w:r w:rsidRPr="00356301">
              <w:rPr>
                <w:rFonts w:ascii="Arial" w:hAnsi="Arial" w:cs="Arial"/>
                <w:sz w:val="18"/>
                <w:szCs w:val="18"/>
              </w:rPr>
              <w:t> </w:t>
            </w:r>
          </w:p>
        </w:tc>
        <w:tc>
          <w:tcPr>
            <w:tcW w:w="1087" w:type="dxa"/>
            <w:tcBorders>
              <w:top w:val="single" w:sz="4" w:space="0" w:color="000000"/>
              <w:left w:val="nil"/>
              <w:bottom w:val="single" w:sz="8" w:space="0" w:color="000000"/>
              <w:right w:val="single" w:sz="8" w:space="0" w:color="000000"/>
            </w:tcBorders>
            <w:shd w:val="clear" w:color="auto" w:fill="auto"/>
            <w:vAlign w:val="center"/>
            <w:hideMark/>
          </w:tcPr>
          <w:p w14:paraId="5C263889" w14:textId="77777777" w:rsidR="00356301" w:rsidRPr="00356301" w:rsidRDefault="00356301" w:rsidP="00356301">
            <w:pPr>
              <w:rPr>
                <w:rFonts w:ascii="Arial" w:hAnsi="Arial" w:cs="Arial"/>
                <w:b/>
                <w:bCs/>
                <w:color w:val="000000"/>
                <w:sz w:val="18"/>
                <w:szCs w:val="18"/>
              </w:rPr>
            </w:pPr>
            <w:r w:rsidRPr="00356301">
              <w:rPr>
                <w:rFonts w:ascii="Arial" w:hAnsi="Arial" w:cs="Arial"/>
                <w:b/>
                <w:bCs/>
                <w:color w:val="000000"/>
                <w:sz w:val="18"/>
                <w:szCs w:val="18"/>
              </w:rPr>
              <w:t>Clone</w:t>
            </w:r>
            <w:r w:rsidRPr="00356301">
              <w:rPr>
                <w:rFonts w:ascii="Arial" w:hAnsi="Arial" w:cs="Arial"/>
                <w:sz w:val="18"/>
                <w:szCs w:val="18"/>
              </w:rPr>
              <w:t> </w:t>
            </w:r>
          </w:p>
        </w:tc>
        <w:tc>
          <w:tcPr>
            <w:tcW w:w="1887" w:type="dxa"/>
            <w:tcBorders>
              <w:top w:val="single" w:sz="4" w:space="0" w:color="000000"/>
              <w:left w:val="nil"/>
              <w:bottom w:val="single" w:sz="8" w:space="0" w:color="000000"/>
              <w:right w:val="single" w:sz="8" w:space="0" w:color="000000"/>
            </w:tcBorders>
            <w:shd w:val="clear" w:color="auto" w:fill="auto"/>
            <w:vAlign w:val="center"/>
            <w:hideMark/>
          </w:tcPr>
          <w:p w14:paraId="4153D961" w14:textId="77777777" w:rsidR="00356301" w:rsidRPr="00356301" w:rsidRDefault="00356301" w:rsidP="00356301">
            <w:pPr>
              <w:rPr>
                <w:rFonts w:ascii="Arial" w:hAnsi="Arial" w:cs="Arial"/>
                <w:b/>
                <w:bCs/>
                <w:color w:val="000000"/>
                <w:sz w:val="18"/>
                <w:szCs w:val="18"/>
              </w:rPr>
            </w:pPr>
            <w:r w:rsidRPr="00356301">
              <w:rPr>
                <w:rFonts w:ascii="Arial" w:hAnsi="Arial" w:cs="Arial"/>
                <w:b/>
                <w:bCs/>
                <w:color w:val="000000"/>
                <w:sz w:val="18"/>
                <w:szCs w:val="18"/>
              </w:rPr>
              <w:t>Target</w:t>
            </w:r>
            <w:r w:rsidRPr="00356301">
              <w:rPr>
                <w:rFonts w:ascii="Arial" w:hAnsi="Arial" w:cs="Arial"/>
                <w:sz w:val="18"/>
                <w:szCs w:val="18"/>
              </w:rPr>
              <w:t> </w:t>
            </w:r>
          </w:p>
        </w:tc>
        <w:tc>
          <w:tcPr>
            <w:tcW w:w="1440" w:type="dxa"/>
            <w:tcBorders>
              <w:top w:val="single" w:sz="4" w:space="0" w:color="000000"/>
              <w:left w:val="nil"/>
              <w:bottom w:val="single" w:sz="8" w:space="0" w:color="000000"/>
              <w:right w:val="single" w:sz="8" w:space="0" w:color="000000"/>
            </w:tcBorders>
            <w:shd w:val="clear" w:color="auto" w:fill="auto"/>
            <w:vAlign w:val="center"/>
            <w:hideMark/>
          </w:tcPr>
          <w:p w14:paraId="48C73082" w14:textId="77777777" w:rsidR="00356301" w:rsidRPr="00356301" w:rsidRDefault="00356301" w:rsidP="00356301">
            <w:pPr>
              <w:rPr>
                <w:rFonts w:ascii="Arial" w:hAnsi="Arial" w:cs="Arial"/>
                <w:b/>
                <w:bCs/>
                <w:color w:val="000000"/>
                <w:sz w:val="18"/>
                <w:szCs w:val="18"/>
              </w:rPr>
            </w:pPr>
            <w:r w:rsidRPr="00356301">
              <w:rPr>
                <w:rFonts w:ascii="Arial" w:hAnsi="Arial" w:cs="Arial"/>
                <w:b/>
                <w:bCs/>
                <w:color w:val="000000"/>
                <w:sz w:val="18"/>
                <w:szCs w:val="18"/>
              </w:rPr>
              <w:t>Source</w:t>
            </w:r>
            <w:r w:rsidRPr="00356301">
              <w:rPr>
                <w:rFonts w:ascii="Arial" w:hAnsi="Arial" w:cs="Arial"/>
                <w:sz w:val="18"/>
                <w:szCs w:val="18"/>
              </w:rPr>
              <w:t> </w:t>
            </w:r>
          </w:p>
        </w:tc>
        <w:tc>
          <w:tcPr>
            <w:tcW w:w="1259" w:type="dxa"/>
            <w:tcBorders>
              <w:top w:val="single" w:sz="4" w:space="0" w:color="000000"/>
              <w:left w:val="nil"/>
              <w:bottom w:val="single" w:sz="8" w:space="0" w:color="000000"/>
              <w:right w:val="single" w:sz="8" w:space="0" w:color="000000"/>
            </w:tcBorders>
            <w:shd w:val="clear" w:color="auto" w:fill="auto"/>
            <w:vAlign w:val="center"/>
            <w:hideMark/>
          </w:tcPr>
          <w:p w14:paraId="1C9CD600" w14:textId="77777777" w:rsidR="00356301" w:rsidRPr="00356301" w:rsidRDefault="00356301" w:rsidP="00356301">
            <w:pPr>
              <w:rPr>
                <w:rFonts w:ascii="Arial" w:hAnsi="Arial" w:cs="Arial"/>
                <w:b/>
                <w:bCs/>
                <w:color w:val="000000"/>
                <w:sz w:val="18"/>
                <w:szCs w:val="18"/>
              </w:rPr>
            </w:pPr>
            <w:r w:rsidRPr="00356301">
              <w:rPr>
                <w:rFonts w:ascii="Arial" w:hAnsi="Arial" w:cs="Arial"/>
                <w:b/>
                <w:bCs/>
                <w:color w:val="000000"/>
                <w:sz w:val="18"/>
                <w:szCs w:val="18"/>
              </w:rPr>
              <w:t>Cat. no.</w:t>
            </w:r>
            <w:r w:rsidRPr="00356301">
              <w:rPr>
                <w:rFonts w:ascii="Arial" w:hAnsi="Arial" w:cs="Arial"/>
                <w:sz w:val="18"/>
                <w:szCs w:val="18"/>
              </w:rPr>
              <w:t> </w:t>
            </w:r>
          </w:p>
        </w:tc>
        <w:tc>
          <w:tcPr>
            <w:tcW w:w="810" w:type="dxa"/>
            <w:tcBorders>
              <w:top w:val="single" w:sz="4" w:space="0" w:color="000000"/>
              <w:left w:val="nil"/>
              <w:bottom w:val="single" w:sz="8" w:space="0" w:color="000000"/>
              <w:right w:val="single" w:sz="4" w:space="0" w:color="000000"/>
            </w:tcBorders>
            <w:shd w:val="clear" w:color="auto" w:fill="auto"/>
            <w:vAlign w:val="center"/>
            <w:hideMark/>
          </w:tcPr>
          <w:p w14:paraId="47CA919F" w14:textId="77777777" w:rsidR="00356301" w:rsidRPr="00356301" w:rsidRDefault="00356301" w:rsidP="00356301">
            <w:pPr>
              <w:rPr>
                <w:rFonts w:ascii="Arial" w:hAnsi="Arial" w:cs="Arial"/>
                <w:b/>
                <w:bCs/>
                <w:color w:val="000000"/>
                <w:sz w:val="18"/>
                <w:szCs w:val="18"/>
              </w:rPr>
            </w:pPr>
            <w:r w:rsidRPr="00356301">
              <w:rPr>
                <w:rFonts w:ascii="Arial" w:hAnsi="Arial" w:cs="Arial"/>
                <w:b/>
                <w:bCs/>
                <w:color w:val="000000"/>
                <w:sz w:val="18"/>
                <w:szCs w:val="18"/>
              </w:rPr>
              <w:t>Class</w:t>
            </w:r>
            <w:r w:rsidRPr="00356301">
              <w:rPr>
                <w:rFonts w:ascii="Arial" w:hAnsi="Arial" w:cs="Arial"/>
                <w:sz w:val="18"/>
                <w:szCs w:val="18"/>
              </w:rPr>
              <w:t> </w:t>
            </w:r>
          </w:p>
        </w:tc>
      </w:tr>
      <w:tr w:rsidR="00866800" w:rsidRPr="00356301" w14:paraId="5D002D48" w14:textId="77777777" w:rsidTr="00162099">
        <w:trPr>
          <w:trHeight w:val="511"/>
        </w:trPr>
        <w:tc>
          <w:tcPr>
            <w:tcW w:w="1615" w:type="dxa"/>
            <w:tcBorders>
              <w:top w:val="nil"/>
              <w:left w:val="single" w:sz="4" w:space="0" w:color="000000"/>
              <w:bottom w:val="single" w:sz="8" w:space="0" w:color="000000"/>
              <w:right w:val="single" w:sz="8" w:space="0" w:color="000000"/>
            </w:tcBorders>
            <w:shd w:val="clear" w:color="auto" w:fill="auto"/>
            <w:vAlign w:val="center"/>
            <w:hideMark/>
          </w:tcPr>
          <w:p w14:paraId="01942AC3" w14:textId="77777777" w:rsidR="00356301" w:rsidRPr="00356301" w:rsidRDefault="00356301" w:rsidP="00356301">
            <w:pPr>
              <w:rPr>
                <w:rFonts w:ascii="Arial" w:hAnsi="Arial" w:cs="Arial"/>
                <w:color w:val="000000"/>
                <w:sz w:val="18"/>
                <w:szCs w:val="18"/>
              </w:rPr>
            </w:pPr>
            <w:r w:rsidRPr="00356301">
              <w:rPr>
                <w:rFonts w:ascii="Arial" w:hAnsi="Arial" w:cs="Arial"/>
                <w:color w:val="000000"/>
                <w:sz w:val="18"/>
                <w:szCs w:val="18"/>
              </w:rPr>
              <w:t>goat anti-mouse IgG-HRP</w:t>
            </w:r>
            <w:r w:rsidRPr="00356301">
              <w:rPr>
                <w:rFonts w:ascii="Arial" w:hAnsi="Arial" w:cs="Arial"/>
                <w:sz w:val="18"/>
                <w:szCs w:val="18"/>
              </w:rPr>
              <w:t> </w:t>
            </w:r>
          </w:p>
        </w:tc>
        <w:tc>
          <w:tcPr>
            <w:tcW w:w="1077" w:type="dxa"/>
            <w:tcBorders>
              <w:top w:val="nil"/>
              <w:left w:val="nil"/>
              <w:bottom w:val="single" w:sz="8" w:space="0" w:color="000000"/>
              <w:right w:val="single" w:sz="8" w:space="0" w:color="000000"/>
            </w:tcBorders>
            <w:shd w:val="clear" w:color="auto" w:fill="auto"/>
            <w:vAlign w:val="center"/>
            <w:hideMark/>
          </w:tcPr>
          <w:p w14:paraId="2C3929F9" w14:textId="77777777" w:rsidR="00356301" w:rsidRPr="00356301" w:rsidRDefault="00356301" w:rsidP="00356301">
            <w:pPr>
              <w:rPr>
                <w:rFonts w:ascii="Arial" w:hAnsi="Arial" w:cs="Arial"/>
                <w:color w:val="000000"/>
                <w:sz w:val="18"/>
                <w:szCs w:val="18"/>
              </w:rPr>
            </w:pPr>
            <w:r w:rsidRPr="00356301">
              <w:rPr>
                <w:rFonts w:ascii="Arial" w:hAnsi="Arial" w:cs="Arial"/>
                <w:color w:val="000000"/>
                <w:sz w:val="18"/>
                <w:szCs w:val="18"/>
              </w:rPr>
              <w:t>Goat</w:t>
            </w:r>
            <w:r w:rsidRPr="00356301">
              <w:rPr>
                <w:rFonts w:ascii="Arial" w:hAnsi="Arial" w:cs="Arial"/>
                <w:sz w:val="18"/>
                <w:szCs w:val="18"/>
              </w:rPr>
              <w:t> </w:t>
            </w:r>
          </w:p>
        </w:tc>
        <w:tc>
          <w:tcPr>
            <w:tcW w:w="1087" w:type="dxa"/>
            <w:tcBorders>
              <w:top w:val="nil"/>
              <w:left w:val="nil"/>
              <w:bottom w:val="single" w:sz="8" w:space="0" w:color="000000"/>
              <w:right w:val="single" w:sz="8" w:space="0" w:color="000000"/>
            </w:tcBorders>
            <w:shd w:val="clear" w:color="auto" w:fill="auto"/>
            <w:vAlign w:val="center"/>
            <w:hideMark/>
          </w:tcPr>
          <w:p w14:paraId="280BF29A" w14:textId="77777777" w:rsidR="00356301" w:rsidRPr="00356301" w:rsidRDefault="00356301" w:rsidP="00356301">
            <w:pPr>
              <w:rPr>
                <w:rFonts w:ascii="Arial" w:hAnsi="Arial" w:cs="Arial"/>
                <w:color w:val="000000"/>
                <w:sz w:val="18"/>
                <w:szCs w:val="18"/>
              </w:rPr>
            </w:pPr>
            <w:r w:rsidRPr="00356301">
              <w:rPr>
                <w:rFonts w:ascii="Arial" w:hAnsi="Arial" w:cs="Arial"/>
                <w:color w:val="000000"/>
                <w:sz w:val="18"/>
                <w:szCs w:val="18"/>
              </w:rPr>
              <w:t>Polyclonal</w:t>
            </w:r>
            <w:r w:rsidRPr="00356301">
              <w:rPr>
                <w:rFonts w:ascii="Arial" w:hAnsi="Arial" w:cs="Arial"/>
                <w:sz w:val="18"/>
                <w:szCs w:val="18"/>
              </w:rPr>
              <w:t> </w:t>
            </w:r>
          </w:p>
        </w:tc>
        <w:tc>
          <w:tcPr>
            <w:tcW w:w="1887" w:type="dxa"/>
            <w:tcBorders>
              <w:top w:val="nil"/>
              <w:left w:val="nil"/>
              <w:bottom w:val="single" w:sz="8" w:space="0" w:color="000000"/>
              <w:right w:val="single" w:sz="8" w:space="0" w:color="000000"/>
            </w:tcBorders>
            <w:shd w:val="clear" w:color="auto" w:fill="auto"/>
            <w:vAlign w:val="center"/>
            <w:hideMark/>
          </w:tcPr>
          <w:p w14:paraId="6D66C550" w14:textId="77777777" w:rsidR="00356301" w:rsidRPr="00356301" w:rsidRDefault="00356301" w:rsidP="00356301">
            <w:pPr>
              <w:rPr>
                <w:rFonts w:ascii="Arial" w:hAnsi="Arial" w:cs="Arial"/>
                <w:color w:val="000000"/>
                <w:sz w:val="18"/>
                <w:szCs w:val="18"/>
              </w:rPr>
            </w:pPr>
            <w:r w:rsidRPr="00356301">
              <w:rPr>
                <w:rFonts w:ascii="Arial" w:hAnsi="Arial" w:cs="Arial"/>
                <w:color w:val="000000"/>
                <w:sz w:val="18"/>
                <w:szCs w:val="18"/>
              </w:rPr>
              <w:t>Mouse IgG</w:t>
            </w:r>
            <w:r w:rsidRPr="00356301">
              <w:rPr>
                <w:rFonts w:ascii="Arial" w:hAnsi="Arial" w:cs="Arial"/>
                <w:sz w:val="18"/>
                <w:szCs w:val="18"/>
              </w:rPr>
              <w:t> </w:t>
            </w:r>
          </w:p>
        </w:tc>
        <w:tc>
          <w:tcPr>
            <w:tcW w:w="1440" w:type="dxa"/>
            <w:tcBorders>
              <w:top w:val="nil"/>
              <w:left w:val="nil"/>
              <w:bottom w:val="single" w:sz="8" w:space="0" w:color="000000"/>
              <w:right w:val="single" w:sz="8" w:space="0" w:color="000000"/>
            </w:tcBorders>
            <w:shd w:val="clear" w:color="auto" w:fill="auto"/>
            <w:vAlign w:val="center"/>
            <w:hideMark/>
          </w:tcPr>
          <w:p w14:paraId="1AAC7B93" w14:textId="77777777" w:rsidR="00356301" w:rsidRPr="00356301" w:rsidRDefault="00356301" w:rsidP="00356301">
            <w:pPr>
              <w:rPr>
                <w:rFonts w:ascii="Arial" w:hAnsi="Arial" w:cs="Arial"/>
                <w:color w:val="000000"/>
                <w:sz w:val="18"/>
                <w:szCs w:val="18"/>
              </w:rPr>
            </w:pPr>
            <w:r w:rsidRPr="00356301">
              <w:rPr>
                <w:rFonts w:ascii="Arial" w:hAnsi="Arial" w:cs="Arial"/>
                <w:color w:val="000000"/>
                <w:sz w:val="18"/>
                <w:szCs w:val="18"/>
              </w:rPr>
              <w:t>Santa Cruz Biotechnology</w:t>
            </w:r>
            <w:r w:rsidRPr="00356301">
              <w:rPr>
                <w:rFonts w:ascii="Arial" w:hAnsi="Arial" w:cs="Arial"/>
                <w:sz w:val="18"/>
                <w:szCs w:val="18"/>
              </w:rPr>
              <w:t> </w:t>
            </w:r>
          </w:p>
        </w:tc>
        <w:tc>
          <w:tcPr>
            <w:tcW w:w="1259" w:type="dxa"/>
            <w:tcBorders>
              <w:top w:val="nil"/>
              <w:left w:val="nil"/>
              <w:bottom w:val="single" w:sz="8" w:space="0" w:color="000000"/>
              <w:right w:val="single" w:sz="8" w:space="0" w:color="000000"/>
            </w:tcBorders>
            <w:shd w:val="clear" w:color="auto" w:fill="auto"/>
            <w:vAlign w:val="center"/>
            <w:hideMark/>
          </w:tcPr>
          <w:p w14:paraId="660D68AD" w14:textId="77777777" w:rsidR="00356301" w:rsidRPr="00356301" w:rsidRDefault="00356301" w:rsidP="00356301">
            <w:pPr>
              <w:rPr>
                <w:rFonts w:ascii="Arial" w:hAnsi="Arial" w:cs="Arial"/>
                <w:color w:val="000000"/>
                <w:sz w:val="18"/>
                <w:szCs w:val="18"/>
              </w:rPr>
            </w:pPr>
            <w:r w:rsidRPr="00356301">
              <w:rPr>
                <w:rFonts w:ascii="Arial" w:hAnsi="Arial" w:cs="Arial"/>
                <w:color w:val="000000"/>
                <w:sz w:val="18"/>
                <w:szCs w:val="18"/>
              </w:rPr>
              <w:t>SC2005</w:t>
            </w:r>
            <w:r w:rsidRPr="00356301">
              <w:rPr>
                <w:rFonts w:ascii="Arial" w:hAnsi="Arial" w:cs="Arial"/>
                <w:sz w:val="18"/>
                <w:szCs w:val="18"/>
              </w:rPr>
              <w:t> </w:t>
            </w:r>
          </w:p>
        </w:tc>
        <w:tc>
          <w:tcPr>
            <w:tcW w:w="810" w:type="dxa"/>
            <w:tcBorders>
              <w:top w:val="nil"/>
              <w:left w:val="nil"/>
              <w:bottom w:val="single" w:sz="8" w:space="0" w:color="000000"/>
              <w:right w:val="single" w:sz="4" w:space="0" w:color="000000"/>
            </w:tcBorders>
            <w:shd w:val="clear" w:color="auto" w:fill="auto"/>
            <w:vAlign w:val="center"/>
            <w:hideMark/>
          </w:tcPr>
          <w:p w14:paraId="2B75B07B" w14:textId="77777777" w:rsidR="00356301" w:rsidRPr="00356301" w:rsidRDefault="00356301" w:rsidP="00356301">
            <w:pPr>
              <w:rPr>
                <w:rFonts w:ascii="Arial" w:hAnsi="Arial" w:cs="Arial"/>
                <w:color w:val="000000"/>
                <w:sz w:val="18"/>
                <w:szCs w:val="18"/>
              </w:rPr>
            </w:pPr>
            <w:r w:rsidRPr="00356301">
              <w:rPr>
                <w:rFonts w:ascii="Arial" w:hAnsi="Arial" w:cs="Arial"/>
                <w:color w:val="000000"/>
                <w:sz w:val="18"/>
                <w:szCs w:val="18"/>
              </w:rPr>
              <w:t>IgG</w:t>
            </w:r>
            <w:r w:rsidRPr="00356301">
              <w:rPr>
                <w:rFonts w:ascii="Arial" w:hAnsi="Arial" w:cs="Arial"/>
                <w:sz w:val="18"/>
                <w:szCs w:val="18"/>
              </w:rPr>
              <w:t> </w:t>
            </w:r>
          </w:p>
        </w:tc>
      </w:tr>
      <w:tr w:rsidR="00866800" w:rsidRPr="00356301" w14:paraId="7D6CFE00" w14:textId="77777777" w:rsidTr="00162099">
        <w:trPr>
          <w:trHeight w:val="520"/>
        </w:trPr>
        <w:tc>
          <w:tcPr>
            <w:tcW w:w="1615" w:type="dxa"/>
            <w:tcBorders>
              <w:top w:val="nil"/>
              <w:left w:val="single" w:sz="4" w:space="0" w:color="000000"/>
              <w:bottom w:val="single" w:sz="8" w:space="0" w:color="000000"/>
              <w:right w:val="single" w:sz="8" w:space="0" w:color="000000"/>
            </w:tcBorders>
            <w:shd w:val="clear" w:color="auto" w:fill="auto"/>
            <w:vAlign w:val="center"/>
            <w:hideMark/>
          </w:tcPr>
          <w:p w14:paraId="6AD611C0" w14:textId="77777777" w:rsidR="00356301" w:rsidRPr="00356301" w:rsidRDefault="00356301" w:rsidP="00356301">
            <w:pPr>
              <w:rPr>
                <w:rFonts w:ascii="Arial" w:hAnsi="Arial" w:cs="Arial"/>
                <w:color w:val="000000"/>
                <w:sz w:val="18"/>
                <w:szCs w:val="18"/>
              </w:rPr>
            </w:pPr>
            <w:r w:rsidRPr="00356301">
              <w:rPr>
                <w:rFonts w:ascii="Arial" w:hAnsi="Arial" w:cs="Arial"/>
                <w:color w:val="000000"/>
                <w:sz w:val="18"/>
                <w:szCs w:val="18"/>
              </w:rPr>
              <w:t>goat anti-Rabbit IgG-HRP</w:t>
            </w:r>
            <w:r w:rsidRPr="00356301">
              <w:rPr>
                <w:rFonts w:ascii="Arial" w:hAnsi="Arial" w:cs="Arial"/>
                <w:sz w:val="18"/>
                <w:szCs w:val="18"/>
              </w:rPr>
              <w:t> </w:t>
            </w:r>
          </w:p>
        </w:tc>
        <w:tc>
          <w:tcPr>
            <w:tcW w:w="1077" w:type="dxa"/>
            <w:tcBorders>
              <w:top w:val="nil"/>
              <w:left w:val="nil"/>
              <w:bottom w:val="single" w:sz="8" w:space="0" w:color="000000"/>
              <w:right w:val="single" w:sz="8" w:space="0" w:color="000000"/>
            </w:tcBorders>
            <w:shd w:val="clear" w:color="auto" w:fill="auto"/>
            <w:vAlign w:val="center"/>
            <w:hideMark/>
          </w:tcPr>
          <w:p w14:paraId="3173D07D" w14:textId="77777777" w:rsidR="00356301" w:rsidRPr="00356301" w:rsidRDefault="00356301" w:rsidP="00356301">
            <w:pPr>
              <w:rPr>
                <w:rFonts w:ascii="Arial" w:hAnsi="Arial" w:cs="Arial"/>
                <w:color w:val="000000"/>
                <w:sz w:val="18"/>
                <w:szCs w:val="18"/>
              </w:rPr>
            </w:pPr>
            <w:r w:rsidRPr="00356301">
              <w:rPr>
                <w:rFonts w:ascii="Arial" w:hAnsi="Arial" w:cs="Arial"/>
                <w:color w:val="000000"/>
                <w:sz w:val="18"/>
                <w:szCs w:val="18"/>
              </w:rPr>
              <w:t>Goat</w:t>
            </w:r>
            <w:r w:rsidRPr="00356301">
              <w:rPr>
                <w:rFonts w:ascii="Arial" w:hAnsi="Arial" w:cs="Arial"/>
                <w:sz w:val="18"/>
                <w:szCs w:val="18"/>
              </w:rPr>
              <w:t> </w:t>
            </w:r>
          </w:p>
        </w:tc>
        <w:tc>
          <w:tcPr>
            <w:tcW w:w="1087" w:type="dxa"/>
            <w:tcBorders>
              <w:top w:val="nil"/>
              <w:left w:val="nil"/>
              <w:bottom w:val="single" w:sz="8" w:space="0" w:color="000000"/>
              <w:right w:val="single" w:sz="8" w:space="0" w:color="000000"/>
            </w:tcBorders>
            <w:shd w:val="clear" w:color="auto" w:fill="auto"/>
            <w:vAlign w:val="center"/>
            <w:hideMark/>
          </w:tcPr>
          <w:p w14:paraId="431207E1" w14:textId="77777777" w:rsidR="00356301" w:rsidRPr="00356301" w:rsidRDefault="00356301" w:rsidP="00356301">
            <w:pPr>
              <w:rPr>
                <w:rFonts w:ascii="Arial" w:hAnsi="Arial" w:cs="Arial"/>
                <w:color w:val="000000"/>
                <w:sz w:val="18"/>
                <w:szCs w:val="18"/>
              </w:rPr>
            </w:pPr>
            <w:r w:rsidRPr="00356301">
              <w:rPr>
                <w:rFonts w:ascii="Arial" w:hAnsi="Arial" w:cs="Arial"/>
                <w:color w:val="000000"/>
                <w:sz w:val="18"/>
                <w:szCs w:val="18"/>
              </w:rPr>
              <w:t>Polyclonal</w:t>
            </w:r>
            <w:r w:rsidRPr="00356301">
              <w:rPr>
                <w:rFonts w:ascii="Arial" w:hAnsi="Arial" w:cs="Arial"/>
                <w:sz w:val="18"/>
                <w:szCs w:val="18"/>
              </w:rPr>
              <w:t> </w:t>
            </w:r>
          </w:p>
        </w:tc>
        <w:tc>
          <w:tcPr>
            <w:tcW w:w="1887" w:type="dxa"/>
            <w:tcBorders>
              <w:top w:val="nil"/>
              <w:left w:val="nil"/>
              <w:bottom w:val="single" w:sz="8" w:space="0" w:color="000000"/>
              <w:right w:val="single" w:sz="8" w:space="0" w:color="000000"/>
            </w:tcBorders>
            <w:shd w:val="clear" w:color="auto" w:fill="auto"/>
            <w:vAlign w:val="center"/>
            <w:hideMark/>
          </w:tcPr>
          <w:p w14:paraId="25C50C9F" w14:textId="77777777" w:rsidR="00356301" w:rsidRPr="00356301" w:rsidRDefault="00356301" w:rsidP="00356301">
            <w:pPr>
              <w:rPr>
                <w:rFonts w:ascii="Arial" w:hAnsi="Arial" w:cs="Arial"/>
                <w:color w:val="000000"/>
                <w:sz w:val="18"/>
                <w:szCs w:val="18"/>
              </w:rPr>
            </w:pPr>
            <w:r w:rsidRPr="00356301">
              <w:rPr>
                <w:rFonts w:ascii="Arial" w:hAnsi="Arial" w:cs="Arial"/>
                <w:color w:val="000000"/>
                <w:sz w:val="18"/>
                <w:szCs w:val="18"/>
              </w:rPr>
              <w:t>Rabbit IgG</w:t>
            </w:r>
            <w:r w:rsidRPr="00356301">
              <w:rPr>
                <w:rFonts w:ascii="Arial" w:hAnsi="Arial" w:cs="Arial"/>
                <w:sz w:val="18"/>
                <w:szCs w:val="18"/>
              </w:rPr>
              <w:t> </w:t>
            </w:r>
          </w:p>
        </w:tc>
        <w:tc>
          <w:tcPr>
            <w:tcW w:w="1440" w:type="dxa"/>
            <w:tcBorders>
              <w:top w:val="nil"/>
              <w:left w:val="nil"/>
              <w:bottom w:val="single" w:sz="8" w:space="0" w:color="000000"/>
              <w:right w:val="single" w:sz="8" w:space="0" w:color="000000"/>
            </w:tcBorders>
            <w:shd w:val="clear" w:color="auto" w:fill="auto"/>
            <w:vAlign w:val="center"/>
            <w:hideMark/>
          </w:tcPr>
          <w:p w14:paraId="1381E6FD" w14:textId="77777777" w:rsidR="00356301" w:rsidRPr="00356301" w:rsidRDefault="00356301" w:rsidP="00356301">
            <w:pPr>
              <w:rPr>
                <w:rFonts w:ascii="Arial" w:hAnsi="Arial" w:cs="Arial"/>
                <w:color w:val="000000"/>
                <w:sz w:val="18"/>
                <w:szCs w:val="18"/>
              </w:rPr>
            </w:pPr>
            <w:r w:rsidRPr="00356301">
              <w:rPr>
                <w:rFonts w:ascii="Arial" w:hAnsi="Arial" w:cs="Arial"/>
                <w:color w:val="000000"/>
                <w:sz w:val="18"/>
                <w:szCs w:val="18"/>
              </w:rPr>
              <w:t>Santa Cruz Biotechnology</w:t>
            </w:r>
            <w:r w:rsidRPr="00356301">
              <w:rPr>
                <w:rFonts w:ascii="Arial" w:hAnsi="Arial" w:cs="Arial"/>
                <w:sz w:val="18"/>
                <w:szCs w:val="18"/>
              </w:rPr>
              <w:t> </w:t>
            </w:r>
          </w:p>
        </w:tc>
        <w:tc>
          <w:tcPr>
            <w:tcW w:w="1259" w:type="dxa"/>
            <w:tcBorders>
              <w:top w:val="nil"/>
              <w:left w:val="nil"/>
              <w:bottom w:val="single" w:sz="8" w:space="0" w:color="000000"/>
              <w:right w:val="single" w:sz="8" w:space="0" w:color="000000"/>
            </w:tcBorders>
            <w:shd w:val="clear" w:color="auto" w:fill="auto"/>
            <w:vAlign w:val="center"/>
            <w:hideMark/>
          </w:tcPr>
          <w:p w14:paraId="7987265D" w14:textId="77777777" w:rsidR="00356301" w:rsidRPr="00356301" w:rsidRDefault="00356301" w:rsidP="00356301">
            <w:pPr>
              <w:rPr>
                <w:rFonts w:ascii="Arial" w:hAnsi="Arial" w:cs="Arial"/>
                <w:color w:val="000000"/>
                <w:sz w:val="18"/>
                <w:szCs w:val="18"/>
              </w:rPr>
            </w:pPr>
            <w:r w:rsidRPr="00356301">
              <w:rPr>
                <w:rFonts w:ascii="Arial" w:hAnsi="Arial" w:cs="Arial"/>
                <w:color w:val="000000"/>
                <w:sz w:val="18"/>
                <w:szCs w:val="18"/>
              </w:rPr>
              <w:t>SC2004</w:t>
            </w:r>
            <w:r w:rsidRPr="00356301">
              <w:rPr>
                <w:rFonts w:ascii="Arial" w:hAnsi="Arial" w:cs="Arial"/>
                <w:sz w:val="18"/>
                <w:szCs w:val="18"/>
              </w:rPr>
              <w:t> </w:t>
            </w:r>
          </w:p>
        </w:tc>
        <w:tc>
          <w:tcPr>
            <w:tcW w:w="810" w:type="dxa"/>
            <w:tcBorders>
              <w:top w:val="nil"/>
              <w:left w:val="nil"/>
              <w:bottom w:val="single" w:sz="8" w:space="0" w:color="000000"/>
              <w:right w:val="single" w:sz="4" w:space="0" w:color="000000"/>
            </w:tcBorders>
            <w:shd w:val="clear" w:color="auto" w:fill="auto"/>
            <w:vAlign w:val="center"/>
            <w:hideMark/>
          </w:tcPr>
          <w:p w14:paraId="50D7AF4D" w14:textId="77777777" w:rsidR="00356301" w:rsidRPr="00356301" w:rsidRDefault="00356301" w:rsidP="00356301">
            <w:pPr>
              <w:rPr>
                <w:rFonts w:ascii="Arial" w:hAnsi="Arial" w:cs="Arial"/>
                <w:color w:val="000000"/>
                <w:sz w:val="18"/>
                <w:szCs w:val="18"/>
              </w:rPr>
            </w:pPr>
            <w:r w:rsidRPr="00356301">
              <w:rPr>
                <w:rFonts w:ascii="Arial" w:hAnsi="Arial" w:cs="Arial"/>
                <w:color w:val="000000"/>
                <w:sz w:val="18"/>
                <w:szCs w:val="18"/>
              </w:rPr>
              <w:t>IgG</w:t>
            </w:r>
            <w:r w:rsidRPr="00356301">
              <w:rPr>
                <w:rFonts w:ascii="Arial" w:hAnsi="Arial" w:cs="Arial"/>
                <w:sz w:val="18"/>
                <w:szCs w:val="18"/>
              </w:rPr>
              <w:t> </w:t>
            </w:r>
          </w:p>
        </w:tc>
      </w:tr>
      <w:tr w:rsidR="00866800" w:rsidRPr="00356301" w14:paraId="57212A23" w14:textId="77777777" w:rsidTr="00866800">
        <w:trPr>
          <w:trHeight w:val="495"/>
        </w:trPr>
        <w:tc>
          <w:tcPr>
            <w:tcW w:w="1615" w:type="dxa"/>
            <w:tcBorders>
              <w:top w:val="nil"/>
              <w:left w:val="single" w:sz="4" w:space="0" w:color="000000"/>
              <w:bottom w:val="single" w:sz="8" w:space="0" w:color="000000"/>
              <w:right w:val="single" w:sz="8" w:space="0" w:color="000000"/>
            </w:tcBorders>
            <w:shd w:val="clear" w:color="auto" w:fill="auto"/>
            <w:vAlign w:val="center"/>
            <w:hideMark/>
          </w:tcPr>
          <w:p w14:paraId="59594ED1" w14:textId="77777777" w:rsidR="00356301" w:rsidRPr="00356301" w:rsidRDefault="00356301" w:rsidP="00356301">
            <w:pPr>
              <w:rPr>
                <w:rFonts w:ascii="Arial" w:hAnsi="Arial" w:cs="Arial"/>
                <w:color w:val="000000"/>
                <w:sz w:val="18"/>
                <w:szCs w:val="18"/>
              </w:rPr>
            </w:pPr>
            <w:r w:rsidRPr="00356301">
              <w:rPr>
                <w:rFonts w:ascii="Arial" w:hAnsi="Arial" w:cs="Arial"/>
                <w:color w:val="000000"/>
                <w:sz w:val="18"/>
                <w:szCs w:val="18"/>
              </w:rPr>
              <w:t>CA19-9</w:t>
            </w:r>
            <w:r w:rsidRPr="00356301">
              <w:rPr>
                <w:rFonts w:ascii="Arial" w:hAnsi="Arial" w:cs="Arial"/>
                <w:sz w:val="18"/>
                <w:szCs w:val="18"/>
              </w:rPr>
              <w:t> </w:t>
            </w:r>
          </w:p>
        </w:tc>
        <w:tc>
          <w:tcPr>
            <w:tcW w:w="1077" w:type="dxa"/>
            <w:tcBorders>
              <w:top w:val="nil"/>
              <w:left w:val="nil"/>
              <w:bottom w:val="single" w:sz="8" w:space="0" w:color="000000"/>
              <w:right w:val="single" w:sz="8" w:space="0" w:color="000000"/>
            </w:tcBorders>
            <w:shd w:val="clear" w:color="auto" w:fill="auto"/>
            <w:vAlign w:val="center"/>
            <w:hideMark/>
          </w:tcPr>
          <w:p w14:paraId="52319BD7" w14:textId="77777777" w:rsidR="00356301" w:rsidRPr="00356301" w:rsidRDefault="00356301" w:rsidP="00356301">
            <w:pPr>
              <w:rPr>
                <w:rFonts w:ascii="Arial" w:hAnsi="Arial" w:cs="Arial"/>
                <w:color w:val="000000"/>
                <w:sz w:val="18"/>
                <w:szCs w:val="18"/>
              </w:rPr>
            </w:pPr>
            <w:r w:rsidRPr="00356301">
              <w:rPr>
                <w:rFonts w:ascii="Arial" w:hAnsi="Arial" w:cs="Arial"/>
                <w:color w:val="000000"/>
                <w:sz w:val="18"/>
                <w:szCs w:val="18"/>
              </w:rPr>
              <w:t>Mouse</w:t>
            </w:r>
            <w:r w:rsidRPr="00356301">
              <w:rPr>
                <w:rFonts w:ascii="Arial" w:hAnsi="Arial" w:cs="Arial"/>
                <w:sz w:val="18"/>
                <w:szCs w:val="18"/>
              </w:rPr>
              <w:t> </w:t>
            </w:r>
          </w:p>
        </w:tc>
        <w:tc>
          <w:tcPr>
            <w:tcW w:w="1087" w:type="dxa"/>
            <w:tcBorders>
              <w:top w:val="nil"/>
              <w:left w:val="nil"/>
              <w:bottom w:val="single" w:sz="8" w:space="0" w:color="000000"/>
              <w:right w:val="single" w:sz="8" w:space="0" w:color="000000"/>
            </w:tcBorders>
            <w:shd w:val="clear" w:color="auto" w:fill="auto"/>
            <w:vAlign w:val="center"/>
            <w:hideMark/>
          </w:tcPr>
          <w:p w14:paraId="543460DE" w14:textId="77777777" w:rsidR="00356301" w:rsidRPr="00356301" w:rsidRDefault="00356301" w:rsidP="00356301">
            <w:pPr>
              <w:rPr>
                <w:rFonts w:ascii="Arial" w:hAnsi="Arial" w:cs="Arial"/>
                <w:color w:val="000000"/>
                <w:sz w:val="18"/>
                <w:szCs w:val="18"/>
              </w:rPr>
            </w:pPr>
            <w:r w:rsidRPr="00356301">
              <w:rPr>
                <w:rFonts w:ascii="Arial" w:hAnsi="Arial" w:cs="Arial"/>
                <w:color w:val="000000"/>
                <w:sz w:val="18"/>
                <w:szCs w:val="18"/>
              </w:rPr>
              <w:t>9L426</w:t>
            </w:r>
            <w:r w:rsidRPr="00356301">
              <w:rPr>
                <w:rFonts w:ascii="Arial" w:hAnsi="Arial" w:cs="Arial"/>
                <w:sz w:val="18"/>
                <w:szCs w:val="18"/>
              </w:rPr>
              <w:t> </w:t>
            </w:r>
          </w:p>
        </w:tc>
        <w:tc>
          <w:tcPr>
            <w:tcW w:w="1887" w:type="dxa"/>
            <w:tcBorders>
              <w:top w:val="nil"/>
              <w:left w:val="nil"/>
              <w:bottom w:val="single" w:sz="8" w:space="0" w:color="000000"/>
              <w:right w:val="single" w:sz="8" w:space="0" w:color="000000"/>
            </w:tcBorders>
            <w:shd w:val="clear" w:color="auto" w:fill="auto"/>
            <w:vAlign w:val="center"/>
            <w:hideMark/>
          </w:tcPr>
          <w:p w14:paraId="787515B6" w14:textId="77777777" w:rsidR="00356301" w:rsidRPr="00356301" w:rsidRDefault="00356301" w:rsidP="00356301">
            <w:pPr>
              <w:rPr>
                <w:rFonts w:ascii="Arial" w:hAnsi="Arial" w:cs="Arial"/>
                <w:color w:val="000000"/>
                <w:sz w:val="18"/>
                <w:szCs w:val="18"/>
              </w:rPr>
            </w:pPr>
            <w:proofErr w:type="spellStart"/>
            <w:r w:rsidRPr="00356301">
              <w:rPr>
                <w:rFonts w:ascii="Arial" w:hAnsi="Arial" w:cs="Arial"/>
                <w:color w:val="000000"/>
                <w:sz w:val="18"/>
                <w:szCs w:val="18"/>
              </w:rPr>
              <w:t>Sialyl</w:t>
            </w:r>
            <w:proofErr w:type="spellEnd"/>
            <w:r w:rsidRPr="00356301">
              <w:rPr>
                <w:rFonts w:ascii="Arial" w:hAnsi="Arial" w:cs="Arial"/>
                <w:color w:val="000000"/>
                <w:sz w:val="18"/>
                <w:szCs w:val="18"/>
              </w:rPr>
              <w:t> Lewis A</w:t>
            </w:r>
            <w:r w:rsidRPr="00356301">
              <w:rPr>
                <w:rFonts w:ascii="Arial" w:hAnsi="Arial" w:cs="Arial"/>
                <w:sz w:val="18"/>
                <w:szCs w:val="18"/>
              </w:rPr>
              <w:t> </w:t>
            </w:r>
          </w:p>
        </w:tc>
        <w:tc>
          <w:tcPr>
            <w:tcW w:w="1440" w:type="dxa"/>
            <w:tcBorders>
              <w:top w:val="nil"/>
              <w:left w:val="nil"/>
              <w:bottom w:val="single" w:sz="8" w:space="0" w:color="000000"/>
              <w:right w:val="single" w:sz="8" w:space="0" w:color="000000"/>
            </w:tcBorders>
            <w:shd w:val="clear" w:color="auto" w:fill="auto"/>
            <w:vAlign w:val="center"/>
            <w:hideMark/>
          </w:tcPr>
          <w:p w14:paraId="3ECEEAFE" w14:textId="0D40E4DC" w:rsidR="00356301" w:rsidRPr="00356301" w:rsidRDefault="00356301" w:rsidP="00356301">
            <w:pPr>
              <w:rPr>
                <w:rFonts w:ascii="Arial" w:hAnsi="Arial" w:cs="Arial"/>
                <w:color w:val="000000"/>
                <w:sz w:val="18"/>
                <w:szCs w:val="18"/>
              </w:rPr>
            </w:pPr>
            <w:r w:rsidRPr="00356301">
              <w:rPr>
                <w:rFonts w:ascii="Arial" w:hAnsi="Arial" w:cs="Arial"/>
                <w:color w:val="000000"/>
                <w:sz w:val="18"/>
                <w:szCs w:val="18"/>
              </w:rPr>
              <w:t>US</w:t>
            </w:r>
            <w:r w:rsidR="001C0895">
              <w:rPr>
                <w:rFonts w:ascii="Arial" w:hAnsi="Arial" w:cs="Arial"/>
                <w:color w:val="000000"/>
                <w:sz w:val="18"/>
                <w:szCs w:val="18"/>
              </w:rPr>
              <w:t xml:space="preserve"> </w:t>
            </w:r>
            <w:r w:rsidRPr="00356301">
              <w:rPr>
                <w:rFonts w:ascii="Arial" w:hAnsi="Arial" w:cs="Arial"/>
                <w:color w:val="000000"/>
                <w:sz w:val="18"/>
                <w:szCs w:val="18"/>
              </w:rPr>
              <w:t>Biologicals</w:t>
            </w:r>
            <w:r w:rsidRPr="00356301">
              <w:rPr>
                <w:rFonts w:ascii="Arial" w:hAnsi="Arial" w:cs="Arial"/>
                <w:sz w:val="18"/>
                <w:szCs w:val="18"/>
              </w:rPr>
              <w:t> </w:t>
            </w:r>
          </w:p>
        </w:tc>
        <w:tc>
          <w:tcPr>
            <w:tcW w:w="1259" w:type="dxa"/>
            <w:tcBorders>
              <w:top w:val="nil"/>
              <w:left w:val="nil"/>
              <w:bottom w:val="single" w:sz="8" w:space="0" w:color="000000"/>
              <w:right w:val="single" w:sz="8" w:space="0" w:color="000000"/>
            </w:tcBorders>
            <w:shd w:val="clear" w:color="auto" w:fill="auto"/>
            <w:vAlign w:val="center"/>
            <w:hideMark/>
          </w:tcPr>
          <w:p w14:paraId="2319E020" w14:textId="77777777" w:rsidR="00356301" w:rsidRPr="00356301" w:rsidRDefault="00356301" w:rsidP="00356301">
            <w:pPr>
              <w:rPr>
                <w:rFonts w:ascii="Arial" w:hAnsi="Arial" w:cs="Arial"/>
                <w:color w:val="000000"/>
                <w:sz w:val="18"/>
                <w:szCs w:val="18"/>
              </w:rPr>
            </w:pPr>
            <w:r w:rsidRPr="00356301">
              <w:rPr>
                <w:rFonts w:ascii="Arial" w:hAnsi="Arial" w:cs="Arial"/>
                <w:color w:val="000000"/>
                <w:sz w:val="18"/>
                <w:szCs w:val="18"/>
              </w:rPr>
              <w:t>C0075-03A</w:t>
            </w:r>
            <w:r w:rsidRPr="00356301">
              <w:rPr>
                <w:rFonts w:ascii="Arial" w:hAnsi="Arial" w:cs="Arial"/>
                <w:sz w:val="18"/>
                <w:szCs w:val="18"/>
              </w:rPr>
              <w:t> </w:t>
            </w:r>
          </w:p>
        </w:tc>
        <w:tc>
          <w:tcPr>
            <w:tcW w:w="810" w:type="dxa"/>
            <w:tcBorders>
              <w:top w:val="nil"/>
              <w:left w:val="nil"/>
              <w:bottom w:val="single" w:sz="8" w:space="0" w:color="000000"/>
              <w:right w:val="single" w:sz="4" w:space="0" w:color="000000"/>
            </w:tcBorders>
            <w:shd w:val="clear" w:color="auto" w:fill="auto"/>
            <w:vAlign w:val="center"/>
            <w:hideMark/>
          </w:tcPr>
          <w:p w14:paraId="32B7FAE6" w14:textId="77777777" w:rsidR="00356301" w:rsidRPr="00356301" w:rsidRDefault="00356301" w:rsidP="00356301">
            <w:pPr>
              <w:rPr>
                <w:rFonts w:ascii="Arial" w:hAnsi="Arial" w:cs="Arial"/>
                <w:color w:val="000000"/>
                <w:sz w:val="18"/>
                <w:szCs w:val="18"/>
              </w:rPr>
            </w:pPr>
            <w:r w:rsidRPr="00356301">
              <w:rPr>
                <w:rFonts w:ascii="Arial" w:hAnsi="Arial" w:cs="Arial"/>
                <w:color w:val="000000"/>
                <w:sz w:val="18"/>
                <w:szCs w:val="18"/>
              </w:rPr>
              <w:t>IgG</w:t>
            </w:r>
            <w:r w:rsidRPr="00356301">
              <w:rPr>
                <w:rFonts w:ascii="Arial" w:hAnsi="Arial" w:cs="Arial"/>
                <w:sz w:val="18"/>
                <w:szCs w:val="18"/>
              </w:rPr>
              <w:t> </w:t>
            </w:r>
          </w:p>
        </w:tc>
      </w:tr>
      <w:tr w:rsidR="00866800" w:rsidRPr="00356301" w14:paraId="5043753C" w14:textId="77777777" w:rsidTr="00162099">
        <w:trPr>
          <w:trHeight w:val="448"/>
        </w:trPr>
        <w:tc>
          <w:tcPr>
            <w:tcW w:w="1615" w:type="dxa"/>
            <w:tcBorders>
              <w:top w:val="nil"/>
              <w:left w:val="single" w:sz="4" w:space="0" w:color="000000"/>
              <w:bottom w:val="single" w:sz="4" w:space="0" w:color="000000"/>
              <w:right w:val="single" w:sz="8" w:space="0" w:color="000000"/>
            </w:tcBorders>
            <w:shd w:val="clear" w:color="auto" w:fill="auto"/>
            <w:vAlign w:val="center"/>
            <w:hideMark/>
          </w:tcPr>
          <w:p w14:paraId="2E5A5FBA" w14:textId="77777777" w:rsidR="00356301" w:rsidRPr="00356301" w:rsidRDefault="00356301" w:rsidP="00356301">
            <w:pPr>
              <w:rPr>
                <w:rFonts w:ascii="Arial" w:hAnsi="Arial" w:cs="Arial"/>
                <w:color w:val="000000"/>
                <w:sz w:val="18"/>
                <w:szCs w:val="18"/>
              </w:rPr>
            </w:pPr>
            <w:r w:rsidRPr="00356301">
              <w:rPr>
                <w:rFonts w:ascii="Arial" w:hAnsi="Arial" w:cs="Arial"/>
                <w:color w:val="000000"/>
                <w:sz w:val="18"/>
                <w:szCs w:val="18"/>
              </w:rPr>
              <w:t>TRA-1-60</w:t>
            </w:r>
            <w:r w:rsidRPr="00356301">
              <w:rPr>
                <w:rFonts w:ascii="Arial" w:hAnsi="Arial" w:cs="Arial"/>
                <w:sz w:val="18"/>
                <w:szCs w:val="18"/>
              </w:rPr>
              <w:t> </w:t>
            </w:r>
          </w:p>
        </w:tc>
        <w:tc>
          <w:tcPr>
            <w:tcW w:w="1077" w:type="dxa"/>
            <w:tcBorders>
              <w:top w:val="nil"/>
              <w:left w:val="nil"/>
              <w:bottom w:val="single" w:sz="4" w:space="0" w:color="000000"/>
              <w:right w:val="single" w:sz="8" w:space="0" w:color="000000"/>
            </w:tcBorders>
            <w:shd w:val="clear" w:color="auto" w:fill="auto"/>
            <w:vAlign w:val="center"/>
            <w:hideMark/>
          </w:tcPr>
          <w:p w14:paraId="5C172255" w14:textId="77777777" w:rsidR="00356301" w:rsidRPr="00356301" w:rsidRDefault="00356301" w:rsidP="00356301">
            <w:pPr>
              <w:rPr>
                <w:rFonts w:ascii="Arial" w:hAnsi="Arial" w:cs="Arial"/>
                <w:color w:val="000000"/>
                <w:sz w:val="18"/>
                <w:szCs w:val="18"/>
              </w:rPr>
            </w:pPr>
            <w:r w:rsidRPr="00356301">
              <w:rPr>
                <w:rFonts w:ascii="Arial" w:hAnsi="Arial" w:cs="Arial"/>
                <w:color w:val="000000"/>
                <w:sz w:val="18"/>
                <w:szCs w:val="18"/>
              </w:rPr>
              <w:t>Mouse</w:t>
            </w:r>
            <w:r w:rsidRPr="00356301">
              <w:rPr>
                <w:rFonts w:ascii="Arial" w:hAnsi="Arial" w:cs="Arial"/>
                <w:sz w:val="18"/>
                <w:szCs w:val="18"/>
              </w:rPr>
              <w:t> </w:t>
            </w:r>
          </w:p>
        </w:tc>
        <w:tc>
          <w:tcPr>
            <w:tcW w:w="1087" w:type="dxa"/>
            <w:tcBorders>
              <w:top w:val="nil"/>
              <w:left w:val="nil"/>
              <w:bottom w:val="single" w:sz="4" w:space="0" w:color="000000"/>
              <w:right w:val="single" w:sz="8" w:space="0" w:color="000000"/>
            </w:tcBorders>
            <w:shd w:val="clear" w:color="auto" w:fill="auto"/>
            <w:vAlign w:val="center"/>
            <w:hideMark/>
          </w:tcPr>
          <w:p w14:paraId="7E8D06D1" w14:textId="77777777" w:rsidR="00356301" w:rsidRPr="00356301" w:rsidRDefault="00356301" w:rsidP="00356301">
            <w:pPr>
              <w:rPr>
                <w:rFonts w:ascii="Arial" w:hAnsi="Arial" w:cs="Arial"/>
                <w:color w:val="000000"/>
                <w:sz w:val="18"/>
                <w:szCs w:val="18"/>
              </w:rPr>
            </w:pPr>
            <w:r w:rsidRPr="00356301">
              <w:rPr>
                <w:rFonts w:ascii="Arial" w:hAnsi="Arial" w:cs="Arial"/>
                <w:color w:val="000000"/>
                <w:sz w:val="18"/>
                <w:szCs w:val="18"/>
              </w:rPr>
              <w:t>TRA-1-60</w:t>
            </w:r>
            <w:r w:rsidRPr="00356301">
              <w:rPr>
                <w:rFonts w:ascii="Arial" w:hAnsi="Arial" w:cs="Arial"/>
                <w:sz w:val="18"/>
                <w:szCs w:val="18"/>
              </w:rPr>
              <w:t> </w:t>
            </w:r>
          </w:p>
        </w:tc>
        <w:tc>
          <w:tcPr>
            <w:tcW w:w="1887" w:type="dxa"/>
            <w:tcBorders>
              <w:top w:val="nil"/>
              <w:left w:val="nil"/>
              <w:bottom w:val="single" w:sz="4" w:space="0" w:color="000000"/>
              <w:right w:val="single" w:sz="8" w:space="0" w:color="000000"/>
            </w:tcBorders>
            <w:shd w:val="clear" w:color="auto" w:fill="auto"/>
            <w:vAlign w:val="center"/>
            <w:hideMark/>
          </w:tcPr>
          <w:p w14:paraId="034B8E5E" w14:textId="77777777" w:rsidR="00356301" w:rsidRPr="00356301" w:rsidRDefault="00356301" w:rsidP="00356301">
            <w:pPr>
              <w:rPr>
                <w:rFonts w:ascii="Arial" w:hAnsi="Arial" w:cs="Arial"/>
                <w:color w:val="000000"/>
                <w:sz w:val="18"/>
                <w:szCs w:val="18"/>
              </w:rPr>
            </w:pPr>
            <w:r w:rsidRPr="00356301">
              <w:rPr>
                <w:rFonts w:ascii="Arial" w:hAnsi="Arial" w:cs="Arial"/>
                <w:color w:val="000000"/>
                <w:sz w:val="18"/>
                <w:szCs w:val="18"/>
              </w:rPr>
              <w:t xml:space="preserve">Terminal </w:t>
            </w:r>
            <w:r w:rsidRPr="004C29F7">
              <w:rPr>
                <w:rFonts w:ascii="Arial" w:hAnsi="Arial" w:cs="Arial"/>
                <w:i/>
                <w:iCs/>
                <w:color w:val="000000"/>
                <w:sz w:val="18"/>
                <w:szCs w:val="18"/>
              </w:rPr>
              <w:t>N</w:t>
            </w:r>
            <w:r w:rsidRPr="00356301">
              <w:rPr>
                <w:rFonts w:ascii="Arial" w:hAnsi="Arial" w:cs="Arial"/>
                <w:color w:val="000000"/>
                <w:sz w:val="18"/>
                <w:szCs w:val="18"/>
              </w:rPr>
              <w:t>-acetyl-lactosamine, type 1</w:t>
            </w:r>
            <w:r w:rsidRPr="00356301">
              <w:rPr>
                <w:rFonts w:ascii="Arial" w:hAnsi="Arial" w:cs="Arial"/>
                <w:sz w:val="18"/>
                <w:szCs w:val="18"/>
              </w:rPr>
              <w:t> </w:t>
            </w:r>
          </w:p>
        </w:tc>
        <w:tc>
          <w:tcPr>
            <w:tcW w:w="1440" w:type="dxa"/>
            <w:tcBorders>
              <w:top w:val="nil"/>
              <w:left w:val="nil"/>
              <w:bottom w:val="single" w:sz="4" w:space="0" w:color="000000"/>
              <w:right w:val="single" w:sz="8" w:space="0" w:color="000000"/>
            </w:tcBorders>
            <w:shd w:val="clear" w:color="auto" w:fill="auto"/>
            <w:vAlign w:val="center"/>
            <w:hideMark/>
          </w:tcPr>
          <w:p w14:paraId="04A16B2B" w14:textId="77777777" w:rsidR="00356301" w:rsidRPr="00356301" w:rsidRDefault="00356301" w:rsidP="00356301">
            <w:pPr>
              <w:rPr>
                <w:rFonts w:ascii="Arial" w:hAnsi="Arial" w:cs="Arial"/>
                <w:color w:val="000000"/>
                <w:sz w:val="18"/>
                <w:szCs w:val="18"/>
              </w:rPr>
            </w:pPr>
            <w:r w:rsidRPr="00356301">
              <w:rPr>
                <w:rFonts w:ascii="Arial" w:hAnsi="Arial" w:cs="Arial"/>
                <w:color w:val="000000"/>
                <w:sz w:val="18"/>
                <w:szCs w:val="18"/>
              </w:rPr>
              <w:t>Novus Biologicals</w:t>
            </w:r>
            <w:r w:rsidRPr="00356301">
              <w:rPr>
                <w:rFonts w:ascii="Arial" w:hAnsi="Arial" w:cs="Arial"/>
                <w:sz w:val="18"/>
                <w:szCs w:val="18"/>
              </w:rPr>
              <w:t> </w:t>
            </w:r>
          </w:p>
        </w:tc>
        <w:tc>
          <w:tcPr>
            <w:tcW w:w="1259" w:type="dxa"/>
            <w:tcBorders>
              <w:top w:val="nil"/>
              <w:left w:val="nil"/>
              <w:bottom w:val="single" w:sz="4" w:space="0" w:color="000000"/>
              <w:right w:val="single" w:sz="8" w:space="0" w:color="000000"/>
            </w:tcBorders>
            <w:shd w:val="clear" w:color="auto" w:fill="auto"/>
            <w:vAlign w:val="center"/>
            <w:hideMark/>
          </w:tcPr>
          <w:p w14:paraId="3F98FAE2" w14:textId="77777777" w:rsidR="00356301" w:rsidRPr="00356301" w:rsidRDefault="00356301" w:rsidP="00356301">
            <w:pPr>
              <w:rPr>
                <w:rFonts w:ascii="Arial" w:hAnsi="Arial" w:cs="Arial"/>
                <w:color w:val="000000"/>
                <w:sz w:val="18"/>
                <w:szCs w:val="18"/>
              </w:rPr>
            </w:pPr>
            <w:r w:rsidRPr="00356301">
              <w:rPr>
                <w:rFonts w:ascii="Arial" w:hAnsi="Arial" w:cs="Arial"/>
                <w:color w:val="000000"/>
                <w:sz w:val="18"/>
                <w:szCs w:val="18"/>
              </w:rPr>
              <w:t>NB100-730</w:t>
            </w:r>
            <w:r w:rsidRPr="00356301">
              <w:rPr>
                <w:rFonts w:ascii="Arial" w:hAnsi="Arial" w:cs="Arial"/>
                <w:sz w:val="18"/>
                <w:szCs w:val="18"/>
              </w:rPr>
              <w:t> </w:t>
            </w:r>
          </w:p>
        </w:tc>
        <w:tc>
          <w:tcPr>
            <w:tcW w:w="810" w:type="dxa"/>
            <w:tcBorders>
              <w:top w:val="nil"/>
              <w:left w:val="nil"/>
              <w:bottom w:val="single" w:sz="4" w:space="0" w:color="000000"/>
              <w:right w:val="single" w:sz="4" w:space="0" w:color="000000"/>
            </w:tcBorders>
            <w:shd w:val="clear" w:color="auto" w:fill="auto"/>
            <w:vAlign w:val="center"/>
            <w:hideMark/>
          </w:tcPr>
          <w:p w14:paraId="6ADD8BA7" w14:textId="77777777" w:rsidR="00356301" w:rsidRPr="00356301" w:rsidRDefault="00356301" w:rsidP="00356301">
            <w:pPr>
              <w:rPr>
                <w:rFonts w:ascii="Arial" w:hAnsi="Arial" w:cs="Arial"/>
                <w:color w:val="000000"/>
                <w:sz w:val="18"/>
                <w:szCs w:val="18"/>
              </w:rPr>
            </w:pPr>
            <w:r w:rsidRPr="00356301">
              <w:rPr>
                <w:rFonts w:ascii="Arial" w:hAnsi="Arial" w:cs="Arial"/>
                <w:color w:val="000000"/>
                <w:sz w:val="18"/>
                <w:szCs w:val="18"/>
              </w:rPr>
              <w:t>IgM</w:t>
            </w:r>
            <w:r w:rsidRPr="00356301">
              <w:rPr>
                <w:rFonts w:ascii="Arial" w:hAnsi="Arial" w:cs="Arial"/>
                <w:sz w:val="18"/>
                <w:szCs w:val="18"/>
              </w:rPr>
              <w:t> </w:t>
            </w:r>
          </w:p>
        </w:tc>
      </w:tr>
      <w:tr w:rsidR="00866800" w:rsidRPr="00356301" w14:paraId="177D837A" w14:textId="77777777" w:rsidTr="00162099">
        <w:trPr>
          <w:trHeight w:val="449"/>
        </w:trPr>
        <w:tc>
          <w:tcPr>
            <w:tcW w:w="1615" w:type="dxa"/>
            <w:tcBorders>
              <w:top w:val="nil"/>
              <w:left w:val="single" w:sz="4" w:space="0" w:color="000000"/>
              <w:bottom w:val="single" w:sz="8" w:space="0" w:color="000000"/>
              <w:right w:val="single" w:sz="8" w:space="0" w:color="000000"/>
            </w:tcBorders>
            <w:shd w:val="clear" w:color="auto" w:fill="auto"/>
            <w:vAlign w:val="center"/>
            <w:hideMark/>
          </w:tcPr>
          <w:p w14:paraId="46F56A78" w14:textId="77777777" w:rsidR="00356301" w:rsidRPr="00356301" w:rsidRDefault="00356301" w:rsidP="00356301">
            <w:pPr>
              <w:rPr>
                <w:rFonts w:ascii="Arial" w:hAnsi="Arial" w:cs="Arial"/>
                <w:color w:val="000000"/>
                <w:sz w:val="18"/>
                <w:szCs w:val="18"/>
              </w:rPr>
            </w:pPr>
            <w:r w:rsidRPr="00356301">
              <w:rPr>
                <w:rFonts w:ascii="Arial" w:hAnsi="Arial" w:cs="Arial"/>
                <w:color w:val="000000"/>
                <w:sz w:val="18"/>
                <w:szCs w:val="18"/>
              </w:rPr>
              <w:t>MUC5AC</w:t>
            </w:r>
          </w:p>
        </w:tc>
        <w:tc>
          <w:tcPr>
            <w:tcW w:w="1077" w:type="dxa"/>
            <w:tcBorders>
              <w:top w:val="nil"/>
              <w:left w:val="nil"/>
              <w:bottom w:val="single" w:sz="8" w:space="0" w:color="000000"/>
              <w:right w:val="single" w:sz="8" w:space="0" w:color="000000"/>
            </w:tcBorders>
            <w:shd w:val="clear" w:color="auto" w:fill="auto"/>
            <w:vAlign w:val="center"/>
            <w:hideMark/>
          </w:tcPr>
          <w:p w14:paraId="5002581B" w14:textId="77777777" w:rsidR="00356301" w:rsidRPr="00356301" w:rsidRDefault="00356301" w:rsidP="00356301">
            <w:pPr>
              <w:rPr>
                <w:rFonts w:ascii="Arial" w:hAnsi="Arial" w:cs="Arial"/>
                <w:color w:val="000000"/>
                <w:sz w:val="18"/>
                <w:szCs w:val="18"/>
              </w:rPr>
            </w:pPr>
            <w:r w:rsidRPr="00356301">
              <w:rPr>
                <w:rFonts w:ascii="Arial" w:hAnsi="Arial" w:cs="Arial"/>
                <w:color w:val="000000"/>
                <w:sz w:val="18"/>
                <w:szCs w:val="18"/>
              </w:rPr>
              <w:t>Mouse</w:t>
            </w:r>
            <w:r w:rsidRPr="00356301">
              <w:rPr>
                <w:rFonts w:ascii="Arial" w:hAnsi="Arial" w:cs="Arial"/>
                <w:sz w:val="18"/>
                <w:szCs w:val="18"/>
              </w:rPr>
              <w:t> </w:t>
            </w:r>
          </w:p>
        </w:tc>
        <w:tc>
          <w:tcPr>
            <w:tcW w:w="1087" w:type="dxa"/>
            <w:tcBorders>
              <w:top w:val="nil"/>
              <w:left w:val="nil"/>
              <w:bottom w:val="single" w:sz="8" w:space="0" w:color="000000"/>
              <w:right w:val="single" w:sz="8" w:space="0" w:color="000000"/>
            </w:tcBorders>
            <w:shd w:val="clear" w:color="auto" w:fill="auto"/>
            <w:vAlign w:val="center"/>
            <w:hideMark/>
          </w:tcPr>
          <w:p w14:paraId="04FAEDD6" w14:textId="77777777" w:rsidR="00356301" w:rsidRPr="00356301" w:rsidRDefault="00356301" w:rsidP="00356301">
            <w:pPr>
              <w:rPr>
                <w:rFonts w:ascii="Arial" w:hAnsi="Arial" w:cs="Arial"/>
                <w:color w:val="000000"/>
                <w:sz w:val="18"/>
                <w:szCs w:val="18"/>
              </w:rPr>
            </w:pPr>
            <w:r w:rsidRPr="00356301">
              <w:rPr>
                <w:rFonts w:ascii="Arial" w:hAnsi="Arial" w:cs="Arial"/>
                <w:color w:val="000000"/>
                <w:sz w:val="18"/>
                <w:szCs w:val="18"/>
              </w:rPr>
              <w:t>45M1</w:t>
            </w:r>
          </w:p>
        </w:tc>
        <w:tc>
          <w:tcPr>
            <w:tcW w:w="1887" w:type="dxa"/>
            <w:tcBorders>
              <w:top w:val="nil"/>
              <w:left w:val="nil"/>
              <w:bottom w:val="single" w:sz="8" w:space="0" w:color="000000"/>
              <w:right w:val="single" w:sz="8" w:space="0" w:color="000000"/>
            </w:tcBorders>
            <w:shd w:val="clear" w:color="auto" w:fill="auto"/>
            <w:vAlign w:val="center"/>
            <w:hideMark/>
          </w:tcPr>
          <w:p w14:paraId="2982DF0B" w14:textId="77777777" w:rsidR="00356301" w:rsidRPr="00356301" w:rsidRDefault="00356301" w:rsidP="00356301">
            <w:pPr>
              <w:rPr>
                <w:rFonts w:ascii="Arial" w:hAnsi="Arial" w:cs="Arial"/>
                <w:color w:val="000000"/>
                <w:sz w:val="18"/>
                <w:szCs w:val="18"/>
              </w:rPr>
            </w:pPr>
            <w:r w:rsidRPr="00356301">
              <w:rPr>
                <w:rFonts w:ascii="Arial" w:hAnsi="Arial" w:cs="Arial"/>
                <w:color w:val="000000"/>
                <w:sz w:val="18"/>
                <w:szCs w:val="18"/>
              </w:rPr>
              <w:t>Lewis B blood group antigen</w:t>
            </w:r>
          </w:p>
        </w:tc>
        <w:tc>
          <w:tcPr>
            <w:tcW w:w="1440" w:type="dxa"/>
            <w:tcBorders>
              <w:top w:val="nil"/>
              <w:left w:val="nil"/>
              <w:bottom w:val="single" w:sz="8" w:space="0" w:color="000000"/>
              <w:right w:val="single" w:sz="8" w:space="0" w:color="000000"/>
            </w:tcBorders>
            <w:shd w:val="clear" w:color="auto" w:fill="auto"/>
            <w:vAlign w:val="center"/>
            <w:hideMark/>
          </w:tcPr>
          <w:p w14:paraId="1CB37A98" w14:textId="77777777" w:rsidR="00356301" w:rsidRPr="00356301" w:rsidRDefault="00356301" w:rsidP="00356301">
            <w:pPr>
              <w:rPr>
                <w:rFonts w:ascii="Arial" w:hAnsi="Arial" w:cs="Arial"/>
                <w:color w:val="000000"/>
                <w:sz w:val="18"/>
                <w:szCs w:val="18"/>
              </w:rPr>
            </w:pPr>
            <w:r w:rsidRPr="00356301">
              <w:rPr>
                <w:rFonts w:ascii="Arial" w:hAnsi="Arial" w:cs="Arial"/>
                <w:color w:val="000000"/>
                <w:sz w:val="18"/>
                <w:szCs w:val="18"/>
              </w:rPr>
              <w:t>Abcam</w:t>
            </w:r>
          </w:p>
        </w:tc>
        <w:tc>
          <w:tcPr>
            <w:tcW w:w="1259" w:type="dxa"/>
            <w:tcBorders>
              <w:top w:val="nil"/>
              <w:left w:val="nil"/>
              <w:bottom w:val="single" w:sz="8" w:space="0" w:color="000000"/>
              <w:right w:val="single" w:sz="8" w:space="0" w:color="000000"/>
            </w:tcBorders>
            <w:shd w:val="clear" w:color="auto" w:fill="auto"/>
            <w:vAlign w:val="center"/>
            <w:hideMark/>
          </w:tcPr>
          <w:p w14:paraId="2C72EBA4" w14:textId="77777777" w:rsidR="00356301" w:rsidRPr="00356301" w:rsidRDefault="00356301" w:rsidP="00356301">
            <w:pPr>
              <w:rPr>
                <w:rFonts w:ascii="Arial" w:hAnsi="Arial" w:cs="Arial"/>
                <w:color w:val="000000"/>
                <w:sz w:val="18"/>
                <w:szCs w:val="18"/>
              </w:rPr>
            </w:pPr>
            <w:r w:rsidRPr="00356301">
              <w:rPr>
                <w:rFonts w:ascii="Arial" w:hAnsi="Arial" w:cs="Arial"/>
                <w:color w:val="000000"/>
                <w:sz w:val="18"/>
                <w:szCs w:val="18"/>
              </w:rPr>
              <w:t>ab212636</w:t>
            </w:r>
          </w:p>
        </w:tc>
        <w:tc>
          <w:tcPr>
            <w:tcW w:w="810" w:type="dxa"/>
            <w:tcBorders>
              <w:top w:val="nil"/>
              <w:left w:val="nil"/>
              <w:bottom w:val="single" w:sz="8" w:space="0" w:color="000000"/>
              <w:right w:val="single" w:sz="4" w:space="0" w:color="000000"/>
            </w:tcBorders>
            <w:shd w:val="clear" w:color="auto" w:fill="auto"/>
            <w:vAlign w:val="center"/>
            <w:hideMark/>
          </w:tcPr>
          <w:p w14:paraId="4FC6C4EC" w14:textId="77777777" w:rsidR="00356301" w:rsidRPr="00356301" w:rsidRDefault="00356301" w:rsidP="00356301">
            <w:pPr>
              <w:rPr>
                <w:rFonts w:ascii="Arial" w:hAnsi="Arial" w:cs="Arial"/>
                <w:color w:val="000000"/>
                <w:sz w:val="18"/>
                <w:szCs w:val="18"/>
              </w:rPr>
            </w:pPr>
            <w:r w:rsidRPr="00356301">
              <w:rPr>
                <w:rFonts w:ascii="Arial" w:hAnsi="Arial" w:cs="Arial"/>
                <w:color w:val="000000"/>
                <w:sz w:val="18"/>
                <w:szCs w:val="18"/>
              </w:rPr>
              <w:t>IgG</w:t>
            </w:r>
            <w:r w:rsidRPr="00356301">
              <w:rPr>
                <w:rFonts w:ascii="Arial" w:hAnsi="Arial" w:cs="Arial"/>
                <w:sz w:val="18"/>
                <w:szCs w:val="18"/>
              </w:rPr>
              <w:t> </w:t>
            </w:r>
          </w:p>
        </w:tc>
      </w:tr>
      <w:tr w:rsidR="00866800" w:rsidRPr="00356301" w14:paraId="1F79F4F4" w14:textId="77777777" w:rsidTr="00162099">
        <w:trPr>
          <w:trHeight w:val="421"/>
        </w:trPr>
        <w:tc>
          <w:tcPr>
            <w:tcW w:w="1615" w:type="dxa"/>
            <w:tcBorders>
              <w:top w:val="nil"/>
              <w:left w:val="single" w:sz="4" w:space="0" w:color="000000"/>
              <w:bottom w:val="single" w:sz="4" w:space="0" w:color="000000"/>
              <w:right w:val="single" w:sz="8" w:space="0" w:color="000000"/>
            </w:tcBorders>
            <w:shd w:val="clear" w:color="auto" w:fill="auto"/>
            <w:vAlign w:val="center"/>
            <w:hideMark/>
          </w:tcPr>
          <w:p w14:paraId="4529AED2" w14:textId="77777777" w:rsidR="00356301" w:rsidRPr="00356301" w:rsidRDefault="00356301" w:rsidP="00356301">
            <w:pPr>
              <w:rPr>
                <w:rFonts w:ascii="Arial" w:hAnsi="Arial" w:cs="Arial"/>
                <w:color w:val="000000"/>
                <w:sz w:val="18"/>
                <w:szCs w:val="18"/>
              </w:rPr>
            </w:pPr>
            <w:r w:rsidRPr="00356301">
              <w:rPr>
                <w:rFonts w:ascii="Arial" w:hAnsi="Arial" w:cs="Arial"/>
                <w:color w:val="000000"/>
                <w:sz w:val="18"/>
                <w:szCs w:val="18"/>
              </w:rPr>
              <w:t>MUC16</w:t>
            </w:r>
          </w:p>
        </w:tc>
        <w:tc>
          <w:tcPr>
            <w:tcW w:w="1077" w:type="dxa"/>
            <w:tcBorders>
              <w:top w:val="nil"/>
              <w:left w:val="nil"/>
              <w:bottom w:val="single" w:sz="4" w:space="0" w:color="000000"/>
              <w:right w:val="single" w:sz="8" w:space="0" w:color="000000"/>
            </w:tcBorders>
            <w:shd w:val="clear" w:color="auto" w:fill="auto"/>
            <w:vAlign w:val="center"/>
            <w:hideMark/>
          </w:tcPr>
          <w:p w14:paraId="6B247D69" w14:textId="77777777" w:rsidR="00356301" w:rsidRPr="00356301" w:rsidRDefault="00356301" w:rsidP="00356301">
            <w:pPr>
              <w:rPr>
                <w:rFonts w:ascii="Arial" w:hAnsi="Arial" w:cs="Arial"/>
                <w:color w:val="000000"/>
                <w:sz w:val="18"/>
                <w:szCs w:val="18"/>
              </w:rPr>
            </w:pPr>
            <w:r w:rsidRPr="00356301">
              <w:rPr>
                <w:rFonts w:ascii="Arial" w:hAnsi="Arial" w:cs="Arial"/>
                <w:color w:val="000000"/>
                <w:sz w:val="18"/>
                <w:szCs w:val="18"/>
              </w:rPr>
              <w:t>Mouse</w:t>
            </w:r>
            <w:r w:rsidRPr="00356301">
              <w:rPr>
                <w:rFonts w:ascii="Arial" w:hAnsi="Arial" w:cs="Arial"/>
                <w:sz w:val="18"/>
                <w:szCs w:val="18"/>
              </w:rPr>
              <w:t> </w:t>
            </w:r>
          </w:p>
        </w:tc>
        <w:tc>
          <w:tcPr>
            <w:tcW w:w="1087" w:type="dxa"/>
            <w:tcBorders>
              <w:top w:val="nil"/>
              <w:left w:val="nil"/>
              <w:bottom w:val="single" w:sz="4" w:space="0" w:color="000000"/>
              <w:right w:val="single" w:sz="8" w:space="0" w:color="000000"/>
            </w:tcBorders>
            <w:shd w:val="clear" w:color="auto" w:fill="auto"/>
            <w:vAlign w:val="center"/>
            <w:hideMark/>
          </w:tcPr>
          <w:p w14:paraId="71EC1E27" w14:textId="77777777" w:rsidR="00356301" w:rsidRPr="00356301" w:rsidRDefault="00356301" w:rsidP="00356301">
            <w:pPr>
              <w:rPr>
                <w:rFonts w:ascii="Arial" w:hAnsi="Arial" w:cs="Arial"/>
                <w:color w:val="000000"/>
                <w:sz w:val="18"/>
                <w:szCs w:val="18"/>
              </w:rPr>
            </w:pPr>
            <w:r w:rsidRPr="00356301">
              <w:rPr>
                <w:rFonts w:ascii="Arial" w:hAnsi="Arial" w:cs="Arial"/>
                <w:color w:val="000000"/>
                <w:sz w:val="18"/>
                <w:szCs w:val="18"/>
              </w:rPr>
              <w:t>X325</w:t>
            </w:r>
          </w:p>
        </w:tc>
        <w:tc>
          <w:tcPr>
            <w:tcW w:w="1887" w:type="dxa"/>
            <w:tcBorders>
              <w:top w:val="nil"/>
              <w:left w:val="nil"/>
              <w:bottom w:val="single" w:sz="8" w:space="0" w:color="000000"/>
              <w:right w:val="single" w:sz="8" w:space="0" w:color="000000"/>
            </w:tcBorders>
            <w:shd w:val="clear" w:color="auto" w:fill="auto"/>
            <w:vAlign w:val="center"/>
            <w:hideMark/>
          </w:tcPr>
          <w:p w14:paraId="0A4DA57F" w14:textId="77777777" w:rsidR="00356301" w:rsidRPr="00356301" w:rsidRDefault="00356301" w:rsidP="00356301">
            <w:pPr>
              <w:rPr>
                <w:rFonts w:ascii="Arial" w:hAnsi="Arial" w:cs="Arial"/>
                <w:color w:val="000000"/>
                <w:sz w:val="18"/>
                <w:szCs w:val="18"/>
              </w:rPr>
            </w:pPr>
            <w:r w:rsidRPr="00356301">
              <w:rPr>
                <w:rFonts w:ascii="Arial" w:hAnsi="Arial" w:cs="Arial"/>
                <w:color w:val="000000"/>
                <w:sz w:val="18"/>
                <w:szCs w:val="18"/>
              </w:rPr>
              <w:t>Lewis blood group antigen</w:t>
            </w:r>
          </w:p>
        </w:tc>
        <w:tc>
          <w:tcPr>
            <w:tcW w:w="1440" w:type="dxa"/>
            <w:tcBorders>
              <w:top w:val="nil"/>
              <w:left w:val="nil"/>
              <w:bottom w:val="single" w:sz="8" w:space="0" w:color="000000"/>
              <w:right w:val="single" w:sz="8" w:space="0" w:color="000000"/>
            </w:tcBorders>
            <w:shd w:val="clear" w:color="auto" w:fill="auto"/>
            <w:vAlign w:val="center"/>
            <w:hideMark/>
          </w:tcPr>
          <w:p w14:paraId="5FD2BF31" w14:textId="77777777" w:rsidR="00356301" w:rsidRPr="00356301" w:rsidRDefault="00356301" w:rsidP="00356301">
            <w:pPr>
              <w:rPr>
                <w:rFonts w:ascii="Arial" w:hAnsi="Arial" w:cs="Arial"/>
                <w:color w:val="000000"/>
                <w:sz w:val="18"/>
                <w:szCs w:val="18"/>
              </w:rPr>
            </w:pPr>
            <w:r w:rsidRPr="00356301">
              <w:rPr>
                <w:rFonts w:ascii="Arial" w:hAnsi="Arial" w:cs="Arial"/>
                <w:color w:val="000000"/>
                <w:sz w:val="18"/>
                <w:szCs w:val="18"/>
              </w:rPr>
              <w:t>Abcam</w:t>
            </w:r>
          </w:p>
        </w:tc>
        <w:tc>
          <w:tcPr>
            <w:tcW w:w="1259" w:type="dxa"/>
            <w:tcBorders>
              <w:top w:val="nil"/>
              <w:left w:val="nil"/>
              <w:bottom w:val="single" w:sz="4" w:space="0" w:color="000000"/>
              <w:right w:val="single" w:sz="8" w:space="0" w:color="000000"/>
            </w:tcBorders>
            <w:shd w:val="clear" w:color="auto" w:fill="auto"/>
            <w:vAlign w:val="center"/>
            <w:hideMark/>
          </w:tcPr>
          <w:p w14:paraId="32FDB4A3" w14:textId="77777777" w:rsidR="00356301" w:rsidRPr="00356301" w:rsidRDefault="00356301" w:rsidP="00356301">
            <w:pPr>
              <w:rPr>
                <w:rFonts w:ascii="Arial" w:hAnsi="Arial" w:cs="Arial"/>
                <w:color w:val="000000"/>
                <w:sz w:val="18"/>
                <w:szCs w:val="18"/>
              </w:rPr>
            </w:pPr>
            <w:r w:rsidRPr="00356301">
              <w:rPr>
                <w:rFonts w:ascii="Arial" w:hAnsi="Arial" w:cs="Arial"/>
                <w:color w:val="000000"/>
                <w:sz w:val="18"/>
                <w:szCs w:val="18"/>
              </w:rPr>
              <w:t>ab10033</w:t>
            </w:r>
          </w:p>
        </w:tc>
        <w:tc>
          <w:tcPr>
            <w:tcW w:w="810" w:type="dxa"/>
            <w:tcBorders>
              <w:top w:val="nil"/>
              <w:left w:val="nil"/>
              <w:bottom w:val="single" w:sz="8" w:space="0" w:color="000000"/>
              <w:right w:val="single" w:sz="4" w:space="0" w:color="000000"/>
            </w:tcBorders>
            <w:shd w:val="clear" w:color="auto" w:fill="auto"/>
            <w:vAlign w:val="center"/>
            <w:hideMark/>
          </w:tcPr>
          <w:p w14:paraId="4A079207" w14:textId="77777777" w:rsidR="00356301" w:rsidRPr="00356301" w:rsidRDefault="00356301" w:rsidP="00356301">
            <w:pPr>
              <w:rPr>
                <w:rFonts w:ascii="Arial" w:hAnsi="Arial" w:cs="Arial"/>
                <w:color w:val="000000"/>
                <w:sz w:val="18"/>
                <w:szCs w:val="18"/>
              </w:rPr>
            </w:pPr>
            <w:r w:rsidRPr="00356301">
              <w:rPr>
                <w:rFonts w:ascii="Arial" w:hAnsi="Arial" w:cs="Arial"/>
                <w:color w:val="000000"/>
                <w:sz w:val="18"/>
                <w:szCs w:val="18"/>
              </w:rPr>
              <w:t>IgG</w:t>
            </w:r>
            <w:r w:rsidRPr="00356301">
              <w:rPr>
                <w:rFonts w:ascii="Arial" w:hAnsi="Arial" w:cs="Arial"/>
                <w:sz w:val="18"/>
                <w:szCs w:val="18"/>
              </w:rPr>
              <w:t> </w:t>
            </w:r>
          </w:p>
        </w:tc>
      </w:tr>
    </w:tbl>
    <w:p w14:paraId="2DFB8059" w14:textId="77777777" w:rsidR="009016A3" w:rsidRPr="000F607F" w:rsidRDefault="009016A3" w:rsidP="009016A3">
      <w:pPr>
        <w:rPr>
          <w:rFonts w:ascii="Arial" w:hAnsi="Arial" w:cs="Arial"/>
        </w:rPr>
      </w:pPr>
    </w:p>
    <w:p w14:paraId="2477B366" w14:textId="2B28B56C" w:rsidR="009016A3" w:rsidRPr="000F607F" w:rsidRDefault="009016A3" w:rsidP="009016A3">
      <w:pPr>
        <w:rPr>
          <w:rFonts w:ascii="Arial" w:hAnsi="Arial" w:cs="Arial"/>
        </w:rPr>
      </w:pPr>
    </w:p>
    <w:p w14:paraId="625CC459" w14:textId="260B1613" w:rsidR="0060153B" w:rsidRPr="00FD7E2B" w:rsidRDefault="0060153B" w:rsidP="00FD7E2B">
      <w:pPr>
        <w:pStyle w:val="Draft1stHead"/>
        <w:rPr>
          <w:sz w:val="24"/>
        </w:rPr>
      </w:pPr>
      <w:r w:rsidRPr="00D04AC3">
        <w:rPr>
          <w:sz w:val="24"/>
        </w:rPr>
        <w:t>Supplementa</w:t>
      </w:r>
      <w:r w:rsidR="00837018">
        <w:rPr>
          <w:sz w:val="24"/>
        </w:rPr>
        <w:t>l</w:t>
      </w:r>
      <w:r w:rsidRPr="00D04AC3">
        <w:rPr>
          <w:sz w:val="24"/>
        </w:rPr>
        <w:t xml:space="preserve"> Figure</w:t>
      </w:r>
      <w:r w:rsidR="00FD7E2B">
        <w:rPr>
          <w:sz w:val="24"/>
        </w:rPr>
        <w:t xml:space="preserve"> Legends</w:t>
      </w:r>
    </w:p>
    <w:p w14:paraId="7AD609BE" w14:textId="342C5882" w:rsidR="005B33C4" w:rsidRDefault="00837018" w:rsidP="00BB483B">
      <w:pPr>
        <w:spacing w:before="120"/>
        <w:rPr>
          <w:rFonts w:ascii="Arial" w:hAnsi="Arial" w:cs="Arial"/>
          <w:sz w:val="22"/>
          <w:szCs w:val="22"/>
        </w:rPr>
      </w:pPr>
      <w:r w:rsidRPr="00837018">
        <w:rPr>
          <w:rFonts w:ascii="Arial" w:hAnsi="Arial" w:cs="Arial"/>
          <w:b/>
          <w:bCs/>
          <w:sz w:val="22"/>
          <w:szCs w:val="22"/>
        </w:rPr>
        <w:t xml:space="preserve">Supplemental </w:t>
      </w:r>
      <w:r w:rsidR="00D124E4" w:rsidRPr="0091738D">
        <w:rPr>
          <w:rFonts w:ascii="Arial" w:hAnsi="Arial" w:cs="Arial"/>
          <w:b/>
          <w:bCs/>
          <w:sz w:val="22"/>
          <w:szCs w:val="22"/>
        </w:rPr>
        <w:t>Fig</w:t>
      </w:r>
      <w:r w:rsidR="004D71E3">
        <w:rPr>
          <w:rFonts w:ascii="Arial" w:hAnsi="Arial" w:cs="Arial"/>
          <w:b/>
          <w:bCs/>
          <w:sz w:val="22"/>
          <w:szCs w:val="22"/>
        </w:rPr>
        <w:t>ure</w:t>
      </w:r>
      <w:r w:rsidR="00D124E4" w:rsidRPr="0091738D">
        <w:rPr>
          <w:rFonts w:ascii="Arial" w:hAnsi="Arial" w:cs="Arial"/>
          <w:b/>
          <w:bCs/>
          <w:sz w:val="22"/>
          <w:szCs w:val="22"/>
        </w:rPr>
        <w:t xml:space="preserve"> 1. C</w:t>
      </w:r>
      <w:r w:rsidR="00D124E4">
        <w:rPr>
          <w:rFonts w:ascii="Arial" w:hAnsi="Arial" w:cs="Arial"/>
          <w:b/>
          <w:bCs/>
          <w:sz w:val="22"/>
          <w:szCs w:val="22"/>
        </w:rPr>
        <w:t>ell line morphologies</w:t>
      </w:r>
      <w:r w:rsidR="00D124E4" w:rsidRPr="0091738D">
        <w:rPr>
          <w:rFonts w:ascii="Arial" w:hAnsi="Arial" w:cs="Arial"/>
          <w:b/>
          <w:bCs/>
          <w:sz w:val="22"/>
          <w:szCs w:val="22"/>
        </w:rPr>
        <w:t>.</w:t>
      </w:r>
      <w:r w:rsidR="00D124E4" w:rsidRPr="0091738D">
        <w:rPr>
          <w:rFonts w:ascii="Arial" w:hAnsi="Arial" w:cs="Arial"/>
          <w:sz w:val="22"/>
          <w:szCs w:val="22"/>
        </w:rPr>
        <w:t xml:space="preserve"> Brightfield images showing the morphologies of the cell lines. Magnification </w:t>
      </w:r>
      <w:r w:rsidR="004960E3">
        <w:rPr>
          <w:rFonts w:ascii="Arial" w:hAnsi="Arial" w:cs="Arial"/>
          <w:sz w:val="22"/>
          <w:szCs w:val="22"/>
        </w:rPr>
        <w:t>i</w:t>
      </w:r>
      <w:r w:rsidR="00D124E4" w:rsidRPr="0091738D">
        <w:rPr>
          <w:rFonts w:ascii="Arial" w:hAnsi="Arial" w:cs="Arial"/>
          <w:sz w:val="22"/>
          <w:szCs w:val="22"/>
        </w:rPr>
        <w:t xml:space="preserve">s 10X. </w:t>
      </w:r>
    </w:p>
    <w:p w14:paraId="1A50FFD3" w14:textId="60272633" w:rsidR="00A44510" w:rsidRPr="00FD7E2B" w:rsidRDefault="00837018" w:rsidP="00FD7E2B">
      <w:pPr>
        <w:pStyle w:val="MethodsPara"/>
        <w:rPr>
          <w:rFonts w:eastAsia="Arial"/>
          <w:b/>
          <w:bCs/>
        </w:rPr>
      </w:pPr>
      <w:r w:rsidRPr="00837018">
        <w:rPr>
          <w:b/>
          <w:bCs/>
        </w:rPr>
        <w:t xml:space="preserve">Supplemental </w:t>
      </w:r>
      <w:r w:rsidR="00D124E4" w:rsidRPr="058D746C">
        <w:rPr>
          <w:b/>
          <w:bCs/>
        </w:rPr>
        <w:t>Fig</w:t>
      </w:r>
      <w:r w:rsidR="004D71E3">
        <w:rPr>
          <w:b/>
          <w:bCs/>
        </w:rPr>
        <w:t>ure</w:t>
      </w:r>
      <w:r w:rsidR="00D124E4" w:rsidRPr="058D746C">
        <w:rPr>
          <w:b/>
          <w:bCs/>
        </w:rPr>
        <w:t xml:space="preserve"> 2. </w:t>
      </w:r>
      <w:r w:rsidR="00C278A9">
        <w:rPr>
          <w:b/>
          <w:bCs/>
        </w:rPr>
        <w:t>Dose-response</w:t>
      </w:r>
      <w:r w:rsidR="00294C92">
        <w:rPr>
          <w:b/>
          <w:bCs/>
        </w:rPr>
        <w:t xml:space="preserve"> curves </w:t>
      </w:r>
      <w:r w:rsidR="4F41E10B" w:rsidRPr="058D746C">
        <w:rPr>
          <w:b/>
          <w:bCs/>
        </w:rPr>
        <w:t>and chemosensitivity in</w:t>
      </w:r>
      <w:r w:rsidR="7C00F7DD" w:rsidRPr="058D746C">
        <w:rPr>
          <w:b/>
          <w:bCs/>
        </w:rPr>
        <w:t xml:space="preserve"> </w:t>
      </w:r>
      <w:r w:rsidR="00F76CD4">
        <w:rPr>
          <w:b/>
          <w:bCs/>
        </w:rPr>
        <w:t>CA19-9</w:t>
      </w:r>
      <w:r w:rsidR="00F65D52">
        <w:rPr>
          <w:b/>
          <w:bCs/>
        </w:rPr>
        <w:t>-expressing</w:t>
      </w:r>
      <w:r w:rsidR="7C00F7DD" w:rsidRPr="058D746C">
        <w:rPr>
          <w:b/>
          <w:bCs/>
        </w:rPr>
        <w:t xml:space="preserve"> cell lines. </w:t>
      </w:r>
      <w:r w:rsidR="7C00F7DD" w:rsidRPr="058D746C">
        <w:t>A)</w:t>
      </w:r>
      <w:r w:rsidR="4F41E10B" w:rsidRPr="058D746C">
        <w:rPr>
          <w:b/>
          <w:bCs/>
        </w:rPr>
        <w:t xml:space="preserve"> </w:t>
      </w:r>
      <w:r w:rsidR="00D124E4" w:rsidRPr="058D746C">
        <w:t xml:space="preserve">Representative </w:t>
      </w:r>
      <w:r w:rsidR="00D12735">
        <w:t>dose-response</w:t>
      </w:r>
      <w:r w:rsidR="00D124E4" w:rsidRPr="058D746C">
        <w:t xml:space="preserve"> curves for cell lines. Each cell line was incubated with </w:t>
      </w:r>
      <w:r w:rsidR="001C0895">
        <w:t>the indicated</w:t>
      </w:r>
      <w:r w:rsidR="00D124E4" w:rsidRPr="058D746C">
        <w:t xml:space="preserve"> drug, titrated over a range of concentrations. Cell viability was measured by Cell Titer-Glo at 72 h</w:t>
      </w:r>
      <w:r w:rsidR="00780D1E">
        <w:t>,</w:t>
      </w:r>
      <w:r w:rsidR="00D124E4" w:rsidRPr="058D746C">
        <w:t xml:space="preserve"> and dose-response curves were plotted to determine the IC</w:t>
      </w:r>
      <w:r w:rsidR="00D124E4" w:rsidRPr="004C29F7">
        <w:rPr>
          <w:vertAlign w:val="subscript"/>
        </w:rPr>
        <w:t>50</w:t>
      </w:r>
      <w:r w:rsidR="00D124E4" w:rsidRPr="058D746C">
        <w:t xml:space="preserve"> value for each combination. </w:t>
      </w:r>
      <w:r w:rsidR="42F928F1" w:rsidRPr="058D746C">
        <w:t xml:space="preserve">B). </w:t>
      </w:r>
      <w:r w:rsidR="001C0895">
        <w:t>The</w:t>
      </w:r>
      <w:r w:rsidR="3FBE7BF8" w:rsidRPr="058D746C">
        <w:t xml:space="preserve"> IC</w:t>
      </w:r>
      <w:r w:rsidR="3FBE7BF8" w:rsidRPr="004C29F7">
        <w:rPr>
          <w:vertAlign w:val="subscript"/>
        </w:rPr>
        <w:t>50</w:t>
      </w:r>
      <w:r w:rsidR="3FBE7BF8" w:rsidRPr="058D746C">
        <w:t xml:space="preserve"> </w:t>
      </w:r>
      <w:r w:rsidR="41E2983A" w:rsidRPr="058D746C">
        <w:rPr>
          <w:rFonts w:eastAsia="Arial"/>
        </w:rPr>
        <w:t xml:space="preserve">values calculated from dose-response curves, grouped by marker group. The </w:t>
      </w:r>
      <w:r w:rsidR="259BFD1A" w:rsidRPr="058D746C">
        <w:rPr>
          <w:rFonts w:eastAsia="Arial"/>
        </w:rPr>
        <w:t>p value</w:t>
      </w:r>
      <w:r w:rsidR="168E93B4" w:rsidRPr="058D746C">
        <w:rPr>
          <w:rFonts w:eastAsia="Arial"/>
        </w:rPr>
        <w:t>s</w:t>
      </w:r>
      <w:r w:rsidR="41E2983A" w:rsidRPr="058D746C">
        <w:rPr>
          <w:rFonts w:eastAsia="Arial"/>
        </w:rPr>
        <w:t xml:space="preserve"> </w:t>
      </w:r>
      <w:r w:rsidR="05739166" w:rsidRPr="058D746C">
        <w:rPr>
          <w:rFonts w:eastAsia="Arial"/>
        </w:rPr>
        <w:t xml:space="preserve">are based on </w:t>
      </w:r>
      <w:r w:rsidR="001C0895">
        <w:rPr>
          <w:rFonts w:eastAsia="Arial"/>
        </w:rPr>
        <w:t xml:space="preserve">the </w:t>
      </w:r>
      <w:r w:rsidR="05739166" w:rsidRPr="058D746C">
        <w:rPr>
          <w:rFonts w:eastAsia="Arial"/>
        </w:rPr>
        <w:t>Mann</w:t>
      </w:r>
      <w:r w:rsidR="004960E3">
        <w:rPr>
          <w:rFonts w:eastAsia="Arial"/>
        </w:rPr>
        <w:t>–</w:t>
      </w:r>
      <w:r w:rsidR="05739166" w:rsidRPr="058D746C">
        <w:rPr>
          <w:rFonts w:eastAsia="Arial"/>
        </w:rPr>
        <w:t xml:space="preserve">Whitney </w:t>
      </w:r>
      <w:r w:rsidR="3FA01811" w:rsidRPr="058D746C">
        <w:rPr>
          <w:rFonts w:eastAsia="Arial"/>
        </w:rPr>
        <w:t>test.</w:t>
      </w:r>
      <w:r w:rsidR="004960E3" w:rsidRPr="004960E3">
        <w:rPr>
          <w:rFonts w:eastAsia="Arial"/>
          <w:b/>
          <w:bCs/>
        </w:rPr>
        <w:t xml:space="preserve"> </w:t>
      </w:r>
    </w:p>
    <w:p w14:paraId="50770FAA" w14:textId="22DF5335" w:rsidR="00170D30" w:rsidRPr="00F40EDB" w:rsidRDefault="00A44510" w:rsidP="00FD7E2B">
      <w:pPr>
        <w:pStyle w:val="MethodsPara"/>
      </w:pPr>
      <w:r w:rsidRPr="00A44510">
        <w:rPr>
          <w:b/>
          <w:bCs/>
        </w:rPr>
        <w:t xml:space="preserve">Supplemental </w:t>
      </w:r>
      <w:r w:rsidRPr="000672BD">
        <w:rPr>
          <w:b/>
          <w:bCs/>
        </w:rPr>
        <w:t xml:space="preserve">Figure </w:t>
      </w:r>
      <w:r>
        <w:rPr>
          <w:b/>
          <w:bCs/>
        </w:rPr>
        <w:t>3</w:t>
      </w:r>
      <w:r w:rsidRPr="000672BD">
        <w:rPr>
          <w:b/>
          <w:bCs/>
        </w:rPr>
        <w:t>. Isogenic cell lines.</w:t>
      </w:r>
      <w:r w:rsidRPr="000672BD">
        <w:t xml:space="preserve"> A) Development of drug-resistant sublines of L3.3. B) Immunofluorescence of sTRA and CA19-9 in the parental and sublines. Magnification </w:t>
      </w:r>
      <w:r>
        <w:t>i</w:t>
      </w:r>
      <w:r w:rsidRPr="000672BD">
        <w:t xml:space="preserve">s 20X. C) Comparisons of the indicated features in the parental L3.3 cell line and the sublines. D) Comparisons between the PaTu8988S and PaTu8988T cell lines. The error bars are the standard error over </w:t>
      </w:r>
      <w:r>
        <w:t>3</w:t>
      </w:r>
      <w:r w:rsidRPr="000672BD">
        <w:t xml:space="preserve"> independent replicate experiments. H&amp;E, hematoxylin and eosin. *indicates p &lt; 0.05, **indicates p &lt; 0.01. </w:t>
      </w:r>
      <w:r>
        <w:t xml:space="preserve">RLU, relative light units. </w:t>
      </w:r>
    </w:p>
    <w:p w14:paraId="7EDEE0DD" w14:textId="1E83CC91" w:rsidR="00F40EDB" w:rsidRDefault="00F40EDB" w:rsidP="00FD7E2B">
      <w:pPr>
        <w:pStyle w:val="MethodsPara"/>
        <w:rPr>
          <w:color w:val="C00000"/>
        </w:rPr>
      </w:pPr>
      <w:r w:rsidRPr="00837018">
        <w:rPr>
          <w:b/>
          <w:bCs/>
        </w:rPr>
        <w:t xml:space="preserve">Supplemental </w:t>
      </w:r>
      <w:r w:rsidRPr="0091738D">
        <w:rPr>
          <w:b/>
          <w:bCs/>
        </w:rPr>
        <w:t>Fig</w:t>
      </w:r>
      <w:r>
        <w:rPr>
          <w:b/>
          <w:bCs/>
        </w:rPr>
        <w:t>ure</w:t>
      </w:r>
      <w:r w:rsidRPr="0091738D">
        <w:rPr>
          <w:b/>
          <w:bCs/>
        </w:rPr>
        <w:t xml:space="preserve"> </w:t>
      </w:r>
      <w:r>
        <w:rPr>
          <w:b/>
          <w:bCs/>
        </w:rPr>
        <w:t>4</w:t>
      </w:r>
      <w:r w:rsidRPr="0091738D">
        <w:rPr>
          <w:b/>
          <w:bCs/>
        </w:rPr>
        <w:t xml:space="preserve">. </w:t>
      </w:r>
      <w:r w:rsidRPr="005A7A9D">
        <w:rPr>
          <w:b/>
          <w:bCs/>
        </w:rPr>
        <w:t xml:space="preserve">A gene-expression classifier associated with </w:t>
      </w:r>
      <w:r>
        <w:rPr>
          <w:b/>
          <w:bCs/>
        </w:rPr>
        <w:t>progression free survival after adjuvant therapy</w:t>
      </w:r>
      <w:r w:rsidRPr="005A7A9D">
        <w:rPr>
          <w:b/>
          <w:bCs/>
        </w:rPr>
        <w:t xml:space="preserve">. </w:t>
      </w:r>
      <w:r w:rsidRPr="005955C7">
        <w:t>Progression free survival</w:t>
      </w:r>
      <w:r w:rsidRPr="005A7A9D">
        <w:t xml:space="preserve"> curves grouped by the gene-expression classifier for </w:t>
      </w:r>
      <w:proofErr w:type="spellStart"/>
      <w:r w:rsidRPr="005A7A9D">
        <w:t>sTRA</w:t>
      </w:r>
      <w:proofErr w:type="spellEnd"/>
      <w:r w:rsidR="00186403">
        <w:t>-</w:t>
      </w:r>
      <w:r w:rsidRPr="005A7A9D">
        <w:t xml:space="preserve">positive or </w:t>
      </w:r>
      <w:proofErr w:type="spellStart"/>
      <w:r w:rsidR="00186403">
        <w:t>sTRA</w:t>
      </w:r>
      <w:proofErr w:type="spellEnd"/>
      <w:r w:rsidR="00186403">
        <w:t>-</w:t>
      </w:r>
      <w:r w:rsidRPr="005A7A9D">
        <w:t>negative</w:t>
      </w:r>
      <w:r w:rsidR="00C30138">
        <w:t xml:space="preserve"> (applied as in Fig. 4 in the main text)</w:t>
      </w:r>
      <w:r>
        <w:t xml:space="preserve"> in </w:t>
      </w:r>
      <w:r w:rsidR="00186403">
        <w:t xml:space="preserve">the </w:t>
      </w:r>
      <w:r>
        <w:t>TCGA or ICGC dataset</w:t>
      </w:r>
      <w:r w:rsidR="00C30138">
        <w:t>s</w:t>
      </w:r>
      <w:r>
        <w:t>.</w:t>
      </w:r>
      <w:r w:rsidRPr="005A7A9D">
        <w:t xml:space="preserve"> The p values </w:t>
      </w:r>
      <w:r w:rsidR="00C30138">
        <w:t>we</w:t>
      </w:r>
      <w:r w:rsidRPr="005A7A9D">
        <w:t>re based on the log-rank test.</w:t>
      </w:r>
      <w:r w:rsidRPr="00F6253D">
        <w:rPr>
          <w:color w:val="C00000"/>
        </w:rPr>
        <w:t xml:space="preserve"> </w:t>
      </w:r>
    </w:p>
    <w:p w14:paraId="1AB18B7A" w14:textId="3F9DACCA" w:rsidR="00170D30" w:rsidRPr="000672BD" w:rsidRDefault="00170D30" w:rsidP="00FD7E2B">
      <w:pPr>
        <w:pStyle w:val="MethodsPara"/>
      </w:pPr>
      <w:r w:rsidRPr="00170D30">
        <w:rPr>
          <w:b/>
          <w:bCs/>
        </w:rPr>
        <w:t xml:space="preserve">Supplemental Figure </w:t>
      </w:r>
      <w:r w:rsidR="00F40EDB">
        <w:rPr>
          <w:b/>
          <w:bCs/>
        </w:rPr>
        <w:t>5</w:t>
      </w:r>
      <w:r w:rsidRPr="000672BD">
        <w:rPr>
          <w:b/>
          <w:bCs/>
        </w:rPr>
        <w:t>. Tissue expression and outcomes.</w:t>
      </w:r>
      <w:r w:rsidRPr="000672BD">
        <w:t xml:space="preserve"> A) Raw immunofluorescence and detected signal of sTRA and CA19-9 in representative cores from the TMAs. Magnification </w:t>
      </w:r>
      <w:r>
        <w:t>i</w:t>
      </w:r>
      <w:r w:rsidRPr="000672BD">
        <w:t xml:space="preserve">s 4X. B) Comparison between the CA19-9 and sTRA levels in the patient tumors. Each point is the average of the </w:t>
      </w:r>
      <w:r>
        <w:t>three</w:t>
      </w:r>
      <w:r w:rsidRPr="000672BD">
        <w:t xml:space="preserve"> cores for a patient. C) Comparisons of sTRA and CA19-9 immunofluorescence data between the patient groups stratified by survival. </w:t>
      </w:r>
      <w:r w:rsidRPr="000672BD" w:rsidDel="003A3E2B">
        <w:t xml:space="preserve">The dashed lines indicate the median values that were used as cutoffs in </w:t>
      </w:r>
      <w:r w:rsidRPr="000672BD">
        <w:t xml:space="preserve">panel E. D) Response to adjuvant therapy in subgroups. Adj. indicates the patients who received adjuvant chemotherapy following </w:t>
      </w:r>
      <w:r w:rsidRPr="000672BD">
        <w:lastRenderedPageBreak/>
        <w:t xml:space="preserve">surgery. Using the median values of either marker given in panel C, the patients were further stratified either by sTRA (left) or CA19-9 (right). </w:t>
      </w:r>
    </w:p>
    <w:p w14:paraId="40DEB9CC" w14:textId="0CC046CD" w:rsidR="00D124E4" w:rsidRDefault="00837018" w:rsidP="00FD7E2B">
      <w:pPr>
        <w:pStyle w:val="MethodsPara"/>
      </w:pPr>
      <w:r w:rsidRPr="00837018">
        <w:rPr>
          <w:b/>
          <w:bCs/>
        </w:rPr>
        <w:t xml:space="preserve">Supplemental </w:t>
      </w:r>
      <w:r w:rsidR="00D124E4" w:rsidRPr="0091738D">
        <w:rPr>
          <w:b/>
          <w:bCs/>
        </w:rPr>
        <w:t>Fig</w:t>
      </w:r>
      <w:r w:rsidR="004D71E3">
        <w:rPr>
          <w:b/>
          <w:bCs/>
        </w:rPr>
        <w:t>ure</w:t>
      </w:r>
      <w:r w:rsidR="00D124E4" w:rsidRPr="0091738D">
        <w:rPr>
          <w:b/>
          <w:bCs/>
        </w:rPr>
        <w:t xml:space="preserve"> </w:t>
      </w:r>
      <w:r w:rsidR="00F40EDB">
        <w:rPr>
          <w:b/>
          <w:bCs/>
        </w:rPr>
        <w:t>5</w:t>
      </w:r>
      <w:r w:rsidR="00D124E4" w:rsidRPr="0091738D">
        <w:rPr>
          <w:b/>
          <w:bCs/>
        </w:rPr>
        <w:t>. Outcomes associated with tissue staining</w:t>
      </w:r>
      <w:r w:rsidR="00D124E4" w:rsidRPr="004C29F7">
        <w:rPr>
          <w:b/>
          <w:bCs/>
        </w:rPr>
        <w:t>.</w:t>
      </w:r>
      <w:r w:rsidR="00D124E4" w:rsidRPr="0091738D">
        <w:t xml:space="preserve"> For each core on the TMAs, the SignalFinder program determined the percent</w:t>
      </w:r>
      <w:r w:rsidR="001C0895">
        <w:t>age</w:t>
      </w:r>
      <w:r w:rsidR="00D124E4" w:rsidRPr="0091738D">
        <w:t xml:space="preserve"> of the tissue that was positive for either sTRA or CA19-9. </w:t>
      </w:r>
      <w:r w:rsidR="00C31639">
        <w:t>A</w:t>
      </w:r>
      <w:r w:rsidR="00D124E4" w:rsidRPr="0091738D">
        <w:t xml:space="preserve">) Representative immunofluorescence data from the UPMC TMAs. The detected signal from SignalFinder is overlaid on the H&amp;E images. </w:t>
      </w:r>
      <w:r w:rsidR="00C31639">
        <w:t>B</w:t>
      </w:r>
      <w:r w:rsidR="00D124E4" w:rsidRPr="0091738D">
        <w:t xml:space="preserve">) SignalFinder quantified the amount of staining in each core that consisted of only sTRA, only CA19-9, or overlapping signal (referred to as dual). These values were averaged over the </w:t>
      </w:r>
      <w:r w:rsidR="001C0895">
        <w:t>three</w:t>
      </w:r>
      <w:r w:rsidR="00D124E4" w:rsidRPr="0091738D">
        <w:t xml:space="preserve"> cores per tumor. Each tumor was classified into one of the </w:t>
      </w:r>
      <w:r w:rsidR="001C0895">
        <w:t>five</w:t>
      </w:r>
      <w:r w:rsidR="00D124E4" w:rsidRPr="0091738D">
        <w:t xml:space="preserve"> indicated categories based on the relative amounts of the types of staining. The full data and quantifications are provided in Table S2. </w:t>
      </w:r>
    </w:p>
    <w:p w14:paraId="52868258" w14:textId="7279AC72" w:rsidR="00D124E4" w:rsidRPr="00FD7E2B" w:rsidRDefault="00837018" w:rsidP="00FD7E2B">
      <w:pPr>
        <w:pStyle w:val="MethodsPara"/>
      </w:pPr>
      <w:r w:rsidRPr="00837018">
        <w:rPr>
          <w:b/>
          <w:bCs/>
        </w:rPr>
        <w:t xml:space="preserve">Supplemental </w:t>
      </w:r>
      <w:r w:rsidR="00CC2720" w:rsidRPr="217E3F84">
        <w:rPr>
          <w:b/>
          <w:bCs/>
        </w:rPr>
        <w:t>Fig</w:t>
      </w:r>
      <w:r w:rsidR="004D71E3">
        <w:rPr>
          <w:b/>
          <w:bCs/>
        </w:rPr>
        <w:t>ure</w:t>
      </w:r>
      <w:r w:rsidR="00CC2720" w:rsidRPr="217E3F84">
        <w:rPr>
          <w:b/>
          <w:bCs/>
        </w:rPr>
        <w:t xml:space="preserve"> </w:t>
      </w:r>
      <w:r w:rsidR="00F40EDB">
        <w:rPr>
          <w:b/>
          <w:bCs/>
        </w:rPr>
        <w:t>7</w:t>
      </w:r>
      <w:r w:rsidR="00CC2720" w:rsidRPr="217E3F84">
        <w:rPr>
          <w:b/>
          <w:bCs/>
        </w:rPr>
        <w:t xml:space="preserve">. Immunoassay </w:t>
      </w:r>
      <w:r w:rsidR="00D054E3">
        <w:rPr>
          <w:b/>
          <w:bCs/>
        </w:rPr>
        <w:t>correspondence</w:t>
      </w:r>
      <w:r w:rsidR="00CC2720" w:rsidRPr="217E3F84">
        <w:rPr>
          <w:b/>
          <w:bCs/>
        </w:rPr>
        <w:t xml:space="preserve"> between surface expression and secretions</w:t>
      </w:r>
      <w:r w:rsidR="00CC2720" w:rsidRPr="004C29F7">
        <w:rPr>
          <w:b/>
          <w:bCs/>
        </w:rPr>
        <w:t>.</w:t>
      </w:r>
      <w:r w:rsidR="18CE78ED" w:rsidRPr="217E3F84">
        <w:t xml:space="preserve"> A) Scatter plot</w:t>
      </w:r>
      <w:r w:rsidR="232783D9" w:rsidRPr="217E3F84">
        <w:t>s</w:t>
      </w:r>
      <w:r w:rsidR="18CE78ED" w:rsidRPr="217E3F84">
        <w:t xml:space="preserve"> of </w:t>
      </w:r>
      <w:r w:rsidR="4D792105" w:rsidRPr="217E3F84">
        <w:t xml:space="preserve">CA19-9 and sTRA between cell surface and </w:t>
      </w:r>
      <w:r w:rsidR="2D9C2A3C" w:rsidRPr="217E3F84">
        <w:t xml:space="preserve">secretions over 27 2D cell lines. </w:t>
      </w:r>
      <w:r w:rsidR="004960E3">
        <w:t xml:space="preserve">The </w:t>
      </w:r>
      <w:r w:rsidR="3A750BA4" w:rsidRPr="217E3F84">
        <w:t>Pearson correlation coefficient was used to calculate the exten</w:t>
      </w:r>
      <w:r w:rsidR="79FB28B8" w:rsidRPr="217E3F84">
        <w:t>t</w:t>
      </w:r>
      <w:r w:rsidR="3A750BA4" w:rsidRPr="217E3F84">
        <w:t xml:space="preserve"> of correlation with significant correlation numbers </w:t>
      </w:r>
      <w:r w:rsidR="31E26026" w:rsidRPr="217E3F84">
        <w:t xml:space="preserve">in </w:t>
      </w:r>
      <w:r w:rsidR="00BE668E">
        <w:t>bold text</w:t>
      </w:r>
      <w:r w:rsidR="3A750BA4" w:rsidRPr="217E3F84">
        <w:t xml:space="preserve">. </w:t>
      </w:r>
      <w:r w:rsidR="00D054E3">
        <w:t>The matrix shows the p</w:t>
      </w:r>
      <w:r w:rsidR="2D9C2A3C" w:rsidRPr="217E3F84">
        <w:t>atterns of high and low values</w:t>
      </w:r>
      <w:r w:rsidR="3E81F64A" w:rsidRPr="217E3F84">
        <w:t xml:space="preserve"> </w:t>
      </w:r>
      <w:r w:rsidR="4ACE9B2D" w:rsidRPr="217E3F84">
        <w:t>across all immunoassays using</w:t>
      </w:r>
      <w:r w:rsidR="3E81F64A" w:rsidRPr="217E3F84">
        <w:t xml:space="preserve"> secret</w:t>
      </w:r>
      <w:r w:rsidR="559F90F9" w:rsidRPr="217E3F84">
        <w:t>ed media</w:t>
      </w:r>
      <w:r w:rsidR="472DD569" w:rsidRPr="217E3F84">
        <w:t>. B)</w:t>
      </w:r>
      <w:r w:rsidR="18CE78ED" w:rsidRPr="217E3F84">
        <w:t xml:space="preserve"> </w:t>
      </w:r>
      <w:r w:rsidR="433333FB" w:rsidRPr="217E3F84">
        <w:t>Scatter plot</w:t>
      </w:r>
      <w:r w:rsidR="3ADFAB28" w:rsidRPr="217E3F84">
        <w:t>s</w:t>
      </w:r>
      <w:r w:rsidR="433333FB" w:rsidRPr="217E3F84">
        <w:t xml:space="preserve"> of CA19-9 and sTRA between cell surface and secretions over 27 organoids. </w:t>
      </w:r>
    </w:p>
    <w:p w14:paraId="1C2168D1" w14:textId="10246F05" w:rsidR="00FD7E2B" w:rsidRDefault="00837018" w:rsidP="00FD7E2B">
      <w:pPr>
        <w:pStyle w:val="MethodsPara"/>
      </w:pPr>
      <w:r w:rsidRPr="00837018">
        <w:rPr>
          <w:b/>
          <w:bCs/>
        </w:rPr>
        <w:t xml:space="preserve">Supplemental </w:t>
      </w:r>
      <w:r w:rsidR="00D124E4" w:rsidRPr="0091738D">
        <w:rPr>
          <w:b/>
          <w:bCs/>
        </w:rPr>
        <w:t>Fig</w:t>
      </w:r>
      <w:r w:rsidR="004D71E3">
        <w:rPr>
          <w:b/>
          <w:bCs/>
        </w:rPr>
        <w:t>ure</w:t>
      </w:r>
      <w:r w:rsidR="00D124E4" w:rsidRPr="0091738D">
        <w:rPr>
          <w:b/>
          <w:bCs/>
        </w:rPr>
        <w:t xml:space="preserve"> </w:t>
      </w:r>
      <w:r w:rsidR="00F40EDB">
        <w:rPr>
          <w:b/>
          <w:bCs/>
        </w:rPr>
        <w:t>8</w:t>
      </w:r>
      <w:r w:rsidR="00D124E4" w:rsidRPr="0091738D">
        <w:rPr>
          <w:b/>
          <w:bCs/>
        </w:rPr>
        <w:t xml:space="preserve">. </w:t>
      </w:r>
      <w:r w:rsidR="00D124E4">
        <w:rPr>
          <w:b/>
          <w:bCs/>
        </w:rPr>
        <w:t>Additional p</w:t>
      </w:r>
      <w:r w:rsidR="00D124E4" w:rsidRPr="0091738D">
        <w:rPr>
          <w:b/>
          <w:bCs/>
        </w:rPr>
        <w:t xml:space="preserve">lasma biomarker </w:t>
      </w:r>
      <w:r w:rsidR="00D124E4">
        <w:rPr>
          <w:b/>
          <w:bCs/>
        </w:rPr>
        <w:t>analyses in neoadjuvant therapy</w:t>
      </w:r>
      <w:r w:rsidR="00D124E4" w:rsidRPr="0091738D">
        <w:rPr>
          <w:b/>
          <w:bCs/>
        </w:rPr>
        <w:t>.</w:t>
      </w:r>
      <w:r w:rsidR="00D124E4" w:rsidRPr="0091738D">
        <w:t xml:space="preserve"> </w:t>
      </w:r>
      <w:r w:rsidR="005C1E56">
        <w:t>A</w:t>
      </w:r>
      <w:r w:rsidR="00D124E4" w:rsidRPr="0091738D">
        <w:t>) Individual markers in</w:t>
      </w:r>
      <w:r w:rsidR="004D71E3">
        <w:t xml:space="preserve"> the</w:t>
      </w:r>
      <w:r w:rsidR="00D124E4" w:rsidRPr="0091738D">
        <w:t xml:space="preserve"> MCW </w:t>
      </w:r>
      <w:r w:rsidR="005C1E56">
        <w:t>Test Set</w:t>
      </w:r>
      <w:r w:rsidR="00D124E4" w:rsidRPr="0091738D">
        <w:t xml:space="preserve">. </w:t>
      </w:r>
      <w:r w:rsidR="005C1E56">
        <w:t>B</w:t>
      </w:r>
      <w:r w:rsidR="00D124E4" w:rsidRPr="0091738D">
        <w:t xml:space="preserve">) </w:t>
      </w:r>
      <w:r w:rsidR="00D124E4" w:rsidRPr="00FD7E2B">
        <w:t>Survival</w:t>
      </w:r>
      <w:r w:rsidR="00D124E4" w:rsidRPr="0091738D">
        <w:t xml:space="preserve"> curves in retrospective analyses. The data are from previously</w:t>
      </w:r>
      <w:r w:rsidR="001C0895">
        <w:t xml:space="preserve"> </w:t>
      </w:r>
      <w:r w:rsidR="00D124E4" w:rsidRPr="0091738D">
        <w:t>publish</w:t>
      </w:r>
      <w:r w:rsidR="005D348D" w:rsidRPr="005D348D">
        <w:t>ed cohorts</w:t>
      </w:r>
      <w:r w:rsidR="005D348D">
        <w:t xml:space="preserve"> </w:t>
      </w:r>
      <w:r w:rsidR="005D348D" w:rsidRPr="005D348D">
        <w:t xml:space="preserve">(1) from </w:t>
      </w:r>
      <w:r w:rsidR="00D124E4" w:rsidRPr="0091738D">
        <w:t xml:space="preserve">UPMC for three immunoassays, CA19-9, </w:t>
      </w:r>
      <w:r w:rsidR="00DB0AC7">
        <w:t xml:space="preserve">sTRA (Ab1), and sTRA (Ab2). Ab1 </w:t>
      </w:r>
      <w:r w:rsidR="00964804">
        <w:t>and Ab2 refer to the capture antibodies used in the sandwich assay in combination with sTRA detection (see Fig.</w:t>
      </w:r>
      <w:r w:rsidR="000B0D4F">
        <w:t xml:space="preserve"> 6</w:t>
      </w:r>
      <w:r w:rsidR="001C0895">
        <w:t>,</w:t>
      </w:r>
      <w:r w:rsidR="00964804">
        <w:t xml:space="preserve"> main text). Ab1 is the CA19-9 antibody, and Ab2 is anti-MUC5AC. </w:t>
      </w:r>
    </w:p>
    <w:p w14:paraId="3457B8EA" w14:textId="3174F3FC" w:rsidR="00E802F5" w:rsidRPr="00D04AC3" w:rsidRDefault="00E802F5" w:rsidP="00AD51D9">
      <w:pPr>
        <w:spacing w:before="120" w:line="260" w:lineRule="exact"/>
        <w:rPr>
          <w:rFonts w:ascii="Arial" w:hAnsi="Arial" w:cs="Arial"/>
          <w:sz w:val="22"/>
          <w:szCs w:val="22"/>
        </w:rPr>
      </w:pPr>
    </w:p>
    <w:sectPr w:rsidR="00E802F5" w:rsidRPr="00D04AC3" w:rsidSect="005F617C">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F4432" w14:textId="77777777" w:rsidR="00D23D1F" w:rsidRDefault="00D23D1F" w:rsidP="000D7F68">
      <w:r>
        <w:separator/>
      </w:r>
    </w:p>
  </w:endnote>
  <w:endnote w:type="continuationSeparator" w:id="0">
    <w:p w14:paraId="2154E00C" w14:textId="77777777" w:rsidR="00D23D1F" w:rsidRDefault="00D23D1F" w:rsidP="000D7F68">
      <w:r>
        <w:continuationSeparator/>
      </w:r>
    </w:p>
  </w:endnote>
  <w:endnote w:type="continuationNotice" w:id="1">
    <w:p w14:paraId="0FEF3123" w14:textId="77777777" w:rsidR="00D23D1F" w:rsidRDefault="00D23D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40997848"/>
      <w:docPartObj>
        <w:docPartGallery w:val="Page Numbers (Bottom of Page)"/>
        <w:docPartUnique/>
      </w:docPartObj>
    </w:sdtPr>
    <w:sdtEndPr>
      <w:rPr>
        <w:rStyle w:val="PageNumber"/>
      </w:rPr>
    </w:sdtEndPr>
    <w:sdtContent>
      <w:p w14:paraId="170901B4" w14:textId="55F166B3" w:rsidR="00BB010D" w:rsidRDefault="00BB010D" w:rsidP="00BB01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892569" w14:textId="77777777" w:rsidR="00BB010D" w:rsidRDefault="00BB0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22"/>
        <w:szCs w:val="22"/>
      </w:rPr>
      <w:id w:val="-1011688039"/>
      <w:docPartObj>
        <w:docPartGallery w:val="Page Numbers (Bottom of Page)"/>
        <w:docPartUnique/>
      </w:docPartObj>
    </w:sdtPr>
    <w:sdtEndPr>
      <w:rPr>
        <w:rStyle w:val="PageNumber"/>
      </w:rPr>
    </w:sdtEndPr>
    <w:sdtContent>
      <w:p w14:paraId="46437493" w14:textId="2988DDC2" w:rsidR="00BB010D" w:rsidRPr="000D7F68" w:rsidRDefault="00BB010D" w:rsidP="00BB010D">
        <w:pPr>
          <w:pStyle w:val="Footer"/>
          <w:framePr w:wrap="none" w:vAnchor="text" w:hAnchor="margin" w:xAlign="center" w:y="1"/>
          <w:rPr>
            <w:rStyle w:val="PageNumber"/>
            <w:rFonts w:ascii="Arial" w:hAnsi="Arial" w:cs="Arial"/>
            <w:sz w:val="22"/>
            <w:szCs w:val="22"/>
          </w:rPr>
        </w:pPr>
        <w:r w:rsidRPr="000D7F68">
          <w:rPr>
            <w:rStyle w:val="PageNumber"/>
            <w:rFonts w:ascii="Arial" w:hAnsi="Arial" w:cs="Arial"/>
            <w:sz w:val="22"/>
            <w:szCs w:val="22"/>
          </w:rPr>
          <w:fldChar w:fldCharType="begin"/>
        </w:r>
        <w:r w:rsidRPr="000D7F68">
          <w:rPr>
            <w:rStyle w:val="PageNumber"/>
            <w:rFonts w:ascii="Arial" w:hAnsi="Arial" w:cs="Arial"/>
            <w:sz w:val="22"/>
            <w:szCs w:val="22"/>
          </w:rPr>
          <w:instrText xml:space="preserve"> PAGE </w:instrText>
        </w:r>
        <w:r w:rsidRPr="000D7F68">
          <w:rPr>
            <w:rStyle w:val="PageNumber"/>
            <w:rFonts w:ascii="Arial" w:hAnsi="Arial" w:cs="Arial"/>
            <w:sz w:val="22"/>
            <w:szCs w:val="22"/>
          </w:rPr>
          <w:fldChar w:fldCharType="separate"/>
        </w:r>
        <w:r w:rsidRPr="000D7F68">
          <w:rPr>
            <w:rStyle w:val="PageNumber"/>
            <w:rFonts w:ascii="Arial" w:hAnsi="Arial" w:cs="Arial"/>
            <w:noProof/>
            <w:sz w:val="22"/>
            <w:szCs w:val="22"/>
          </w:rPr>
          <w:t>1</w:t>
        </w:r>
        <w:r w:rsidRPr="000D7F68">
          <w:rPr>
            <w:rStyle w:val="PageNumber"/>
            <w:rFonts w:ascii="Arial" w:hAnsi="Arial" w:cs="Arial"/>
            <w:sz w:val="22"/>
            <w:szCs w:val="22"/>
          </w:rPr>
          <w:fldChar w:fldCharType="end"/>
        </w:r>
      </w:p>
    </w:sdtContent>
  </w:sdt>
  <w:p w14:paraId="4DC0FC1F" w14:textId="7E6732E4" w:rsidR="00BB010D" w:rsidRPr="000D7F68" w:rsidRDefault="00BB010D">
    <w:pPr>
      <w:pStyle w:val="Footer"/>
      <w:rPr>
        <w:rFonts w:ascii="Arial" w:hAnsi="Arial" w:cs="Arial"/>
        <w:sz w:val="22"/>
        <w:szCs w:val="22"/>
      </w:rPr>
    </w:pPr>
    <w:r w:rsidRPr="000D7F68">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A5084" w14:textId="77777777" w:rsidR="00D23D1F" w:rsidRDefault="00D23D1F" w:rsidP="000D7F68">
      <w:r>
        <w:separator/>
      </w:r>
    </w:p>
  </w:footnote>
  <w:footnote w:type="continuationSeparator" w:id="0">
    <w:p w14:paraId="1ED641C6" w14:textId="77777777" w:rsidR="00D23D1F" w:rsidRDefault="00D23D1F" w:rsidP="000D7F68">
      <w:r>
        <w:continuationSeparator/>
      </w:r>
    </w:p>
  </w:footnote>
  <w:footnote w:type="continuationNotice" w:id="1">
    <w:p w14:paraId="269D4149" w14:textId="77777777" w:rsidR="00D23D1F" w:rsidRDefault="00D23D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418F2"/>
    <w:multiLevelType w:val="hybridMultilevel"/>
    <w:tmpl w:val="6B6E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1363E"/>
    <w:multiLevelType w:val="hybridMultilevel"/>
    <w:tmpl w:val="410A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438"/>
    <w:multiLevelType w:val="hybridMultilevel"/>
    <w:tmpl w:val="5AEED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B23A6"/>
    <w:multiLevelType w:val="hybridMultilevel"/>
    <w:tmpl w:val="90AA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D52C6"/>
    <w:multiLevelType w:val="hybridMultilevel"/>
    <w:tmpl w:val="698C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AC3366"/>
    <w:multiLevelType w:val="hybridMultilevel"/>
    <w:tmpl w:val="1AC8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830B1B"/>
    <w:multiLevelType w:val="hybridMultilevel"/>
    <w:tmpl w:val="8722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ancer Researc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vfpx95pxdad0aerp0bxat5as2x5wxfrzf5s&quot;&gt;Haab&amp;apos;s Library Mac&lt;record-ids&gt;&lt;item&gt;5295&lt;/item&gt;&lt;item&gt;5402&lt;/item&gt;&lt;/record-ids&gt;&lt;/item&gt;&lt;/Libraries&gt;"/>
  </w:docVars>
  <w:rsids>
    <w:rsidRoot w:val="00D1408D"/>
    <w:rsid w:val="00007139"/>
    <w:rsid w:val="00012D6C"/>
    <w:rsid w:val="000154D9"/>
    <w:rsid w:val="00030820"/>
    <w:rsid w:val="00036171"/>
    <w:rsid w:val="00036C1C"/>
    <w:rsid w:val="0004095D"/>
    <w:rsid w:val="00043A6E"/>
    <w:rsid w:val="00047FB4"/>
    <w:rsid w:val="0005012E"/>
    <w:rsid w:val="0005640B"/>
    <w:rsid w:val="000650A6"/>
    <w:rsid w:val="00067E4D"/>
    <w:rsid w:val="000912A4"/>
    <w:rsid w:val="00094A3B"/>
    <w:rsid w:val="00095E2B"/>
    <w:rsid w:val="000A35F8"/>
    <w:rsid w:val="000B0D4F"/>
    <w:rsid w:val="000B1C4F"/>
    <w:rsid w:val="000C47B9"/>
    <w:rsid w:val="000C5F2F"/>
    <w:rsid w:val="000D3D69"/>
    <w:rsid w:val="000D7F68"/>
    <w:rsid w:val="000F0958"/>
    <w:rsid w:val="000F607F"/>
    <w:rsid w:val="0010009D"/>
    <w:rsid w:val="00104200"/>
    <w:rsid w:val="00104DD7"/>
    <w:rsid w:val="00114EBE"/>
    <w:rsid w:val="001154E5"/>
    <w:rsid w:val="00115DF5"/>
    <w:rsid w:val="0014420D"/>
    <w:rsid w:val="00145E33"/>
    <w:rsid w:val="00162099"/>
    <w:rsid w:val="00170D30"/>
    <w:rsid w:val="00173D03"/>
    <w:rsid w:val="00174E4B"/>
    <w:rsid w:val="00186403"/>
    <w:rsid w:val="001B3A74"/>
    <w:rsid w:val="001C0895"/>
    <w:rsid w:val="001C1585"/>
    <w:rsid w:val="001D2F42"/>
    <w:rsid w:val="001D4843"/>
    <w:rsid w:val="001F6ED0"/>
    <w:rsid w:val="002010F9"/>
    <w:rsid w:val="00217A6E"/>
    <w:rsid w:val="00217F7A"/>
    <w:rsid w:val="00233602"/>
    <w:rsid w:val="0024222E"/>
    <w:rsid w:val="00243D97"/>
    <w:rsid w:val="00271629"/>
    <w:rsid w:val="00291C2E"/>
    <w:rsid w:val="00294C92"/>
    <w:rsid w:val="00297730"/>
    <w:rsid w:val="0029779B"/>
    <w:rsid w:val="002A309F"/>
    <w:rsid w:val="002B07B0"/>
    <w:rsid w:val="002C46A7"/>
    <w:rsid w:val="002E35A4"/>
    <w:rsid w:val="002F1264"/>
    <w:rsid w:val="002F2B60"/>
    <w:rsid w:val="00303E50"/>
    <w:rsid w:val="00310D13"/>
    <w:rsid w:val="00327FA7"/>
    <w:rsid w:val="0033152E"/>
    <w:rsid w:val="00352235"/>
    <w:rsid w:val="00352A14"/>
    <w:rsid w:val="00356301"/>
    <w:rsid w:val="00357BDA"/>
    <w:rsid w:val="0036551B"/>
    <w:rsid w:val="003677B1"/>
    <w:rsid w:val="00372AA3"/>
    <w:rsid w:val="003759C3"/>
    <w:rsid w:val="00394BAE"/>
    <w:rsid w:val="003B0AA7"/>
    <w:rsid w:val="003C76D1"/>
    <w:rsid w:val="003E7A3A"/>
    <w:rsid w:val="00402939"/>
    <w:rsid w:val="00406ECD"/>
    <w:rsid w:val="0041698C"/>
    <w:rsid w:val="00417694"/>
    <w:rsid w:val="00421C06"/>
    <w:rsid w:val="00422D29"/>
    <w:rsid w:val="00426504"/>
    <w:rsid w:val="004333F7"/>
    <w:rsid w:val="00440347"/>
    <w:rsid w:val="00453584"/>
    <w:rsid w:val="00461204"/>
    <w:rsid w:val="00464A9D"/>
    <w:rsid w:val="00474498"/>
    <w:rsid w:val="0048702A"/>
    <w:rsid w:val="004960E3"/>
    <w:rsid w:val="004B456F"/>
    <w:rsid w:val="004C29F7"/>
    <w:rsid w:val="004D71E3"/>
    <w:rsid w:val="004F5CF9"/>
    <w:rsid w:val="004F7F29"/>
    <w:rsid w:val="0050096F"/>
    <w:rsid w:val="00514CE4"/>
    <w:rsid w:val="00525241"/>
    <w:rsid w:val="005271BC"/>
    <w:rsid w:val="00532517"/>
    <w:rsid w:val="00550707"/>
    <w:rsid w:val="00573056"/>
    <w:rsid w:val="00576EEE"/>
    <w:rsid w:val="00586919"/>
    <w:rsid w:val="005876D5"/>
    <w:rsid w:val="00595774"/>
    <w:rsid w:val="005B33C4"/>
    <w:rsid w:val="005B714B"/>
    <w:rsid w:val="005C1E56"/>
    <w:rsid w:val="005C7630"/>
    <w:rsid w:val="005D1FA0"/>
    <w:rsid w:val="005D348D"/>
    <w:rsid w:val="005E12D2"/>
    <w:rsid w:val="005E1E9F"/>
    <w:rsid w:val="005E6CC2"/>
    <w:rsid w:val="005F617C"/>
    <w:rsid w:val="0060153B"/>
    <w:rsid w:val="00604989"/>
    <w:rsid w:val="00606683"/>
    <w:rsid w:val="006177E2"/>
    <w:rsid w:val="0062127A"/>
    <w:rsid w:val="00625ECB"/>
    <w:rsid w:val="00637ABB"/>
    <w:rsid w:val="00637B4E"/>
    <w:rsid w:val="00643C6F"/>
    <w:rsid w:val="00673686"/>
    <w:rsid w:val="006A1E1E"/>
    <w:rsid w:val="006B3EF5"/>
    <w:rsid w:val="006C19DC"/>
    <w:rsid w:val="006C7C73"/>
    <w:rsid w:val="006D3DFC"/>
    <w:rsid w:val="006D60E8"/>
    <w:rsid w:val="006E0246"/>
    <w:rsid w:val="006E35F7"/>
    <w:rsid w:val="006E491F"/>
    <w:rsid w:val="006F006B"/>
    <w:rsid w:val="006F0F28"/>
    <w:rsid w:val="006F1768"/>
    <w:rsid w:val="00717853"/>
    <w:rsid w:val="007428A9"/>
    <w:rsid w:val="007549FE"/>
    <w:rsid w:val="00762A2D"/>
    <w:rsid w:val="00763467"/>
    <w:rsid w:val="00770797"/>
    <w:rsid w:val="00780D1E"/>
    <w:rsid w:val="00780EC6"/>
    <w:rsid w:val="0078117B"/>
    <w:rsid w:val="007859C3"/>
    <w:rsid w:val="0078640A"/>
    <w:rsid w:val="00795E17"/>
    <w:rsid w:val="007A4000"/>
    <w:rsid w:val="007A5176"/>
    <w:rsid w:val="007B3DEF"/>
    <w:rsid w:val="007B78B3"/>
    <w:rsid w:val="007C0196"/>
    <w:rsid w:val="007C2036"/>
    <w:rsid w:val="007C5982"/>
    <w:rsid w:val="007C68DE"/>
    <w:rsid w:val="007D113B"/>
    <w:rsid w:val="007E3564"/>
    <w:rsid w:val="007E47F6"/>
    <w:rsid w:val="007E73CD"/>
    <w:rsid w:val="007F5AFB"/>
    <w:rsid w:val="0081074D"/>
    <w:rsid w:val="00832A62"/>
    <w:rsid w:val="00837018"/>
    <w:rsid w:val="008523AB"/>
    <w:rsid w:val="00857A03"/>
    <w:rsid w:val="008626D3"/>
    <w:rsid w:val="00866800"/>
    <w:rsid w:val="0086797F"/>
    <w:rsid w:val="00881227"/>
    <w:rsid w:val="00892B57"/>
    <w:rsid w:val="00893ADA"/>
    <w:rsid w:val="008A01D5"/>
    <w:rsid w:val="008B7354"/>
    <w:rsid w:val="008D1013"/>
    <w:rsid w:val="008D6E91"/>
    <w:rsid w:val="008E70E6"/>
    <w:rsid w:val="008F710F"/>
    <w:rsid w:val="009012E0"/>
    <w:rsid w:val="009016A3"/>
    <w:rsid w:val="009035E3"/>
    <w:rsid w:val="00907E11"/>
    <w:rsid w:val="00911941"/>
    <w:rsid w:val="00941AB0"/>
    <w:rsid w:val="00960B0B"/>
    <w:rsid w:val="00964804"/>
    <w:rsid w:val="00990DDB"/>
    <w:rsid w:val="009977E8"/>
    <w:rsid w:val="009C3EFE"/>
    <w:rsid w:val="009C6F38"/>
    <w:rsid w:val="009E1C31"/>
    <w:rsid w:val="009E1C8D"/>
    <w:rsid w:val="009F4B0A"/>
    <w:rsid w:val="009F4EEF"/>
    <w:rsid w:val="009F6674"/>
    <w:rsid w:val="00A2692E"/>
    <w:rsid w:val="00A44510"/>
    <w:rsid w:val="00A54339"/>
    <w:rsid w:val="00A705BB"/>
    <w:rsid w:val="00A72D07"/>
    <w:rsid w:val="00A77895"/>
    <w:rsid w:val="00A94C41"/>
    <w:rsid w:val="00AB5B85"/>
    <w:rsid w:val="00AC103A"/>
    <w:rsid w:val="00AD0C29"/>
    <w:rsid w:val="00AD51D9"/>
    <w:rsid w:val="00AD70E1"/>
    <w:rsid w:val="00AE1C3C"/>
    <w:rsid w:val="00AE4341"/>
    <w:rsid w:val="00B07425"/>
    <w:rsid w:val="00B44D87"/>
    <w:rsid w:val="00B475BA"/>
    <w:rsid w:val="00B70532"/>
    <w:rsid w:val="00B80C38"/>
    <w:rsid w:val="00B8538E"/>
    <w:rsid w:val="00B96084"/>
    <w:rsid w:val="00B97E48"/>
    <w:rsid w:val="00BA0C14"/>
    <w:rsid w:val="00BA39E9"/>
    <w:rsid w:val="00BA48BA"/>
    <w:rsid w:val="00BA7A66"/>
    <w:rsid w:val="00BB010D"/>
    <w:rsid w:val="00BB483B"/>
    <w:rsid w:val="00BD5C62"/>
    <w:rsid w:val="00BE668E"/>
    <w:rsid w:val="00BF71D4"/>
    <w:rsid w:val="00C10980"/>
    <w:rsid w:val="00C15A54"/>
    <w:rsid w:val="00C163F3"/>
    <w:rsid w:val="00C278A9"/>
    <w:rsid w:val="00C30138"/>
    <w:rsid w:val="00C31639"/>
    <w:rsid w:val="00C66D9D"/>
    <w:rsid w:val="00C67942"/>
    <w:rsid w:val="00C85239"/>
    <w:rsid w:val="00C97B88"/>
    <w:rsid w:val="00CA3675"/>
    <w:rsid w:val="00CB5D7A"/>
    <w:rsid w:val="00CB7630"/>
    <w:rsid w:val="00CC2720"/>
    <w:rsid w:val="00D04AC3"/>
    <w:rsid w:val="00D054E3"/>
    <w:rsid w:val="00D06723"/>
    <w:rsid w:val="00D124E4"/>
    <w:rsid w:val="00D12735"/>
    <w:rsid w:val="00D1408D"/>
    <w:rsid w:val="00D143AF"/>
    <w:rsid w:val="00D23D1F"/>
    <w:rsid w:val="00D31F74"/>
    <w:rsid w:val="00D36D9B"/>
    <w:rsid w:val="00D71301"/>
    <w:rsid w:val="00D901D4"/>
    <w:rsid w:val="00DA2685"/>
    <w:rsid w:val="00DA4C2E"/>
    <w:rsid w:val="00DB0AC7"/>
    <w:rsid w:val="00DB2DFE"/>
    <w:rsid w:val="00DB2F6E"/>
    <w:rsid w:val="00DB319E"/>
    <w:rsid w:val="00DC6AA6"/>
    <w:rsid w:val="00DE2FE2"/>
    <w:rsid w:val="00DE5ABD"/>
    <w:rsid w:val="00DF5960"/>
    <w:rsid w:val="00E13028"/>
    <w:rsid w:val="00E219EF"/>
    <w:rsid w:val="00E31AB6"/>
    <w:rsid w:val="00E4189D"/>
    <w:rsid w:val="00E5245E"/>
    <w:rsid w:val="00E56B46"/>
    <w:rsid w:val="00E6208F"/>
    <w:rsid w:val="00E62ACD"/>
    <w:rsid w:val="00E643CD"/>
    <w:rsid w:val="00E6541B"/>
    <w:rsid w:val="00E67765"/>
    <w:rsid w:val="00E71DD4"/>
    <w:rsid w:val="00E732DE"/>
    <w:rsid w:val="00E802F5"/>
    <w:rsid w:val="00E81C34"/>
    <w:rsid w:val="00E85726"/>
    <w:rsid w:val="00E908D4"/>
    <w:rsid w:val="00E9560E"/>
    <w:rsid w:val="00EB5DFF"/>
    <w:rsid w:val="00EE04FC"/>
    <w:rsid w:val="00EF678F"/>
    <w:rsid w:val="00EF6D34"/>
    <w:rsid w:val="00F05859"/>
    <w:rsid w:val="00F11249"/>
    <w:rsid w:val="00F164CA"/>
    <w:rsid w:val="00F33C71"/>
    <w:rsid w:val="00F40EDB"/>
    <w:rsid w:val="00F511CC"/>
    <w:rsid w:val="00F65D52"/>
    <w:rsid w:val="00F7490A"/>
    <w:rsid w:val="00F76CD4"/>
    <w:rsid w:val="00F80D49"/>
    <w:rsid w:val="00F92D7B"/>
    <w:rsid w:val="00F9471D"/>
    <w:rsid w:val="00FA3289"/>
    <w:rsid w:val="00FB3C81"/>
    <w:rsid w:val="00FC16F9"/>
    <w:rsid w:val="00FC4A2E"/>
    <w:rsid w:val="00FD2A3E"/>
    <w:rsid w:val="00FD7E2B"/>
    <w:rsid w:val="00FF79A2"/>
    <w:rsid w:val="0179E650"/>
    <w:rsid w:val="0244015B"/>
    <w:rsid w:val="036AD6CC"/>
    <w:rsid w:val="04A93E1D"/>
    <w:rsid w:val="05739166"/>
    <w:rsid w:val="058D746C"/>
    <w:rsid w:val="06251D4F"/>
    <w:rsid w:val="0644508E"/>
    <w:rsid w:val="06549D75"/>
    <w:rsid w:val="06913C21"/>
    <w:rsid w:val="085E7EAB"/>
    <w:rsid w:val="0B23465A"/>
    <w:rsid w:val="0E6E0895"/>
    <w:rsid w:val="0F08AB41"/>
    <w:rsid w:val="10DFE1B0"/>
    <w:rsid w:val="154617EE"/>
    <w:rsid w:val="1555EACF"/>
    <w:rsid w:val="168E93B4"/>
    <w:rsid w:val="16F37215"/>
    <w:rsid w:val="1766A318"/>
    <w:rsid w:val="180ED046"/>
    <w:rsid w:val="18A3B46E"/>
    <w:rsid w:val="18CE78ED"/>
    <w:rsid w:val="19208986"/>
    <w:rsid w:val="193D99F6"/>
    <w:rsid w:val="19D5FCA5"/>
    <w:rsid w:val="19EDD12E"/>
    <w:rsid w:val="1D28009A"/>
    <w:rsid w:val="1D327DBD"/>
    <w:rsid w:val="1DDB4F7F"/>
    <w:rsid w:val="1E26209D"/>
    <w:rsid w:val="217E3F84"/>
    <w:rsid w:val="232783D9"/>
    <w:rsid w:val="254FAA91"/>
    <w:rsid w:val="259BFD1A"/>
    <w:rsid w:val="271BD273"/>
    <w:rsid w:val="29CD71CC"/>
    <w:rsid w:val="2A3A6E55"/>
    <w:rsid w:val="2D9C2A3C"/>
    <w:rsid w:val="2E7BA941"/>
    <w:rsid w:val="2EAF744E"/>
    <w:rsid w:val="2F687ACD"/>
    <w:rsid w:val="31E26026"/>
    <w:rsid w:val="32FBBF7F"/>
    <w:rsid w:val="331DB2F4"/>
    <w:rsid w:val="368B5F61"/>
    <w:rsid w:val="378EE197"/>
    <w:rsid w:val="38122512"/>
    <w:rsid w:val="38AE196C"/>
    <w:rsid w:val="39E5C981"/>
    <w:rsid w:val="3A6BAE48"/>
    <w:rsid w:val="3A72E42B"/>
    <w:rsid w:val="3A750BA4"/>
    <w:rsid w:val="3ADFAB28"/>
    <w:rsid w:val="3B283072"/>
    <w:rsid w:val="3B9C6FA6"/>
    <w:rsid w:val="3D175775"/>
    <w:rsid w:val="3DD3A734"/>
    <w:rsid w:val="3E16EDA3"/>
    <w:rsid w:val="3E81F64A"/>
    <w:rsid w:val="3FA01811"/>
    <w:rsid w:val="3FBE7BF8"/>
    <w:rsid w:val="40169CB1"/>
    <w:rsid w:val="41009911"/>
    <w:rsid w:val="41E2983A"/>
    <w:rsid w:val="42F928F1"/>
    <w:rsid w:val="433333FB"/>
    <w:rsid w:val="43E6C2A5"/>
    <w:rsid w:val="45236579"/>
    <w:rsid w:val="4648352E"/>
    <w:rsid w:val="465F8730"/>
    <w:rsid w:val="472DD569"/>
    <w:rsid w:val="477AF61D"/>
    <w:rsid w:val="4817414D"/>
    <w:rsid w:val="4ACE9B2D"/>
    <w:rsid w:val="4AD18651"/>
    <w:rsid w:val="4D792105"/>
    <w:rsid w:val="4ECD26AC"/>
    <w:rsid w:val="4F41E10B"/>
    <w:rsid w:val="50093519"/>
    <w:rsid w:val="51D3679E"/>
    <w:rsid w:val="52E11EF4"/>
    <w:rsid w:val="559F90F9"/>
    <w:rsid w:val="55F16330"/>
    <w:rsid w:val="5600B533"/>
    <w:rsid w:val="56FDFA66"/>
    <w:rsid w:val="576DC13D"/>
    <w:rsid w:val="57B7EB06"/>
    <w:rsid w:val="58EC6958"/>
    <w:rsid w:val="595AC329"/>
    <w:rsid w:val="5B84FC90"/>
    <w:rsid w:val="5CBB7B43"/>
    <w:rsid w:val="5D4BE8A0"/>
    <w:rsid w:val="606B68BA"/>
    <w:rsid w:val="60CE3FF7"/>
    <w:rsid w:val="6279902E"/>
    <w:rsid w:val="63E1A219"/>
    <w:rsid w:val="64E43CC4"/>
    <w:rsid w:val="651CBF34"/>
    <w:rsid w:val="674DEBC1"/>
    <w:rsid w:val="67CAB8E0"/>
    <w:rsid w:val="68395A29"/>
    <w:rsid w:val="688673DE"/>
    <w:rsid w:val="689837CF"/>
    <w:rsid w:val="6B93051B"/>
    <w:rsid w:val="6BFE4AA3"/>
    <w:rsid w:val="6E225418"/>
    <w:rsid w:val="6FF89F3B"/>
    <w:rsid w:val="72E6D44B"/>
    <w:rsid w:val="74933EB2"/>
    <w:rsid w:val="74B586E4"/>
    <w:rsid w:val="756AE25A"/>
    <w:rsid w:val="77CEE655"/>
    <w:rsid w:val="78485898"/>
    <w:rsid w:val="79484350"/>
    <w:rsid w:val="79FB28B8"/>
    <w:rsid w:val="7A03DC7C"/>
    <w:rsid w:val="7B00B2C4"/>
    <w:rsid w:val="7C00F7DD"/>
    <w:rsid w:val="7C408707"/>
    <w:rsid w:val="7CDE278B"/>
    <w:rsid w:val="7EA0C6C9"/>
    <w:rsid w:val="7EE9F7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47B4"/>
  <w15:chartTrackingRefBased/>
  <w15:docId w15:val="{FCFB9EAB-D2E3-4607-9577-47AF021A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EF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5F8"/>
    <w:pPr>
      <w:ind w:left="720"/>
      <w:contextualSpacing/>
    </w:pPr>
    <w:rPr>
      <w:rFonts w:asciiTheme="minorHAnsi" w:eastAsiaTheme="minorHAnsi" w:hAnsiTheme="minorHAnsi" w:cstheme="minorBidi"/>
    </w:rPr>
  </w:style>
  <w:style w:type="paragraph" w:customStyle="1" w:styleId="ProposalFirstParagraph">
    <w:name w:val="ProposalFirstParagraph"/>
    <w:basedOn w:val="Normal"/>
    <w:qFormat/>
    <w:rsid w:val="00F9471D"/>
    <w:pPr>
      <w:spacing w:before="120"/>
    </w:pPr>
    <w:rPr>
      <w:rFonts w:ascii="Arial" w:eastAsiaTheme="minorHAnsi" w:hAnsi="Arial" w:cs="Arial"/>
      <w:sz w:val="22"/>
      <w:szCs w:val="22"/>
    </w:rPr>
  </w:style>
  <w:style w:type="paragraph" w:styleId="NormalWeb">
    <w:name w:val="Normal (Web)"/>
    <w:basedOn w:val="Normal"/>
    <w:uiPriority w:val="99"/>
    <w:unhideWhenUsed/>
    <w:rsid w:val="007A5176"/>
    <w:pPr>
      <w:spacing w:before="100" w:beforeAutospacing="1" w:after="100" w:afterAutospacing="1"/>
    </w:pPr>
  </w:style>
  <w:style w:type="character" w:styleId="Hyperlink">
    <w:name w:val="Hyperlink"/>
    <w:basedOn w:val="DefaultParagraphFont"/>
    <w:uiPriority w:val="99"/>
    <w:unhideWhenUsed/>
    <w:rsid w:val="007A5176"/>
    <w:rPr>
      <w:color w:val="0563C1" w:themeColor="hyperlink"/>
      <w:u w:val="single"/>
    </w:rPr>
  </w:style>
  <w:style w:type="character" w:styleId="CommentReference">
    <w:name w:val="annotation reference"/>
    <w:basedOn w:val="DefaultParagraphFont"/>
    <w:uiPriority w:val="99"/>
    <w:semiHidden/>
    <w:unhideWhenUsed/>
    <w:rsid w:val="007A5176"/>
    <w:rPr>
      <w:sz w:val="16"/>
      <w:szCs w:val="16"/>
    </w:rPr>
  </w:style>
  <w:style w:type="paragraph" w:styleId="CommentText">
    <w:name w:val="annotation text"/>
    <w:basedOn w:val="Normal"/>
    <w:link w:val="CommentTextChar"/>
    <w:uiPriority w:val="99"/>
    <w:semiHidden/>
    <w:unhideWhenUsed/>
    <w:rsid w:val="007A5176"/>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A5176"/>
    <w:rPr>
      <w:sz w:val="20"/>
      <w:szCs w:val="20"/>
    </w:rPr>
  </w:style>
  <w:style w:type="paragraph" w:styleId="BalloonText">
    <w:name w:val="Balloon Text"/>
    <w:basedOn w:val="Normal"/>
    <w:link w:val="BalloonTextChar"/>
    <w:uiPriority w:val="99"/>
    <w:semiHidden/>
    <w:unhideWhenUsed/>
    <w:rsid w:val="007A5176"/>
    <w:rPr>
      <w:rFonts w:eastAsiaTheme="minorHAnsi"/>
      <w:sz w:val="18"/>
      <w:szCs w:val="18"/>
    </w:rPr>
  </w:style>
  <w:style w:type="character" w:customStyle="1" w:styleId="BalloonTextChar">
    <w:name w:val="Balloon Text Char"/>
    <w:basedOn w:val="DefaultParagraphFont"/>
    <w:link w:val="BalloonText"/>
    <w:uiPriority w:val="99"/>
    <w:semiHidden/>
    <w:rsid w:val="007A5176"/>
    <w:rPr>
      <w:rFonts w:ascii="Times New Roman" w:hAnsi="Times New Roman" w:cs="Times New Roman"/>
      <w:sz w:val="18"/>
      <w:szCs w:val="18"/>
    </w:rPr>
  </w:style>
  <w:style w:type="paragraph" w:customStyle="1" w:styleId="Draft1stHead">
    <w:name w:val="Draft1stHead"/>
    <w:basedOn w:val="Normal"/>
    <w:qFormat/>
    <w:rsid w:val="009016A3"/>
    <w:pPr>
      <w:spacing w:line="360" w:lineRule="auto"/>
      <w:outlineLvl w:val="0"/>
    </w:pPr>
    <w:rPr>
      <w:rFonts w:ascii="Arial" w:eastAsiaTheme="minorHAnsi" w:hAnsi="Arial" w:cs="Arial"/>
      <w:b/>
      <w:sz w:val="28"/>
    </w:rPr>
  </w:style>
  <w:style w:type="paragraph" w:customStyle="1" w:styleId="DraftContPara">
    <w:name w:val="DraftContPara"/>
    <w:basedOn w:val="Normal"/>
    <w:qFormat/>
    <w:rsid w:val="008F710F"/>
    <w:pPr>
      <w:spacing w:before="120" w:line="360" w:lineRule="auto"/>
    </w:pPr>
    <w:rPr>
      <w:rFonts w:ascii="Arial" w:eastAsiaTheme="minorHAnsi" w:hAnsi="Arial" w:cs="Arial"/>
    </w:rPr>
  </w:style>
  <w:style w:type="paragraph" w:customStyle="1" w:styleId="Draft2ndHead">
    <w:name w:val="Draft2ndHead"/>
    <w:basedOn w:val="Normal"/>
    <w:qFormat/>
    <w:rsid w:val="008F710F"/>
    <w:pPr>
      <w:spacing w:before="240"/>
    </w:pPr>
    <w:rPr>
      <w:rFonts w:ascii="Arial" w:eastAsiaTheme="minorHAnsi" w:hAnsi="Arial" w:cs="Arial"/>
      <w:b/>
    </w:rPr>
  </w:style>
  <w:style w:type="paragraph" w:customStyle="1" w:styleId="EndNoteBibliographyTitle">
    <w:name w:val="EndNote Bibliography Title"/>
    <w:basedOn w:val="Normal"/>
    <w:link w:val="EndNoteBibliographyTitleChar"/>
    <w:rsid w:val="00E908D4"/>
    <w:pPr>
      <w:jc w:val="center"/>
    </w:pPr>
  </w:style>
  <w:style w:type="character" w:customStyle="1" w:styleId="EndNoteBibliographyTitleChar">
    <w:name w:val="EndNote Bibliography Title Char"/>
    <w:basedOn w:val="DefaultParagraphFont"/>
    <w:link w:val="EndNoteBibliographyTitle"/>
    <w:rsid w:val="00E908D4"/>
    <w:rPr>
      <w:rFonts w:ascii="Times New Roman" w:eastAsia="Times New Roman" w:hAnsi="Times New Roman" w:cs="Times New Roman"/>
    </w:rPr>
  </w:style>
  <w:style w:type="paragraph" w:customStyle="1" w:styleId="EndNoteBibliography">
    <w:name w:val="EndNote Bibliography"/>
    <w:basedOn w:val="Normal"/>
    <w:link w:val="EndNoteBibliographyChar"/>
    <w:rsid w:val="00E908D4"/>
  </w:style>
  <w:style w:type="character" w:customStyle="1" w:styleId="EndNoteBibliographyChar">
    <w:name w:val="EndNote Bibliography Char"/>
    <w:basedOn w:val="DefaultParagraphFont"/>
    <w:link w:val="EndNoteBibliography"/>
    <w:rsid w:val="00E908D4"/>
    <w:rPr>
      <w:rFonts w:ascii="Times New Roman" w:eastAsia="Times New Roman" w:hAnsi="Times New Roman" w:cs="Times New Roman"/>
    </w:rPr>
  </w:style>
  <w:style w:type="paragraph" w:styleId="Header">
    <w:name w:val="header"/>
    <w:basedOn w:val="Normal"/>
    <w:link w:val="HeaderChar"/>
    <w:uiPriority w:val="99"/>
    <w:unhideWhenUsed/>
    <w:rsid w:val="000D7F68"/>
    <w:pPr>
      <w:tabs>
        <w:tab w:val="center" w:pos="4680"/>
        <w:tab w:val="right" w:pos="9360"/>
      </w:tabs>
    </w:pPr>
  </w:style>
  <w:style w:type="character" w:customStyle="1" w:styleId="HeaderChar">
    <w:name w:val="Header Char"/>
    <w:basedOn w:val="DefaultParagraphFont"/>
    <w:link w:val="Header"/>
    <w:uiPriority w:val="99"/>
    <w:rsid w:val="000D7F68"/>
    <w:rPr>
      <w:rFonts w:ascii="Times New Roman" w:eastAsia="Times New Roman" w:hAnsi="Times New Roman" w:cs="Times New Roman"/>
    </w:rPr>
  </w:style>
  <w:style w:type="paragraph" w:styleId="Footer">
    <w:name w:val="footer"/>
    <w:basedOn w:val="Normal"/>
    <w:link w:val="FooterChar"/>
    <w:uiPriority w:val="99"/>
    <w:unhideWhenUsed/>
    <w:rsid w:val="000D7F68"/>
    <w:pPr>
      <w:tabs>
        <w:tab w:val="center" w:pos="4680"/>
        <w:tab w:val="right" w:pos="9360"/>
      </w:tabs>
    </w:pPr>
  </w:style>
  <w:style w:type="character" w:customStyle="1" w:styleId="FooterChar">
    <w:name w:val="Footer Char"/>
    <w:basedOn w:val="DefaultParagraphFont"/>
    <w:link w:val="Footer"/>
    <w:uiPriority w:val="99"/>
    <w:rsid w:val="000D7F68"/>
    <w:rPr>
      <w:rFonts w:ascii="Times New Roman" w:eastAsia="Times New Roman" w:hAnsi="Times New Roman" w:cs="Times New Roman"/>
    </w:rPr>
  </w:style>
  <w:style w:type="character" w:styleId="PageNumber">
    <w:name w:val="page number"/>
    <w:basedOn w:val="DefaultParagraphFont"/>
    <w:uiPriority w:val="99"/>
    <w:semiHidden/>
    <w:unhideWhenUsed/>
    <w:rsid w:val="000D7F68"/>
  </w:style>
  <w:style w:type="character" w:customStyle="1" w:styleId="apple-converted-space">
    <w:name w:val="apple-converted-space"/>
    <w:basedOn w:val="DefaultParagraphFont"/>
    <w:rsid w:val="008A01D5"/>
  </w:style>
  <w:style w:type="character" w:styleId="Strong">
    <w:name w:val="Strong"/>
    <w:basedOn w:val="DefaultParagraphFont"/>
    <w:uiPriority w:val="22"/>
    <w:qFormat/>
    <w:rsid w:val="008A01D5"/>
    <w:rPr>
      <w:b/>
      <w:bCs/>
    </w:rPr>
  </w:style>
  <w:style w:type="paragraph" w:styleId="CommentSubject">
    <w:name w:val="annotation subject"/>
    <w:basedOn w:val="CommentText"/>
    <w:next w:val="CommentText"/>
    <w:link w:val="CommentSubjectChar"/>
    <w:uiPriority w:val="99"/>
    <w:semiHidden/>
    <w:unhideWhenUsed/>
    <w:rsid w:val="00114EBE"/>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114EBE"/>
    <w:rPr>
      <w:rFonts w:ascii="Times New Roman" w:eastAsia="Times New Roman" w:hAnsi="Times New Roman" w:cs="Times New Roman"/>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raftFirstPara">
    <w:name w:val="DraftFirstPara"/>
    <w:basedOn w:val="Normal"/>
    <w:qFormat/>
    <w:rsid w:val="00E802F5"/>
    <w:pPr>
      <w:spacing w:line="480" w:lineRule="auto"/>
    </w:pPr>
    <w:rPr>
      <w:rFonts w:ascii="Arial" w:hAnsi="Arial" w:cs="Arial"/>
      <w:sz w:val="22"/>
    </w:rPr>
  </w:style>
  <w:style w:type="paragraph" w:customStyle="1" w:styleId="MethodsPara">
    <w:name w:val="MethodsPara"/>
    <w:basedOn w:val="DraftFirstPara"/>
    <w:qFormat/>
    <w:rsid w:val="0005640B"/>
    <w:pPr>
      <w:spacing w:before="120" w:line="260" w:lineRule="exact"/>
    </w:pPr>
  </w:style>
  <w:style w:type="paragraph" w:customStyle="1" w:styleId="MethodsHead2">
    <w:name w:val="MethodsHead2"/>
    <w:basedOn w:val="Draft2ndHead"/>
    <w:qFormat/>
    <w:rsid w:val="0005640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25479">
      <w:marLeft w:val="0"/>
      <w:marRight w:val="0"/>
      <w:marTop w:val="0"/>
      <w:marBottom w:val="0"/>
      <w:divBdr>
        <w:top w:val="none" w:sz="0" w:space="0" w:color="auto"/>
        <w:left w:val="none" w:sz="0" w:space="0" w:color="auto"/>
        <w:bottom w:val="none" w:sz="0" w:space="0" w:color="auto"/>
        <w:right w:val="none" w:sz="0" w:space="0" w:color="auto"/>
      </w:divBdr>
      <w:divsChild>
        <w:div w:id="27027059">
          <w:marLeft w:val="0"/>
          <w:marRight w:val="0"/>
          <w:marTop w:val="0"/>
          <w:marBottom w:val="0"/>
          <w:divBdr>
            <w:top w:val="none" w:sz="0" w:space="0" w:color="auto"/>
            <w:left w:val="none" w:sz="0" w:space="0" w:color="auto"/>
            <w:bottom w:val="none" w:sz="0" w:space="0" w:color="auto"/>
            <w:right w:val="none" w:sz="0" w:space="0" w:color="auto"/>
          </w:divBdr>
        </w:div>
      </w:divsChild>
    </w:div>
    <w:div w:id="143665786">
      <w:bodyDiv w:val="1"/>
      <w:marLeft w:val="0"/>
      <w:marRight w:val="0"/>
      <w:marTop w:val="0"/>
      <w:marBottom w:val="0"/>
      <w:divBdr>
        <w:top w:val="none" w:sz="0" w:space="0" w:color="auto"/>
        <w:left w:val="none" w:sz="0" w:space="0" w:color="auto"/>
        <w:bottom w:val="none" w:sz="0" w:space="0" w:color="auto"/>
        <w:right w:val="none" w:sz="0" w:space="0" w:color="auto"/>
      </w:divBdr>
      <w:divsChild>
        <w:div w:id="62486556">
          <w:marLeft w:val="0"/>
          <w:marRight w:val="0"/>
          <w:marTop w:val="0"/>
          <w:marBottom w:val="0"/>
          <w:divBdr>
            <w:top w:val="none" w:sz="0" w:space="0" w:color="auto"/>
            <w:left w:val="none" w:sz="0" w:space="0" w:color="auto"/>
            <w:bottom w:val="none" w:sz="0" w:space="0" w:color="auto"/>
            <w:right w:val="none" w:sz="0" w:space="0" w:color="auto"/>
          </w:divBdr>
          <w:divsChild>
            <w:div w:id="5427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42155">
      <w:bodyDiv w:val="1"/>
      <w:marLeft w:val="0"/>
      <w:marRight w:val="0"/>
      <w:marTop w:val="0"/>
      <w:marBottom w:val="0"/>
      <w:divBdr>
        <w:top w:val="none" w:sz="0" w:space="0" w:color="auto"/>
        <w:left w:val="none" w:sz="0" w:space="0" w:color="auto"/>
        <w:bottom w:val="none" w:sz="0" w:space="0" w:color="auto"/>
        <w:right w:val="none" w:sz="0" w:space="0" w:color="auto"/>
      </w:divBdr>
    </w:div>
    <w:div w:id="316346916">
      <w:marLeft w:val="0"/>
      <w:marRight w:val="0"/>
      <w:marTop w:val="0"/>
      <w:marBottom w:val="0"/>
      <w:divBdr>
        <w:top w:val="none" w:sz="0" w:space="0" w:color="auto"/>
        <w:left w:val="none" w:sz="0" w:space="0" w:color="auto"/>
        <w:bottom w:val="none" w:sz="0" w:space="0" w:color="auto"/>
        <w:right w:val="none" w:sz="0" w:space="0" w:color="auto"/>
      </w:divBdr>
      <w:divsChild>
        <w:div w:id="1331640061">
          <w:marLeft w:val="0"/>
          <w:marRight w:val="0"/>
          <w:marTop w:val="0"/>
          <w:marBottom w:val="0"/>
          <w:divBdr>
            <w:top w:val="none" w:sz="0" w:space="0" w:color="auto"/>
            <w:left w:val="none" w:sz="0" w:space="0" w:color="auto"/>
            <w:bottom w:val="none" w:sz="0" w:space="0" w:color="auto"/>
            <w:right w:val="none" w:sz="0" w:space="0" w:color="auto"/>
          </w:divBdr>
        </w:div>
      </w:divsChild>
    </w:div>
    <w:div w:id="359860163">
      <w:marLeft w:val="0"/>
      <w:marRight w:val="0"/>
      <w:marTop w:val="0"/>
      <w:marBottom w:val="0"/>
      <w:divBdr>
        <w:top w:val="none" w:sz="0" w:space="0" w:color="auto"/>
        <w:left w:val="none" w:sz="0" w:space="0" w:color="auto"/>
        <w:bottom w:val="none" w:sz="0" w:space="0" w:color="auto"/>
        <w:right w:val="none" w:sz="0" w:space="0" w:color="auto"/>
      </w:divBdr>
      <w:divsChild>
        <w:div w:id="846988082">
          <w:marLeft w:val="0"/>
          <w:marRight w:val="0"/>
          <w:marTop w:val="0"/>
          <w:marBottom w:val="0"/>
          <w:divBdr>
            <w:top w:val="none" w:sz="0" w:space="0" w:color="auto"/>
            <w:left w:val="none" w:sz="0" w:space="0" w:color="auto"/>
            <w:bottom w:val="none" w:sz="0" w:space="0" w:color="auto"/>
            <w:right w:val="none" w:sz="0" w:space="0" w:color="auto"/>
          </w:divBdr>
        </w:div>
      </w:divsChild>
    </w:div>
    <w:div w:id="370034601">
      <w:marLeft w:val="0"/>
      <w:marRight w:val="0"/>
      <w:marTop w:val="0"/>
      <w:marBottom w:val="0"/>
      <w:divBdr>
        <w:top w:val="none" w:sz="0" w:space="0" w:color="auto"/>
        <w:left w:val="none" w:sz="0" w:space="0" w:color="auto"/>
        <w:bottom w:val="none" w:sz="0" w:space="0" w:color="auto"/>
        <w:right w:val="none" w:sz="0" w:space="0" w:color="auto"/>
      </w:divBdr>
      <w:divsChild>
        <w:div w:id="819275873">
          <w:marLeft w:val="0"/>
          <w:marRight w:val="0"/>
          <w:marTop w:val="0"/>
          <w:marBottom w:val="0"/>
          <w:divBdr>
            <w:top w:val="none" w:sz="0" w:space="0" w:color="auto"/>
            <w:left w:val="none" w:sz="0" w:space="0" w:color="auto"/>
            <w:bottom w:val="none" w:sz="0" w:space="0" w:color="auto"/>
            <w:right w:val="none" w:sz="0" w:space="0" w:color="auto"/>
          </w:divBdr>
        </w:div>
      </w:divsChild>
    </w:div>
    <w:div w:id="419327270">
      <w:marLeft w:val="0"/>
      <w:marRight w:val="0"/>
      <w:marTop w:val="0"/>
      <w:marBottom w:val="0"/>
      <w:divBdr>
        <w:top w:val="none" w:sz="0" w:space="0" w:color="auto"/>
        <w:left w:val="none" w:sz="0" w:space="0" w:color="auto"/>
        <w:bottom w:val="none" w:sz="0" w:space="0" w:color="auto"/>
        <w:right w:val="none" w:sz="0" w:space="0" w:color="auto"/>
      </w:divBdr>
      <w:divsChild>
        <w:div w:id="145049842">
          <w:marLeft w:val="0"/>
          <w:marRight w:val="0"/>
          <w:marTop w:val="0"/>
          <w:marBottom w:val="0"/>
          <w:divBdr>
            <w:top w:val="none" w:sz="0" w:space="0" w:color="auto"/>
            <w:left w:val="none" w:sz="0" w:space="0" w:color="auto"/>
            <w:bottom w:val="none" w:sz="0" w:space="0" w:color="auto"/>
            <w:right w:val="none" w:sz="0" w:space="0" w:color="auto"/>
          </w:divBdr>
        </w:div>
      </w:divsChild>
    </w:div>
    <w:div w:id="427653402">
      <w:marLeft w:val="0"/>
      <w:marRight w:val="0"/>
      <w:marTop w:val="0"/>
      <w:marBottom w:val="0"/>
      <w:divBdr>
        <w:top w:val="none" w:sz="0" w:space="0" w:color="auto"/>
        <w:left w:val="none" w:sz="0" w:space="0" w:color="auto"/>
        <w:bottom w:val="none" w:sz="0" w:space="0" w:color="auto"/>
        <w:right w:val="none" w:sz="0" w:space="0" w:color="auto"/>
      </w:divBdr>
      <w:divsChild>
        <w:div w:id="441532594">
          <w:marLeft w:val="0"/>
          <w:marRight w:val="0"/>
          <w:marTop w:val="0"/>
          <w:marBottom w:val="0"/>
          <w:divBdr>
            <w:top w:val="none" w:sz="0" w:space="0" w:color="auto"/>
            <w:left w:val="none" w:sz="0" w:space="0" w:color="auto"/>
            <w:bottom w:val="none" w:sz="0" w:space="0" w:color="auto"/>
            <w:right w:val="none" w:sz="0" w:space="0" w:color="auto"/>
          </w:divBdr>
        </w:div>
      </w:divsChild>
    </w:div>
    <w:div w:id="445276552">
      <w:marLeft w:val="0"/>
      <w:marRight w:val="0"/>
      <w:marTop w:val="0"/>
      <w:marBottom w:val="0"/>
      <w:divBdr>
        <w:top w:val="none" w:sz="0" w:space="0" w:color="auto"/>
        <w:left w:val="none" w:sz="0" w:space="0" w:color="auto"/>
        <w:bottom w:val="none" w:sz="0" w:space="0" w:color="auto"/>
        <w:right w:val="none" w:sz="0" w:space="0" w:color="auto"/>
      </w:divBdr>
      <w:divsChild>
        <w:div w:id="1164394261">
          <w:marLeft w:val="0"/>
          <w:marRight w:val="0"/>
          <w:marTop w:val="0"/>
          <w:marBottom w:val="0"/>
          <w:divBdr>
            <w:top w:val="none" w:sz="0" w:space="0" w:color="auto"/>
            <w:left w:val="none" w:sz="0" w:space="0" w:color="auto"/>
            <w:bottom w:val="none" w:sz="0" w:space="0" w:color="auto"/>
            <w:right w:val="none" w:sz="0" w:space="0" w:color="auto"/>
          </w:divBdr>
        </w:div>
      </w:divsChild>
    </w:div>
    <w:div w:id="488405314">
      <w:marLeft w:val="0"/>
      <w:marRight w:val="0"/>
      <w:marTop w:val="0"/>
      <w:marBottom w:val="0"/>
      <w:divBdr>
        <w:top w:val="none" w:sz="0" w:space="0" w:color="auto"/>
        <w:left w:val="none" w:sz="0" w:space="0" w:color="auto"/>
        <w:bottom w:val="none" w:sz="0" w:space="0" w:color="auto"/>
        <w:right w:val="none" w:sz="0" w:space="0" w:color="auto"/>
      </w:divBdr>
      <w:divsChild>
        <w:div w:id="1805275252">
          <w:marLeft w:val="0"/>
          <w:marRight w:val="0"/>
          <w:marTop w:val="0"/>
          <w:marBottom w:val="0"/>
          <w:divBdr>
            <w:top w:val="none" w:sz="0" w:space="0" w:color="auto"/>
            <w:left w:val="none" w:sz="0" w:space="0" w:color="auto"/>
            <w:bottom w:val="none" w:sz="0" w:space="0" w:color="auto"/>
            <w:right w:val="none" w:sz="0" w:space="0" w:color="auto"/>
          </w:divBdr>
        </w:div>
      </w:divsChild>
    </w:div>
    <w:div w:id="547692501">
      <w:marLeft w:val="0"/>
      <w:marRight w:val="0"/>
      <w:marTop w:val="0"/>
      <w:marBottom w:val="0"/>
      <w:divBdr>
        <w:top w:val="none" w:sz="0" w:space="0" w:color="auto"/>
        <w:left w:val="none" w:sz="0" w:space="0" w:color="auto"/>
        <w:bottom w:val="none" w:sz="0" w:space="0" w:color="auto"/>
        <w:right w:val="none" w:sz="0" w:space="0" w:color="auto"/>
      </w:divBdr>
      <w:divsChild>
        <w:div w:id="1725251392">
          <w:marLeft w:val="0"/>
          <w:marRight w:val="0"/>
          <w:marTop w:val="0"/>
          <w:marBottom w:val="0"/>
          <w:divBdr>
            <w:top w:val="none" w:sz="0" w:space="0" w:color="auto"/>
            <w:left w:val="none" w:sz="0" w:space="0" w:color="auto"/>
            <w:bottom w:val="none" w:sz="0" w:space="0" w:color="auto"/>
            <w:right w:val="none" w:sz="0" w:space="0" w:color="auto"/>
          </w:divBdr>
        </w:div>
      </w:divsChild>
    </w:div>
    <w:div w:id="652759318">
      <w:marLeft w:val="0"/>
      <w:marRight w:val="0"/>
      <w:marTop w:val="0"/>
      <w:marBottom w:val="0"/>
      <w:divBdr>
        <w:top w:val="none" w:sz="0" w:space="0" w:color="auto"/>
        <w:left w:val="none" w:sz="0" w:space="0" w:color="auto"/>
        <w:bottom w:val="none" w:sz="0" w:space="0" w:color="auto"/>
        <w:right w:val="none" w:sz="0" w:space="0" w:color="auto"/>
      </w:divBdr>
      <w:divsChild>
        <w:div w:id="616983053">
          <w:marLeft w:val="0"/>
          <w:marRight w:val="0"/>
          <w:marTop w:val="0"/>
          <w:marBottom w:val="0"/>
          <w:divBdr>
            <w:top w:val="none" w:sz="0" w:space="0" w:color="auto"/>
            <w:left w:val="none" w:sz="0" w:space="0" w:color="auto"/>
            <w:bottom w:val="none" w:sz="0" w:space="0" w:color="auto"/>
            <w:right w:val="none" w:sz="0" w:space="0" w:color="auto"/>
          </w:divBdr>
        </w:div>
      </w:divsChild>
    </w:div>
    <w:div w:id="687214646">
      <w:marLeft w:val="0"/>
      <w:marRight w:val="0"/>
      <w:marTop w:val="0"/>
      <w:marBottom w:val="0"/>
      <w:divBdr>
        <w:top w:val="none" w:sz="0" w:space="0" w:color="auto"/>
        <w:left w:val="none" w:sz="0" w:space="0" w:color="auto"/>
        <w:bottom w:val="none" w:sz="0" w:space="0" w:color="auto"/>
        <w:right w:val="none" w:sz="0" w:space="0" w:color="auto"/>
      </w:divBdr>
      <w:divsChild>
        <w:div w:id="1425104723">
          <w:marLeft w:val="0"/>
          <w:marRight w:val="0"/>
          <w:marTop w:val="0"/>
          <w:marBottom w:val="0"/>
          <w:divBdr>
            <w:top w:val="none" w:sz="0" w:space="0" w:color="auto"/>
            <w:left w:val="none" w:sz="0" w:space="0" w:color="auto"/>
            <w:bottom w:val="none" w:sz="0" w:space="0" w:color="auto"/>
            <w:right w:val="none" w:sz="0" w:space="0" w:color="auto"/>
          </w:divBdr>
        </w:div>
      </w:divsChild>
    </w:div>
    <w:div w:id="706099156">
      <w:marLeft w:val="0"/>
      <w:marRight w:val="0"/>
      <w:marTop w:val="0"/>
      <w:marBottom w:val="0"/>
      <w:divBdr>
        <w:top w:val="none" w:sz="0" w:space="0" w:color="auto"/>
        <w:left w:val="none" w:sz="0" w:space="0" w:color="auto"/>
        <w:bottom w:val="none" w:sz="0" w:space="0" w:color="auto"/>
        <w:right w:val="none" w:sz="0" w:space="0" w:color="auto"/>
      </w:divBdr>
      <w:divsChild>
        <w:div w:id="1358119868">
          <w:marLeft w:val="0"/>
          <w:marRight w:val="0"/>
          <w:marTop w:val="0"/>
          <w:marBottom w:val="0"/>
          <w:divBdr>
            <w:top w:val="none" w:sz="0" w:space="0" w:color="auto"/>
            <w:left w:val="none" w:sz="0" w:space="0" w:color="auto"/>
            <w:bottom w:val="none" w:sz="0" w:space="0" w:color="auto"/>
            <w:right w:val="none" w:sz="0" w:space="0" w:color="auto"/>
          </w:divBdr>
        </w:div>
      </w:divsChild>
    </w:div>
    <w:div w:id="811024978">
      <w:marLeft w:val="0"/>
      <w:marRight w:val="0"/>
      <w:marTop w:val="0"/>
      <w:marBottom w:val="0"/>
      <w:divBdr>
        <w:top w:val="none" w:sz="0" w:space="0" w:color="auto"/>
        <w:left w:val="none" w:sz="0" w:space="0" w:color="auto"/>
        <w:bottom w:val="none" w:sz="0" w:space="0" w:color="auto"/>
        <w:right w:val="none" w:sz="0" w:space="0" w:color="auto"/>
      </w:divBdr>
      <w:divsChild>
        <w:div w:id="1447844498">
          <w:marLeft w:val="0"/>
          <w:marRight w:val="0"/>
          <w:marTop w:val="0"/>
          <w:marBottom w:val="0"/>
          <w:divBdr>
            <w:top w:val="none" w:sz="0" w:space="0" w:color="auto"/>
            <w:left w:val="none" w:sz="0" w:space="0" w:color="auto"/>
            <w:bottom w:val="none" w:sz="0" w:space="0" w:color="auto"/>
            <w:right w:val="none" w:sz="0" w:space="0" w:color="auto"/>
          </w:divBdr>
        </w:div>
      </w:divsChild>
    </w:div>
    <w:div w:id="832063130">
      <w:marLeft w:val="0"/>
      <w:marRight w:val="0"/>
      <w:marTop w:val="0"/>
      <w:marBottom w:val="0"/>
      <w:divBdr>
        <w:top w:val="none" w:sz="0" w:space="0" w:color="auto"/>
        <w:left w:val="none" w:sz="0" w:space="0" w:color="auto"/>
        <w:bottom w:val="none" w:sz="0" w:space="0" w:color="auto"/>
        <w:right w:val="none" w:sz="0" w:space="0" w:color="auto"/>
      </w:divBdr>
      <w:divsChild>
        <w:div w:id="1015031775">
          <w:marLeft w:val="0"/>
          <w:marRight w:val="0"/>
          <w:marTop w:val="0"/>
          <w:marBottom w:val="0"/>
          <w:divBdr>
            <w:top w:val="none" w:sz="0" w:space="0" w:color="auto"/>
            <w:left w:val="none" w:sz="0" w:space="0" w:color="auto"/>
            <w:bottom w:val="none" w:sz="0" w:space="0" w:color="auto"/>
            <w:right w:val="none" w:sz="0" w:space="0" w:color="auto"/>
          </w:divBdr>
        </w:div>
      </w:divsChild>
    </w:div>
    <w:div w:id="864825989">
      <w:marLeft w:val="0"/>
      <w:marRight w:val="0"/>
      <w:marTop w:val="0"/>
      <w:marBottom w:val="0"/>
      <w:divBdr>
        <w:top w:val="none" w:sz="0" w:space="0" w:color="auto"/>
        <w:left w:val="none" w:sz="0" w:space="0" w:color="auto"/>
        <w:bottom w:val="none" w:sz="0" w:space="0" w:color="auto"/>
        <w:right w:val="none" w:sz="0" w:space="0" w:color="auto"/>
      </w:divBdr>
      <w:divsChild>
        <w:div w:id="1678069817">
          <w:marLeft w:val="0"/>
          <w:marRight w:val="0"/>
          <w:marTop w:val="0"/>
          <w:marBottom w:val="0"/>
          <w:divBdr>
            <w:top w:val="none" w:sz="0" w:space="0" w:color="auto"/>
            <w:left w:val="none" w:sz="0" w:space="0" w:color="auto"/>
            <w:bottom w:val="none" w:sz="0" w:space="0" w:color="auto"/>
            <w:right w:val="none" w:sz="0" w:space="0" w:color="auto"/>
          </w:divBdr>
        </w:div>
      </w:divsChild>
    </w:div>
    <w:div w:id="888031411">
      <w:marLeft w:val="0"/>
      <w:marRight w:val="0"/>
      <w:marTop w:val="0"/>
      <w:marBottom w:val="0"/>
      <w:divBdr>
        <w:top w:val="none" w:sz="0" w:space="0" w:color="auto"/>
        <w:left w:val="none" w:sz="0" w:space="0" w:color="auto"/>
        <w:bottom w:val="none" w:sz="0" w:space="0" w:color="auto"/>
        <w:right w:val="none" w:sz="0" w:space="0" w:color="auto"/>
      </w:divBdr>
      <w:divsChild>
        <w:div w:id="1919552214">
          <w:marLeft w:val="0"/>
          <w:marRight w:val="0"/>
          <w:marTop w:val="0"/>
          <w:marBottom w:val="0"/>
          <w:divBdr>
            <w:top w:val="none" w:sz="0" w:space="0" w:color="auto"/>
            <w:left w:val="none" w:sz="0" w:space="0" w:color="auto"/>
            <w:bottom w:val="none" w:sz="0" w:space="0" w:color="auto"/>
            <w:right w:val="none" w:sz="0" w:space="0" w:color="auto"/>
          </w:divBdr>
        </w:div>
      </w:divsChild>
    </w:div>
    <w:div w:id="1014117486">
      <w:marLeft w:val="0"/>
      <w:marRight w:val="0"/>
      <w:marTop w:val="0"/>
      <w:marBottom w:val="0"/>
      <w:divBdr>
        <w:top w:val="none" w:sz="0" w:space="0" w:color="auto"/>
        <w:left w:val="none" w:sz="0" w:space="0" w:color="auto"/>
        <w:bottom w:val="none" w:sz="0" w:space="0" w:color="auto"/>
        <w:right w:val="none" w:sz="0" w:space="0" w:color="auto"/>
      </w:divBdr>
      <w:divsChild>
        <w:div w:id="1944261101">
          <w:marLeft w:val="0"/>
          <w:marRight w:val="0"/>
          <w:marTop w:val="0"/>
          <w:marBottom w:val="0"/>
          <w:divBdr>
            <w:top w:val="none" w:sz="0" w:space="0" w:color="auto"/>
            <w:left w:val="none" w:sz="0" w:space="0" w:color="auto"/>
            <w:bottom w:val="none" w:sz="0" w:space="0" w:color="auto"/>
            <w:right w:val="none" w:sz="0" w:space="0" w:color="auto"/>
          </w:divBdr>
        </w:div>
      </w:divsChild>
    </w:div>
    <w:div w:id="1094058362">
      <w:marLeft w:val="0"/>
      <w:marRight w:val="0"/>
      <w:marTop w:val="0"/>
      <w:marBottom w:val="0"/>
      <w:divBdr>
        <w:top w:val="none" w:sz="0" w:space="0" w:color="auto"/>
        <w:left w:val="none" w:sz="0" w:space="0" w:color="auto"/>
        <w:bottom w:val="none" w:sz="0" w:space="0" w:color="auto"/>
        <w:right w:val="none" w:sz="0" w:space="0" w:color="auto"/>
      </w:divBdr>
      <w:divsChild>
        <w:div w:id="748383518">
          <w:marLeft w:val="0"/>
          <w:marRight w:val="0"/>
          <w:marTop w:val="0"/>
          <w:marBottom w:val="0"/>
          <w:divBdr>
            <w:top w:val="none" w:sz="0" w:space="0" w:color="auto"/>
            <w:left w:val="none" w:sz="0" w:space="0" w:color="auto"/>
            <w:bottom w:val="none" w:sz="0" w:space="0" w:color="auto"/>
            <w:right w:val="none" w:sz="0" w:space="0" w:color="auto"/>
          </w:divBdr>
        </w:div>
      </w:divsChild>
    </w:div>
    <w:div w:id="1113861967">
      <w:marLeft w:val="0"/>
      <w:marRight w:val="0"/>
      <w:marTop w:val="0"/>
      <w:marBottom w:val="0"/>
      <w:divBdr>
        <w:top w:val="none" w:sz="0" w:space="0" w:color="auto"/>
        <w:left w:val="none" w:sz="0" w:space="0" w:color="auto"/>
        <w:bottom w:val="none" w:sz="0" w:space="0" w:color="auto"/>
        <w:right w:val="none" w:sz="0" w:space="0" w:color="auto"/>
      </w:divBdr>
      <w:divsChild>
        <w:div w:id="1258638440">
          <w:marLeft w:val="0"/>
          <w:marRight w:val="0"/>
          <w:marTop w:val="0"/>
          <w:marBottom w:val="0"/>
          <w:divBdr>
            <w:top w:val="none" w:sz="0" w:space="0" w:color="auto"/>
            <w:left w:val="none" w:sz="0" w:space="0" w:color="auto"/>
            <w:bottom w:val="none" w:sz="0" w:space="0" w:color="auto"/>
            <w:right w:val="none" w:sz="0" w:space="0" w:color="auto"/>
          </w:divBdr>
        </w:div>
      </w:divsChild>
    </w:div>
    <w:div w:id="1152673465">
      <w:marLeft w:val="0"/>
      <w:marRight w:val="0"/>
      <w:marTop w:val="0"/>
      <w:marBottom w:val="0"/>
      <w:divBdr>
        <w:top w:val="none" w:sz="0" w:space="0" w:color="auto"/>
        <w:left w:val="none" w:sz="0" w:space="0" w:color="auto"/>
        <w:bottom w:val="none" w:sz="0" w:space="0" w:color="auto"/>
        <w:right w:val="none" w:sz="0" w:space="0" w:color="auto"/>
      </w:divBdr>
      <w:divsChild>
        <w:div w:id="1970890794">
          <w:marLeft w:val="0"/>
          <w:marRight w:val="0"/>
          <w:marTop w:val="0"/>
          <w:marBottom w:val="0"/>
          <w:divBdr>
            <w:top w:val="none" w:sz="0" w:space="0" w:color="auto"/>
            <w:left w:val="none" w:sz="0" w:space="0" w:color="auto"/>
            <w:bottom w:val="none" w:sz="0" w:space="0" w:color="auto"/>
            <w:right w:val="none" w:sz="0" w:space="0" w:color="auto"/>
          </w:divBdr>
        </w:div>
      </w:divsChild>
    </w:div>
    <w:div w:id="1218203529">
      <w:marLeft w:val="0"/>
      <w:marRight w:val="0"/>
      <w:marTop w:val="0"/>
      <w:marBottom w:val="0"/>
      <w:divBdr>
        <w:top w:val="none" w:sz="0" w:space="0" w:color="auto"/>
        <w:left w:val="none" w:sz="0" w:space="0" w:color="auto"/>
        <w:bottom w:val="none" w:sz="0" w:space="0" w:color="auto"/>
        <w:right w:val="none" w:sz="0" w:space="0" w:color="auto"/>
      </w:divBdr>
      <w:divsChild>
        <w:div w:id="358429965">
          <w:marLeft w:val="0"/>
          <w:marRight w:val="0"/>
          <w:marTop w:val="0"/>
          <w:marBottom w:val="0"/>
          <w:divBdr>
            <w:top w:val="none" w:sz="0" w:space="0" w:color="auto"/>
            <w:left w:val="none" w:sz="0" w:space="0" w:color="auto"/>
            <w:bottom w:val="none" w:sz="0" w:space="0" w:color="auto"/>
            <w:right w:val="none" w:sz="0" w:space="0" w:color="auto"/>
          </w:divBdr>
        </w:div>
      </w:divsChild>
    </w:div>
    <w:div w:id="1243175012">
      <w:marLeft w:val="0"/>
      <w:marRight w:val="0"/>
      <w:marTop w:val="0"/>
      <w:marBottom w:val="0"/>
      <w:divBdr>
        <w:top w:val="none" w:sz="0" w:space="0" w:color="auto"/>
        <w:left w:val="none" w:sz="0" w:space="0" w:color="auto"/>
        <w:bottom w:val="none" w:sz="0" w:space="0" w:color="auto"/>
        <w:right w:val="none" w:sz="0" w:space="0" w:color="auto"/>
      </w:divBdr>
      <w:divsChild>
        <w:div w:id="2044210561">
          <w:marLeft w:val="0"/>
          <w:marRight w:val="0"/>
          <w:marTop w:val="0"/>
          <w:marBottom w:val="0"/>
          <w:divBdr>
            <w:top w:val="none" w:sz="0" w:space="0" w:color="auto"/>
            <w:left w:val="none" w:sz="0" w:space="0" w:color="auto"/>
            <w:bottom w:val="none" w:sz="0" w:space="0" w:color="auto"/>
            <w:right w:val="none" w:sz="0" w:space="0" w:color="auto"/>
          </w:divBdr>
        </w:div>
      </w:divsChild>
    </w:div>
    <w:div w:id="1308974676">
      <w:marLeft w:val="0"/>
      <w:marRight w:val="0"/>
      <w:marTop w:val="0"/>
      <w:marBottom w:val="0"/>
      <w:divBdr>
        <w:top w:val="none" w:sz="0" w:space="0" w:color="auto"/>
        <w:left w:val="none" w:sz="0" w:space="0" w:color="auto"/>
        <w:bottom w:val="none" w:sz="0" w:space="0" w:color="auto"/>
        <w:right w:val="none" w:sz="0" w:space="0" w:color="auto"/>
      </w:divBdr>
      <w:divsChild>
        <w:div w:id="386301129">
          <w:marLeft w:val="0"/>
          <w:marRight w:val="0"/>
          <w:marTop w:val="0"/>
          <w:marBottom w:val="0"/>
          <w:divBdr>
            <w:top w:val="none" w:sz="0" w:space="0" w:color="auto"/>
            <w:left w:val="none" w:sz="0" w:space="0" w:color="auto"/>
            <w:bottom w:val="none" w:sz="0" w:space="0" w:color="auto"/>
            <w:right w:val="none" w:sz="0" w:space="0" w:color="auto"/>
          </w:divBdr>
        </w:div>
      </w:divsChild>
    </w:div>
    <w:div w:id="1312904462">
      <w:marLeft w:val="0"/>
      <w:marRight w:val="0"/>
      <w:marTop w:val="0"/>
      <w:marBottom w:val="0"/>
      <w:divBdr>
        <w:top w:val="none" w:sz="0" w:space="0" w:color="auto"/>
        <w:left w:val="none" w:sz="0" w:space="0" w:color="auto"/>
        <w:bottom w:val="none" w:sz="0" w:space="0" w:color="auto"/>
        <w:right w:val="none" w:sz="0" w:space="0" w:color="auto"/>
      </w:divBdr>
      <w:divsChild>
        <w:div w:id="492839937">
          <w:marLeft w:val="0"/>
          <w:marRight w:val="0"/>
          <w:marTop w:val="0"/>
          <w:marBottom w:val="0"/>
          <w:divBdr>
            <w:top w:val="none" w:sz="0" w:space="0" w:color="auto"/>
            <w:left w:val="none" w:sz="0" w:space="0" w:color="auto"/>
            <w:bottom w:val="none" w:sz="0" w:space="0" w:color="auto"/>
            <w:right w:val="none" w:sz="0" w:space="0" w:color="auto"/>
          </w:divBdr>
        </w:div>
      </w:divsChild>
    </w:div>
    <w:div w:id="1334185070">
      <w:marLeft w:val="0"/>
      <w:marRight w:val="0"/>
      <w:marTop w:val="0"/>
      <w:marBottom w:val="0"/>
      <w:divBdr>
        <w:top w:val="none" w:sz="0" w:space="0" w:color="auto"/>
        <w:left w:val="none" w:sz="0" w:space="0" w:color="auto"/>
        <w:bottom w:val="none" w:sz="0" w:space="0" w:color="auto"/>
        <w:right w:val="none" w:sz="0" w:space="0" w:color="auto"/>
      </w:divBdr>
      <w:divsChild>
        <w:div w:id="1990019126">
          <w:marLeft w:val="0"/>
          <w:marRight w:val="0"/>
          <w:marTop w:val="0"/>
          <w:marBottom w:val="0"/>
          <w:divBdr>
            <w:top w:val="none" w:sz="0" w:space="0" w:color="auto"/>
            <w:left w:val="none" w:sz="0" w:space="0" w:color="auto"/>
            <w:bottom w:val="none" w:sz="0" w:space="0" w:color="auto"/>
            <w:right w:val="none" w:sz="0" w:space="0" w:color="auto"/>
          </w:divBdr>
        </w:div>
      </w:divsChild>
    </w:div>
    <w:div w:id="1342662870">
      <w:marLeft w:val="0"/>
      <w:marRight w:val="0"/>
      <w:marTop w:val="0"/>
      <w:marBottom w:val="0"/>
      <w:divBdr>
        <w:top w:val="none" w:sz="0" w:space="0" w:color="auto"/>
        <w:left w:val="none" w:sz="0" w:space="0" w:color="auto"/>
        <w:bottom w:val="none" w:sz="0" w:space="0" w:color="auto"/>
        <w:right w:val="none" w:sz="0" w:space="0" w:color="auto"/>
      </w:divBdr>
      <w:divsChild>
        <w:div w:id="107436214">
          <w:marLeft w:val="0"/>
          <w:marRight w:val="0"/>
          <w:marTop w:val="0"/>
          <w:marBottom w:val="0"/>
          <w:divBdr>
            <w:top w:val="none" w:sz="0" w:space="0" w:color="auto"/>
            <w:left w:val="none" w:sz="0" w:space="0" w:color="auto"/>
            <w:bottom w:val="none" w:sz="0" w:space="0" w:color="auto"/>
            <w:right w:val="none" w:sz="0" w:space="0" w:color="auto"/>
          </w:divBdr>
        </w:div>
      </w:divsChild>
    </w:div>
    <w:div w:id="1538658428">
      <w:marLeft w:val="0"/>
      <w:marRight w:val="0"/>
      <w:marTop w:val="0"/>
      <w:marBottom w:val="0"/>
      <w:divBdr>
        <w:top w:val="none" w:sz="0" w:space="0" w:color="auto"/>
        <w:left w:val="none" w:sz="0" w:space="0" w:color="auto"/>
        <w:bottom w:val="none" w:sz="0" w:space="0" w:color="auto"/>
        <w:right w:val="none" w:sz="0" w:space="0" w:color="auto"/>
      </w:divBdr>
      <w:divsChild>
        <w:div w:id="35472314">
          <w:marLeft w:val="0"/>
          <w:marRight w:val="0"/>
          <w:marTop w:val="0"/>
          <w:marBottom w:val="0"/>
          <w:divBdr>
            <w:top w:val="none" w:sz="0" w:space="0" w:color="auto"/>
            <w:left w:val="none" w:sz="0" w:space="0" w:color="auto"/>
            <w:bottom w:val="none" w:sz="0" w:space="0" w:color="auto"/>
            <w:right w:val="none" w:sz="0" w:space="0" w:color="auto"/>
          </w:divBdr>
        </w:div>
      </w:divsChild>
    </w:div>
    <w:div w:id="1598171933">
      <w:marLeft w:val="0"/>
      <w:marRight w:val="0"/>
      <w:marTop w:val="0"/>
      <w:marBottom w:val="0"/>
      <w:divBdr>
        <w:top w:val="none" w:sz="0" w:space="0" w:color="auto"/>
        <w:left w:val="none" w:sz="0" w:space="0" w:color="auto"/>
        <w:bottom w:val="none" w:sz="0" w:space="0" w:color="auto"/>
        <w:right w:val="none" w:sz="0" w:space="0" w:color="auto"/>
      </w:divBdr>
      <w:divsChild>
        <w:div w:id="1803845473">
          <w:marLeft w:val="0"/>
          <w:marRight w:val="0"/>
          <w:marTop w:val="0"/>
          <w:marBottom w:val="0"/>
          <w:divBdr>
            <w:top w:val="none" w:sz="0" w:space="0" w:color="auto"/>
            <w:left w:val="none" w:sz="0" w:space="0" w:color="auto"/>
            <w:bottom w:val="none" w:sz="0" w:space="0" w:color="auto"/>
            <w:right w:val="none" w:sz="0" w:space="0" w:color="auto"/>
          </w:divBdr>
        </w:div>
      </w:divsChild>
    </w:div>
    <w:div w:id="1711611184">
      <w:bodyDiv w:val="1"/>
      <w:marLeft w:val="0"/>
      <w:marRight w:val="0"/>
      <w:marTop w:val="0"/>
      <w:marBottom w:val="0"/>
      <w:divBdr>
        <w:top w:val="none" w:sz="0" w:space="0" w:color="auto"/>
        <w:left w:val="none" w:sz="0" w:space="0" w:color="auto"/>
        <w:bottom w:val="none" w:sz="0" w:space="0" w:color="auto"/>
        <w:right w:val="none" w:sz="0" w:space="0" w:color="auto"/>
      </w:divBdr>
    </w:div>
    <w:div w:id="1717855602">
      <w:marLeft w:val="0"/>
      <w:marRight w:val="0"/>
      <w:marTop w:val="0"/>
      <w:marBottom w:val="0"/>
      <w:divBdr>
        <w:top w:val="none" w:sz="0" w:space="0" w:color="auto"/>
        <w:left w:val="none" w:sz="0" w:space="0" w:color="auto"/>
        <w:bottom w:val="none" w:sz="0" w:space="0" w:color="auto"/>
        <w:right w:val="none" w:sz="0" w:space="0" w:color="auto"/>
      </w:divBdr>
      <w:divsChild>
        <w:div w:id="1763842339">
          <w:marLeft w:val="0"/>
          <w:marRight w:val="0"/>
          <w:marTop w:val="0"/>
          <w:marBottom w:val="0"/>
          <w:divBdr>
            <w:top w:val="none" w:sz="0" w:space="0" w:color="auto"/>
            <w:left w:val="none" w:sz="0" w:space="0" w:color="auto"/>
            <w:bottom w:val="none" w:sz="0" w:space="0" w:color="auto"/>
            <w:right w:val="none" w:sz="0" w:space="0" w:color="auto"/>
          </w:divBdr>
        </w:div>
      </w:divsChild>
    </w:div>
    <w:div w:id="1731269314">
      <w:marLeft w:val="0"/>
      <w:marRight w:val="0"/>
      <w:marTop w:val="0"/>
      <w:marBottom w:val="0"/>
      <w:divBdr>
        <w:top w:val="none" w:sz="0" w:space="0" w:color="auto"/>
        <w:left w:val="none" w:sz="0" w:space="0" w:color="auto"/>
        <w:bottom w:val="none" w:sz="0" w:space="0" w:color="auto"/>
        <w:right w:val="none" w:sz="0" w:space="0" w:color="auto"/>
      </w:divBdr>
      <w:divsChild>
        <w:div w:id="889683646">
          <w:marLeft w:val="0"/>
          <w:marRight w:val="0"/>
          <w:marTop w:val="0"/>
          <w:marBottom w:val="0"/>
          <w:divBdr>
            <w:top w:val="none" w:sz="0" w:space="0" w:color="auto"/>
            <w:left w:val="none" w:sz="0" w:space="0" w:color="auto"/>
            <w:bottom w:val="none" w:sz="0" w:space="0" w:color="auto"/>
            <w:right w:val="none" w:sz="0" w:space="0" w:color="auto"/>
          </w:divBdr>
        </w:div>
      </w:divsChild>
    </w:div>
    <w:div w:id="1785954084">
      <w:bodyDiv w:val="1"/>
      <w:marLeft w:val="0"/>
      <w:marRight w:val="0"/>
      <w:marTop w:val="0"/>
      <w:marBottom w:val="0"/>
      <w:divBdr>
        <w:top w:val="none" w:sz="0" w:space="0" w:color="auto"/>
        <w:left w:val="none" w:sz="0" w:space="0" w:color="auto"/>
        <w:bottom w:val="none" w:sz="0" w:space="0" w:color="auto"/>
        <w:right w:val="none" w:sz="0" w:space="0" w:color="auto"/>
      </w:divBdr>
    </w:div>
    <w:div w:id="1799225617">
      <w:marLeft w:val="0"/>
      <w:marRight w:val="0"/>
      <w:marTop w:val="0"/>
      <w:marBottom w:val="0"/>
      <w:divBdr>
        <w:top w:val="none" w:sz="0" w:space="0" w:color="auto"/>
        <w:left w:val="none" w:sz="0" w:space="0" w:color="auto"/>
        <w:bottom w:val="none" w:sz="0" w:space="0" w:color="auto"/>
        <w:right w:val="none" w:sz="0" w:space="0" w:color="auto"/>
      </w:divBdr>
      <w:divsChild>
        <w:div w:id="2014600358">
          <w:marLeft w:val="0"/>
          <w:marRight w:val="0"/>
          <w:marTop w:val="0"/>
          <w:marBottom w:val="0"/>
          <w:divBdr>
            <w:top w:val="none" w:sz="0" w:space="0" w:color="auto"/>
            <w:left w:val="none" w:sz="0" w:space="0" w:color="auto"/>
            <w:bottom w:val="none" w:sz="0" w:space="0" w:color="auto"/>
            <w:right w:val="none" w:sz="0" w:space="0" w:color="auto"/>
          </w:divBdr>
        </w:div>
      </w:divsChild>
    </w:div>
    <w:div w:id="1892301201">
      <w:marLeft w:val="0"/>
      <w:marRight w:val="0"/>
      <w:marTop w:val="0"/>
      <w:marBottom w:val="0"/>
      <w:divBdr>
        <w:top w:val="none" w:sz="0" w:space="0" w:color="auto"/>
        <w:left w:val="none" w:sz="0" w:space="0" w:color="auto"/>
        <w:bottom w:val="none" w:sz="0" w:space="0" w:color="auto"/>
        <w:right w:val="none" w:sz="0" w:space="0" w:color="auto"/>
      </w:divBdr>
      <w:divsChild>
        <w:div w:id="1608613116">
          <w:marLeft w:val="0"/>
          <w:marRight w:val="0"/>
          <w:marTop w:val="0"/>
          <w:marBottom w:val="0"/>
          <w:divBdr>
            <w:top w:val="none" w:sz="0" w:space="0" w:color="auto"/>
            <w:left w:val="none" w:sz="0" w:space="0" w:color="auto"/>
            <w:bottom w:val="none" w:sz="0" w:space="0" w:color="auto"/>
            <w:right w:val="none" w:sz="0" w:space="0" w:color="auto"/>
          </w:divBdr>
        </w:div>
      </w:divsChild>
    </w:div>
    <w:div w:id="1972175804">
      <w:marLeft w:val="0"/>
      <w:marRight w:val="0"/>
      <w:marTop w:val="0"/>
      <w:marBottom w:val="0"/>
      <w:divBdr>
        <w:top w:val="none" w:sz="0" w:space="0" w:color="auto"/>
        <w:left w:val="none" w:sz="0" w:space="0" w:color="auto"/>
        <w:bottom w:val="none" w:sz="0" w:space="0" w:color="auto"/>
        <w:right w:val="none" w:sz="0" w:space="0" w:color="auto"/>
      </w:divBdr>
      <w:divsChild>
        <w:div w:id="780803978">
          <w:marLeft w:val="0"/>
          <w:marRight w:val="0"/>
          <w:marTop w:val="0"/>
          <w:marBottom w:val="0"/>
          <w:divBdr>
            <w:top w:val="none" w:sz="0" w:space="0" w:color="auto"/>
            <w:left w:val="none" w:sz="0" w:space="0" w:color="auto"/>
            <w:bottom w:val="none" w:sz="0" w:space="0" w:color="auto"/>
            <w:right w:val="none" w:sz="0" w:space="0" w:color="auto"/>
          </w:divBdr>
        </w:div>
      </w:divsChild>
    </w:div>
    <w:div w:id="2014798595">
      <w:marLeft w:val="0"/>
      <w:marRight w:val="0"/>
      <w:marTop w:val="0"/>
      <w:marBottom w:val="0"/>
      <w:divBdr>
        <w:top w:val="none" w:sz="0" w:space="0" w:color="auto"/>
        <w:left w:val="none" w:sz="0" w:space="0" w:color="auto"/>
        <w:bottom w:val="none" w:sz="0" w:space="0" w:color="auto"/>
        <w:right w:val="none" w:sz="0" w:space="0" w:color="auto"/>
      </w:divBdr>
      <w:divsChild>
        <w:div w:id="1754206329">
          <w:marLeft w:val="0"/>
          <w:marRight w:val="0"/>
          <w:marTop w:val="0"/>
          <w:marBottom w:val="0"/>
          <w:divBdr>
            <w:top w:val="none" w:sz="0" w:space="0" w:color="auto"/>
            <w:left w:val="none" w:sz="0" w:space="0" w:color="auto"/>
            <w:bottom w:val="none" w:sz="0" w:space="0" w:color="auto"/>
            <w:right w:val="none" w:sz="0" w:space="0" w:color="auto"/>
          </w:divBdr>
        </w:div>
      </w:divsChild>
    </w:div>
    <w:div w:id="2019581586">
      <w:marLeft w:val="0"/>
      <w:marRight w:val="0"/>
      <w:marTop w:val="0"/>
      <w:marBottom w:val="0"/>
      <w:divBdr>
        <w:top w:val="none" w:sz="0" w:space="0" w:color="auto"/>
        <w:left w:val="none" w:sz="0" w:space="0" w:color="auto"/>
        <w:bottom w:val="none" w:sz="0" w:space="0" w:color="auto"/>
        <w:right w:val="none" w:sz="0" w:space="0" w:color="auto"/>
      </w:divBdr>
      <w:divsChild>
        <w:div w:id="2074154282">
          <w:marLeft w:val="0"/>
          <w:marRight w:val="0"/>
          <w:marTop w:val="0"/>
          <w:marBottom w:val="0"/>
          <w:divBdr>
            <w:top w:val="none" w:sz="0" w:space="0" w:color="auto"/>
            <w:left w:val="none" w:sz="0" w:space="0" w:color="auto"/>
            <w:bottom w:val="none" w:sz="0" w:space="0" w:color="auto"/>
            <w:right w:val="none" w:sz="0" w:space="0" w:color="auto"/>
          </w:divBdr>
        </w:div>
      </w:divsChild>
    </w:div>
    <w:div w:id="2086758946">
      <w:marLeft w:val="0"/>
      <w:marRight w:val="0"/>
      <w:marTop w:val="0"/>
      <w:marBottom w:val="0"/>
      <w:divBdr>
        <w:top w:val="none" w:sz="0" w:space="0" w:color="auto"/>
        <w:left w:val="none" w:sz="0" w:space="0" w:color="auto"/>
        <w:bottom w:val="none" w:sz="0" w:space="0" w:color="auto"/>
        <w:right w:val="none" w:sz="0" w:space="0" w:color="auto"/>
      </w:divBdr>
      <w:divsChild>
        <w:div w:id="735663787">
          <w:marLeft w:val="0"/>
          <w:marRight w:val="0"/>
          <w:marTop w:val="0"/>
          <w:marBottom w:val="0"/>
          <w:divBdr>
            <w:top w:val="none" w:sz="0" w:space="0" w:color="auto"/>
            <w:left w:val="none" w:sz="0" w:space="0" w:color="auto"/>
            <w:bottom w:val="none" w:sz="0" w:space="0" w:color="auto"/>
            <w:right w:val="none" w:sz="0" w:space="0" w:color="auto"/>
          </w:divBdr>
        </w:div>
      </w:divsChild>
    </w:div>
    <w:div w:id="2120877470">
      <w:marLeft w:val="0"/>
      <w:marRight w:val="0"/>
      <w:marTop w:val="0"/>
      <w:marBottom w:val="0"/>
      <w:divBdr>
        <w:top w:val="none" w:sz="0" w:space="0" w:color="auto"/>
        <w:left w:val="none" w:sz="0" w:space="0" w:color="auto"/>
        <w:bottom w:val="none" w:sz="0" w:space="0" w:color="auto"/>
        <w:right w:val="none" w:sz="0" w:space="0" w:color="auto"/>
      </w:divBdr>
      <w:divsChild>
        <w:div w:id="1898545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ioporta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ithub.com/mskcc/vcf2ma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oinformatics.babraham.ac.uk/projects/trim_galor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ncbi.nlm.nih.gov/geo/query/acc.cgi?acc=GSE14672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cc.icgc.org/projects/PAC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C30658F4F25D45A8CE2FC43542A9CD" ma:contentTypeVersion="8" ma:contentTypeDescription="Create a new document." ma:contentTypeScope="" ma:versionID="5f037b9e6be8c8400767b38cea677159">
  <xsd:schema xmlns:xsd="http://www.w3.org/2001/XMLSchema" xmlns:xs="http://www.w3.org/2001/XMLSchema" xmlns:p="http://schemas.microsoft.com/office/2006/metadata/properties" xmlns:ns2="8aa85a76-2404-4bb6-8a81-8fb84d9c0081" targetNamespace="http://schemas.microsoft.com/office/2006/metadata/properties" ma:root="true" ma:fieldsID="e0916a076a451af4eae6280b854e0fe4" ns2:_="">
    <xsd:import namespace="8aa85a76-2404-4bb6-8a81-8fb84d9c00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85a76-2404-4bb6-8a81-8fb84d9c0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0AEEB6-54AE-4472-974D-25918110DA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DDD6B2-6873-4931-BEBD-928D1DBD7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85a76-2404-4bb6-8a81-8fb84d9c00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16738E-579C-40D0-BB98-52C060B227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2103</Words>
  <Characters>12309</Characters>
  <Application>Microsoft Office Word</Application>
  <DocSecurity>0</DocSecurity>
  <Lines>300</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14284</CharactersWithSpaces>
  <SharedDoc>false</SharedDoc>
  <HLinks>
    <vt:vector size="6" baseType="variant">
      <vt:variant>
        <vt:i4>655432</vt:i4>
      </vt:variant>
      <vt:variant>
        <vt:i4>0</vt:i4>
      </vt:variant>
      <vt:variant>
        <vt:i4>0</vt:i4>
      </vt:variant>
      <vt:variant>
        <vt:i4>5</vt:i4>
      </vt:variant>
      <vt:variant>
        <vt:lpwstr>https://www.ncbi.nlm.nih.gov/geo/query/acc.cgi?acc=GSE146722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Haab, Brian</dc:creator>
  <cp:keywords/>
  <dc:description/>
  <cp:lastModifiedBy>Haab, Brian</cp:lastModifiedBy>
  <cp:revision>8</cp:revision>
  <dcterms:created xsi:type="dcterms:W3CDTF">2020-09-16T12:38:00Z</dcterms:created>
  <dcterms:modified xsi:type="dcterms:W3CDTF">2020-10-05T22:02:00Z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0x010100E8C30658F4F25D45A8CE2FC43542A9CD</vt:lpwstr>
  </property>
</Properties>
</file>