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05E9" w14:textId="77777777" w:rsidR="007356FE" w:rsidRDefault="007356FE">
      <w:pPr>
        <w:rPr>
          <w:rFonts w:ascii="Times New Roman" w:hAnsi="Times New Roman" w:cs="Times New Roman"/>
          <w:lang w:val="en-AU"/>
        </w:rPr>
      </w:pPr>
    </w:p>
    <w:tbl>
      <w:tblPr>
        <w:tblW w:w="9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126"/>
        <w:gridCol w:w="1842"/>
        <w:gridCol w:w="1078"/>
      </w:tblGrid>
      <w:tr w:rsidR="007356FE" w:rsidRPr="00E0263C" w14:paraId="1B919DCA" w14:textId="77777777">
        <w:tc>
          <w:tcPr>
            <w:tcW w:w="3963" w:type="dxa"/>
          </w:tcPr>
          <w:p w14:paraId="1576A1A0" w14:textId="77777777" w:rsidR="007356FE" w:rsidRPr="00E0263C" w:rsidRDefault="007356F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E0263C">
              <w:rPr>
                <w:rFonts w:ascii="Times New Roman" w:hAnsi="Times New Roman" w:cs="Times New Roman"/>
                <w:b/>
                <w:lang w:val="en-AU"/>
              </w:rPr>
              <w:t>Baseline characteristic</w:t>
            </w:r>
          </w:p>
        </w:tc>
        <w:tc>
          <w:tcPr>
            <w:tcW w:w="2126" w:type="dxa"/>
          </w:tcPr>
          <w:p w14:paraId="032332C6" w14:textId="77777777" w:rsidR="007356FE" w:rsidRPr="00E0263C" w:rsidRDefault="007356F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E0263C">
              <w:rPr>
                <w:rFonts w:ascii="Times New Roman" w:hAnsi="Times New Roman" w:cs="Times New Roman"/>
                <w:b/>
                <w:lang w:val="en-AU"/>
              </w:rPr>
              <w:t>c-</w:t>
            </w:r>
            <w:proofErr w:type="spellStart"/>
            <w:r w:rsidRPr="00E0263C">
              <w:rPr>
                <w:rFonts w:ascii="Times New Roman" w:hAnsi="Times New Roman" w:cs="Times New Roman"/>
                <w:b/>
                <w:lang w:val="en-AU"/>
              </w:rPr>
              <w:t>TREnd</w:t>
            </w:r>
            <w:proofErr w:type="spellEnd"/>
            <w:r w:rsidRPr="00E0263C">
              <w:rPr>
                <w:rFonts w:ascii="Times New Roman" w:hAnsi="Times New Roman" w:cs="Times New Roman"/>
                <w:b/>
                <w:lang w:val="en-AU"/>
              </w:rPr>
              <w:t xml:space="preserve"> subpopulation (N=46)</w:t>
            </w:r>
          </w:p>
        </w:tc>
        <w:tc>
          <w:tcPr>
            <w:tcW w:w="1842" w:type="dxa"/>
          </w:tcPr>
          <w:p w14:paraId="785F7984" w14:textId="77777777" w:rsidR="007356FE" w:rsidRPr="00E0263C" w:rsidRDefault="007356F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E0263C">
              <w:rPr>
                <w:rFonts w:ascii="Times New Roman" w:hAnsi="Times New Roman" w:cs="Times New Roman"/>
                <w:b/>
                <w:lang w:val="en-AU"/>
              </w:rPr>
              <w:t xml:space="preserve">Original </w:t>
            </w:r>
            <w:proofErr w:type="spellStart"/>
            <w:r w:rsidRPr="00E0263C">
              <w:rPr>
                <w:rFonts w:ascii="Times New Roman" w:hAnsi="Times New Roman" w:cs="Times New Roman"/>
                <w:b/>
                <w:lang w:val="en-AU"/>
              </w:rPr>
              <w:t>TREnd</w:t>
            </w:r>
            <w:proofErr w:type="spellEnd"/>
            <w:r w:rsidRPr="00E0263C">
              <w:rPr>
                <w:rFonts w:ascii="Times New Roman" w:hAnsi="Times New Roman" w:cs="Times New Roman"/>
                <w:b/>
                <w:lang w:val="en-AU"/>
              </w:rPr>
              <w:t xml:space="preserve"> population (N=115)</w:t>
            </w:r>
          </w:p>
        </w:tc>
        <w:tc>
          <w:tcPr>
            <w:tcW w:w="1078" w:type="dxa"/>
          </w:tcPr>
          <w:p w14:paraId="01C5C7E0" w14:textId="77777777" w:rsidR="007356FE" w:rsidRPr="00E0263C" w:rsidRDefault="007356F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E0263C">
              <w:rPr>
                <w:rFonts w:ascii="Times New Roman" w:hAnsi="Times New Roman" w:cs="Times New Roman"/>
                <w:b/>
                <w:lang w:val="en-AU"/>
              </w:rPr>
              <w:t>p-value</w:t>
            </w:r>
          </w:p>
        </w:tc>
      </w:tr>
      <w:tr w:rsidR="007356FE" w:rsidRPr="00E0263C" w14:paraId="77BF04AB" w14:textId="77777777">
        <w:tc>
          <w:tcPr>
            <w:tcW w:w="3963" w:type="dxa"/>
          </w:tcPr>
          <w:p w14:paraId="3C5F17D1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Age (range)</w:t>
            </w:r>
          </w:p>
        </w:tc>
        <w:tc>
          <w:tcPr>
            <w:tcW w:w="2126" w:type="dxa"/>
          </w:tcPr>
          <w:p w14:paraId="272177B5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64 (39-82)</w:t>
            </w:r>
          </w:p>
        </w:tc>
        <w:tc>
          <w:tcPr>
            <w:tcW w:w="1842" w:type="dxa"/>
          </w:tcPr>
          <w:p w14:paraId="49FA18D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65 (38-82)</w:t>
            </w:r>
          </w:p>
        </w:tc>
        <w:tc>
          <w:tcPr>
            <w:tcW w:w="1078" w:type="dxa"/>
          </w:tcPr>
          <w:p w14:paraId="1A98ECB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0.7</w:t>
            </w:r>
          </w:p>
        </w:tc>
      </w:tr>
      <w:tr w:rsidR="007356FE" w:rsidRPr="00E0263C" w14:paraId="0089CD92" w14:textId="77777777">
        <w:tc>
          <w:tcPr>
            <w:tcW w:w="3963" w:type="dxa"/>
          </w:tcPr>
          <w:p w14:paraId="7623178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ECOG performance status</w:t>
            </w:r>
          </w:p>
          <w:p w14:paraId="3B4B206A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</w:t>
            </w:r>
          </w:p>
          <w:p w14:paraId="4C275228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</w:t>
            </w:r>
          </w:p>
          <w:p w14:paraId="1B87A598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2126" w:type="dxa"/>
          </w:tcPr>
          <w:p w14:paraId="3DE8829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1BE7F5C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37 (8</w:t>
            </w:r>
            <w:r w:rsidRPr="00E0263C">
              <w:rPr>
                <w:rFonts w:ascii="Times New Roman" w:hAnsi="Times New Roman" w:cs="Times New Roman"/>
                <w:color w:val="000000"/>
                <w:lang w:val="en-AU"/>
              </w:rPr>
              <w:t>1</w:t>
            </w:r>
            <w:r w:rsidRPr="00E0263C">
              <w:rPr>
                <w:rFonts w:ascii="Times New Roman" w:hAnsi="Times New Roman" w:cs="Times New Roman"/>
                <w:lang w:val="en-AU"/>
              </w:rPr>
              <w:t>%)</w:t>
            </w:r>
          </w:p>
          <w:p w14:paraId="2CCC182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 (17%)</w:t>
            </w:r>
          </w:p>
          <w:p w14:paraId="2CC8442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 xml:space="preserve">1 (2%) </w:t>
            </w:r>
          </w:p>
        </w:tc>
        <w:tc>
          <w:tcPr>
            <w:tcW w:w="1842" w:type="dxa"/>
          </w:tcPr>
          <w:p w14:paraId="19EA47E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4BD65A2A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88 (7</w:t>
            </w:r>
            <w:r w:rsidRPr="00E0263C">
              <w:rPr>
                <w:rFonts w:ascii="Times New Roman" w:hAnsi="Times New Roman" w:cs="Times New Roman"/>
                <w:color w:val="000000"/>
                <w:lang w:val="en-AU"/>
              </w:rPr>
              <w:t>6</w:t>
            </w:r>
            <w:r w:rsidRPr="00E0263C">
              <w:rPr>
                <w:rFonts w:ascii="Times New Roman" w:hAnsi="Times New Roman" w:cs="Times New Roman"/>
                <w:lang w:val="en-AU"/>
              </w:rPr>
              <w:t>%)</w:t>
            </w:r>
          </w:p>
          <w:p w14:paraId="794DDBE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25 (22%)</w:t>
            </w:r>
          </w:p>
          <w:p w14:paraId="3AF9A37A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 (2%)</w:t>
            </w:r>
          </w:p>
        </w:tc>
        <w:tc>
          <w:tcPr>
            <w:tcW w:w="1078" w:type="dxa"/>
          </w:tcPr>
          <w:p w14:paraId="16015DA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0.9</w:t>
            </w:r>
          </w:p>
          <w:p w14:paraId="4D72C3C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46CEA481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0FF4B43B" w14:textId="77777777">
        <w:tc>
          <w:tcPr>
            <w:tcW w:w="3963" w:type="dxa"/>
          </w:tcPr>
          <w:p w14:paraId="41A0124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Sites of metastases</w:t>
            </w:r>
          </w:p>
          <w:p w14:paraId="34EB4A5A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Visceral</w:t>
            </w:r>
          </w:p>
          <w:p w14:paraId="419021FB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Bone-only</w:t>
            </w:r>
          </w:p>
          <w:p w14:paraId="5174785E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Other non-visceral</w:t>
            </w:r>
          </w:p>
        </w:tc>
        <w:tc>
          <w:tcPr>
            <w:tcW w:w="2126" w:type="dxa"/>
          </w:tcPr>
          <w:p w14:paraId="7C3A9459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6E5A113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33 (72%)</w:t>
            </w:r>
          </w:p>
          <w:p w14:paraId="10545B8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5 (11%)</w:t>
            </w:r>
          </w:p>
          <w:p w14:paraId="0F491CF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 (17%)</w:t>
            </w:r>
          </w:p>
        </w:tc>
        <w:tc>
          <w:tcPr>
            <w:tcW w:w="1842" w:type="dxa"/>
          </w:tcPr>
          <w:p w14:paraId="02E838E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21DB7FE3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87 (76%)</w:t>
            </w:r>
          </w:p>
          <w:p w14:paraId="7CC5E10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9 (8%)</w:t>
            </w:r>
          </w:p>
          <w:p w14:paraId="4E560DC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19 (1</w:t>
            </w:r>
            <w:r w:rsidRPr="00E0263C">
              <w:rPr>
                <w:rFonts w:ascii="Times New Roman" w:hAnsi="Times New Roman" w:cs="Times New Roman"/>
                <w:color w:val="000000"/>
                <w:lang w:val="en-AU"/>
              </w:rPr>
              <w:t>6</w:t>
            </w:r>
            <w:r w:rsidRPr="00E0263C">
              <w:rPr>
                <w:rFonts w:ascii="Times New Roman" w:hAnsi="Times New Roman" w:cs="Times New Roman"/>
                <w:lang w:val="en-AU"/>
              </w:rPr>
              <w:t>%)</w:t>
            </w:r>
          </w:p>
        </w:tc>
        <w:tc>
          <w:tcPr>
            <w:tcW w:w="1078" w:type="dxa"/>
          </w:tcPr>
          <w:p w14:paraId="565A5AB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0.8</w:t>
            </w:r>
          </w:p>
          <w:p w14:paraId="6355E6E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1882B5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017663D2" w14:textId="77777777">
        <w:tc>
          <w:tcPr>
            <w:tcW w:w="3963" w:type="dxa"/>
          </w:tcPr>
          <w:p w14:paraId="39B2F14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Number of prior lines of endocrine therapy received for advanced disease</w:t>
            </w:r>
          </w:p>
          <w:p w14:paraId="20E02E2E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 lines</w:t>
            </w:r>
          </w:p>
          <w:p w14:paraId="53586351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line</w:t>
            </w:r>
          </w:p>
          <w:p w14:paraId="00E6F4A5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 lines</w:t>
            </w:r>
          </w:p>
          <w:p w14:paraId="374405BB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 lines</w:t>
            </w:r>
          </w:p>
        </w:tc>
        <w:tc>
          <w:tcPr>
            <w:tcW w:w="2126" w:type="dxa"/>
          </w:tcPr>
          <w:p w14:paraId="479C9BB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5E0EBD6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6851745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</w:t>
            </w:r>
          </w:p>
          <w:p w14:paraId="6ADA9FC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30 (65%)</w:t>
            </w:r>
          </w:p>
          <w:p w14:paraId="602FD2A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16 (35%)</w:t>
            </w:r>
          </w:p>
          <w:p w14:paraId="25B24B2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 xml:space="preserve">0 </w:t>
            </w:r>
          </w:p>
        </w:tc>
        <w:tc>
          <w:tcPr>
            <w:tcW w:w="1842" w:type="dxa"/>
          </w:tcPr>
          <w:p w14:paraId="43F91CBC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46D039C7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3D456D3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(1</w:t>
            </w:r>
            <w:proofErr w:type="gramStart"/>
            <w:r w:rsidRPr="00E0263C">
              <w:rPr>
                <w:rFonts w:ascii="Times New Roman" w:hAnsi="Times New Roman" w:cs="Times New Roman"/>
                <w:lang w:val="en-AU"/>
              </w:rPr>
              <w:t>%)*</w:t>
            </w:r>
            <w:proofErr w:type="gramEnd"/>
          </w:p>
          <w:p w14:paraId="2B7AF23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79 (6</w:t>
            </w:r>
            <w:r w:rsidRPr="00E0263C">
              <w:rPr>
                <w:rFonts w:ascii="Times New Roman" w:hAnsi="Times New Roman" w:cs="Times New Roman"/>
                <w:color w:val="000000"/>
                <w:lang w:val="en-AU"/>
              </w:rPr>
              <w:t>8</w:t>
            </w:r>
            <w:r w:rsidRPr="00E0263C">
              <w:rPr>
                <w:rFonts w:ascii="Times New Roman" w:hAnsi="Times New Roman" w:cs="Times New Roman"/>
                <w:lang w:val="en-AU"/>
              </w:rPr>
              <w:t>%)</w:t>
            </w:r>
          </w:p>
          <w:p w14:paraId="26AA82F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33 (29%)</w:t>
            </w:r>
          </w:p>
          <w:p w14:paraId="766F21E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 (2</w:t>
            </w:r>
            <w:proofErr w:type="gramStart"/>
            <w:r w:rsidRPr="00E0263C">
              <w:rPr>
                <w:rFonts w:ascii="Times New Roman" w:hAnsi="Times New Roman" w:cs="Times New Roman"/>
                <w:lang w:val="en-AU"/>
              </w:rPr>
              <w:t>%)*</w:t>
            </w:r>
            <w:proofErr w:type="gramEnd"/>
          </w:p>
        </w:tc>
        <w:tc>
          <w:tcPr>
            <w:tcW w:w="1078" w:type="dxa"/>
          </w:tcPr>
          <w:p w14:paraId="2074BBD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3957ED6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0.8</w:t>
            </w:r>
          </w:p>
          <w:p w14:paraId="7D3BFD6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0FB4196D" w14:textId="77777777">
        <w:tc>
          <w:tcPr>
            <w:tcW w:w="3963" w:type="dxa"/>
          </w:tcPr>
          <w:p w14:paraId="35E01055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Duration of most recent endocrine therapy received</w:t>
            </w:r>
          </w:p>
          <w:p w14:paraId="6FDF6AB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 xml:space="preserve">                   No prior endocrine therapy</w:t>
            </w:r>
          </w:p>
          <w:p w14:paraId="690CD720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Symbol" w:hAnsi="Symbol" w:cs="Symbol"/>
                <w:lang w:val="en-AU"/>
              </w:rPr>
              <w:t></w:t>
            </w:r>
            <w:r w:rsidRPr="00E0263C">
              <w:rPr>
                <w:rFonts w:ascii="Times New Roman" w:hAnsi="Times New Roman" w:cs="Times New Roman"/>
                <w:lang w:val="en-AU"/>
              </w:rPr>
              <w:t xml:space="preserve"> 6 months</w:t>
            </w:r>
          </w:p>
          <w:p w14:paraId="2CA5C3C3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&gt;6 months</w:t>
            </w:r>
          </w:p>
        </w:tc>
        <w:tc>
          <w:tcPr>
            <w:tcW w:w="2126" w:type="dxa"/>
          </w:tcPr>
          <w:p w14:paraId="6E53E13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22F3B88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AF9BEE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</w:t>
            </w:r>
          </w:p>
          <w:p w14:paraId="5A1E34F5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 (17%)</w:t>
            </w:r>
          </w:p>
          <w:p w14:paraId="53E270F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38 (83%)</w:t>
            </w:r>
          </w:p>
        </w:tc>
        <w:tc>
          <w:tcPr>
            <w:tcW w:w="1842" w:type="dxa"/>
          </w:tcPr>
          <w:p w14:paraId="3113DAD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61C04027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2769F947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(1</w:t>
            </w:r>
            <w:proofErr w:type="gramStart"/>
            <w:r w:rsidRPr="00E0263C">
              <w:rPr>
                <w:rFonts w:ascii="Times New Roman" w:hAnsi="Times New Roman" w:cs="Times New Roman"/>
                <w:lang w:val="en-AU"/>
              </w:rPr>
              <w:t>%)*</w:t>
            </w:r>
            <w:proofErr w:type="gramEnd"/>
          </w:p>
          <w:p w14:paraId="278CDBD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30 (26%)</w:t>
            </w:r>
          </w:p>
          <w:p w14:paraId="61DB29D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84 (73%)</w:t>
            </w:r>
          </w:p>
        </w:tc>
        <w:tc>
          <w:tcPr>
            <w:tcW w:w="1078" w:type="dxa"/>
          </w:tcPr>
          <w:p w14:paraId="2FE0E94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62634B1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0.5</w:t>
            </w:r>
          </w:p>
          <w:p w14:paraId="1645D2C9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6ACA1954" w14:textId="77777777">
        <w:tc>
          <w:tcPr>
            <w:tcW w:w="3963" w:type="dxa"/>
          </w:tcPr>
          <w:p w14:paraId="0B402B1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 xml:space="preserve">Endocrine therapy most recently received prior to enrolment </w:t>
            </w:r>
          </w:p>
          <w:p w14:paraId="37C2BA13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 xml:space="preserve">                   No prior endocrine therapy</w:t>
            </w:r>
          </w:p>
          <w:p w14:paraId="446929C4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Aromatase inhibitor</w:t>
            </w:r>
          </w:p>
          <w:p w14:paraId="11742D41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Fulvestrant</w:t>
            </w:r>
          </w:p>
        </w:tc>
        <w:tc>
          <w:tcPr>
            <w:tcW w:w="2126" w:type="dxa"/>
          </w:tcPr>
          <w:p w14:paraId="30F8E36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57393A5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497F02FA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</w:t>
            </w:r>
          </w:p>
          <w:p w14:paraId="28A20A9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27 (59%)</w:t>
            </w:r>
          </w:p>
          <w:p w14:paraId="6B7CE73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19 (41%)</w:t>
            </w:r>
          </w:p>
        </w:tc>
        <w:tc>
          <w:tcPr>
            <w:tcW w:w="1842" w:type="dxa"/>
          </w:tcPr>
          <w:p w14:paraId="31BE46A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6BAA28B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9E82A4C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(1</w:t>
            </w:r>
            <w:proofErr w:type="gramStart"/>
            <w:r w:rsidRPr="00E0263C">
              <w:rPr>
                <w:rFonts w:ascii="Times New Roman" w:hAnsi="Times New Roman" w:cs="Times New Roman"/>
                <w:lang w:val="en-AU"/>
              </w:rPr>
              <w:t>%)*</w:t>
            </w:r>
            <w:proofErr w:type="gramEnd"/>
          </w:p>
          <w:p w14:paraId="5AABACB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63 (55%)</w:t>
            </w:r>
          </w:p>
          <w:p w14:paraId="070D626A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51 (44%)</w:t>
            </w:r>
          </w:p>
        </w:tc>
        <w:tc>
          <w:tcPr>
            <w:tcW w:w="1078" w:type="dxa"/>
          </w:tcPr>
          <w:p w14:paraId="27853B0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3D353535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0.8</w:t>
            </w:r>
          </w:p>
          <w:p w14:paraId="3D4713A9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264C2B8A" w14:textId="77777777">
        <w:tc>
          <w:tcPr>
            <w:tcW w:w="3963" w:type="dxa"/>
          </w:tcPr>
          <w:p w14:paraId="663A8AAC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Receipt of prior chemotherapy for advanced disease?</w:t>
            </w:r>
          </w:p>
          <w:p w14:paraId="6EE6DCB2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Yes</w:t>
            </w:r>
          </w:p>
          <w:p w14:paraId="29AD8E4E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No</w:t>
            </w:r>
          </w:p>
        </w:tc>
        <w:tc>
          <w:tcPr>
            <w:tcW w:w="2126" w:type="dxa"/>
          </w:tcPr>
          <w:p w14:paraId="023900B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5FDCE65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387D4F21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9 (20%)</w:t>
            </w:r>
          </w:p>
          <w:p w14:paraId="3A51865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37 (80%)</w:t>
            </w:r>
          </w:p>
        </w:tc>
        <w:tc>
          <w:tcPr>
            <w:tcW w:w="1842" w:type="dxa"/>
          </w:tcPr>
          <w:p w14:paraId="649ACFC1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22210265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6765AA0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35 (30%)</w:t>
            </w:r>
          </w:p>
          <w:p w14:paraId="423846A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80 (70%)</w:t>
            </w:r>
          </w:p>
        </w:tc>
        <w:tc>
          <w:tcPr>
            <w:tcW w:w="1078" w:type="dxa"/>
          </w:tcPr>
          <w:p w14:paraId="03FC31E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D13BA6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0.2</w:t>
            </w:r>
          </w:p>
          <w:p w14:paraId="78E28D1B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59134221" w14:textId="77777777">
        <w:tc>
          <w:tcPr>
            <w:tcW w:w="3963" w:type="dxa"/>
          </w:tcPr>
          <w:p w14:paraId="532F01C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Total number of prior lines of systemic therapy for advanced disease</w:t>
            </w:r>
          </w:p>
          <w:p w14:paraId="4D65304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 lines</w:t>
            </w:r>
          </w:p>
          <w:p w14:paraId="3DF9D19C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line</w:t>
            </w:r>
          </w:p>
          <w:p w14:paraId="33EB21E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 lines</w:t>
            </w:r>
          </w:p>
          <w:p w14:paraId="5E8007F6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3 lines</w:t>
            </w:r>
          </w:p>
          <w:p w14:paraId="70BE43E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4 lines</w:t>
            </w:r>
          </w:p>
        </w:tc>
        <w:tc>
          <w:tcPr>
            <w:tcW w:w="2126" w:type="dxa"/>
          </w:tcPr>
          <w:p w14:paraId="4E40D9F3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28F62D0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072B032C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</w:t>
            </w:r>
          </w:p>
          <w:p w14:paraId="18257259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25 (54%)</w:t>
            </w:r>
          </w:p>
          <w:p w14:paraId="6FA07F1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17 (37%)</w:t>
            </w:r>
          </w:p>
          <w:p w14:paraId="7B39AA57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4 (9%)</w:t>
            </w:r>
          </w:p>
          <w:p w14:paraId="6E48C2F7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</w:t>
            </w:r>
          </w:p>
        </w:tc>
        <w:tc>
          <w:tcPr>
            <w:tcW w:w="1842" w:type="dxa"/>
          </w:tcPr>
          <w:p w14:paraId="786C6534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173763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758C408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(1</w:t>
            </w:r>
            <w:proofErr w:type="gramStart"/>
            <w:r w:rsidRPr="00E0263C">
              <w:rPr>
                <w:rFonts w:ascii="Times New Roman" w:hAnsi="Times New Roman" w:cs="Times New Roman"/>
                <w:lang w:val="en-AU"/>
              </w:rPr>
              <w:t>%)*</w:t>
            </w:r>
            <w:proofErr w:type="gramEnd"/>
          </w:p>
          <w:p w14:paraId="20955032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55 (48%)</w:t>
            </w:r>
          </w:p>
          <w:p w14:paraId="1B324218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47 (41%)</w:t>
            </w:r>
          </w:p>
          <w:p w14:paraId="721E4179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11 (</w:t>
            </w:r>
            <w:r w:rsidRPr="00E0263C">
              <w:rPr>
                <w:rFonts w:ascii="Times New Roman" w:hAnsi="Times New Roman" w:cs="Times New Roman"/>
                <w:color w:val="000000"/>
                <w:lang w:val="en-AU"/>
              </w:rPr>
              <w:t>9</w:t>
            </w:r>
            <w:r w:rsidRPr="00E0263C">
              <w:rPr>
                <w:rFonts w:ascii="Times New Roman" w:hAnsi="Times New Roman" w:cs="Times New Roman"/>
                <w:lang w:val="en-AU"/>
              </w:rPr>
              <w:t>%)</w:t>
            </w:r>
          </w:p>
          <w:p w14:paraId="0DC2A5F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 (1</w:t>
            </w:r>
            <w:proofErr w:type="gramStart"/>
            <w:r w:rsidRPr="00E0263C">
              <w:rPr>
                <w:rFonts w:ascii="Times New Roman" w:hAnsi="Times New Roman" w:cs="Times New Roman"/>
                <w:lang w:val="en-AU"/>
              </w:rPr>
              <w:t>%)*</w:t>
            </w:r>
            <w:proofErr w:type="gramEnd"/>
          </w:p>
        </w:tc>
        <w:tc>
          <w:tcPr>
            <w:tcW w:w="1078" w:type="dxa"/>
          </w:tcPr>
          <w:p w14:paraId="7F668517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1B0CCDA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0.9</w:t>
            </w:r>
          </w:p>
          <w:p w14:paraId="553B2550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7356FE" w:rsidRPr="00E0263C" w14:paraId="6BA0D912" w14:textId="77777777">
        <w:tc>
          <w:tcPr>
            <w:tcW w:w="3963" w:type="dxa"/>
          </w:tcPr>
          <w:p w14:paraId="52DCE48C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Clinical benefit observed on trial?</w:t>
            </w:r>
          </w:p>
          <w:p w14:paraId="7F38B2A9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Yes</w:t>
            </w:r>
          </w:p>
          <w:p w14:paraId="3D2AFB80" w14:textId="77777777" w:rsidR="007356FE" w:rsidRPr="00E0263C" w:rsidRDefault="007356FE" w:rsidP="00E0263C">
            <w:pPr>
              <w:ind w:left="1440"/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No</w:t>
            </w:r>
          </w:p>
        </w:tc>
        <w:tc>
          <w:tcPr>
            <w:tcW w:w="2126" w:type="dxa"/>
          </w:tcPr>
          <w:p w14:paraId="34FF2BF3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3C45E9EF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28 (61%)</w:t>
            </w:r>
          </w:p>
          <w:p w14:paraId="612C5BCD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18 (39%)</w:t>
            </w:r>
          </w:p>
        </w:tc>
        <w:tc>
          <w:tcPr>
            <w:tcW w:w="1842" w:type="dxa"/>
          </w:tcPr>
          <w:p w14:paraId="7DCAA97A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  <w:p w14:paraId="62D49DA3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66 (57%)</w:t>
            </w:r>
          </w:p>
          <w:p w14:paraId="11B05AD9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49 (43%)</w:t>
            </w:r>
          </w:p>
        </w:tc>
        <w:tc>
          <w:tcPr>
            <w:tcW w:w="1078" w:type="dxa"/>
          </w:tcPr>
          <w:p w14:paraId="3599E823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  <w:r w:rsidRPr="00E0263C">
              <w:rPr>
                <w:rFonts w:ascii="Times New Roman" w:hAnsi="Times New Roman" w:cs="Times New Roman"/>
                <w:lang w:val="en-AU"/>
              </w:rPr>
              <w:t>0.7</w:t>
            </w:r>
          </w:p>
          <w:p w14:paraId="6C6B4E1E" w14:textId="77777777" w:rsidR="007356FE" w:rsidRPr="00E0263C" w:rsidRDefault="007356FE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220B2FBA" w14:textId="77777777" w:rsidR="007356FE" w:rsidRDefault="007356FE">
      <w:pPr>
        <w:rPr>
          <w:rFonts w:ascii="Times New Roman" w:hAnsi="Times New Roman" w:cs="Times New Roman"/>
          <w:lang w:val="en-AU"/>
        </w:rPr>
      </w:pPr>
    </w:p>
    <w:p w14:paraId="2232BF60" w14:textId="77777777" w:rsidR="007356FE" w:rsidRDefault="007356FE">
      <w:pPr>
        <w:rPr>
          <w:rFonts w:ascii="Times New Roman" w:hAnsi="Times New Roman" w:cs="Times New Roman"/>
          <w:lang w:val="en-AU"/>
        </w:rPr>
      </w:pPr>
      <w:r w:rsidRPr="00262C6B">
        <w:rPr>
          <w:rFonts w:ascii="Times New Roman" w:hAnsi="Times New Roman" w:cs="Times New Roman"/>
          <w:b/>
          <w:lang w:val="en-AU"/>
        </w:rPr>
        <w:t>Supplementary Table 1</w:t>
      </w:r>
      <w:r>
        <w:rPr>
          <w:rFonts w:ascii="Times New Roman" w:hAnsi="Times New Roman" w:cs="Times New Roman"/>
          <w:lang w:val="en-AU"/>
        </w:rPr>
        <w:t>: Baseline characteristics of studied c-</w:t>
      </w:r>
      <w:proofErr w:type="spellStart"/>
      <w:r>
        <w:rPr>
          <w:rFonts w:ascii="Times New Roman" w:hAnsi="Times New Roman" w:cs="Times New Roman"/>
          <w:lang w:val="en-AU"/>
        </w:rPr>
        <w:t>TREnd</w:t>
      </w:r>
      <w:proofErr w:type="spellEnd"/>
      <w:r>
        <w:rPr>
          <w:rFonts w:ascii="Times New Roman" w:hAnsi="Times New Roman" w:cs="Times New Roman"/>
          <w:lang w:val="en-AU"/>
        </w:rPr>
        <w:t xml:space="preserve"> biomarker population – including all patients with at least one sample available for analysis at any timepoint(s), compared to the overall original </w:t>
      </w:r>
      <w:proofErr w:type="spellStart"/>
      <w:r>
        <w:rPr>
          <w:rFonts w:ascii="Times New Roman" w:hAnsi="Times New Roman" w:cs="Times New Roman"/>
          <w:lang w:val="en-AU"/>
        </w:rPr>
        <w:t>TREnd</w:t>
      </w:r>
      <w:proofErr w:type="spellEnd"/>
      <w:r>
        <w:rPr>
          <w:rFonts w:ascii="Times New Roman" w:hAnsi="Times New Roman" w:cs="Times New Roman"/>
          <w:lang w:val="en-AU"/>
        </w:rPr>
        <w:t xml:space="preserve"> cohort. Fisher exact test was used to calculate p-values.</w:t>
      </w:r>
    </w:p>
    <w:p w14:paraId="4C1B9757" w14:textId="77777777" w:rsidR="007356FE" w:rsidRDefault="007356FE">
      <w:bookmarkStart w:id="0" w:name="_GoBack"/>
      <w:bookmarkEnd w:id="0"/>
      <w:r>
        <w:rPr>
          <w:rFonts w:ascii="Times New Roman" w:hAnsi="Times New Roman" w:cs="Times New Roman"/>
          <w:lang w:val="en-AU"/>
        </w:rPr>
        <w:t xml:space="preserve">*Denotes patients included in intention-to-treat population of </w:t>
      </w:r>
      <w:proofErr w:type="spellStart"/>
      <w:r>
        <w:rPr>
          <w:rFonts w:ascii="Times New Roman" w:hAnsi="Times New Roman" w:cs="Times New Roman"/>
          <w:lang w:val="en-AU"/>
        </w:rPr>
        <w:t>TREnd</w:t>
      </w:r>
      <w:proofErr w:type="spellEnd"/>
      <w:r>
        <w:rPr>
          <w:rFonts w:ascii="Times New Roman" w:hAnsi="Times New Roman" w:cs="Times New Roman"/>
          <w:lang w:val="en-AU"/>
        </w:rPr>
        <w:t xml:space="preserve">, despite breach of eligibility criteria (discovered post-enrolment). </w:t>
      </w:r>
    </w:p>
    <w:p w14:paraId="5989BE5E" w14:textId="77777777" w:rsidR="007356FE" w:rsidRDefault="007356FE"/>
    <w:sectPr w:rsidR="007356FE" w:rsidSect="0037145C">
      <w:pgSz w:w="11906" w:h="16838"/>
      <w:pgMar w:top="1417" w:right="1440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oNotTrackMoves/>
  <w:defaultTabStop w:val="720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8F9"/>
    <w:rsid w:val="00262C6B"/>
    <w:rsid w:val="002642D1"/>
    <w:rsid w:val="0037145C"/>
    <w:rsid w:val="00481CD1"/>
    <w:rsid w:val="005D0774"/>
    <w:rsid w:val="005E5AFF"/>
    <w:rsid w:val="006C687E"/>
    <w:rsid w:val="007356FE"/>
    <w:rsid w:val="007360D8"/>
    <w:rsid w:val="007C68F9"/>
    <w:rsid w:val="009E0DC2"/>
    <w:rsid w:val="00C85BC7"/>
    <w:rsid w:val="00D5687D"/>
    <w:rsid w:val="00E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5CD47E"/>
  <w15:docId w15:val="{F9A152B1-A752-CB42-A638-86FC8BC2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45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37145C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145C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List">
    <w:name w:val="List"/>
    <w:basedOn w:val="BodyText"/>
    <w:uiPriority w:val="99"/>
    <w:rsid w:val="0037145C"/>
    <w:rPr>
      <w:rFonts w:cs="Lohit Devanagari"/>
    </w:rPr>
  </w:style>
  <w:style w:type="paragraph" w:styleId="Caption">
    <w:name w:val="caption"/>
    <w:basedOn w:val="Normal"/>
    <w:uiPriority w:val="99"/>
    <w:qFormat/>
    <w:rsid w:val="0037145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rsid w:val="0037145C"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99"/>
    <w:rsid w:val="00C8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D0774"/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D07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>usl4 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characteristic</dc:title>
  <dc:subject/>
  <dc:creator>Amelia McCartney</dc:creator>
  <cp:keywords/>
  <dc:description/>
  <cp:lastModifiedBy>Amelia McCartney</cp:lastModifiedBy>
  <cp:revision>5</cp:revision>
  <dcterms:created xsi:type="dcterms:W3CDTF">2019-09-04T08:32:00Z</dcterms:created>
  <dcterms:modified xsi:type="dcterms:W3CDTF">2019-10-05T08:02:00Z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