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2D" w:rsidRPr="001674A6" w:rsidRDefault="0052422D" w:rsidP="0052422D">
      <w:pPr>
        <w:spacing w:line="480" w:lineRule="auto"/>
        <w:rPr>
          <w:rFonts w:ascii="Arial" w:hAnsi="Arial" w:cs="Arial"/>
          <w:b/>
        </w:rPr>
      </w:pPr>
      <w:r w:rsidRPr="001674A6">
        <w:rPr>
          <w:rFonts w:ascii="Arial" w:hAnsi="Arial" w:cs="Arial"/>
          <w:b/>
        </w:rPr>
        <w:t>Supplementary Figure legends.</w:t>
      </w:r>
    </w:p>
    <w:p w:rsidR="0052422D" w:rsidRPr="001674A6" w:rsidRDefault="0052422D" w:rsidP="0052422D">
      <w:pPr>
        <w:spacing w:line="480" w:lineRule="auto"/>
        <w:rPr>
          <w:rFonts w:ascii="Arial" w:hAnsi="Arial" w:cs="Arial"/>
        </w:rPr>
      </w:pPr>
      <w:r w:rsidRPr="001674A6">
        <w:rPr>
          <w:rFonts w:ascii="Arial" w:hAnsi="Arial" w:cs="Arial"/>
          <w:b/>
        </w:rPr>
        <w:t>Figure S1. PARP inhibitors restore sensitivity to temozolomide in MSH6-inactivated, temozolomide resistant glioblastoma cells.</w:t>
      </w:r>
      <w:r w:rsidRPr="001674A6">
        <w:rPr>
          <w:rFonts w:ascii="Arial" w:hAnsi="Arial" w:cs="Arial"/>
        </w:rPr>
        <w:t xml:space="preserve"> (A-D) Cell viability assay for temozolomide (TMZ) dose response in glioblastoma cells engineered with </w:t>
      </w:r>
      <w:proofErr w:type="spellStart"/>
      <w:r w:rsidRPr="001674A6">
        <w:rPr>
          <w:rFonts w:ascii="Arial" w:hAnsi="Arial" w:cs="Arial"/>
        </w:rPr>
        <w:t>shNS</w:t>
      </w:r>
      <w:proofErr w:type="spellEnd"/>
      <w:r w:rsidRPr="001674A6">
        <w:rPr>
          <w:rFonts w:ascii="Arial" w:hAnsi="Arial" w:cs="Arial"/>
        </w:rPr>
        <w:t xml:space="preserve"> or shMSH6</w:t>
      </w:r>
      <w:r>
        <w:rPr>
          <w:rFonts w:ascii="Arial" w:hAnsi="Arial" w:cs="Arial" w:hint="eastAsia"/>
          <w:lang w:eastAsia="ja-JP"/>
        </w:rPr>
        <w:t>n</w:t>
      </w:r>
      <w:r>
        <w:rPr>
          <w:rFonts w:ascii="Arial" w:hAnsi="Arial" w:cs="Arial"/>
          <w:lang w:eastAsia="ja-JP"/>
        </w:rPr>
        <w:t>o.1</w:t>
      </w:r>
      <w:r w:rsidRPr="001674A6">
        <w:rPr>
          <w:rFonts w:ascii="Arial" w:hAnsi="Arial" w:cs="Arial"/>
        </w:rPr>
        <w:t xml:space="preserve"> lentivirus. Cells were treated with specified concentrations of TMZ, and cell viability was evaluated by Cell Titer Glo on day6. (</w:t>
      </w:r>
      <w:r>
        <w:rPr>
          <w:rFonts w:ascii="Arial" w:hAnsi="Arial" w:cs="Arial"/>
        </w:rPr>
        <w:t>D</w:t>
      </w:r>
      <w:r w:rsidRPr="001674A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</w:t>
      </w:r>
      <w:r w:rsidRPr="001674A6">
        <w:rPr>
          <w:rFonts w:ascii="Arial" w:hAnsi="Arial" w:cs="Arial"/>
        </w:rPr>
        <w:t xml:space="preserve">atient-derived GBM sphere </w:t>
      </w:r>
      <w:proofErr w:type="gramStart"/>
      <w:r w:rsidRPr="001674A6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 xml:space="preserve"> (</w:t>
      </w:r>
      <w:proofErr w:type="gramEnd"/>
      <w:r w:rsidRPr="001674A6">
        <w:rPr>
          <w:rFonts w:ascii="Arial" w:hAnsi="Arial" w:cs="Arial"/>
        </w:rPr>
        <w:t>MGG</w:t>
      </w:r>
      <w:r>
        <w:rPr>
          <w:rFonts w:ascii="Arial" w:hAnsi="Arial" w:cs="Arial"/>
        </w:rPr>
        <w:t>4</w:t>
      </w:r>
      <w:r w:rsidRPr="001674A6">
        <w:rPr>
          <w:rFonts w:ascii="Arial" w:hAnsi="Arial" w:cs="Arial"/>
        </w:rPr>
        <w:t>) w</w:t>
      </w:r>
      <w:r>
        <w:rPr>
          <w:rFonts w:ascii="Arial" w:hAnsi="Arial" w:cs="Arial"/>
        </w:rPr>
        <w:t>as</w:t>
      </w:r>
      <w:r w:rsidRPr="001674A6">
        <w:rPr>
          <w:rFonts w:ascii="Arial" w:hAnsi="Arial" w:cs="Arial"/>
        </w:rPr>
        <w:t xml:space="preserve"> engineered with a non-targeting shRNA (</w:t>
      </w:r>
      <w:proofErr w:type="spellStart"/>
      <w:r w:rsidRPr="001674A6">
        <w:rPr>
          <w:rFonts w:ascii="Arial" w:hAnsi="Arial" w:cs="Arial"/>
        </w:rPr>
        <w:t>shNS</w:t>
      </w:r>
      <w:proofErr w:type="spellEnd"/>
      <w:r w:rsidRPr="001674A6">
        <w:rPr>
          <w:rFonts w:ascii="Arial" w:hAnsi="Arial" w:cs="Arial"/>
        </w:rPr>
        <w:t>) or MSH6-directed shRNA (shMSH6</w:t>
      </w:r>
      <w:r>
        <w:rPr>
          <w:rFonts w:ascii="Arial" w:hAnsi="Arial" w:cs="Arial"/>
        </w:rPr>
        <w:t>no.1</w:t>
      </w:r>
      <w:r w:rsidRPr="001674A6">
        <w:rPr>
          <w:rFonts w:ascii="Arial" w:hAnsi="Arial" w:cs="Arial"/>
        </w:rPr>
        <w:t>) lentivirus. Immunoblot confirmed MSH6 knockdown, with Actin as a loading control. Cells were treated with temozolomide (TMZ)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>, Veliparib</w:t>
      </w:r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</w:t>
      </w:r>
      <w:r w:rsidRPr="001674A6">
        <w:rPr>
          <w:rFonts w:ascii="Arial" w:hAnsi="Arial" w:cs="Arial"/>
        </w:rPr>
        <w:t xml:space="preserve">or TMZ combination with Veliparib, and cell viability was evaluated by Cell Titer Glo on day 6. </w:t>
      </w:r>
      <w:r>
        <w:rPr>
          <w:rFonts w:ascii="Arial" w:hAnsi="Arial" w:cs="Arial"/>
        </w:rPr>
        <w:t>*</w:t>
      </w:r>
      <w:r w:rsidRPr="001674A6">
        <w:rPr>
          <w:rFonts w:ascii="Arial" w:hAnsi="Arial" w:cs="Arial"/>
        </w:rPr>
        <w:t xml:space="preserve">P&lt;0.0001(student </w:t>
      </w:r>
      <w:r w:rsidRPr="001674A6">
        <w:rPr>
          <w:rFonts w:ascii="Arial" w:hAnsi="Arial" w:cs="Arial"/>
          <w:i/>
        </w:rPr>
        <w:t>t</w:t>
      </w:r>
      <w:r w:rsidRPr="001674A6">
        <w:rPr>
          <w:rFonts w:ascii="Arial" w:hAnsi="Arial" w:cs="Arial"/>
        </w:rPr>
        <w:t>-test) (</w:t>
      </w:r>
      <w:proofErr w:type="gramStart"/>
      <w:r>
        <w:rPr>
          <w:rFonts w:ascii="Arial" w:hAnsi="Arial" w:cs="Arial"/>
        </w:rPr>
        <w:t>F,</w:t>
      </w:r>
      <w:r w:rsidRPr="001674A6">
        <w:rPr>
          <w:rFonts w:ascii="Arial" w:hAnsi="Arial" w:cs="Arial"/>
        </w:rPr>
        <w:t>H</w:t>
      </w:r>
      <w:proofErr w:type="gramEnd"/>
      <w:r w:rsidRPr="001674A6">
        <w:rPr>
          <w:rFonts w:ascii="Arial" w:hAnsi="Arial" w:cs="Arial"/>
        </w:rPr>
        <w:t>) Glioblastoma (GBM) cell lines (LN229 and Gli36) were engineered with MSH6-directed shRNA (shMSH6</w:t>
      </w:r>
      <w:r>
        <w:rPr>
          <w:rFonts w:ascii="Arial" w:hAnsi="Arial" w:cs="Arial"/>
        </w:rPr>
        <w:t>no.2</w:t>
      </w:r>
      <w:r w:rsidRPr="001674A6">
        <w:rPr>
          <w:rFonts w:ascii="Arial" w:hAnsi="Arial" w:cs="Arial"/>
        </w:rPr>
        <w:t>) lentivirus. Immunoblot confirmed MSH6 knockdown, with Actin as a loading control. Cells were treated with specified concentrations of TMZ, and cell viability was evaluated by Cell Titer Glo on day 6. (</w:t>
      </w:r>
      <w:proofErr w:type="gramStart"/>
      <w:r>
        <w:rPr>
          <w:rFonts w:ascii="Arial" w:hAnsi="Arial" w:cs="Arial"/>
        </w:rPr>
        <w:t>G,</w:t>
      </w:r>
      <w:r w:rsidRPr="001674A6">
        <w:rPr>
          <w:rFonts w:ascii="Arial" w:hAnsi="Arial" w:cs="Arial"/>
        </w:rPr>
        <w:t>I</w:t>
      </w:r>
      <w:proofErr w:type="gramEnd"/>
      <w:r w:rsidRPr="001674A6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shNS</w:t>
      </w:r>
      <w:proofErr w:type="spellEnd"/>
      <w:r>
        <w:rPr>
          <w:rFonts w:ascii="Arial" w:hAnsi="Arial" w:cs="Arial"/>
        </w:rPr>
        <w:t xml:space="preserve"> and shMSH6no.2</w:t>
      </w:r>
      <w:r w:rsidRPr="001674A6">
        <w:rPr>
          <w:rFonts w:ascii="Arial" w:hAnsi="Arial" w:cs="Arial"/>
        </w:rPr>
        <w:t xml:space="preserve"> cells were treated with temozolomide (TMZ), Veliparib</w:t>
      </w:r>
      <w:r>
        <w:rPr>
          <w:rFonts w:ascii="Arial" w:hAnsi="Arial" w:cs="Arial"/>
        </w:rPr>
        <w:t>/</w:t>
      </w:r>
      <w:proofErr w:type="spellStart"/>
      <w:r w:rsidRPr="001674A6">
        <w:rPr>
          <w:rFonts w:ascii="Arial" w:hAnsi="Arial" w:cs="Arial"/>
        </w:rPr>
        <w:t>Olaparib</w:t>
      </w:r>
      <w:proofErr w:type="spellEnd"/>
      <w:r w:rsidRPr="001674A6">
        <w:rPr>
          <w:rFonts w:ascii="Arial" w:hAnsi="Arial" w:cs="Arial"/>
        </w:rPr>
        <w:t xml:space="preserve"> or TMZ combination with Veliparib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Olaparib</w:t>
      </w:r>
      <w:proofErr w:type="spellEnd"/>
      <w:r w:rsidRPr="001674A6">
        <w:rPr>
          <w:rFonts w:ascii="Arial" w:hAnsi="Arial" w:cs="Arial"/>
        </w:rPr>
        <w:t xml:space="preserve">, and cell viability was evaluated by Cell Titer Glo on day 6. </w:t>
      </w:r>
      <w:r>
        <w:rPr>
          <w:rFonts w:ascii="Arial" w:hAnsi="Arial" w:cs="Arial"/>
        </w:rPr>
        <w:t>G</w:t>
      </w:r>
      <w:r w:rsidRPr="001674A6">
        <w:rPr>
          <w:rFonts w:ascii="Arial" w:hAnsi="Arial" w:cs="Arial"/>
        </w:rPr>
        <w:t xml:space="preserve">: LN229 (TMZ 200 </w:t>
      </w:r>
      <w:proofErr w:type="spellStart"/>
      <w:r>
        <w:rPr>
          <w:rFonts w:ascii="Arial" w:hAnsi="Arial" w:cs="Arial"/>
        </w:rPr>
        <w:t>u</w:t>
      </w:r>
      <w:r w:rsidRPr="001674A6">
        <w:rPr>
          <w:rFonts w:ascii="Arial" w:hAnsi="Arial" w:cs="Arial"/>
        </w:rPr>
        <w:t>M</w:t>
      </w:r>
      <w:proofErr w:type="spellEnd"/>
      <w:r w:rsidRPr="001674A6">
        <w:rPr>
          <w:rFonts w:ascii="Arial" w:hAnsi="Arial" w:cs="Arial"/>
        </w:rPr>
        <w:t xml:space="preserve">, Veliparib 3 </w:t>
      </w:r>
      <w:proofErr w:type="spellStart"/>
      <w:r>
        <w:rPr>
          <w:rFonts w:ascii="Arial" w:hAnsi="Arial" w:cs="Arial"/>
        </w:rPr>
        <w:t>u</w:t>
      </w:r>
      <w:r w:rsidRPr="001674A6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Olaparib</w:t>
      </w:r>
      <w:proofErr w:type="spellEnd"/>
      <w:r>
        <w:rPr>
          <w:rFonts w:ascii="Arial" w:hAnsi="Arial" w:cs="Arial"/>
        </w:rPr>
        <w:t xml:space="preserve"> 1uM</w:t>
      </w:r>
      <w:r w:rsidRPr="001674A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</w:t>
      </w:r>
      <w:r w:rsidRPr="001674A6">
        <w:rPr>
          <w:rFonts w:ascii="Arial" w:hAnsi="Arial" w:cs="Arial"/>
        </w:rPr>
        <w:t xml:space="preserve">: Gli36 (TMZ 30 </w:t>
      </w:r>
      <w:proofErr w:type="spellStart"/>
      <w:r>
        <w:rPr>
          <w:rFonts w:ascii="Arial" w:hAnsi="Arial" w:cs="Arial"/>
        </w:rPr>
        <w:t>u</w:t>
      </w:r>
      <w:r w:rsidRPr="001674A6">
        <w:rPr>
          <w:rFonts w:ascii="Arial" w:hAnsi="Arial" w:cs="Arial"/>
        </w:rPr>
        <w:t>M</w:t>
      </w:r>
      <w:proofErr w:type="spellEnd"/>
      <w:r w:rsidRPr="001674A6">
        <w:rPr>
          <w:rFonts w:ascii="Arial" w:hAnsi="Arial" w:cs="Arial"/>
        </w:rPr>
        <w:t xml:space="preserve">, Veliparib 1 </w:t>
      </w:r>
      <w:proofErr w:type="spellStart"/>
      <w:r>
        <w:rPr>
          <w:rFonts w:ascii="Arial" w:hAnsi="Arial" w:cs="Arial"/>
        </w:rPr>
        <w:t>u</w:t>
      </w:r>
      <w:r w:rsidRPr="001674A6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Olaparib</w:t>
      </w:r>
      <w:proofErr w:type="spellEnd"/>
      <w:r>
        <w:rPr>
          <w:rFonts w:ascii="Arial" w:hAnsi="Arial" w:cs="Arial"/>
        </w:rPr>
        <w:t xml:space="preserve"> 0.5 </w:t>
      </w:r>
      <w:proofErr w:type="spellStart"/>
      <w:r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>) *P&lt;0.05, **P&lt;0.0</w:t>
      </w:r>
      <w:r>
        <w:rPr>
          <w:rFonts w:ascii="Arial" w:hAnsi="Arial" w:cs="Arial"/>
        </w:rPr>
        <w:t>1</w:t>
      </w:r>
      <w:r w:rsidRPr="001674A6">
        <w:rPr>
          <w:rFonts w:ascii="Arial" w:hAnsi="Arial" w:cs="Arial"/>
        </w:rPr>
        <w:t>, ***P&lt;0.001</w:t>
      </w:r>
      <w:r>
        <w:rPr>
          <w:rFonts w:ascii="Arial" w:hAnsi="Arial" w:cs="Arial"/>
        </w:rPr>
        <w:t xml:space="preserve">, ****P&lt;0.0001 </w:t>
      </w:r>
      <w:r w:rsidRPr="001674A6">
        <w:rPr>
          <w:rFonts w:ascii="Arial" w:hAnsi="Arial" w:cs="Arial"/>
        </w:rPr>
        <w:t xml:space="preserve">(student </w:t>
      </w:r>
      <w:r w:rsidRPr="001674A6">
        <w:rPr>
          <w:rFonts w:ascii="Arial" w:hAnsi="Arial" w:cs="Arial"/>
          <w:i/>
        </w:rPr>
        <w:t>t</w:t>
      </w:r>
      <w:r w:rsidRPr="001674A6">
        <w:rPr>
          <w:rFonts w:ascii="Arial" w:hAnsi="Arial" w:cs="Arial"/>
        </w:rPr>
        <w:t>-test).</w:t>
      </w:r>
    </w:p>
    <w:p w:rsidR="0052422D" w:rsidRDefault="0052422D" w:rsidP="0052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(J)</w:t>
      </w:r>
      <w:r w:rsidRPr="001674A6">
        <w:rPr>
          <w:rFonts w:ascii="Arial" w:hAnsi="Arial" w:cs="Arial"/>
        </w:rPr>
        <w:t xml:space="preserve"> Cell viability assay for Veliparib</w:t>
      </w:r>
      <w:r>
        <w:rPr>
          <w:rFonts w:ascii="Arial" w:hAnsi="Arial" w:cs="Arial"/>
        </w:rPr>
        <w:t>(left)/</w:t>
      </w:r>
      <w:proofErr w:type="spellStart"/>
      <w:r>
        <w:rPr>
          <w:rFonts w:ascii="Arial" w:hAnsi="Arial" w:cs="Arial"/>
        </w:rPr>
        <w:t>Olaparib</w:t>
      </w:r>
      <w:proofErr w:type="spellEnd"/>
      <w:r>
        <w:rPr>
          <w:rFonts w:ascii="Arial" w:hAnsi="Arial" w:cs="Arial"/>
        </w:rPr>
        <w:t>(right)</w:t>
      </w:r>
      <w:r w:rsidRPr="001674A6">
        <w:rPr>
          <w:rFonts w:ascii="Arial" w:hAnsi="Arial" w:cs="Arial"/>
        </w:rPr>
        <w:t xml:space="preserve"> dose response in LN229shNS and LN229shMSH6</w:t>
      </w:r>
      <w:r>
        <w:rPr>
          <w:rFonts w:ascii="Arial" w:hAnsi="Arial" w:cs="Arial"/>
        </w:rPr>
        <w:t>no.2</w:t>
      </w:r>
      <w:r w:rsidRPr="001674A6">
        <w:rPr>
          <w:rFonts w:ascii="Arial" w:hAnsi="Arial" w:cs="Arial"/>
        </w:rPr>
        <w:t xml:space="preserve">. Cell viability was evaluated by Cell Titer Glo on day 6. </w:t>
      </w:r>
    </w:p>
    <w:p w:rsidR="0052422D" w:rsidRPr="001674A6" w:rsidRDefault="0052422D" w:rsidP="0052422D">
      <w:pPr>
        <w:spacing w:line="480" w:lineRule="auto"/>
        <w:rPr>
          <w:rFonts w:ascii="Arial" w:hAnsi="Arial" w:cs="Arial"/>
        </w:rPr>
      </w:pPr>
    </w:p>
    <w:p w:rsidR="0052422D" w:rsidRPr="001674A6" w:rsidRDefault="0052422D" w:rsidP="0052422D">
      <w:pPr>
        <w:spacing w:line="480" w:lineRule="auto"/>
        <w:rPr>
          <w:rFonts w:ascii="Arial" w:hAnsi="Arial" w:cs="Arial"/>
        </w:rPr>
      </w:pPr>
      <w:r w:rsidRPr="001674A6">
        <w:rPr>
          <w:rFonts w:ascii="Arial" w:hAnsi="Arial" w:cs="Arial"/>
          <w:b/>
        </w:rPr>
        <w:t xml:space="preserve">Figure S2. XRCC1 inactivation does not restore the sensitivity to TMZ in MSH6-deficient cells. </w:t>
      </w:r>
      <w:r w:rsidRPr="001674A6">
        <w:rPr>
          <w:rFonts w:ascii="Arial" w:hAnsi="Arial" w:cs="Arial"/>
        </w:rPr>
        <w:t xml:space="preserve">(A, B) TMZ dose response in LN229shNS, LN229shMSH6, LN229shXRCC1, LN229shMSH6/XRCC1 (dual knockdown) cells. A, shXRCC1-1; B, shXRCC1-2. Cell viability was evaluated by Cell Titer Glo on day 6. (C) Veliparib (left) or </w:t>
      </w:r>
      <w:proofErr w:type="spellStart"/>
      <w:r w:rsidRPr="001674A6">
        <w:rPr>
          <w:rFonts w:ascii="Arial" w:hAnsi="Arial" w:cs="Arial"/>
        </w:rPr>
        <w:t>Olaparib</w:t>
      </w:r>
      <w:proofErr w:type="spellEnd"/>
      <w:r w:rsidRPr="001674A6">
        <w:rPr>
          <w:rFonts w:ascii="Arial" w:hAnsi="Arial" w:cs="Arial"/>
        </w:rPr>
        <w:t xml:space="preserve"> (right) dose response in LN229shNS, LN229shMSH6, LN229shXRCC1, and LN229shMSH6/XRCC1 (dual knockdown) cells. Cell viability was evaluated by Cell Titer Glo on day 6.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D,E</w:t>
      </w:r>
      <w:proofErr w:type="gramEnd"/>
      <w:r>
        <w:rPr>
          <w:rFonts w:ascii="Arial" w:hAnsi="Arial" w:cs="Arial"/>
        </w:rPr>
        <w:t xml:space="preserve">) </w:t>
      </w:r>
      <w:r w:rsidRPr="001674A6">
        <w:rPr>
          <w:rFonts w:ascii="Arial" w:hAnsi="Arial" w:cs="Arial"/>
        </w:rPr>
        <w:t>MSH6 knockdown (shMSH6</w:t>
      </w:r>
      <w:r>
        <w:rPr>
          <w:rFonts w:ascii="Arial" w:hAnsi="Arial" w:cs="Arial" w:hint="eastAsia"/>
          <w:lang w:eastAsia="ja-JP"/>
        </w:rPr>
        <w:t>n</w:t>
      </w:r>
      <w:r>
        <w:rPr>
          <w:rFonts w:ascii="Arial" w:hAnsi="Arial" w:cs="Arial"/>
          <w:lang w:eastAsia="ja-JP"/>
        </w:rPr>
        <w:t>o.2</w:t>
      </w:r>
      <w:r w:rsidRPr="001674A6">
        <w:rPr>
          <w:rFonts w:ascii="Arial" w:hAnsi="Arial" w:cs="Arial"/>
        </w:rPr>
        <w:t xml:space="preserve">) LN229 cells were treated with TMZ (200 </w:t>
      </w:r>
      <w:proofErr w:type="spellStart"/>
      <w:r w:rsidRPr="001674A6"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 xml:space="preserve">), APE inhibitor (1 </w:t>
      </w:r>
      <w:proofErr w:type="spellStart"/>
      <w:r w:rsidRPr="001674A6"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D</w:t>
      </w:r>
      <w:r w:rsidRPr="001674A6">
        <w:rPr>
          <w:rFonts w:ascii="Arial" w:hAnsi="Arial" w:cs="Arial"/>
        </w:rPr>
        <w:t xml:space="preserve">), </w:t>
      </w:r>
      <w:proofErr w:type="spellStart"/>
      <w:r w:rsidRPr="001674A6">
        <w:rPr>
          <w:rFonts w:ascii="Arial" w:hAnsi="Arial" w:cs="Arial"/>
        </w:rPr>
        <w:t>MeOX</w:t>
      </w:r>
      <w:proofErr w:type="spellEnd"/>
      <w:r w:rsidRPr="001674A6">
        <w:rPr>
          <w:rFonts w:ascii="Arial" w:hAnsi="Arial" w:cs="Arial"/>
        </w:rPr>
        <w:t xml:space="preserve"> (3 mM, in </w:t>
      </w:r>
      <w:r>
        <w:rPr>
          <w:rFonts w:ascii="Arial" w:hAnsi="Arial" w:cs="Arial"/>
        </w:rPr>
        <w:t>E</w:t>
      </w:r>
      <w:r w:rsidRPr="001674A6">
        <w:rPr>
          <w:rFonts w:ascii="Arial" w:hAnsi="Arial" w:cs="Arial"/>
        </w:rPr>
        <w:t>), or TMZ combination with APE inhibitor (</w:t>
      </w:r>
      <w:r>
        <w:rPr>
          <w:rFonts w:ascii="Arial" w:hAnsi="Arial" w:cs="Arial"/>
        </w:rPr>
        <w:t>D</w:t>
      </w:r>
      <w:r w:rsidRPr="001674A6">
        <w:rPr>
          <w:rFonts w:ascii="Arial" w:hAnsi="Arial" w:cs="Arial"/>
        </w:rPr>
        <w:t xml:space="preserve">) or </w:t>
      </w:r>
      <w:proofErr w:type="spellStart"/>
      <w:r w:rsidRPr="001674A6">
        <w:rPr>
          <w:rFonts w:ascii="Arial" w:hAnsi="Arial" w:cs="Arial"/>
        </w:rPr>
        <w:t>MeOX</w:t>
      </w:r>
      <w:proofErr w:type="spellEnd"/>
      <w:r w:rsidRPr="001674A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</w:t>
      </w:r>
      <w:r w:rsidRPr="001674A6">
        <w:rPr>
          <w:rFonts w:ascii="Arial" w:hAnsi="Arial" w:cs="Arial"/>
        </w:rPr>
        <w:t xml:space="preserve">). Cell viability was evaluated by Cell Titer Glo on day 6.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F,G</w:t>
      </w:r>
      <w:proofErr w:type="gramEnd"/>
      <w:r>
        <w:rPr>
          <w:rFonts w:ascii="Arial" w:hAnsi="Arial" w:cs="Arial"/>
        </w:rPr>
        <w:t>) Same experiments as B and C using Gli36shMSH6no.2.</w:t>
      </w:r>
      <w:r w:rsidRPr="002A2340">
        <w:rPr>
          <w:rFonts w:ascii="Arial" w:hAnsi="Arial" w:cs="Arial"/>
        </w:rPr>
        <w:t xml:space="preserve"> </w:t>
      </w:r>
      <w:r w:rsidRPr="001674A6">
        <w:rPr>
          <w:rFonts w:ascii="Arial" w:hAnsi="Arial" w:cs="Arial"/>
        </w:rPr>
        <w:t>TMZ (</w:t>
      </w:r>
      <w:r>
        <w:rPr>
          <w:rFonts w:ascii="Arial" w:hAnsi="Arial" w:cs="Arial"/>
        </w:rPr>
        <w:t>3</w:t>
      </w:r>
      <w:r w:rsidRPr="001674A6">
        <w:rPr>
          <w:rFonts w:ascii="Arial" w:hAnsi="Arial" w:cs="Arial"/>
        </w:rPr>
        <w:t xml:space="preserve">0 </w:t>
      </w:r>
      <w:proofErr w:type="spellStart"/>
      <w:r w:rsidRPr="001674A6"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 xml:space="preserve">), APE inhibitor (1 </w:t>
      </w:r>
      <w:proofErr w:type="spellStart"/>
      <w:r w:rsidRPr="001674A6">
        <w:rPr>
          <w:rFonts w:ascii="Arial" w:hAnsi="Arial" w:cs="Arial"/>
        </w:rPr>
        <w:t>uM</w:t>
      </w:r>
      <w:proofErr w:type="spellEnd"/>
      <w:r w:rsidRPr="001674A6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F</w:t>
      </w:r>
      <w:r w:rsidRPr="001674A6">
        <w:rPr>
          <w:rFonts w:ascii="Arial" w:hAnsi="Arial" w:cs="Arial"/>
        </w:rPr>
        <w:t xml:space="preserve">), </w:t>
      </w:r>
      <w:proofErr w:type="spellStart"/>
      <w:r w:rsidRPr="001674A6">
        <w:rPr>
          <w:rFonts w:ascii="Arial" w:hAnsi="Arial" w:cs="Arial"/>
        </w:rPr>
        <w:t>MeOX</w:t>
      </w:r>
      <w:proofErr w:type="spellEnd"/>
      <w:r w:rsidRPr="001674A6">
        <w:rPr>
          <w:rFonts w:ascii="Arial" w:hAnsi="Arial" w:cs="Arial"/>
        </w:rPr>
        <w:t xml:space="preserve"> (3 mM, in </w:t>
      </w:r>
      <w:r>
        <w:rPr>
          <w:rFonts w:ascii="Arial" w:hAnsi="Arial" w:cs="Arial"/>
        </w:rPr>
        <w:t>G</w:t>
      </w:r>
      <w:r w:rsidRPr="001674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52422D" w:rsidRPr="001674A6" w:rsidRDefault="0052422D" w:rsidP="0052422D">
      <w:pPr>
        <w:spacing w:line="480" w:lineRule="auto"/>
        <w:rPr>
          <w:rFonts w:ascii="Arial" w:hAnsi="Arial" w:cs="Arial"/>
          <w:b/>
        </w:rPr>
      </w:pPr>
      <w:r w:rsidRPr="001674A6">
        <w:rPr>
          <w:rFonts w:ascii="Arial" w:hAnsi="Arial" w:cs="Arial"/>
          <w:b/>
        </w:rPr>
        <w:t xml:space="preserve"> </w:t>
      </w:r>
    </w:p>
    <w:p w:rsidR="0052422D" w:rsidRDefault="0052422D" w:rsidP="0052422D">
      <w:pPr>
        <w:spacing w:line="480" w:lineRule="auto"/>
        <w:rPr>
          <w:rFonts w:ascii="Arial" w:hAnsi="Arial" w:cs="Arial"/>
        </w:rPr>
      </w:pPr>
    </w:p>
    <w:p w:rsidR="00D216B0" w:rsidRPr="0052422D" w:rsidRDefault="00D216B0" w:rsidP="0052422D">
      <w:bookmarkStart w:id="0" w:name="_GoBack"/>
      <w:bookmarkEnd w:id="0"/>
    </w:p>
    <w:sectPr w:rsidR="00D216B0" w:rsidRPr="0052422D" w:rsidSect="001674A6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4C"/>
    <w:rsid w:val="003D3B4C"/>
    <w:rsid w:val="0052422D"/>
    <w:rsid w:val="00D216B0"/>
    <w:rsid w:val="00E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195C"/>
  <w15:chartTrackingRefBased/>
  <w15:docId w15:val="{FAA94E01-CB16-4F41-90E1-18B33B7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4C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Daniel P.,M.D.</dc:creator>
  <cp:keywords/>
  <dc:description/>
  <cp:lastModifiedBy>Cahill, Daniel P.,M.D.</cp:lastModifiedBy>
  <cp:revision>2</cp:revision>
  <dcterms:created xsi:type="dcterms:W3CDTF">2019-12-13T18:08:00Z</dcterms:created>
  <dcterms:modified xsi:type="dcterms:W3CDTF">2019-12-13T18:12:00Z</dcterms:modified>
</cp:coreProperties>
</file>