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F85" w:rsidRDefault="00E71F85" w:rsidP="00E71F85">
      <w:pPr>
        <w:pStyle w:val="Caption"/>
        <w:jc w:val="center"/>
        <w:rPr>
          <w:bCs w:val="0"/>
        </w:rPr>
      </w:pPr>
      <w:bookmarkStart w:id="0" w:name="_Ref429049393"/>
      <w:bookmarkStart w:id="1" w:name="_Toc438222297"/>
      <w:bookmarkStart w:id="2" w:name="_Toc439252341"/>
      <w:bookmarkStart w:id="3" w:name="_Toc440456064"/>
      <w:bookmarkStart w:id="4" w:name="_Toc441579241"/>
      <w:r w:rsidRPr="00F160A3">
        <w:rPr>
          <w:bCs w:val="0"/>
        </w:rPr>
        <w:t>WEB EXTRA MATERIA</w:t>
      </w:r>
      <w:r>
        <w:rPr>
          <w:bCs w:val="0"/>
        </w:rPr>
        <w:t>L</w:t>
      </w:r>
    </w:p>
    <w:p w:rsidR="00E71F85" w:rsidRPr="00F160A3" w:rsidRDefault="00E71F85" w:rsidP="00E71F85">
      <w:pPr>
        <w:spacing w:line="480" w:lineRule="auto"/>
      </w:pPr>
    </w:p>
    <w:p w:rsidR="00E71F85" w:rsidRPr="00923003" w:rsidRDefault="00E71F85" w:rsidP="00E71F85">
      <w:pPr>
        <w:pStyle w:val="Caption"/>
        <w:rPr>
          <w:b w:val="0"/>
          <w:i/>
          <w:sz w:val="20"/>
        </w:rPr>
      </w:pPr>
      <w:bookmarkStart w:id="5" w:name="_GoBack"/>
      <w:bookmarkEnd w:id="5"/>
      <w:r w:rsidRPr="00F160A3">
        <w:rPr>
          <w:sz w:val="20"/>
        </w:rPr>
        <w:t>Table A</w:t>
      </w:r>
      <w:r w:rsidRPr="00F160A3">
        <w:rPr>
          <w:sz w:val="20"/>
        </w:rPr>
        <w:fldChar w:fldCharType="begin"/>
      </w:r>
      <w:r w:rsidRPr="00F160A3">
        <w:rPr>
          <w:sz w:val="20"/>
        </w:rPr>
        <w:instrText xml:space="preserve"> SEQ Table_S \* ARABIC </w:instrText>
      </w:r>
      <w:r w:rsidRPr="00F160A3">
        <w:rPr>
          <w:sz w:val="20"/>
        </w:rPr>
        <w:fldChar w:fldCharType="separate"/>
      </w:r>
      <w:r>
        <w:rPr>
          <w:noProof/>
          <w:sz w:val="20"/>
        </w:rPr>
        <w:t>1</w:t>
      </w:r>
      <w:r w:rsidRPr="00F160A3">
        <w:rPr>
          <w:noProof/>
          <w:sz w:val="20"/>
        </w:rPr>
        <w:fldChar w:fldCharType="end"/>
      </w:r>
      <w:bookmarkEnd w:id="0"/>
      <w:r w:rsidRPr="00F160A3">
        <w:rPr>
          <w:sz w:val="20"/>
        </w:rPr>
        <w:t>. Study-Specific Modifications to RANO Criteria</w:t>
      </w:r>
      <w:bookmarkEnd w:id="1"/>
      <w:bookmarkEnd w:id="2"/>
      <w:bookmarkEnd w:id="3"/>
      <w:bookmarkEnd w:id="4"/>
      <w:r w:rsidRPr="00F160A3">
        <w:rPr>
          <w:sz w:val="20"/>
        </w:rPr>
        <w:t xml:space="preserve"> </w:t>
      </w:r>
      <w:r w:rsidRPr="00923003">
        <w:rPr>
          <w:i/>
          <w:sz w:val="20"/>
        </w:rPr>
        <w:t>Online only</w:t>
      </w:r>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6415"/>
        <w:gridCol w:w="3510"/>
      </w:tblGrid>
      <w:tr w:rsidR="00E71F85" w:rsidRPr="00E71F85" w:rsidTr="00D3471A">
        <w:trPr>
          <w:tblHeader/>
        </w:trPr>
        <w:tc>
          <w:tcPr>
            <w:tcW w:w="6415" w:type="dxa"/>
            <w:shd w:val="clear" w:color="auto" w:fill="auto"/>
            <w:vAlign w:val="center"/>
          </w:tcPr>
          <w:p w:rsidR="00E71F85" w:rsidRPr="00E71F85" w:rsidRDefault="00E71F85" w:rsidP="00D3471A">
            <w:pPr>
              <w:keepNext/>
              <w:jc w:val="center"/>
              <w:rPr>
                <w:b/>
                <w:sz w:val="18"/>
              </w:rPr>
            </w:pPr>
            <w:r w:rsidRPr="00E71F85">
              <w:rPr>
                <w:b/>
                <w:sz w:val="18"/>
              </w:rPr>
              <w:t>Criteria</w:t>
            </w:r>
          </w:p>
        </w:tc>
        <w:tc>
          <w:tcPr>
            <w:tcW w:w="3510" w:type="dxa"/>
            <w:shd w:val="clear" w:color="auto" w:fill="auto"/>
            <w:vAlign w:val="center"/>
          </w:tcPr>
          <w:p w:rsidR="00E71F85" w:rsidRPr="00E71F85" w:rsidRDefault="00E71F85" w:rsidP="00D3471A">
            <w:pPr>
              <w:keepNext/>
              <w:jc w:val="center"/>
              <w:rPr>
                <w:b/>
                <w:sz w:val="18"/>
              </w:rPr>
            </w:pPr>
            <w:r w:rsidRPr="00E71F85">
              <w:rPr>
                <w:b/>
                <w:sz w:val="18"/>
              </w:rPr>
              <w:t>Study-Specific Modification</w:t>
            </w:r>
          </w:p>
        </w:tc>
      </w:tr>
      <w:tr w:rsidR="00E71F85" w:rsidRPr="00E71F85" w:rsidTr="00D3471A">
        <w:tc>
          <w:tcPr>
            <w:tcW w:w="6415" w:type="dxa"/>
            <w:shd w:val="clear" w:color="auto" w:fill="auto"/>
          </w:tcPr>
          <w:p w:rsidR="00E71F85" w:rsidRPr="00E71F85" w:rsidRDefault="00E71F85" w:rsidP="00D3471A">
            <w:pPr>
              <w:rPr>
                <w:b/>
                <w:sz w:val="18"/>
              </w:rPr>
            </w:pPr>
            <w:r w:rsidRPr="00E71F85">
              <w:rPr>
                <w:b/>
                <w:sz w:val="18"/>
              </w:rPr>
              <w:t>General</w:t>
            </w:r>
          </w:p>
        </w:tc>
        <w:tc>
          <w:tcPr>
            <w:tcW w:w="3510" w:type="dxa"/>
            <w:shd w:val="clear" w:color="auto" w:fill="auto"/>
          </w:tcPr>
          <w:p w:rsidR="00E71F85" w:rsidRPr="00E71F85" w:rsidRDefault="00E71F85" w:rsidP="00D3471A">
            <w:pPr>
              <w:rPr>
                <w:sz w:val="18"/>
              </w:rPr>
            </w:pPr>
            <w:r w:rsidRPr="00E71F85">
              <w:rPr>
                <w:sz w:val="18"/>
              </w:rPr>
              <w:t>Corticosteroid dose assessed as the average dose over the seven (7) days prior to the current scan, as compared to the average dose over the seven (7) days prior to the baseline scan</w:t>
            </w:r>
          </w:p>
        </w:tc>
      </w:tr>
      <w:tr w:rsidR="00E71F85" w:rsidRPr="00E71F85" w:rsidTr="00D3471A">
        <w:tc>
          <w:tcPr>
            <w:tcW w:w="6415" w:type="dxa"/>
            <w:shd w:val="clear" w:color="auto" w:fill="auto"/>
          </w:tcPr>
          <w:p w:rsidR="00E71F85" w:rsidRPr="00E71F85" w:rsidRDefault="00E71F85" w:rsidP="00D3471A">
            <w:pPr>
              <w:rPr>
                <w:sz w:val="18"/>
              </w:rPr>
            </w:pPr>
            <w:r w:rsidRPr="00E71F85">
              <w:rPr>
                <w:b/>
                <w:sz w:val="18"/>
              </w:rPr>
              <w:t>Complete Response:</w:t>
            </w:r>
            <w:r w:rsidRPr="00E71F85">
              <w:rPr>
                <w:sz w:val="18"/>
              </w:rPr>
              <w:t xml:space="preserve"> requires all of the following:</w:t>
            </w:r>
          </w:p>
          <w:p w:rsidR="00E71F85" w:rsidRPr="00E71F85" w:rsidRDefault="00E71F85" w:rsidP="00E71F85">
            <w:pPr>
              <w:numPr>
                <w:ilvl w:val="0"/>
                <w:numId w:val="1"/>
              </w:numPr>
              <w:ind w:left="270" w:hanging="270"/>
              <w:rPr>
                <w:sz w:val="18"/>
              </w:rPr>
            </w:pPr>
            <w:r w:rsidRPr="00E71F85">
              <w:rPr>
                <w:sz w:val="18"/>
              </w:rPr>
              <w:t>Complete disappearance of all enhancing measurable and non-measurable disease sustained for at least 4 weeks.</w:t>
            </w:r>
          </w:p>
          <w:p w:rsidR="00E71F85" w:rsidRPr="00E71F85" w:rsidRDefault="00E71F85" w:rsidP="00E71F85">
            <w:pPr>
              <w:numPr>
                <w:ilvl w:val="0"/>
                <w:numId w:val="1"/>
              </w:numPr>
              <w:ind w:left="270" w:hanging="270"/>
              <w:rPr>
                <w:sz w:val="18"/>
              </w:rPr>
            </w:pPr>
            <w:r w:rsidRPr="00E71F85">
              <w:rPr>
                <w:sz w:val="18"/>
              </w:rPr>
              <w:t>No new lesions.</w:t>
            </w:r>
          </w:p>
          <w:p w:rsidR="00E71F85" w:rsidRPr="00E71F85" w:rsidRDefault="00E71F85" w:rsidP="00E71F85">
            <w:pPr>
              <w:numPr>
                <w:ilvl w:val="0"/>
                <w:numId w:val="1"/>
              </w:numPr>
              <w:ind w:left="270" w:hanging="270"/>
              <w:rPr>
                <w:sz w:val="18"/>
              </w:rPr>
            </w:pPr>
            <w:r w:rsidRPr="00E71F85">
              <w:rPr>
                <w:sz w:val="18"/>
              </w:rPr>
              <w:t>Stable or improved non-enhancing (T2/FLAIR) lesions</w:t>
            </w:r>
          </w:p>
          <w:p w:rsidR="00E71F85" w:rsidRPr="00E71F85" w:rsidRDefault="00E71F85" w:rsidP="00E71F85">
            <w:pPr>
              <w:numPr>
                <w:ilvl w:val="0"/>
                <w:numId w:val="1"/>
              </w:numPr>
              <w:ind w:left="270" w:hanging="270"/>
              <w:rPr>
                <w:sz w:val="18"/>
              </w:rPr>
            </w:pPr>
            <w:r w:rsidRPr="00E71F85">
              <w:rPr>
                <w:sz w:val="18"/>
              </w:rPr>
              <w:t>Patients must be off corticosteroids (or on physiologic replacement doses only)</w:t>
            </w:r>
          </w:p>
          <w:p w:rsidR="00E71F85" w:rsidRPr="00E71F85" w:rsidRDefault="00E71F85" w:rsidP="00E71F85">
            <w:pPr>
              <w:numPr>
                <w:ilvl w:val="0"/>
                <w:numId w:val="1"/>
              </w:numPr>
              <w:ind w:left="270" w:hanging="270"/>
              <w:rPr>
                <w:sz w:val="18"/>
              </w:rPr>
            </w:pPr>
            <w:r w:rsidRPr="00E71F85">
              <w:rPr>
                <w:sz w:val="18"/>
              </w:rPr>
              <w:t>Stable or improved clinically.</w:t>
            </w:r>
          </w:p>
          <w:p w:rsidR="00E71F85" w:rsidRPr="00E71F85" w:rsidRDefault="00E71F85" w:rsidP="00D3471A">
            <w:pPr>
              <w:rPr>
                <w:sz w:val="18"/>
              </w:rPr>
            </w:pPr>
            <w:r w:rsidRPr="00E71F85">
              <w:rPr>
                <w:sz w:val="18"/>
              </w:rPr>
              <w:t>Patients with non-measurable disease only cannot have a CR; the best response possible is SD.</w:t>
            </w:r>
          </w:p>
        </w:tc>
        <w:tc>
          <w:tcPr>
            <w:tcW w:w="3510" w:type="dxa"/>
            <w:shd w:val="clear" w:color="auto" w:fill="auto"/>
          </w:tcPr>
          <w:p w:rsidR="00E71F85" w:rsidRPr="00E71F85" w:rsidRDefault="00E71F85" w:rsidP="00D3471A">
            <w:pPr>
              <w:rPr>
                <w:sz w:val="18"/>
              </w:rPr>
            </w:pPr>
            <w:r w:rsidRPr="00E71F85">
              <w:rPr>
                <w:sz w:val="18"/>
              </w:rPr>
              <w:t xml:space="preserve">Physiologic replacement doses of corticosteroids defined as: up to the equivalent of 20 mg/day of hydrocortisone </w:t>
            </w:r>
          </w:p>
          <w:p w:rsidR="00E71F85" w:rsidRPr="00E71F85" w:rsidRDefault="00E71F85" w:rsidP="00D3471A">
            <w:pPr>
              <w:rPr>
                <w:sz w:val="18"/>
              </w:rPr>
            </w:pPr>
          </w:p>
        </w:tc>
      </w:tr>
      <w:tr w:rsidR="00E71F85" w:rsidRPr="00E71F85" w:rsidTr="00D3471A">
        <w:tc>
          <w:tcPr>
            <w:tcW w:w="6415" w:type="dxa"/>
            <w:shd w:val="clear" w:color="auto" w:fill="auto"/>
          </w:tcPr>
          <w:p w:rsidR="00E71F85" w:rsidRPr="00E71F85" w:rsidRDefault="00E71F85" w:rsidP="00D3471A">
            <w:pPr>
              <w:rPr>
                <w:sz w:val="18"/>
              </w:rPr>
            </w:pPr>
            <w:r w:rsidRPr="00E71F85">
              <w:rPr>
                <w:b/>
                <w:sz w:val="18"/>
              </w:rPr>
              <w:t>Partial Response:</w:t>
            </w:r>
            <w:r w:rsidRPr="00E71F85">
              <w:rPr>
                <w:sz w:val="18"/>
              </w:rPr>
              <w:t xml:space="preserve"> requires all of the following:</w:t>
            </w:r>
          </w:p>
          <w:p w:rsidR="00E71F85" w:rsidRPr="00E71F85" w:rsidRDefault="00E71F85" w:rsidP="00E71F85">
            <w:pPr>
              <w:numPr>
                <w:ilvl w:val="0"/>
                <w:numId w:val="1"/>
              </w:numPr>
              <w:ind w:left="270" w:hanging="270"/>
              <w:rPr>
                <w:sz w:val="18"/>
              </w:rPr>
            </w:pPr>
            <w:r w:rsidRPr="00E71F85">
              <w:rPr>
                <w:sz w:val="18"/>
              </w:rPr>
              <w:sym w:font="Symbol" w:char="F0B3"/>
            </w:r>
            <w:r w:rsidRPr="00E71F85">
              <w:rPr>
                <w:sz w:val="18"/>
              </w:rPr>
              <w:t> 50% decrease compared with Baseline in the SPD of all measurable enhancing lesions sustained for at least 4 weeks.</w:t>
            </w:r>
          </w:p>
          <w:p w:rsidR="00E71F85" w:rsidRPr="00E71F85" w:rsidRDefault="00E71F85" w:rsidP="00E71F85">
            <w:pPr>
              <w:numPr>
                <w:ilvl w:val="0"/>
                <w:numId w:val="1"/>
              </w:numPr>
              <w:ind w:left="270" w:hanging="270"/>
              <w:rPr>
                <w:sz w:val="18"/>
              </w:rPr>
            </w:pPr>
            <w:r w:rsidRPr="00E71F85">
              <w:rPr>
                <w:sz w:val="18"/>
              </w:rPr>
              <w:t>No progression of non-measurable disease.</w:t>
            </w:r>
          </w:p>
          <w:p w:rsidR="00E71F85" w:rsidRPr="00E71F85" w:rsidRDefault="00E71F85" w:rsidP="00E71F85">
            <w:pPr>
              <w:numPr>
                <w:ilvl w:val="0"/>
                <w:numId w:val="1"/>
              </w:numPr>
              <w:ind w:left="270" w:hanging="270"/>
              <w:rPr>
                <w:sz w:val="18"/>
              </w:rPr>
            </w:pPr>
            <w:r w:rsidRPr="00E71F85">
              <w:rPr>
                <w:sz w:val="18"/>
              </w:rPr>
              <w:t>No new lesions.</w:t>
            </w:r>
          </w:p>
          <w:p w:rsidR="00E71F85" w:rsidRPr="00E71F85" w:rsidRDefault="00E71F85" w:rsidP="00E71F85">
            <w:pPr>
              <w:numPr>
                <w:ilvl w:val="0"/>
                <w:numId w:val="1"/>
              </w:numPr>
              <w:ind w:left="270" w:hanging="270"/>
              <w:rPr>
                <w:sz w:val="18"/>
              </w:rPr>
            </w:pPr>
            <w:r w:rsidRPr="00E71F85">
              <w:rPr>
                <w:sz w:val="18"/>
              </w:rPr>
              <w:t>Stable or improved non-enhancing (T2/FLAIR) lesions on same or lower dose of corticosteroids compared with Baseline scan.</w:t>
            </w:r>
          </w:p>
          <w:p w:rsidR="00E71F85" w:rsidRPr="00E71F85" w:rsidRDefault="00E71F85" w:rsidP="00E71F85">
            <w:pPr>
              <w:numPr>
                <w:ilvl w:val="0"/>
                <w:numId w:val="1"/>
              </w:numPr>
              <w:ind w:left="270" w:hanging="270"/>
              <w:rPr>
                <w:sz w:val="18"/>
              </w:rPr>
            </w:pPr>
            <w:r w:rsidRPr="00E71F85">
              <w:rPr>
                <w:sz w:val="18"/>
              </w:rPr>
              <w:t>The corticosteroids dose at the time of the scan evaluation should be no greater than the dose at the time of the baseline scan.</w:t>
            </w:r>
          </w:p>
          <w:p w:rsidR="00E71F85" w:rsidRPr="00E71F85" w:rsidRDefault="00E71F85" w:rsidP="00E71F85">
            <w:pPr>
              <w:numPr>
                <w:ilvl w:val="0"/>
                <w:numId w:val="1"/>
              </w:numPr>
              <w:ind w:left="270" w:hanging="270"/>
              <w:rPr>
                <w:sz w:val="18"/>
              </w:rPr>
            </w:pPr>
            <w:r w:rsidRPr="00E71F85">
              <w:rPr>
                <w:sz w:val="18"/>
              </w:rPr>
              <w:t>Stable or improved clinically.</w:t>
            </w:r>
          </w:p>
          <w:p w:rsidR="00E71F85" w:rsidRPr="00E71F85" w:rsidRDefault="00E71F85" w:rsidP="00D3471A">
            <w:pPr>
              <w:rPr>
                <w:sz w:val="18"/>
              </w:rPr>
            </w:pPr>
            <w:r w:rsidRPr="00E71F85">
              <w:rPr>
                <w:sz w:val="18"/>
              </w:rPr>
              <w:t>Patients with non-measurable disease only cannot have a PR; the best response possible is SD.</w:t>
            </w:r>
          </w:p>
        </w:tc>
        <w:tc>
          <w:tcPr>
            <w:tcW w:w="3510" w:type="dxa"/>
            <w:shd w:val="clear" w:color="auto" w:fill="auto"/>
          </w:tcPr>
          <w:p w:rsidR="00E71F85" w:rsidRPr="00E71F85" w:rsidRDefault="00E71F85" w:rsidP="00D3471A">
            <w:pPr>
              <w:rPr>
                <w:sz w:val="18"/>
              </w:rPr>
            </w:pPr>
            <w:r w:rsidRPr="00E71F85">
              <w:rPr>
                <w:sz w:val="18"/>
              </w:rPr>
              <w:t>In order to qualify for Partial Response, subjects must be on a corticosteroid dose that is stable (&lt; 10% increase) or decreased when compared with the dose at the time of the baseline scan.</w:t>
            </w:r>
          </w:p>
          <w:p w:rsidR="00E71F85" w:rsidRPr="00E71F85" w:rsidRDefault="00E71F85" w:rsidP="00D3471A">
            <w:pPr>
              <w:rPr>
                <w:sz w:val="18"/>
              </w:rPr>
            </w:pPr>
          </w:p>
        </w:tc>
      </w:tr>
      <w:tr w:rsidR="00E71F85" w:rsidRPr="00E71F85" w:rsidTr="00D3471A">
        <w:tc>
          <w:tcPr>
            <w:tcW w:w="6415" w:type="dxa"/>
            <w:shd w:val="clear" w:color="auto" w:fill="auto"/>
          </w:tcPr>
          <w:p w:rsidR="00E71F85" w:rsidRPr="00E71F85" w:rsidRDefault="00E71F85" w:rsidP="00D3471A">
            <w:pPr>
              <w:keepLines/>
              <w:rPr>
                <w:sz w:val="18"/>
              </w:rPr>
            </w:pPr>
            <w:r w:rsidRPr="00E71F85">
              <w:rPr>
                <w:b/>
                <w:sz w:val="18"/>
              </w:rPr>
              <w:t>Stable Disease:</w:t>
            </w:r>
            <w:r w:rsidRPr="00E71F85">
              <w:rPr>
                <w:sz w:val="18"/>
              </w:rPr>
              <w:t xml:space="preserve"> requires all of the following:</w:t>
            </w:r>
          </w:p>
          <w:p w:rsidR="00E71F85" w:rsidRPr="00E71F85" w:rsidRDefault="00E71F85" w:rsidP="00E71F85">
            <w:pPr>
              <w:numPr>
                <w:ilvl w:val="0"/>
                <w:numId w:val="1"/>
              </w:numPr>
              <w:ind w:left="270" w:hanging="270"/>
              <w:rPr>
                <w:sz w:val="18"/>
              </w:rPr>
            </w:pPr>
            <w:r w:rsidRPr="00E71F85">
              <w:rPr>
                <w:sz w:val="18"/>
              </w:rPr>
              <w:t>Does not qualify for CR, PR or PD.</w:t>
            </w:r>
          </w:p>
          <w:p w:rsidR="00E71F85" w:rsidRPr="00E71F85" w:rsidRDefault="00E71F85" w:rsidP="00E71F85">
            <w:pPr>
              <w:numPr>
                <w:ilvl w:val="0"/>
                <w:numId w:val="1"/>
              </w:numPr>
              <w:ind w:left="270" w:hanging="270"/>
              <w:rPr>
                <w:sz w:val="18"/>
              </w:rPr>
            </w:pPr>
            <w:r w:rsidRPr="00E71F85">
              <w:rPr>
                <w:sz w:val="18"/>
              </w:rPr>
              <w:t>Stable non-enhancing (T2/FLAIR) lesions on same or lower dose of corticosteroids compared with baseline scan.</w:t>
            </w:r>
          </w:p>
          <w:p w:rsidR="00E71F85" w:rsidRPr="00E71F85" w:rsidRDefault="00E71F85" w:rsidP="00E71F85">
            <w:pPr>
              <w:numPr>
                <w:ilvl w:val="0"/>
                <w:numId w:val="1"/>
              </w:numPr>
              <w:ind w:left="270" w:hanging="270"/>
              <w:rPr>
                <w:sz w:val="18"/>
              </w:rPr>
            </w:pPr>
            <w:r w:rsidRPr="00E71F85">
              <w:rPr>
                <w:sz w:val="18"/>
              </w:rPr>
              <w:t xml:space="preserve">In the event that the corticosteroid dose was increased for new symptoms and signs without confirmation of disease progression on neuroimaging, and subsequent follow-up imaging shows that this increase in corticosteroids was required because of disease progression, the last scan considered to show stable </w:t>
            </w:r>
            <w:r w:rsidRPr="00E71F85">
              <w:rPr>
                <w:sz w:val="18"/>
              </w:rPr>
              <w:lastRenderedPageBreak/>
              <w:t>disease will be the scan obtained when the corticosteroid dose was equivalent to the baseline dose.</w:t>
            </w:r>
          </w:p>
        </w:tc>
        <w:tc>
          <w:tcPr>
            <w:tcW w:w="3510" w:type="dxa"/>
            <w:shd w:val="clear" w:color="auto" w:fill="auto"/>
          </w:tcPr>
          <w:p w:rsidR="00E71F85" w:rsidRPr="00E71F85" w:rsidRDefault="00E71F85" w:rsidP="00D3471A">
            <w:pPr>
              <w:rPr>
                <w:sz w:val="18"/>
              </w:rPr>
            </w:pPr>
            <w:r w:rsidRPr="00E71F85">
              <w:rPr>
                <w:sz w:val="18"/>
              </w:rPr>
              <w:lastRenderedPageBreak/>
              <w:t xml:space="preserve">In order to qualify for Partial Response, subjects must be on a corticosteroid that is &lt; 50% </w:t>
            </w:r>
            <w:proofErr w:type="spellStart"/>
            <w:r w:rsidRPr="00E71F85">
              <w:rPr>
                <w:sz w:val="18"/>
              </w:rPr>
              <w:t>increased</w:t>
            </w:r>
            <w:proofErr w:type="spellEnd"/>
            <w:r w:rsidRPr="00E71F85">
              <w:rPr>
                <w:sz w:val="18"/>
              </w:rPr>
              <w:t xml:space="preserve"> when compared with the dose at the time of the baseline scan. </w:t>
            </w:r>
          </w:p>
        </w:tc>
      </w:tr>
      <w:tr w:rsidR="00E71F85" w:rsidRPr="00E71F85" w:rsidTr="00D3471A">
        <w:tc>
          <w:tcPr>
            <w:tcW w:w="6415" w:type="dxa"/>
            <w:shd w:val="clear" w:color="auto" w:fill="auto"/>
          </w:tcPr>
          <w:p w:rsidR="00E71F85" w:rsidRPr="00E71F85" w:rsidRDefault="00E71F85" w:rsidP="00D3471A">
            <w:pPr>
              <w:rPr>
                <w:sz w:val="18"/>
              </w:rPr>
            </w:pPr>
            <w:r w:rsidRPr="00E71F85">
              <w:rPr>
                <w:b/>
                <w:sz w:val="18"/>
              </w:rPr>
              <w:t>Progressive Disease:</w:t>
            </w:r>
            <w:r w:rsidRPr="00E71F85">
              <w:rPr>
                <w:sz w:val="18"/>
              </w:rPr>
              <w:t xml:space="preserve"> defined by any of the following:</w:t>
            </w:r>
          </w:p>
          <w:p w:rsidR="00E71F85" w:rsidRPr="00E71F85" w:rsidRDefault="00E71F85" w:rsidP="00E71F85">
            <w:pPr>
              <w:numPr>
                <w:ilvl w:val="0"/>
                <w:numId w:val="1"/>
              </w:numPr>
              <w:ind w:left="270" w:hanging="270"/>
              <w:rPr>
                <w:sz w:val="18"/>
              </w:rPr>
            </w:pPr>
            <w:r w:rsidRPr="00E71F85">
              <w:rPr>
                <w:sz w:val="18"/>
              </w:rPr>
              <w:sym w:font="Symbol" w:char="F0B3"/>
            </w:r>
            <w:r w:rsidRPr="00E71F85">
              <w:rPr>
                <w:sz w:val="18"/>
              </w:rPr>
              <w:t> 25% increase in SPD of enhancing lesions compared with the smallest (nadir) tumor measurement obtained either at baseline (if no decrease) or best response.</w:t>
            </w:r>
          </w:p>
          <w:p w:rsidR="00E71F85" w:rsidRPr="00E71F85" w:rsidRDefault="00E71F85" w:rsidP="00E71F85">
            <w:pPr>
              <w:numPr>
                <w:ilvl w:val="0"/>
                <w:numId w:val="1"/>
              </w:numPr>
              <w:ind w:left="270" w:hanging="270"/>
              <w:rPr>
                <w:sz w:val="18"/>
              </w:rPr>
            </w:pPr>
            <w:r w:rsidRPr="00E71F85">
              <w:rPr>
                <w:sz w:val="18"/>
              </w:rPr>
              <w:t>On stable or increasing doses of corticosteroids.</w:t>
            </w:r>
          </w:p>
          <w:p w:rsidR="00E71F85" w:rsidRPr="00E71F85" w:rsidRDefault="00E71F85" w:rsidP="00E71F85">
            <w:pPr>
              <w:numPr>
                <w:ilvl w:val="0"/>
                <w:numId w:val="1"/>
              </w:numPr>
              <w:ind w:left="270" w:hanging="270"/>
              <w:rPr>
                <w:sz w:val="18"/>
              </w:rPr>
            </w:pPr>
            <w:r w:rsidRPr="00E71F85">
              <w:rPr>
                <w:sz w:val="18"/>
              </w:rPr>
              <w:t xml:space="preserve">Significant increase in T2/FLAIR </w:t>
            </w:r>
            <w:proofErr w:type="spellStart"/>
            <w:r w:rsidRPr="00E71F85">
              <w:rPr>
                <w:sz w:val="18"/>
              </w:rPr>
              <w:t>nonenhancing</w:t>
            </w:r>
            <w:proofErr w:type="spellEnd"/>
            <w:r w:rsidRPr="00E71F85">
              <w:rPr>
                <w:sz w:val="18"/>
              </w:rPr>
              <w:t xml:space="preserve"> lesion on stable or increasing doses of corticosteroids compared with baseline scan or best response after initiation of therapy not caused by co-morbid events (e.g., radiation therapy, demyelination, ischemic injury, infection, seizures, post-operative changes, or other treatment effects)</w:t>
            </w:r>
          </w:p>
          <w:p w:rsidR="00E71F85" w:rsidRPr="00E71F85" w:rsidRDefault="00E71F85" w:rsidP="00E71F85">
            <w:pPr>
              <w:numPr>
                <w:ilvl w:val="0"/>
                <w:numId w:val="1"/>
              </w:numPr>
              <w:ind w:left="270" w:hanging="270"/>
              <w:rPr>
                <w:sz w:val="18"/>
              </w:rPr>
            </w:pPr>
            <w:r w:rsidRPr="00E71F85">
              <w:rPr>
                <w:sz w:val="18"/>
              </w:rPr>
              <w:t>Any new lesion.</w:t>
            </w:r>
          </w:p>
          <w:p w:rsidR="00E71F85" w:rsidRPr="00E71F85" w:rsidRDefault="00E71F85" w:rsidP="00E71F85">
            <w:pPr>
              <w:numPr>
                <w:ilvl w:val="0"/>
                <w:numId w:val="1"/>
              </w:numPr>
              <w:ind w:left="270" w:hanging="270"/>
              <w:rPr>
                <w:sz w:val="18"/>
              </w:rPr>
            </w:pPr>
            <w:r w:rsidRPr="00E71F85">
              <w:rPr>
                <w:sz w:val="18"/>
              </w:rPr>
              <w:t>Clear clinical deterioration not attributable to other causes apart from the tumor (e.g., seizures, medication adverse effects, complications of therapy, cerebrovascular events, infection and so on) or changes in corticosteroid dose.</w:t>
            </w:r>
          </w:p>
          <w:p w:rsidR="00E71F85" w:rsidRPr="00E71F85" w:rsidRDefault="00E71F85" w:rsidP="00E71F85">
            <w:pPr>
              <w:numPr>
                <w:ilvl w:val="0"/>
                <w:numId w:val="1"/>
              </w:numPr>
              <w:ind w:left="270" w:hanging="270"/>
              <w:rPr>
                <w:sz w:val="18"/>
              </w:rPr>
            </w:pPr>
            <w:r w:rsidRPr="00E71F85">
              <w:rPr>
                <w:sz w:val="18"/>
              </w:rPr>
              <w:t>Failure to return for evaluation as a result of death or deteriorating condition.</w:t>
            </w:r>
          </w:p>
          <w:p w:rsidR="00E71F85" w:rsidRPr="00E71F85" w:rsidRDefault="00E71F85" w:rsidP="00E71F85">
            <w:pPr>
              <w:numPr>
                <w:ilvl w:val="0"/>
                <w:numId w:val="1"/>
              </w:numPr>
              <w:ind w:left="270" w:hanging="270"/>
              <w:rPr>
                <w:sz w:val="18"/>
              </w:rPr>
            </w:pPr>
            <w:r w:rsidRPr="00E71F85">
              <w:rPr>
                <w:sz w:val="18"/>
              </w:rPr>
              <w:t>Clear progression of non-measurable disease.</w:t>
            </w:r>
          </w:p>
        </w:tc>
        <w:tc>
          <w:tcPr>
            <w:tcW w:w="3510" w:type="dxa"/>
            <w:shd w:val="clear" w:color="auto" w:fill="auto"/>
          </w:tcPr>
          <w:p w:rsidR="00E71F85" w:rsidRPr="00E71F85" w:rsidRDefault="00E71F85" w:rsidP="00D3471A">
            <w:pPr>
              <w:rPr>
                <w:sz w:val="18"/>
              </w:rPr>
            </w:pPr>
            <w:r w:rsidRPr="00E71F85">
              <w:rPr>
                <w:bCs/>
                <w:sz w:val="18"/>
              </w:rPr>
              <w:t xml:space="preserve">For subjects with little to no residual disease, a 25% increase in area could reflect only imaging variance. As such, to be considered PD, a &gt; 5 mm increase in SLD (of the target lesions) along with a </w:t>
            </w:r>
            <w:r w:rsidRPr="00E71F85">
              <w:rPr>
                <w:bCs/>
                <w:sz w:val="18"/>
              </w:rPr>
              <w:sym w:font="Symbol" w:char="F0B3"/>
            </w:r>
            <w:r w:rsidRPr="00E71F85">
              <w:rPr>
                <w:bCs/>
                <w:sz w:val="18"/>
              </w:rPr>
              <w:t> 25% increase in SPD (of the target lesions) will be required to call PD.</w:t>
            </w:r>
          </w:p>
          <w:p w:rsidR="00E71F85" w:rsidRPr="00E71F85" w:rsidRDefault="00E71F85" w:rsidP="00D3471A">
            <w:pPr>
              <w:ind w:left="299"/>
              <w:rPr>
                <w:sz w:val="18"/>
              </w:rPr>
            </w:pPr>
          </w:p>
        </w:tc>
      </w:tr>
    </w:tbl>
    <w:p w:rsidR="00E71F85" w:rsidRDefault="00E71F85" w:rsidP="00E71F85">
      <w:pPr>
        <w:spacing w:line="480" w:lineRule="auto"/>
        <w:rPr>
          <w:b/>
        </w:rPr>
      </w:pPr>
      <w:r>
        <w:rPr>
          <w:b/>
        </w:rPr>
        <w:br w:type="page"/>
      </w:r>
    </w:p>
    <w:p w:rsidR="00E71F85" w:rsidRPr="00923003" w:rsidRDefault="00E71F85" w:rsidP="00E71F85">
      <w:pPr>
        <w:pStyle w:val="Caption"/>
        <w:rPr>
          <w:i/>
          <w:sz w:val="20"/>
          <w:szCs w:val="20"/>
        </w:rPr>
      </w:pPr>
      <w:bookmarkStart w:id="6" w:name="_Ref429049438"/>
      <w:bookmarkStart w:id="7" w:name="_Toc438222299"/>
      <w:bookmarkStart w:id="8" w:name="_Toc439252343"/>
      <w:bookmarkStart w:id="9" w:name="_Toc441579243"/>
      <w:bookmarkStart w:id="10" w:name="_Toc440456066"/>
      <w:r w:rsidRPr="00F160A3">
        <w:rPr>
          <w:sz w:val="20"/>
          <w:szCs w:val="20"/>
        </w:rPr>
        <w:lastRenderedPageBreak/>
        <w:t>Table A</w:t>
      </w:r>
      <w:bookmarkEnd w:id="6"/>
      <w:r w:rsidRPr="00F160A3">
        <w:rPr>
          <w:sz w:val="20"/>
          <w:szCs w:val="20"/>
        </w:rPr>
        <w:t>2. Overall Survival Analyses Adjusted for Baseline Patient Characteristics</w:t>
      </w:r>
      <w:bookmarkEnd w:id="7"/>
      <w:bookmarkEnd w:id="8"/>
      <w:bookmarkEnd w:id="9"/>
      <w:r w:rsidRPr="00F160A3">
        <w:rPr>
          <w:sz w:val="20"/>
          <w:szCs w:val="20"/>
        </w:rPr>
        <w:t xml:space="preserve"> </w:t>
      </w:r>
      <w:bookmarkEnd w:id="10"/>
      <w:r>
        <w:rPr>
          <w:i/>
          <w:sz w:val="20"/>
          <w:szCs w:val="20"/>
        </w:rPr>
        <w:t>Online only</w:t>
      </w:r>
    </w:p>
    <w:tbl>
      <w:tblPr>
        <w:tblW w:w="9468" w:type="dxa"/>
        <w:tblCellMar>
          <w:left w:w="0" w:type="dxa"/>
          <w:right w:w="0" w:type="dxa"/>
        </w:tblCellMar>
        <w:tblLook w:val="04A0" w:firstRow="1" w:lastRow="0" w:firstColumn="1" w:lastColumn="0" w:noHBand="0" w:noVBand="1"/>
      </w:tblPr>
      <w:tblGrid>
        <w:gridCol w:w="3156"/>
        <w:gridCol w:w="3156"/>
        <w:gridCol w:w="3156"/>
      </w:tblGrid>
      <w:tr w:rsidR="00E71F85" w:rsidRPr="00F160A3" w:rsidTr="00D3471A">
        <w:trPr>
          <w:trHeight w:val="20"/>
        </w:trPr>
        <w:tc>
          <w:tcPr>
            <w:tcW w:w="3156" w:type="dxa"/>
            <w:tcBorders>
              <w:top w:val="single" w:sz="4" w:space="0" w:color="auto"/>
              <w:left w:val="single" w:sz="8" w:space="0" w:color="FFFFFF"/>
              <w:bottom w:val="single" w:sz="4" w:space="0" w:color="auto"/>
              <w:right w:val="single" w:sz="8" w:space="0" w:color="FFFFFF"/>
            </w:tcBorders>
            <w:shd w:val="clear" w:color="auto" w:fill="FFFFFF"/>
            <w:tcMar>
              <w:top w:w="15" w:type="dxa"/>
              <w:left w:w="108" w:type="dxa"/>
              <w:bottom w:w="0" w:type="dxa"/>
              <w:right w:w="108" w:type="dxa"/>
            </w:tcMar>
            <w:hideMark/>
          </w:tcPr>
          <w:p w:rsidR="00E71F85" w:rsidRPr="00F160A3" w:rsidRDefault="00E71F85" w:rsidP="00D3471A">
            <w:pPr>
              <w:spacing w:line="480" w:lineRule="auto"/>
              <w:rPr>
                <w:sz w:val="16"/>
                <w:szCs w:val="16"/>
              </w:rPr>
            </w:pPr>
            <w:r w:rsidRPr="00F160A3">
              <w:rPr>
                <w:bCs/>
                <w:sz w:val="16"/>
                <w:szCs w:val="16"/>
                <w:lang w:val="en-GB"/>
              </w:rPr>
              <w:t>Factor</w:t>
            </w:r>
          </w:p>
        </w:tc>
        <w:tc>
          <w:tcPr>
            <w:tcW w:w="3156" w:type="dxa"/>
            <w:tcBorders>
              <w:top w:val="single" w:sz="4" w:space="0" w:color="auto"/>
              <w:left w:val="single" w:sz="8" w:space="0" w:color="FFFFFF"/>
              <w:bottom w:val="single" w:sz="4" w:space="0" w:color="auto"/>
              <w:right w:val="single" w:sz="8" w:space="0" w:color="FFFFFF"/>
            </w:tcBorders>
            <w:shd w:val="clear" w:color="auto" w:fill="FFFFFF"/>
            <w:tcMar>
              <w:top w:w="15" w:type="dxa"/>
              <w:left w:w="108" w:type="dxa"/>
              <w:bottom w:w="0" w:type="dxa"/>
              <w:right w:w="108" w:type="dxa"/>
            </w:tcMar>
            <w:hideMark/>
          </w:tcPr>
          <w:p w:rsidR="00E71F85" w:rsidRPr="00F160A3" w:rsidRDefault="00E71F85" w:rsidP="00D3471A">
            <w:pPr>
              <w:spacing w:line="480" w:lineRule="auto"/>
              <w:jc w:val="center"/>
              <w:rPr>
                <w:sz w:val="16"/>
                <w:szCs w:val="16"/>
              </w:rPr>
            </w:pPr>
            <w:r w:rsidRPr="00F160A3">
              <w:rPr>
                <w:bCs/>
                <w:sz w:val="16"/>
                <w:szCs w:val="16"/>
                <w:lang w:val="en-GB"/>
              </w:rPr>
              <w:t>HR (95%CI)</w:t>
            </w:r>
          </w:p>
        </w:tc>
        <w:tc>
          <w:tcPr>
            <w:tcW w:w="3156" w:type="dxa"/>
            <w:tcBorders>
              <w:top w:val="single" w:sz="4" w:space="0" w:color="auto"/>
              <w:left w:val="single" w:sz="8" w:space="0" w:color="FFFFFF"/>
              <w:bottom w:val="single" w:sz="4" w:space="0" w:color="auto"/>
              <w:right w:val="single" w:sz="8" w:space="0" w:color="FFFFFF"/>
            </w:tcBorders>
            <w:shd w:val="clear" w:color="auto" w:fill="FFFFFF"/>
            <w:tcMar>
              <w:top w:w="15" w:type="dxa"/>
              <w:left w:w="108" w:type="dxa"/>
              <w:bottom w:w="0" w:type="dxa"/>
              <w:right w:w="108" w:type="dxa"/>
            </w:tcMar>
            <w:hideMark/>
          </w:tcPr>
          <w:p w:rsidR="00E71F85" w:rsidRPr="00F160A3" w:rsidRDefault="00E71F85" w:rsidP="00D3471A">
            <w:pPr>
              <w:spacing w:line="480" w:lineRule="auto"/>
              <w:jc w:val="center"/>
              <w:rPr>
                <w:sz w:val="16"/>
                <w:szCs w:val="16"/>
              </w:rPr>
            </w:pPr>
            <w:r w:rsidRPr="00F160A3">
              <w:rPr>
                <w:bCs/>
                <w:sz w:val="16"/>
                <w:szCs w:val="16"/>
                <w:lang w:val="en-GB"/>
              </w:rPr>
              <w:t>P-value</w:t>
            </w:r>
          </w:p>
        </w:tc>
      </w:tr>
      <w:tr w:rsidR="00E71F85" w:rsidRPr="00F160A3" w:rsidTr="00D3471A">
        <w:trPr>
          <w:trHeight w:val="20"/>
        </w:trPr>
        <w:tc>
          <w:tcPr>
            <w:tcW w:w="3156" w:type="dxa"/>
            <w:tcBorders>
              <w:top w:val="single" w:sz="4" w:space="0" w:color="auto"/>
              <w:left w:val="single" w:sz="8" w:space="0" w:color="FFFFFF"/>
              <w:bottom w:val="single" w:sz="8" w:space="0" w:color="FFFFFF"/>
              <w:right w:val="single" w:sz="8" w:space="0" w:color="FFFFFF"/>
            </w:tcBorders>
            <w:shd w:val="clear" w:color="auto" w:fill="FFFFFF"/>
            <w:tcMar>
              <w:top w:w="15" w:type="dxa"/>
              <w:left w:w="108" w:type="dxa"/>
              <w:bottom w:w="0" w:type="dxa"/>
              <w:right w:w="108" w:type="dxa"/>
            </w:tcMar>
          </w:tcPr>
          <w:p w:rsidR="00E71F85" w:rsidRPr="00F160A3" w:rsidRDefault="00E71F85" w:rsidP="00D3471A">
            <w:pPr>
              <w:spacing w:line="480" w:lineRule="auto"/>
              <w:rPr>
                <w:color w:val="000000"/>
                <w:sz w:val="16"/>
                <w:szCs w:val="16"/>
              </w:rPr>
            </w:pPr>
            <w:r w:rsidRPr="00F160A3">
              <w:rPr>
                <w:color w:val="000000"/>
                <w:sz w:val="16"/>
                <w:szCs w:val="16"/>
              </w:rPr>
              <w:t xml:space="preserve">Unadjusted </w:t>
            </w:r>
          </w:p>
        </w:tc>
        <w:tc>
          <w:tcPr>
            <w:tcW w:w="3156" w:type="dxa"/>
            <w:tcBorders>
              <w:top w:val="single" w:sz="4" w:space="0" w:color="auto"/>
              <w:left w:val="single" w:sz="8" w:space="0" w:color="FFFFFF"/>
              <w:bottom w:val="single" w:sz="8" w:space="0" w:color="FFFFFF"/>
              <w:right w:val="single" w:sz="8" w:space="0" w:color="FFFFFF"/>
            </w:tcBorders>
            <w:shd w:val="clear" w:color="auto" w:fill="FFFFFF"/>
            <w:tcMar>
              <w:top w:w="15" w:type="dxa"/>
              <w:left w:w="108" w:type="dxa"/>
              <w:bottom w:w="0" w:type="dxa"/>
              <w:right w:w="108" w:type="dxa"/>
            </w:tcMar>
          </w:tcPr>
          <w:p w:rsidR="00E71F85" w:rsidRPr="00F160A3" w:rsidRDefault="00E71F85" w:rsidP="00D3471A">
            <w:pPr>
              <w:spacing w:line="480" w:lineRule="auto"/>
              <w:jc w:val="center"/>
              <w:rPr>
                <w:color w:val="000000"/>
                <w:sz w:val="16"/>
                <w:szCs w:val="16"/>
              </w:rPr>
            </w:pPr>
            <w:r w:rsidRPr="00F160A3">
              <w:rPr>
                <w:color w:val="000000"/>
                <w:sz w:val="16"/>
                <w:szCs w:val="16"/>
              </w:rPr>
              <w:t>0</w:t>
            </w:r>
            <w:r>
              <w:rPr>
                <w:color w:val="000000"/>
                <w:sz w:val="16"/>
                <w:szCs w:val="16"/>
              </w:rPr>
              <w:t>.</w:t>
            </w:r>
            <w:r w:rsidRPr="00F160A3">
              <w:rPr>
                <w:color w:val="000000"/>
                <w:sz w:val="16"/>
                <w:szCs w:val="16"/>
              </w:rPr>
              <w:t>53 (0</w:t>
            </w:r>
            <w:r>
              <w:rPr>
                <w:color w:val="000000"/>
                <w:sz w:val="16"/>
                <w:szCs w:val="16"/>
              </w:rPr>
              <w:t>.</w:t>
            </w:r>
            <w:r w:rsidRPr="00F160A3">
              <w:rPr>
                <w:color w:val="000000"/>
                <w:sz w:val="16"/>
                <w:szCs w:val="16"/>
              </w:rPr>
              <w:t>32, 0</w:t>
            </w:r>
            <w:r>
              <w:rPr>
                <w:color w:val="000000"/>
                <w:sz w:val="16"/>
                <w:szCs w:val="16"/>
              </w:rPr>
              <w:t>.</w:t>
            </w:r>
            <w:r w:rsidRPr="00F160A3">
              <w:rPr>
                <w:color w:val="000000"/>
                <w:sz w:val="16"/>
                <w:szCs w:val="16"/>
              </w:rPr>
              <w:t>88)</w:t>
            </w:r>
          </w:p>
        </w:tc>
        <w:tc>
          <w:tcPr>
            <w:tcW w:w="3156" w:type="dxa"/>
            <w:tcBorders>
              <w:top w:val="single" w:sz="4" w:space="0" w:color="auto"/>
              <w:left w:val="single" w:sz="8" w:space="0" w:color="FFFFFF"/>
              <w:bottom w:val="single" w:sz="8" w:space="0" w:color="FFFFFF"/>
              <w:right w:val="single" w:sz="8" w:space="0" w:color="FFFFFF"/>
            </w:tcBorders>
            <w:shd w:val="clear" w:color="auto" w:fill="FFFFFF"/>
            <w:tcMar>
              <w:top w:w="15" w:type="dxa"/>
              <w:left w:w="108" w:type="dxa"/>
              <w:bottom w:w="0" w:type="dxa"/>
              <w:right w:w="108" w:type="dxa"/>
            </w:tcMar>
          </w:tcPr>
          <w:p w:rsidR="00E71F85" w:rsidRPr="00F160A3" w:rsidRDefault="00E71F85" w:rsidP="00D3471A">
            <w:pPr>
              <w:spacing w:line="480" w:lineRule="auto"/>
              <w:jc w:val="center"/>
              <w:rPr>
                <w:b/>
                <w:sz w:val="16"/>
                <w:szCs w:val="16"/>
              </w:rPr>
            </w:pPr>
            <w:r w:rsidRPr="00F160A3">
              <w:rPr>
                <w:color w:val="000000"/>
                <w:sz w:val="16"/>
                <w:szCs w:val="16"/>
              </w:rPr>
              <w:t>0</w:t>
            </w:r>
            <w:r>
              <w:rPr>
                <w:color w:val="000000"/>
                <w:sz w:val="16"/>
                <w:szCs w:val="16"/>
              </w:rPr>
              <w:t>.</w:t>
            </w:r>
            <w:r w:rsidRPr="00F160A3">
              <w:rPr>
                <w:color w:val="000000"/>
                <w:sz w:val="16"/>
                <w:szCs w:val="16"/>
              </w:rPr>
              <w:t>01</w:t>
            </w:r>
          </w:p>
        </w:tc>
      </w:tr>
      <w:tr w:rsidR="00E71F85" w:rsidRPr="00F160A3" w:rsidTr="00D3471A">
        <w:trPr>
          <w:trHeight w:val="20"/>
        </w:trPr>
        <w:tc>
          <w:tcPr>
            <w:tcW w:w="3156" w:type="dxa"/>
            <w:tcBorders>
              <w:top w:val="single" w:sz="4" w:space="0" w:color="auto"/>
              <w:left w:val="single" w:sz="8" w:space="0" w:color="FFFFFF"/>
              <w:bottom w:val="single" w:sz="8" w:space="0" w:color="FFFFFF"/>
              <w:right w:val="single" w:sz="8" w:space="0" w:color="FFFFFF"/>
            </w:tcBorders>
            <w:shd w:val="clear" w:color="auto" w:fill="FFFFFF"/>
            <w:tcMar>
              <w:top w:w="15" w:type="dxa"/>
              <w:left w:w="108" w:type="dxa"/>
              <w:bottom w:w="0" w:type="dxa"/>
              <w:right w:w="108" w:type="dxa"/>
            </w:tcMar>
            <w:hideMark/>
          </w:tcPr>
          <w:p w:rsidR="00E71F85" w:rsidRPr="00F160A3" w:rsidRDefault="00E71F85" w:rsidP="00D3471A">
            <w:pPr>
              <w:spacing w:line="480" w:lineRule="auto"/>
              <w:rPr>
                <w:color w:val="000000"/>
                <w:sz w:val="16"/>
                <w:szCs w:val="16"/>
              </w:rPr>
            </w:pPr>
            <w:r w:rsidRPr="00F160A3">
              <w:rPr>
                <w:color w:val="000000"/>
                <w:sz w:val="16"/>
                <w:szCs w:val="16"/>
              </w:rPr>
              <w:t xml:space="preserve">Age </w:t>
            </w:r>
          </w:p>
        </w:tc>
        <w:tc>
          <w:tcPr>
            <w:tcW w:w="3156" w:type="dxa"/>
            <w:tcBorders>
              <w:top w:val="single" w:sz="4" w:space="0" w:color="auto"/>
              <w:left w:val="single" w:sz="8" w:space="0" w:color="FFFFFF"/>
              <w:bottom w:val="single" w:sz="8" w:space="0" w:color="FFFFFF"/>
              <w:right w:val="single" w:sz="8" w:space="0" w:color="FFFFFF"/>
            </w:tcBorders>
            <w:shd w:val="clear" w:color="auto" w:fill="FFFFFF"/>
            <w:tcMar>
              <w:top w:w="15" w:type="dxa"/>
              <w:left w:w="108" w:type="dxa"/>
              <w:bottom w:w="0" w:type="dxa"/>
              <w:right w:w="108" w:type="dxa"/>
            </w:tcMar>
          </w:tcPr>
          <w:p w:rsidR="00E71F85" w:rsidRPr="00F160A3" w:rsidRDefault="00E71F85" w:rsidP="00D3471A">
            <w:pPr>
              <w:spacing w:line="480" w:lineRule="auto"/>
              <w:jc w:val="center"/>
              <w:rPr>
                <w:b/>
                <w:sz w:val="16"/>
                <w:szCs w:val="16"/>
              </w:rPr>
            </w:pPr>
            <w:r w:rsidRPr="00F160A3">
              <w:rPr>
                <w:color w:val="000000"/>
                <w:sz w:val="16"/>
                <w:szCs w:val="16"/>
              </w:rPr>
              <w:t>0</w:t>
            </w:r>
            <w:r>
              <w:rPr>
                <w:color w:val="000000"/>
                <w:sz w:val="16"/>
                <w:szCs w:val="16"/>
              </w:rPr>
              <w:t>.</w:t>
            </w:r>
            <w:r w:rsidRPr="00F160A3">
              <w:rPr>
                <w:color w:val="000000"/>
                <w:sz w:val="16"/>
                <w:szCs w:val="16"/>
              </w:rPr>
              <w:t>53 (0</w:t>
            </w:r>
            <w:r>
              <w:rPr>
                <w:color w:val="000000"/>
                <w:sz w:val="16"/>
                <w:szCs w:val="16"/>
              </w:rPr>
              <w:t>.</w:t>
            </w:r>
            <w:r w:rsidRPr="00F160A3">
              <w:rPr>
                <w:color w:val="000000"/>
                <w:sz w:val="16"/>
                <w:szCs w:val="16"/>
              </w:rPr>
              <w:t>32, 0</w:t>
            </w:r>
            <w:r>
              <w:rPr>
                <w:color w:val="000000"/>
                <w:sz w:val="16"/>
                <w:szCs w:val="16"/>
              </w:rPr>
              <w:t>.</w:t>
            </w:r>
            <w:r w:rsidRPr="00F160A3">
              <w:rPr>
                <w:color w:val="000000"/>
                <w:sz w:val="16"/>
                <w:szCs w:val="16"/>
              </w:rPr>
              <w:t>88)</w:t>
            </w:r>
          </w:p>
        </w:tc>
        <w:tc>
          <w:tcPr>
            <w:tcW w:w="3156" w:type="dxa"/>
            <w:tcBorders>
              <w:top w:val="single" w:sz="4" w:space="0" w:color="auto"/>
              <w:left w:val="single" w:sz="8" w:space="0" w:color="FFFFFF"/>
              <w:bottom w:val="single" w:sz="8" w:space="0" w:color="FFFFFF"/>
              <w:right w:val="single" w:sz="8" w:space="0" w:color="FFFFFF"/>
            </w:tcBorders>
            <w:shd w:val="clear" w:color="auto" w:fill="FFFFFF"/>
            <w:tcMar>
              <w:top w:w="15" w:type="dxa"/>
              <w:left w:w="108" w:type="dxa"/>
              <w:bottom w:w="0" w:type="dxa"/>
              <w:right w:w="108" w:type="dxa"/>
            </w:tcMar>
          </w:tcPr>
          <w:p w:rsidR="00E71F85" w:rsidRPr="00F160A3" w:rsidRDefault="00E71F85" w:rsidP="00D3471A">
            <w:pPr>
              <w:spacing w:line="480" w:lineRule="auto"/>
              <w:jc w:val="center"/>
              <w:rPr>
                <w:b/>
                <w:sz w:val="16"/>
                <w:szCs w:val="16"/>
              </w:rPr>
            </w:pPr>
            <w:r w:rsidRPr="00F160A3">
              <w:rPr>
                <w:color w:val="000000"/>
                <w:sz w:val="16"/>
                <w:szCs w:val="16"/>
              </w:rPr>
              <w:t>0</w:t>
            </w:r>
            <w:r>
              <w:rPr>
                <w:color w:val="000000"/>
                <w:sz w:val="16"/>
                <w:szCs w:val="16"/>
              </w:rPr>
              <w:t>.</w:t>
            </w:r>
            <w:r w:rsidRPr="00F160A3">
              <w:rPr>
                <w:color w:val="000000"/>
                <w:sz w:val="16"/>
                <w:szCs w:val="16"/>
              </w:rPr>
              <w:t>01</w:t>
            </w:r>
          </w:p>
        </w:tc>
      </w:tr>
      <w:tr w:rsidR="00E71F85" w:rsidRPr="00F160A3" w:rsidTr="00D3471A">
        <w:trPr>
          <w:trHeight w:val="20"/>
        </w:trPr>
        <w:tc>
          <w:tcPr>
            <w:tcW w:w="3156" w:type="dxa"/>
            <w:tcBorders>
              <w:top w:val="single" w:sz="8" w:space="0" w:color="FFFFFF"/>
              <w:left w:val="single" w:sz="8" w:space="0" w:color="FFFFFF"/>
              <w:bottom w:val="single" w:sz="8" w:space="0" w:color="FFFFFF"/>
              <w:right w:val="single" w:sz="8" w:space="0" w:color="FFFFFF"/>
            </w:tcBorders>
            <w:shd w:val="clear" w:color="auto" w:fill="FFFFFF"/>
            <w:tcMar>
              <w:top w:w="15" w:type="dxa"/>
              <w:left w:w="108" w:type="dxa"/>
              <w:bottom w:w="0" w:type="dxa"/>
              <w:right w:w="108" w:type="dxa"/>
            </w:tcMar>
            <w:hideMark/>
          </w:tcPr>
          <w:p w:rsidR="00E71F85" w:rsidRPr="00F160A3" w:rsidRDefault="00E71F85" w:rsidP="00D3471A">
            <w:pPr>
              <w:spacing w:line="480" w:lineRule="auto"/>
              <w:rPr>
                <w:color w:val="000000"/>
                <w:sz w:val="16"/>
                <w:szCs w:val="16"/>
              </w:rPr>
            </w:pPr>
            <w:r w:rsidRPr="00F160A3">
              <w:rPr>
                <w:color w:val="000000"/>
                <w:sz w:val="16"/>
                <w:szCs w:val="16"/>
              </w:rPr>
              <w:t xml:space="preserve">Sex </w:t>
            </w:r>
          </w:p>
        </w:tc>
        <w:tc>
          <w:tcPr>
            <w:tcW w:w="3156" w:type="dxa"/>
            <w:tcBorders>
              <w:top w:val="single" w:sz="8" w:space="0" w:color="FFFFFF"/>
              <w:left w:val="single" w:sz="8" w:space="0" w:color="FFFFFF"/>
              <w:bottom w:val="single" w:sz="8" w:space="0" w:color="FFFFFF"/>
              <w:right w:val="single" w:sz="8" w:space="0" w:color="FFFFFF"/>
            </w:tcBorders>
            <w:shd w:val="clear" w:color="auto" w:fill="FFFFFF"/>
            <w:tcMar>
              <w:top w:w="15" w:type="dxa"/>
              <w:left w:w="108" w:type="dxa"/>
              <w:bottom w:w="0" w:type="dxa"/>
              <w:right w:w="108" w:type="dxa"/>
            </w:tcMar>
          </w:tcPr>
          <w:p w:rsidR="00E71F85" w:rsidRPr="00F160A3" w:rsidRDefault="00E71F85" w:rsidP="00D3471A">
            <w:pPr>
              <w:spacing w:line="480" w:lineRule="auto"/>
              <w:jc w:val="center"/>
              <w:rPr>
                <w:b/>
                <w:sz w:val="16"/>
                <w:szCs w:val="16"/>
              </w:rPr>
            </w:pPr>
            <w:r w:rsidRPr="00F160A3">
              <w:rPr>
                <w:color w:val="000000"/>
                <w:sz w:val="16"/>
                <w:szCs w:val="16"/>
              </w:rPr>
              <w:t>0</w:t>
            </w:r>
            <w:r>
              <w:rPr>
                <w:color w:val="000000"/>
                <w:sz w:val="16"/>
                <w:szCs w:val="16"/>
              </w:rPr>
              <w:t>.</w:t>
            </w:r>
            <w:r w:rsidRPr="00F160A3">
              <w:rPr>
                <w:color w:val="000000"/>
                <w:sz w:val="16"/>
                <w:szCs w:val="16"/>
              </w:rPr>
              <w:t>54 (0</w:t>
            </w:r>
            <w:r>
              <w:rPr>
                <w:color w:val="000000"/>
                <w:sz w:val="16"/>
                <w:szCs w:val="16"/>
              </w:rPr>
              <w:t>.</w:t>
            </w:r>
            <w:r w:rsidRPr="00F160A3">
              <w:rPr>
                <w:color w:val="000000"/>
                <w:sz w:val="16"/>
                <w:szCs w:val="16"/>
              </w:rPr>
              <w:t>32, 0</w:t>
            </w:r>
            <w:r>
              <w:rPr>
                <w:color w:val="000000"/>
                <w:sz w:val="16"/>
                <w:szCs w:val="16"/>
              </w:rPr>
              <w:t>.</w:t>
            </w:r>
            <w:r w:rsidRPr="00F160A3">
              <w:rPr>
                <w:color w:val="000000"/>
                <w:sz w:val="16"/>
                <w:szCs w:val="16"/>
              </w:rPr>
              <w:t>89)</w:t>
            </w:r>
          </w:p>
        </w:tc>
        <w:tc>
          <w:tcPr>
            <w:tcW w:w="3156" w:type="dxa"/>
            <w:tcBorders>
              <w:top w:val="single" w:sz="8" w:space="0" w:color="FFFFFF"/>
              <w:left w:val="single" w:sz="8" w:space="0" w:color="FFFFFF"/>
              <w:bottom w:val="single" w:sz="8" w:space="0" w:color="FFFFFF"/>
              <w:right w:val="single" w:sz="8" w:space="0" w:color="FFFFFF"/>
            </w:tcBorders>
            <w:shd w:val="clear" w:color="auto" w:fill="FFFFFF"/>
            <w:tcMar>
              <w:top w:w="15" w:type="dxa"/>
              <w:left w:w="108" w:type="dxa"/>
              <w:bottom w:w="0" w:type="dxa"/>
              <w:right w:w="108" w:type="dxa"/>
            </w:tcMar>
          </w:tcPr>
          <w:p w:rsidR="00E71F85" w:rsidRPr="00F160A3" w:rsidRDefault="00E71F85" w:rsidP="00D3471A">
            <w:pPr>
              <w:spacing w:line="480" w:lineRule="auto"/>
              <w:jc w:val="center"/>
              <w:rPr>
                <w:b/>
                <w:sz w:val="16"/>
                <w:szCs w:val="16"/>
              </w:rPr>
            </w:pPr>
            <w:r w:rsidRPr="00F160A3">
              <w:rPr>
                <w:color w:val="000000"/>
                <w:sz w:val="16"/>
                <w:szCs w:val="16"/>
              </w:rPr>
              <w:t>0</w:t>
            </w:r>
            <w:r>
              <w:rPr>
                <w:color w:val="000000"/>
                <w:sz w:val="16"/>
                <w:szCs w:val="16"/>
              </w:rPr>
              <w:t>.</w:t>
            </w:r>
            <w:r w:rsidRPr="00F160A3">
              <w:rPr>
                <w:color w:val="000000"/>
                <w:sz w:val="16"/>
                <w:szCs w:val="16"/>
              </w:rPr>
              <w:t>02</w:t>
            </w:r>
          </w:p>
        </w:tc>
      </w:tr>
      <w:tr w:rsidR="00E71F85" w:rsidRPr="00F160A3" w:rsidTr="00D3471A">
        <w:trPr>
          <w:trHeight w:val="20"/>
        </w:trPr>
        <w:tc>
          <w:tcPr>
            <w:tcW w:w="3156" w:type="dxa"/>
            <w:tcBorders>
              <w:top w:val="single" w:sz="8" w:space="0" w:color="FFFFFF"/>
              <w:left w:val="single" w:sz="8" w:space="0" w:color="FFFFFF"/>
              <w:bottom w:val="single" w:sz="8" w:space="0" w:color="FFFFFF"/>
              <w:right w:val="single" w:sz="8" w:space="0" w:color="FFFFFF"/>
            </w:tcBorders>
            <w:shd w:val="clear" w:color="auto" w:fill="FFFFFF"/>
            <w:tcMar>
              <w:top w:w="15" w:type="dxa"/>
              <w:left w:w="108" w:type="dxa"/>
              <w:bottom w:w="0" w:type="dxa"/>
              <w:right w:w="108" w:type="dxa"/>
            </w:tcMar>
            <w:hideMark/>
          </w:tcPr>
          <w:p w:rsidR="00E71F85" w:rsidRPr="00F160A3" w:rsidRDefault="00E71F85" w:rsidP="00D3471A">
            <w:pPr>
              <w:spacing w:line="480" w:lineRule="auto"/>
              <w:rPr>
                <w:color w:val="000000"/>
                <w:sz w:val="16"/>
                <w:szCs w:val="16"/>
              </w:rPr>
            </w:pPr>
            <w:r w:rsidRPr="00F160A3">
              <w:rPr>
                <w:color w:val="000000"/>
                <w:sz w:val="16"/>
                <w:szCs w:val="16"/>
              </w:rPr>
              <w:t xml:space="preserve">KPS </w:t>
            </w:r>
          </w:p>
        </w:tc>
        <w:tc>
          <w:tcPr>
            <w:tcW w:w="3156" w:type="dxa"/>
            <w:tcBorders>
              <w:top w:val="single" w:sz="8" w:space="0" w:color="FFFFFF"/>
              <w:left w:val="single" w:sz="8" w:space="0" w:color="FFFFFF"/>
              <w:bottom w:val="single" w:sz="8" w:space="0" w:color="FFFFFF"/>
              <w:right w:val="single" w:sz="8" w:space="0" w:color="FFFFFF"/>
            </w:tcBorders>
            <w:shd w:val="clear" w:color="auto" w:fill="FFFFFF"/>
            <w:tcMar>
              <w:top w:w="15" w:type="dxa"/>
              <w:left w:w="108" w:type="dxa"/>
              <w:bottom w:w="0" w:type="dxa"/>
              <w:right w:w="108" w:type="dxa"/>
            </w:tcMar>
          </w:tcPr>
          <w:p w:rsidR="00E71F85" w:rsidRPr="00F160A3" w:rsidRDefault="00E71F85" w:rsidP="00D3471A">
            <w:pPr>
              <w:spacing w:line="480" w:lineRule="auto"/>
              <w:jc w:val="center"/>
              <w:rPr>
                <w:b/>
                <w:sz w:val="16"/>
                <w:szCs w:val="16"/>
              </w:rPr>
            </w:pPr>
            <w:r w:rsidRPr="00F160A3">
              <w:rPr>
                <w:color w:val="000000"/>
                <w:sz w:val="16"/>
                <w:szCs w:val="16"/>
              </w:rPr>
              <w:t>0</w:t>
            </w:r>
            <w:r>
              <w:rPr>
                <w:color w:val="000000"/>
                <w:sz w:val="16"/>
                <w:szCs w:val="16"/>
              </w:rPr>
              <w:t>.</w:t>
            </w:r>
            <w:r w:rsidRPr="00F160A3">
              <w:rPr>
                <w:color w:val="000000"/>
                <w:sz w:val="16"/>
                <w:szCs w:val="16"/>
              </w:rPr>
              <w:t>57 (0</w:t>
            </w:r>
            <w:r>
              <w:rPr>
                <w:color w:val="000000"/>
                <w:sz w:val="16"/>
                <w:szCs w:val="16"/>
              </w:rPr>
              <w:t>.</w:t>
            </w:r>
            <w:r w:rsidRPr="00F160A3">
              <w:rPr>
                <w:color w:val="000000"/>
                <w:sz w:val="16"/>
                <w:szCs w:val="16"/>
              </w:rPr>
              <w:t>34, 0</w:t>
            </w:r>
            <w:r>
              <w:rPr>
                <w:color w:val="000000"/>
                <w:sz w:val="16"/>
                <w:szCs w:val="16"/>
              </w:rPr>
              <w:t>.</w:t>
            </w:r>
            <w:r w:rsidRPr="00F160A3">
              <w:rPr>
                <w:color w:val="000000"/>
                <w:sz w:val="16"/>
                <w:szCs w:val="16"/>
              </w:rPr>
              <w:t>94)</w:t>
            </w:r>
          </w:p>
        </w:tc>
        <w:tc>
          <w:tcPr>
            <w:tcW w:w="3156" w:type="dxa"/>
            <w:tcBorders>
              <w:top w:val="single" w:sz="8" w:space="0" w:color="FFFFFF"/>
              <w:left w:val="single" w:sz="8" w:space="0" w:color="FFFFFF"/>
              <w:bottom w:val="single" w:sz="8" w:space="0" w:color="FFFFFF"/>
              <w:right w:val="single" w:sz="8" w:space="0" w:color="FFFFFF"/>
            </w:tcBorders>
            <w:shd w:val="clear" w:color="auto" w:fill="FFFFFF"/>
            <w:tcMar>
              <w:top w:w="15" w:type="dxa"/>
              <w:left w:w="108" w:type="dxa"/>
              <w:bottom w:w="0" w:type="dxa"/>
              <w:right w:w="108" w:type="dxa"/>
            </w:tcMar>
          </w:tcPr>
          <w:p w:rsidR="00E71F85" w:rsidRPr="00F160A3" w:rsidRDefault="00E71F85" w:rsidP="00D3471A">
            <w:pPr>
              <w:spacing w:line="480" w:lineRule="auto"/>
              <w:jc w:val="center"/>
              <w:rPr>
                <w:b/>
                <w:sz w:val="16"/>
                <w:szCs w:val="16"/>
              </w:rPr>
            </w:pPr>
            <w:r w:rsidRPr="00F160A3">
              <w:rPr>
                <w:color w:val="000000"/>
                <w:sz w:val="16"/>
                <w:szCs w:val="16"/>
              </w:rPr>
              <w:t>0</w:t>
            </w:r>
            <w:r>
              <w:rPr>
                <w:color w:val="000000"/>
                <w:sz w:val="16"/>
                <w:szCs w:val="16"/>
              </w:rPr>
              <w:t>.</w:t>
            </w:r>
            <w:r w:rsidRPr="00F160A3">
              <w:rPr>
                <w:color w:val="000000"/>
                <w:sz w:val="16"/>
                <w:szCs w:val="16"/>
              </w:rPr>
              <w:t>03</w:t>
            </w:r>
          </w:p>
        </w:tc>
      </w:tr>
      <w:tr w:rsidR="00E71F85" w:rsidRPr="00F160A3" w:rsidTr="00D3471A">
        <w:trPr>
          <w:trHeight w:val="20"/>
        </w:trPr>
        <w:tc>
          <w:tcPr>
            <w:tcW w:w="3156" w:type="dxa"/>
            <w:tcBorders>
              <w:top w:val="single" w:sz="8" w:space="0" w:color="FFFFFF"/>
              <w:left w:val="single" w:sz="8" w:space="0" w:color="FFFFFF"/>
              <w:bottom w:val="single" w:sz="8" w:space="0" w:color="FFFFFF"/>
              <w:right w:val="single" w:sz="8" w:space="0" w:color="FFFFFF"/>
            </w:tcBorders>
            <w:shd w:val="clear" w:color="auto" w:fill="FFFFFF"/>
            <w:tcMar>
              <w:top w:w="15" w:type="dxa"/>
              <w:left w:w="108" w:type="dxa"/>
              <w:bottom w:w="0" w:type="dxa"/>
              <w:right w:w="108" w:type="dxa"/>
            </w:tcMar>
            <w:hideMark/>
          </w:tcPr>
          <w:p w:rsidR="00E71F85" w:rsidRPr="00F160A3" w:rsidRDefault="00E71F85" w:rsidP="00D3471A">
            <w:pPr>
              <w:spacing w:line="480" w:lineRule="auto"/>
              <w:rPr>
                <w:color w:val="000000"/>
                <w:sz w:val="16"/>
                <w:szCs w:val="16"/>
              </w:rPr>
            </w:pPr>
            <w:r w:rsidRPr="00F160A3">
              <w:rPr>
                <w:color w:val="000000"/>
                <w:sz w:val="16"/>
                <w:szCs w:val="16"/>
              </w:rPr>
              <w:t xml:space="preserve">Prior Relapses </w:t>
            </w:r>
          </w:p>
        </w:tc>
        <w:tc>
          <w:tcPr>
            <w:tcW w:w="3156" w:type="dxa"/>
            <w:tcBorders>
              <w:top w:val="single" w:sz="8" w:space="0" w:color="FFFFFF"/>
              <w:left w:val="single" w:sz="8" w:space="0" w:color="FFFFFF"/>
              <w:bottom w:val="single" w:sz="8" w:space="0" w:color="FFFFFF"/>
              <w:right w:val="single" w:sz="8" w:space="0" w:color="FFFFFF"/>
            </w:tcBorders>
            <w:shd w:val="clear" w:color="auto" w:fill="FFFFFF"/>
            <w:tcMar>
              <w:top w:w="15" w:type="dxa"/>
              <w:left w:w="108" w:type="dxa"/>
              <w:bottom w:w="0" w:type="dxa"/>
              <w:right w:w="108" w:type="dxa"/>
            </w:tcMar>
          </w:tcPr>
          <w:p w:rsidR="00E71F85" w:rsidRPr="00F160A3" w:rsidRDefault="00E71F85" w:rsidP="00D3471A">
            <w:pPr>
              <w:spacing w:line="480" w:lineRule="auto"/>
              <w:jc w:val="center"/>
              <w:rPr>
                <w:b/>
                <w:sz w:val="16"/>
                <w:szCs w:val="16"/>
              </w:rPr>
            </w:pPr>
            <w:r w:rsidRPr="00F160A3">
              <w:rPr>
                <w:color w:val="000000"/>
                <w:sz w:val="16"/>
                <w:szCs w:val="16"/>
              </w:rPr>
              <w:t>0</w:t>
            </w:r>
            <w:r>
              <w:rPr>
                <w:color w:val="000000"/>
                <w:sz w:val="16"/>
                <w:szCs w:val="16"/>
              </w:rPr>
              <w:t>.</w:t>
            </w:r>
            <w:r w:rsidRPr="00F160A3">
              <w:rPr>
                <w:color w:val="000000"/>
                <w:sz w:val="16"/>
                <w:szCs w:val="16"/>
              </w:rPr>
              <w:t>50 (0</w:t>
            </w:r>
            <w:r>
              <w:rPr>
                <w:color w:val="000000"/>
                <w:sz w:val="16"/>
                <w:szCs w:val="16"/>
              </w:rPr>
              <w:t>.</w:t>
            </w:r>
            <w:r w:rsidRPr="00F160A3">
              <w:rPr>
                <w:color w:val="000000"/>
                <w:sz w:val="16"/>
                <w:szCs w:val="16"/>
              </w:rPr>
              <w:t>30, 0</w:t>
            </w:r>
            <w:r>
              <w:rPr>
                <w:color w:val="000000"/>
                <w:sz w:val="16"/>
                <w:szCs w:val="16"/>
              </w:rPr>
              <w:t>.</w:t>
            </w:r>
            <w:r w:rsidRPr="00F160A3">
              <w:rPr>
                <w:color w:val="000000"/>
                <w:sz w:val="16"/>
                <w:szCs w:val="16"/>
              </w:rPr>
              <w:t>83)</w:t>
            </w:r>
          </w:p>
        </w:tc>
        <w:tc>
          <w:tcPr>
            <w:tcW w:w="3156" w:type="dxa"/>
            <w:tcBorders>
              <w:top w:val="single" w:sz="8" w:space="0" w:color="FFFFFF"/>
              <w:left w:val="single" w:sz="8" w:space="0" w:color="FFFFFF"/>
              <w:bottom w:val="single" w:sz="8" w:space="0" w:color="FFFFFF"/>
              <w:right w:val="single" w:sz="8" w:space="0" w:color="FFFFFF"/>
            </w:tcBorders>
            <w:shd w:val="clear" w:color="auto" w:fill="FFFFFF"/>
            <w:tcMar>
              <w:top w:w="15" w:type="dxa"/>
              <w:left w:w="108" w:type="dxa"/>
              <w:bottom w:w="0" w:type="dxa"/>
              <w:right w:w="108" w:type="dxa"/>
            </w:tcMar>
          </w:tcPr>
          <w:p w:rsidR="00E71F85" w:rsidRPr="00F160A3" w:rsidRDefault="00E71F85" w:rsidP="00D3471A">
            <w:pPr>
              <w:spacing w:line="480" w:lineRule="auto"/>
              <w:jc w:val="center"/>
              <w:rPr>
                <w:b/>
                <w:sz w:val="16"/>
                <w:szCs w:val="16"/>
              </w:rPr>
            </w:pPr>
            <w:r w:rsidRPr="00F160A3">
              <w:rPr>
                <w:color w:val="000000"/>
                <w:sz w:val="16"/>
                <w:szCs w:val="16"/>
              </w:rPr>
              <w:t>0</w:t>
            </w:r>
            <w:r>
              <w:rPr>
                <w:rFonts w:ascii="Estrangelo Edessa" w:hAnsi="Estrangelo Edessa" w:cs="Estrangelo Edessa"/>
                <w:color w:val="000000"/>
                <w:sz w:val="16"/>
                <w:szCs w:val="16"/>
              </w:rPr>
              <w:t>.</w:t>
            </w:r>
            <w:r w:rsidRPr="00F160A3">
              <w:rPr>
                <w:color w:val="000000"/>
                <w:sz w:val="16"/>
                <w:szCs w:val="16"/>
              </w:rPr>
              <w:t>007</w:t>
            </w:r>
          </w:p>
        </w:tc>
      </w:tr>
      <w:tr w:rsidR="00E71F85" w:rsidRPr="00F160A3" w:rsidTr="00D3471A">
        <w:trPr>
          <w:trHeight w:val="20"/>
        </w:trPr>
        <w:tc>
          <w:tcPr>
            <w:tcW w:w="3156" w:type="dxa"/>
            <w:tcBorders>
              <w:top w:val="single" w:sz="8" w:space="0" w:color="FFFFFF"/>
              <w:left w:val="single" w:sz="8" w:space="0" w:color="FFFFFF"/>
              <w:bottom w:val="single" w:sz="8" w:space="0" w:color="FFFFFF"/>
              <w:right w:val="single" w:sz="8" w:space="0" w:color="FFFFFF"/>
            </w:tcBorders>
            <w:shd w:val="clear" w:color="auto" w:fill="FFFFFF"/>
            <w:tcMar>
              <w:top w:w="15" w:type="dxa"/>
              <w:left w:w="108" w:type="dxa"/>
              <w:bottom w:w="0" w:type="dxa"/>
              <w:right w:w="108" w:type="dxa"/>
            </w:tcMar>
            <w:hideMark/>
          </w:tcPr>
          <w:p w:rsidR="00E71F85" w:rsidRPr="00F160A3" w:rsidRDefault="00E71F85" w:rsidP="00D3471A">
            <w:pPr>
              <w:spacing w:line="480" w:lineRule="auto"/>
              <w:rPr>
                <w:color w:val="000000"/>
                <w:sz w:val="16"/>
                <w:szCs w:val="16"/>
              </w:rPr>
            </w:pPr>
            <w:r w:rsidRPr="00F160A3">
              <w:rPr>
                <w:color w:val="000000"/>
                <w:sz w:val="16"/>
                <w:szCs w:val="16"/>
              </w:rPr>
              <w:t xml:space="preserve">Surgery since relapse </w:t>
            </w:r>
          </w:p>
        </w:tc>
        <w:tc>
          <w:tcPr>
            <w:tcW w:w="3156" w:type="dxa"/>
            <w:tcBorders>
              <w:top w:val="single" w:sz="8" w:space="0" w:color="FFFFFF"/>
              <w:left w:val="single" w:sz="8" w:space="0" w:color="FFFFFF"/>
              <w:bottom w:val="single" w:sz="8" w:space="0" w:color="FFFFFF"/>
              <w:right w:val="single" w:sz="8" w:space="0" w:color="FFFFFF"/>
            </w:tcBorders>
            <w:shd w:val="clear" w:color="auto" w:fill="FFFFFF"/>
            <w:tcMar>
              <w:top w:w="15" w:type="dxa"/>
              <w:left w:w="108" w:type="dxa"/>
              <w:bottom w:w="0" w:type="dxa"/>
              <w:right w:w="108" w:type="dxa"/>
            </w:tcMar>
          </w:tcPr>
          <w:p w:rsidR="00E71F85" w:rsidRPr="00F160A3" w:rsidRDefault="00E71F85" w:rsidP="00D3471A">
            <w:pPr>
              <w:spacing w:line="480" w:lineRule="auto"/>
              <w:jc w:val="center"/>
              <w:rPr>
                <w:b/>
                <w:sz w:val="16"/>
                <w:szCs w:val="16"/>
              </w:rPr>
            </w:pPr>
            <w:r w:rsidRPr="00F160A3">
              <w:rPr>
                <w:color w:val="000000"/>
                <w:sz w:val="16"/>
                <w:szCs w:val="16"/>
              </w:rPr>
              <w:t>0</w:t>
            </w:r>
            <w:r>
              <w:rPr>
                <w:color w:val="000000"/>
                <w:sz w:val="16"/>
                <w:szCs w:val="16"/>
              </w:rPr>
              <w:t>.</w:t>
            </w:r>
            <w:r w:rsidRPr="00F160A3">
              <w:rPr>
                <w:color w:val="000000"/>
                <w:sz w:val="16"/>
                <w:szCs w:val="16"/>
              </w:rPr>
              <w:t>51 (0</w:t>
            </w:r>
            <w:r>
              <w:rPr>
                <w:color w:val="000000"/>
                <w:sz w:val="16"/>
                <w:szCs w:val="16"/>
              </w:rPr>
              <w:t>.</w:t>
            </w:r>
            <w:r w:rsidRPr="00F160A3">
              <w:rPr>
                <w:color w:val="000000"/>
                <w:sz w:val="16"/>
                <w:szCs w:val="16"/>
              </w:rPr>
              <w:t>31, 0</w:t>
            </w:r>
            <w:r>
              <w:rPr>
                <w:color w:val="000000"/>
                <w:sz w:val="16"/>
                <w:szCs w:val="16"/>
              </w:rPr>
              <w:t>.</w:t>
            </w:r>
            <w:r w:rsidRPr="00F160A3">
              <w:rPr>
                <w:color w:val="000000"/>
                <w:sz w:val="16"/>
                <w:szCs w:val="16"/>
              </w:rPr>
              <w:t>85)</w:t>
            </w:r>
          </w:p>
        </w:tc>
        <w:tc>
          <w:tcPr>
            <w:tcW w:w="3156" w:type="dxa"/>
            <w:tcBorders>
              <w:top w:val="single" w:sz="8" w:space="0" w:color="FFFFFF"/>
              <w:left w:val="single" w:sz="8" w:space="0" w:color="FFFFFF"/>
              <w:bottom w:val="single" w:sz="8" w:space="0" w:color="FFFFFF"/>
              <w:right w:val="single" w:sz="8" w:space="0" w:color="FFFFFF"/>
            </w:tcBorders>
            <w:shd w:val="clear" w:color="auto" w:fill="FFFFFF"/>
            <w:tcMar>
              <w:top w:w="15" w:type="dxa"/>
              <w:left w:w="108" w:type="dxa"/>
              <w:bottom w:w="0" w:type="dxa"/>
              <w:right w:w="108" w:type="dxa"/>
            </w:tcMar>
          </w:tcPr>
          <w:p w:rsidR="00E71F85" w:rsidRPr="00F160A3" w:rsidRDefault="00E71F85" w:rsidP="00D3471A">
            <w:pPr>
              <w:spacing w:line="480" w:lineRule="auto"/>
              <w:jc w:val="center"/>
              <w:rPr>
                <w:b/>
                <w:sz w:val="16"/>
                <w:szCs w:val="16"/>
              </w:rPr>
            </w:pPr>
            <w:r w:rsidRPr="00F160A3">
              <w:rPr>
                <w:color w:val="000000"/>
                <w:sz w:val="16"/>
                <w:szCs w:val="16"/>
              </w:rPr>
              <w:t>0</w:t>
            </w:r>
            <w:r>
              <w:rPr>
                <w:color w:val="000000"/>
                <w:sz w:val="16"/>
                <w:szCs w:val="16"/>
              </w:rPr>
              <w:t>.</w:t>
            </w:r>
            <w:r w:rsidRPr="00F160A3">
              <w:rPr>
                <w:color w:val="000000"/>
                <w:sz w:val="16"/>
                <w:szCs w:val="16"/>
              </w:rPr>
              <w:t>01</w:t>
            </w:r>
          </w:p>
        </w:tc>
      </w:tr>
      <w:tr w:rsidR="00E71F85" w:rsidRPr="00F160A3" w:rsidTr="00D3471A">
        <w:trPr>
          <w:trHeight w:val="20"/>
        </w:trPr>
        <w:tc>
          <w:tcPr>
            <w:tcW w:w="3156" w:type="dxa"/>
            <w:tcBorders>
              <w:top w:val="single" w:sz="8" w:space="0" w:color="FFFFFF"/>
              <w:left w:val="single" w:sz="8" w:space="0" w:color="FFFFFF"/>
              <w:bottom w:val="single" w:sz="4" w:space="0" w:color="auto"/>
              <w:right w:val="single" w:sz="8" w:space="0" w:color="FFFFFF"/>
            </w:tcBorders>
            <w:shd w:val="clear" w:color="auto" w:fill="FFFFFF"/>
            <w:tcMar>
              <w:top w:w="15" w:type="dxa"/>
              <w:left w:w="108" w:type="dxa"/>
              <w:bottom w:w="0" w:type="dxa"/>
              <w:right w:w="108" w:type="dxa"/>
            </w:tcMar>
            <w:hideMark/>
          </w:tcPr>
          <w:p w:rsidR="00E71F85" w:rsidRPr="00F160A3" w:rsidRDefault="00E71F85" w:rsidP="00D3471A">
            <w:pPr>
              <w:spacing w:line="480" w:lineRule="auto"/>
              <w:rPr>
                <w:color w:val="000000"/>
                <w:sz w:val="16"/>
                <w:szCs w:val="16"/>
              </w:rPr>
            </w:pPr>
            <w:r w:rsidRPr="00F160A3">
              <w:rPr>
                <w:color w:val="000000"/>
                <w:sz w:val="16"/>
                <w:szCs w:val="16"/>
              </w:rPr>
              <w:t xml:space="preserve">Steroid at baseline </w:t>
            </w:r>
          </w:p>
        </w:tc>
        <w:tc>
          <w:tcPr>
            <w:tcW w:w="3156" w:type="dxa"/>
            <w:tcBorders>
              <w:top w:val="single" w:sz="8" w:space="0" w:color="FFFFFF"/>
              <w:left w:val="single" w:sz="8" w:space="0" w:color="FFFFFF"/>
              <w:bottom w:val="single" w:sz="4" w:space="0" w:color="auto"/>
              <w:right w:val="single" w:sz="8" w:space="0" w:color="FFFFFF"/>
            </w:tcBorders>
            <w:shd w:val="clear" w:color="auto" w:fill="FFFFFF"/>
            <w:tcMar>
              <w:top w:w="15" w:type="dxa"/>
              <w:left w:w="108" w:type="dxa"/>
              <w:bottom w:w="0" w:type="dxa"/>
              <w:right w:w="108" w:type="dxa"/>
            </w:tcMar>
          </w:tcPr>
          <w:p w:rsidR="00E71F85" w:rsidRPr="00F160A3" w:rsidRDefault="00E71F85" w:rsidP="00D3471A">
            <w:pPr>
              <w:spacing w:line="480" w:lineRule="auto"/>
              <w:jc w:val="center"/>
              <w:rPr>
                <w:b/>
                <w:sz w:val="16"/>
                <w:szCs w:val="16"/>
              </w:rPr>
            </w:pPr>
            <w:r w:rsidRPr="00F160A3">
              <w:rPr>
                <w:color w:val="000000"/>
                <w:sz w:val="16"/>
                <w:szCs w:val="16"/>
              </w:rPr>
              <w:t>0</w:t>
            </w:r>
            <w:r>
              <w:rPr>
                <w:color w:val="000000"/>
                <w:sz w:val="16"/>
                <w:szCs w:val="16"/>
              </w:rPr>
              <w:t>.</w:t>
            </w:r>
            <w:r w:rsidRPr="00F160A3">
              <w:rPr>
                <w:color w:val="000000"/>
                <w:sz w:val="16"/>
                <w:szCs w:val="16"/>
              </w:rPr>
              <w:t>52 (0</w:t>
            </w:r>
            <w:r>
              <w:rPr>
                <w:color w:val="000000"/>
                <w:sz w:val="16"/>
                <w:szCs w:val="16"/>
              </w:rPr>
              <w:t>.</w:t>
            </w:r>
            <w:r w:rsidRPr="00F160A3">
              <w:rPr>
                <w:color w:val="000000"/>
                <w:sz w:val="16"/>
                <w:szCs w:val="16"/>
              </w:rPr>
              <w:t>31, 0</w:t>
            </w:r>
            <w:r>
              <w:rPr>
                <w:color w:val="000000"/>
                <w:sz w:val="16"/>
                <w:szCs w:val="16"/>
              </w:rPr>
              <w:t>.</w:t>
            </w:r>
            <w:r w:rsidRPr="00F160A3">
              <w:rPr>
                <w:color w:val="000000"/>
                <w:sz w:val="16"/>
                <w:szCs w:val="16"/>
              </w:rPr>
              <w:t>87)</w:t>
            </w:r>
          </w:p>
        </w:tc>
        <w:tc>
          <w:tcPr>
            <w:tcW w:w="3156" w:type="dxa"/>
            <w:tcBorders>
              <w:top w:val="single" w:sz="8" w:space="0" w:color="FFFFFF"/>
              <w:left w:val="single" w:sz="8" w:space="0" w:color="FFFFFF"/>
              <w:bottom w:val="single" w:sz="4" w:space="0" w:color="auto"/>
              <w:right w:val="single" w:sz="8" w:space="0" w:color="FFFFFF"/>
            </w:tcBorders>
            <w:shd w:val="clear" w:color="auto" w:fill="FFFFFF"/>
            <w:tcMar>
              <w:top w:w="15" w:type="dxa"/>
              <w:left w:w="108" w:type="dxa"/>
              <w:bottom w:w="0" w:type="dxa"/>
              <w:right w:w="108" w:type="dxa"/>
            </w:tcMar>
          </w:tcPr>
          <w:p w:rsidR="00E71F85" w:rsidRPr="00F160A3" w:rsidRDefault="00E71F85" w:rsidP="00D3471A">
            <w:pPr>
              <w:spacing w:line="480" w:lineRule="auto"/>
              <w:jc w:val="center"/>
              <w:rPr>
                <w:b/>
                <w:sz w:val="16"/>
                <w:szCs w:val="16"/>
              </w:rPr>
            </w:pPr>
            <w:r w:rsidRPr="00F160A3">
              <w:rPr>
                <w:color w:val="000000"/>
                <w:sz w:val="16"/>
                <w:szCs w:val="16"/>
              </w:rPr>
              <w:t>0</w:t>
            </w:r>
            <w:r>
              <w:rPr>
                <w:color w:val="000000"/>
                <w:sz w:val="16"/>
                <w:szCs w:val="16"/>
              </w:rPr>
              <w:t>.</w:t>
            </w:r>
            <w:r w:rsidRPr="00F160A3">
              <w:rPr>
                <w:color w:val="000000"/>
                <w:sz w:val="16"/>
                <w:szCs w:val="16"/>
              </w:rPr>
              <w:t>01</w:t>
            </w:r>
          </w:p>
        </w:tc>
      </w:tr>
    </w:tbl>
    <w:p w:rsidR="00E71F85" w:rsidRPr="00F160A3" w:rsidRDefault="00E71F85" w:rsidP="00E71F85">
      <w:pPr>
        <w:rPr>
          <w:sz w:val="16"/>
          <w:szCs w:val="16"/>
        </w:rPr>
      </w:pPr>
      <w:r w:rsidRPr="00F160A3">
        <w:rPr>
          <w:sz w:val="16"/>
          <w:szCs w:val="16"/>
        </w:rPr>
        <w:t xml:space="preserve">The P value for the unadjusted analysis is based on </w:t>
      </w:r>
      <w:proofErr w:type="spellStart"/>
      <w:r w:rsidRPr="00F160A3">
        <w:rPr>
          <w:sz w:val="16"/>
          <w:szCs w:val="16"/>
        </w:rPr>
        <w:t>logrank</w:t>
      </w:r>
      <w:proofErr w:type="spellEnd"/>
      <w:r w:rsidRPr="00F160A3">
        <w:rPr>
          <w:sz w:val="16"/>
          <w:szCs w:val="16"/>
        </w:rPr>
        <w:t xml:space="preserve"> test. The adjusted analysis is based on Wald test from Cox model. Although potential imbalances in baseline patient characteristics existed between treatment arms with regard to the number of patients who underwent surgery at last relapse and number of relapses, this adjusted analysis indicates that these factors do not contribute to the survival advantage observed for the </w:t>
      </w:r>
      <w:proofErr w:type="spellStart"/>
      <w:r w:rsidRPr="00F160A3">
        <w:rPr>
          <w:sz w:val="16"/>
          <w:szCs w:val="16"/>
        </w:rPr>
        <w:t>rindopepimut</w:t>
      </w:r>
      <w:proofErr w:type="spellEnd"/>
      <w:r w:rsidRPr="00F160A3">
        <w:rPr>
          <w:sz w:val="16"/>
          <w:szCs w:val="16"/>
        </w:rPr>
        <w:t xml:space="preserve"> arm. </w:t>
      </w:r>
    </w:p>
    <w:p w:rsidR="00E71F85" w:rsidRPr="006B167D" w:rsidRDefault="00E71F85" w:rsidP="006B167D">
      <w:pPr>
        <w:spacing w:line="480" w:lineRule="auto"/>
      </w:pPr>
      <w:r>
        <w:rPr>
          <w:b/>
        </w:rPr>
        <w:br w:type="page"/>
      </w:r>
    </w:p>
    <w:p w:rsidR="00E71F85" w:rsidRPr="00F160A3" w:rsidRDefault="00E71F85" w:rsidP="00E71F85">
      <w:pPr>
        <w:pStyle w:val="Caption"/>
        <w:rPr>
          <w:sz w:val="20"/>
          <w:szCs w:val="20"/>
        </w:rPr>
      </w:pPr>
      <w:bookmarkStart w:id="11" w:name="_Ref429054552"/>
      <w:bookmarkStart w:id="12" w:name="_Toc438222300"/>
      <w:bookmarkStart w:id="13" w:name="_Toc439252344"/>
      <w:bookmarkStart w:id="14" w:name="_Toc440458863"/>
      <w:bookmarkStart w:id="15" w:name="_Toc441579244"/>
      <w:r w:rsidRPr="00F160A3">
        <w:rPr>
          <w:sz w:val="20"/>
          <w:szCs w:val="20"/>
        </w:rPr>
        <w:lastRenderedPageBreak/>
        <w:t>Figure A</w:t>
      </w:r>
      <w:r w:rsidRPr="00F160A3">
        <w:rPr>
          <w:sz w:val="20"/>
          <w:szCs w:val="20"/>
        </w:rPr>
        <w:fldChar w:fldCharType="begin"/>
      </w:r>
      <w:r w:rsidRPr="00F160A3">
        <w:rPr>
          <w:sz w:val="20"/>
          <w:szCs w:val="20"/>
        </w:rPr>
        <w:instrText xml:space="preserve"> SEQ Fig_S \* ARABIC </w:instrText>
      </w:r>
      <w:r w:rsidRPr="00F160A3">
        <w:rPr>
          <w:sz w:val="20"/>
          <w:szCs w:val="20"/>
        </w:rPr>
        <w:fldChar w:fldCharType="separate"/>
      </w:r>
      <w:r>
        <w:rPr>
          <w:noProof/>
          <w:sz w:val="20"/>
          <w:szCs w:val="20"/>
        </w:rPr>
        <w:t>1</w:t>
      </w:r>
      <w:r w:rsidRPr="00F160A3">
        <w:rPr>
          <w:noProof/>
          <w:sz w:val="20"/>
          <w:szCs w:val="20"/>
        </w:rPr>
        <w:fldChar w:fldCharType="end"/>
      </w:r>
      <w:bookmarkEnd w:id="11"/>
      <w:r w:rsidRPr="00F160A3">
        <w:rPr>
          <w:sz w:val="20"/>
          <w:szCs w:val="20"/>
        </w:rPr>
        <w:t>. Duration of Response</w:t>
      </w:r>
      <w:bookmarkEnd w:id="12"/>
      <w:bookmarkEnd w:id="13"/>
      <w:bookmarkEnd w:id="14"/>
      <w:bookmarkEnd w:id="15"/>
      <w:r w:rsidRPr="00F160A3">
        <w:rPr>
          <w:sz w:val="20"/>
          <w:szCs w:val="20"/>
        </w:rPr>
        <w:t xml:space="preserve"> </w:t>
      </w:r>
      <w:r w:rsidRPr="003812E6">
        <w:rPr>
          <w:i/>
          <w:sz w:val="20"/>
        </w:rPr>
        <w:t>Online only</w:t>
      </w:r>
    </w:p>
    <w:p w:rsidR="00E71F85" w:rsidRPr="00F160A3" w:rsidRDefault="00E71F85" w:rsidP="00E71F85">
      <w:pPr>
        <w:rPr>
          <w:sz w:val="16"/>
          <w:szCs w:val="16"/>
        </w:rPr>
      </w:pPr>
      <w:r w:rsidRPr="00F160A3">
        <w:rPr>
          <w:sz w:val="20"/>
          <w:szCs w:val="20"/>
        </w:rPr>
        <w:t>Patients experiencing complete response are indicated with dark bars, while patients who experienced a partial response are indicated by light gray bars. One patient remaining on treatment with ongoing response is indicated with an arrow. Patients who discontinued treatment in the absence of progression by expert review are indicated with ‘+’. A patient excluded from per-protocol population analyses is indicated with ‘*’</w:t>
      </w:r>
      <w:r w:rsidRPr="00F160A3">
        <w:rPr>
          <w:sz w:val="16"/>
          <w:szCs w:val="16"/>
        </w:rPr>
        <w:t xml:space="preserve">. </w:t>
      </w:r>
    </w:p>
    <w:p w:rsidR="00E71F85" w:rsidRDefault="00E71F85" w:rsidP="00E71F85">
      <w:pPr>
        <w:spacing w:line="480" w:lineRule="auto"/>
      </w:pPr>
    </w:p>
    <w:p w:rsidR="00E71F85" w:rsidRPr="00F160A3" w:rsidRDefault="00E71F85" w:rsidP="00E71F85">
      <w:pPr>
        <w:pStyle w:val="Caption"/>
        <w:rPr>
          <w:sz w:val="20"/>
          <w:szCs w:val="20"/>
        </w:rPr>
      </w:pPr>
      <w:bookmarkStart w:id="16" w:name="_Ref441036890"/>
      <w:bookmarkStart w:id="17" w:name="_Ref441036880"/>
      <w:bookmarkStart w:id="18" w:name="_Toc441579245"/>
      <w:r w:rsidRPr="00F160A3">
        <w:rPr>
          <w:sz w:val="20"/>
          <w:szCs w:val="20"/>
        </w:rPr>
        <w:t>Figure A</w:t>
      </w:r>
      <w:r w:rsidRPr="00F160A3">
        <w:rPr>
          <w:sz w:val="20"/>
          <w:szCs w:val="20"/>
        </w:rPr>
        <w:fldChar w:fldCharType="begin"/>
      </w:r>
      <w:r w:rsidRPr="00F160A3">
        <w:rPr>
          <w:sz w:val="20"/>
          <w:szCs w:val="20"/>
        </w:rPr>
        <w:instrText xml:space="preserve"> SEQ Fig_S \* ARABIC </w:instrText>
      </w:r>
      <w:r w:rsidRPr="00F160A3">
        <w:rPr>
          <w:sz w:val="20"/>
          <w:szCs w:val="20"/>
        </w:rPr>
        <w:fldChar w:fldCharType="separate"/>
      </w:r>
      <w:r>
        <w:rPr>
          <w:noProof/>
          <w:sz w:val="20"/>
          <w:szCs w:val="20"/>
        </w:rPr>
        <w:t>2</w:t>
      </w:r>
      <w:r w:rsidRPr="00F160A3">
        <w:rPr>
          <w:noProof/>
          <w:sz w:val="20"/>
          <w:szCs w:val="20"/>
        </w:rPr>
        <w:fldChar w:fldCharType="end"/>
      </w:r>
      <w:bookmarkEnd w:id="16"/>
      <w:r w:rsidRPr="00F160A3">
        <w:rPr>
          <w:sz w:val="20"/>
          <w:szCs w:val="20"/>
        </w:rPr>
        <w:t>. Disease Course for Long-Term Survivors.</w:t>
      </w:r>
      <w:bookmarkEnd w:id="17"/>
      <w:bookmarkEnd w:id="18"/>
      <w:r w:rsidRPr="00F160A3">
        <w:rPr>
          <w:sz w:val="20"/>
          <w:szCs w:val="20"/>
        </w:rPr>
        <w:t xml:space="preserve"> </w:t>
      </w:r>
      <w:r w:rsidRPr="003812E6">
        <w:rPr>
          <w:i/>
          <w:sz w:val="20"/>
        </w:rPr>
        <w:t>Online only</w:t>
      </w:r>
    </w:p>
    <w:p w:rsidR="00E71F85" w:rsidRPr="00F160A3" w:rsidRDefault="00E71F85" w:rsidP="00E71F85">
      <w:pPr>
        <w:rPr>
          <w:sz w:val="20"/>
          <w:szCs w:val="20"/>
        </w:rPr>
      </w:pPr>
      <w:r w:rsidRPr="00F160A3">
        <w:rPr>
          <w:sz w:val="20"/>
          <w:szCs w:val="20"/>
        </w:rPr>
        <w:t>Time from diagnosis to first relapse, from first relapse to second relapse (when applicable), and from most recent relapse to study entry are shown in the left panel, while progression-free survival by central review and overall survival are shown in the right panel, for the patients who experienced survival of at least 18 months on study. Patients who remain alive at final analysis (as of the cut-off date of May 25, 2016) are indicated with ‘</w:t>
      </w:r>
      <w:r w:rsidRPr="00F160A3">
        <w:rPr>
          <w:sz w:val="20"/>
          <w:szCs w:val="20"/>
        </w:rPr>
        <w:sym w:font="Symbol" w:char="F0AE"/>
      </w:r>
      <w:r w:rsidRPr="00F160A3">
        <w:rPr>
          <w:sz w:val="20"/>
          <w:szCs w:val="20"/>
        </w:rPr>
        <w:t xml:space="preserve">’, while patients without progression by central review (as of the cut-off date of September 1, 2015) are indicated with ‘*’. </w:t>
      </w:r>
    </w:p>
    <w:p w:rsidR="00E71F85" w:rsidRDefault="00E71F85" w:rsidP="00E71F85">
      <w:pPr>
        <w:spacing w:line="480" w:lineRule="auto"/>
      </w:pPr>
    </w:p>
    <w:p w:rsidR="00E71F85" w:rsidRPr="00F160A3" w:rsidRDefault="00E71F85" w:rsidP="00E71F85">
      <w:pPr>
        <w:pStyle w:val="Caption"/>
        <w:rPr>
          <w:sz w:val="20"/>
          <w:szCs w:val="20"/>
        </w:rPr>
      </w:pPr>
      <w:bookmarkStart w:id="19" w:name="_Toc440458865"/>
      <w:bookmarkStart w:id="20" w:name="_Toc441579246"/>
      <w:r w:rsidRPr="00F160A3">
        <w:rPr>
          <w:sz w:val="20"/>
          <w:szCs w:val="20"/>
        </w:rPr>
        <w:t>Figure A</w:t>
      </w:r>
      <w:r w:rsidRPr="00F160A3">
        <w:rPr>
          <w:sz w:val="20"/>
          <w:szCs w:val="20"/>
        </w:rPr>
        <w:fldChar w:fldCharType="begin"/>
      </w:r>
      <w:r w:rsidRPr="00F160A3">
        <w:rPr>
          <w:sz w:val="20"/>
          <w:szCs w:val="20"/>
        </w:rPr>
        <w:instrText xml:space="preserve"> SEQ Fig_S \* ARABIC </w:instrText>
      </w:r>
      <w:r w:rsidRPr="00F160A3">
        <w:rPr>
          <w:sz w:val="20"/>
          <w:szCs w:val="20"/>
        </w:rPr>
        <w:fldChar w:fldCharType="separate"/>
      </w:r>
      <w:r>
        <w:rPr>
          <w:noProof/>
          <w:sz w:val="20"/>
          <w:szCs w:val="20"/>
        </w:rPr>
        <w:t>3</w:t>
      </w:r>
      <w:r w:rsidRPr="00F160A3">
        <w:rPr>
          <w:noProof/>
          <w:sz w:val="20"/>
          <w:szCs w:val="20"/>
        </w:rPr>
        <w:fldChar w:fldCharType="end"/>
      </w:r>
      <w:r w:rsidRPr="00F160A3">
        <w:rPr>
          <w:sz w:val="20"/>
          <w:szCs w:val="20"/>
        </w:rPr>
        <w:t xml:space="preserve">. Example of a radiographic response in a patient receiving </w:t>
      </w:r>
      <w:proofErr w:type="spellStart"/>
      <w:r w:rsidRPr="00F160A3">
        <w:rPr>
          <w:sz w:val="20"/>
          <w:szCs w:val="20"/>
        </w:rPr>
        <w:t>rindopepimut</w:t>
      </w:r>
      <w:bookmarkEnd w:id="19"/>
      <w:bookmarkEnd w:id="20"/>
      <w:proofErr w:type="spellEnd"/>
      <w:r w:rsidRPr="00F160A3">
        <w:rPr>
          <w:sz w:val="20"/>
          <w:szCs w:val="20"/>
        </w:rPr>
        <w:t xml:space="preserve"> </w:t>
      </w:r>
      <w:r w:rsidRPr="003812E6">
        <w:rPr>
          <w:i/>
          <w:sz w:val="20"/>
        </w:rPr>
        <w:t>Online only</w:t>
      </w:r>
    </w:p>
    <w:p w:rsidR="00E71F85" w:rsidRPr="00F160A3" w:rsidRDefault="00E71F85" w:rsidP="00E71F85">
      <w:pPr>
        <w:rPr>
          <w:sz w:val="20"/>
          <w:szCs w:val="20"/>
        </w:rPr>
      </w:pPr>
      <w:r w:rsidRPr="00F160A3">
        <w:rPr>
          <w:sz w:val="20"/>
          <w:szCs w:val="20"/>
        </w:rPr>
        <w:t xml:space="preserve">This 60 year-old male patient previously underwent gross-total resection followed by standard radiation and </w:t>
      </w:r>
      <w:proofErr w:type="spellStart"/>
      <w:r w:rsidRPr="00F160A3">
        <w:rPr>
          <w:sz w:val="20"/>
          <w:szCs w:val="20"/>
        </w:rPr>
        <w:t>temozolomide</w:t>
      </w:r>
      <w:proofErr w:type="spellEnd"/>
      <w:r w:rsidRPr="00F160A3">
        <w:rPr>
          <w:sz w:val="20"/>
          <w:szCs w:val="20"/>
        </w:rPr>
        <w:t xml:space="preserve">, with recurrence of disease less than </w:t>
      </w:r>
      <w:proofErr w:type="gramStart"/>
      <w:r w:rsidRPr="00F160A3">
        <w:rPr>
          <w:sz w:val="20"/>
          <w:szCs w:val="20"/>
        </w:rPr>
        <w:t>five</w:t>
      </w:r>
      <w:proofErr w:type="gramEnd"/>
      <w:r w:rsidRPr="00F160A3">
        <w:rPr>
          <w:sz w:val="20"/>
          <w:szCs w:val="20"/>
        </w:rPr>
        <w:t xml:space="preserve"> months after initial diagnosis. While receiving </w:t>
      </w:r>
      <w:proofErr w:type="spellStart"/>
      <w:r w:rsidRPr="00F160A3">
        <w:rPr>
          <w:sz w:val="20"/>
          <w:szCs w:val="20"/>
        </w:rPr>
        <w:t>rindopepimut</w:t>
      </w:r>
      <w:proofErr w:type="spellEnd"/>
      <w:r w:rsidRPr="00F160A3">
        <w:rPr>
          <w:sz w:val="20"/>
          <w:szCs w:val="20"/>
        </w:rPr>
        <w:t xml:space="preserve"> with bevacizumab on study, the patient experienced a partial response persisting more than 18 months, and remains alive without initiation of alternate therapies at 27 months. </w:t>
      </w:r>
    </w:p>
    <w:p w:rsidR="003A523E" w:rsidRPr="00E71F85" w:rsidRDefault="003A523E" w:rsidP="00E71F85">
      <w:pPr>
        <w:spacing w:line="480" w:lineRule="auto"/>
        <w:rPr>
          <w:sz w:val="20"/>
          <w:szCs w:val="20"/>
        </w:rPr>
      </w:pPr>
    </w:p>
    <w:sectPr w:rsidR="003A523E" w:rsidRPr="00E71F85" w:rsidSect="00E71F8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Estrangelo Edessa">
    <w:panose1 w:val="00000000000000000000"/>
    <w:charset w:val="00"/>
    <w:family w:val="script"/>
    <w:pitch w:val="variable"/>
    <w:sig w:usb0="80002043" w:usb1="00000000" w:usb2="0000008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272BC"/>
    <w:multiLevelType w:val="hybridMultilevel"/>
    <w:tmpl w:val="C1960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F85"/>
    <w:rsid w:val="003A523E"/>
    <w:rsid w:val="006B167D"/>
    <w:rsid w:val="00E71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E1D07"/>
  <w15:chartTrackingRefBased/>
  <w15:docId w15:val="{DAE0585A-4973-4B4F-A697-C176405A7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F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Table"/>
    <w:next w:val="Normal"/>
    <w:link w:val="CaptionChar"/>
    <w:qFormat/>
    <w:rsid w:val="00E71F85"/>
    <w:pPr>
      <w:widowControl w:val="0"/>
      <w:spacing w:after="0" w:line="480" w:lineRule="auto"/>
    </w:pPr>
    <w:rPr>
      <w:rFonts w:ascii="Times New Roman" w:eastAsia="Times New Roman" w:hAnsi="Times New Roman" w:cs="Times New Roman"/>
      <w:b/>
      <w:bCs/>
      <w:sz w:val="24"/>
      <w:szCs w:val="24"/>
    </w:rPr>
  </w:style>
  <w:style w:type="character" w:customStyle="1" w:styleId="CaptionChar">
    <w:name w:val="Caption Char"/>
    <w:aliases w:val="Table Char"/>
    <w:link w:val="Caption"/>
    <w:rsid w:val="00E71F85"/>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2519</TotalTime>
  <Pages>4</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Duke University School of Medicine</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Tecca Wright</dc:creator>
  <cp:keywords/>
  <dc:description/>
  <cp:lastModifiedBy>Tecca Wright</cp:lastModifiedBy>
  <cp:revision>2</cp:revision>
  <dcterms:created xsi:type="dcterms:W3CDTF">2019-10-31T18:48:00Z</dcterms:created>
  <dcterms:modified xsi:type="dcterms:W3CDTF">2019-11-04T15:46:00Z</dcterms:modified>
</cp:coreProperties>
</file>