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71" w:rsidRPr="00FE0510" w:rsidRDefault="00277971" w:rsidP="00FE0510">
      <w:pPr>
        <w:adjustRightInd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0510">
        <w:rPr>
          <w:rFonts w:ascii="Arial" w:hAnsi="Arial" w:cs="Arial"/>
          <w:b/>
          <w:sz w:val="24"/>
          <w:szCs w:val="24"/>
        </w:rPr>
        <w:t>Supplemental Materials and Methods</w:t>
      </w:r>
    </w:p>
    <w:p w:rsidR="001D6664" w:rsidRPr="00FE0510" w:rsidRDefault="001D6664" w:rsidP="00FE0510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510">
        <w:rPr>
          <w:rFonts w:ascii="Arial" w:hAnsi="Arial" w:cs="Arial"/>
          <w:b/>
          <w:bCs/>
          <w:sz w:val="24"/>
          <w:szCs w:val="24"/>
        </w:rPr>
        <w:t>Pharmacokinetic study</w:t>
      </w:r>
    </w:p>
    <w:p w:rsidR="001D6664" w:rsidRPr="00FE0510" w:rsidRDefault="001D6664" w:rsidP="00FE0510">
      <w:pPr>
        <w:adjustRightInd w:val="0"/>
        <w:snapToGri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0510">
        <w:rPr>
          <w:rFonts w:ascii="Arial" w:hAnsi="Arial" w:cs="Arial"/>
          <w:sz w:val="24"/>
          <w:szCs w:val="24"/>
        </w:rPr>
        <w:t xml:space="preserve">Nude mice were treated with a single dose of talazoparib at 0.33 mg/kg or 0.5 mg/kg. Brain tissues and blood samples were harvested at 0, 1, 2, 4, and 8 hours (n=3 mice per time point). Tissues were homogenized using Omni BEAD </w:t>
      </w:r>
      <w:proofErr w:type="spellStart"/>
      <w:r w:rsidRPr="00FE0510">
        <w:rPr>
          <w:rFonts w:ascii="Arial" w:hAnsi="Arial" w:cs="Arial"/>
          <w:sz w:val="24"/>
          <w:szCs w:val="24"/>
        </w:rPr>
        <w:t>Ruptor</w:t>
      </w:r>
      <w:proofErr w:type="spellEnd"/>
      <w:r w:rsidRPr="00FE0510">
        <w:rPr>
          <w:rFonts w:ascii="Arial" w:hAnsi="Arial" w:cs="Arial"/>
          <w:sz w:val="24"/>
          <w:szCs w:val="24"/>
        </w:rPr>
        <w:t xml:space="preserve"> 24 coupled with </w:t>
      </w:r>
      <w:proofErr w:type="spellStart"/>
      <w:r w:rsidRPr="00FE0510">
        <w:rPr>
          <w:rFonts w:ascii="Arial" w:hAnsi="Arial" w:cs="Arial"/>
          <w:sz w:val="24"/>
          <w:szCs w:val="24"/>
        </w:rPr>
        <w:t>OmniBR</w:t>
      </w:r>
      <w:proofErr w:type="spellEnd"/>
      <w:r w:rsidRPr="00FE0510">
        <w:rPr>
          <w:rFonts w:ascii="Arial" w:hAnsi="Arial" w:cs="Arial"/>
          <w:sz w:val="24"/>
          <w:szCs w:val="24"/>
        </w:rPr>
        <w:t xml:space="preserve"> CRYO, and talazoparib concentrations were determined by liquid chromatography-tandem mass spectrometry</w:t>
      </w:r>
      <w:r w:rsidRPr="00FE0510">
        <w:rPr>
          <w:rFonts w:ascii="Arial" w:hAnsi="Arial" w:cs="Arial"/>
          <w:sz w:val="24"/>
          <w:szCs w:val="24"/>
        </w:rPr>
        <w:t>.</w:t>
      </w:r>
    </w:p>
    <w:p w:rsidR="00BE5266" w:rsidRPr="00FE0510" w:rsidRDefault="00BE5266" w:rsidP="00FE0510">
      <w:pPr>
        <w:adjustRightInd w:val="0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E0510">
        <w:rPr>
          <w:rFonts w:ascii="Arial" w:hAnsi="Arial" w:cs="Arial"/>
          <w:b/>
          <w:sz w:val="24"/>
          <w:szCs w:val="24"/>
        </w:rPr>
        <w:t xml:space="preserve">In vivo </w:t>
      </w:r>
      <w:r w:rsidR="00761731" w:rsidRPr="00FE0510">
        <w:rPr>
          <w:rFonts w:ascii="Arial" w:hAnsi="Arial" w:cs="Arial"/>
          <w:b/>
          <w:sz w:val="24"/>
          <w:szCs w:val="24"/>
        </w:rPr>
        <w:t>T</w:t>
      </w:r>
      <w:r w:rsidRPr="00FE0510">
        <w:rPr>
          <w:rFonts w:ascii="Arial" w:hAnsi="Arial" w:cs="Arial"/>
          <w:b/>
          <w:sz w:val="24"/>
          <w:szCs w:val="24"/>
        </w:rPr>
        <w:t xml:space="preserve">alazoparib Toxicity </w:t>
      </w:r>
      <w:r w:rsidR="00277971" w:rsidRPr="00FE0510">
        <w:rPr>
          <w:rFonts w:ascii="Arial" w:hAnsi="Arial" w:cs="Arial"/>
          <w:b/>
          <w:sz w:val="24"/>
          <w:szCs w:val="24"/>
        </w:rPr>
        <w:t>evaluation</w:t>
      </w:r>
    </w:p>
    <w:p w:rsidR="00C553B3" w:rsidRPr="00FE0510" w:rsidRDefault="004B186E" w:rsidP="00FE0510">
      <w:pPr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0510">
        <w:rPr>
          <w:rFonts w:ascii="Arial" w:hAnsi="Arial" w:cs="Arial"/>
          <w:sz w:val="24"/>
          <w:szCs w:val="24"/>
          <w:lang w:eastAsia="en-US"/>
        </w:rPr>
        <w:t>Mice without tumors were treated with or without talazoparib at 0.33mg/kg (n=3 per group), BID for 6 weeks. Body weight were measured every 2 weeks. At week 6, Blood samples were collected from facial vein and sent to Department of Veterinary Medicine &amp; Surgery Section of Veterinary Laboratory Medicine at MD Anderson for routine hematology assay. For B</w:t>
      </w:r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lood sampling</w:t>
      </w:r>
      <w:r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77971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acial vein sampling without anesthesia was performed with a 3 mm Goldenrod animal lancet (Braintree Scientific, Braintree MA, USA). Blood was collected into 100 </w:t>
      </w:r>
      <w:proofErr w:type="spellStart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μl</w:t>
      </w:r>
      <w:proofErr w:type="spellEnd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EDTA </w:t>
      </w:r>
      <w:proofErr w:type="spellStart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microvette</w:t>
      </w:r>
      <w:proofErr w:type="spellEnd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tubes (</w:t>
      </w:r>
      <w:proofErr w:type="spellStart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Sarstedt</w:t>
      </w:r>
      <w:proofErr w:type="spellEnd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Numbrecht</w:t>
      </w:r>
      <w:proofErr w:type="spellEnd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Germany) and gently mixed to avoid platelet activation. Twelve microliters of whole blood were then transferred to a </w:t>
      </w:r>
      <w:proofErr w:type="spellStart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microcentrifuge</w:t>
      </w:r>
      <w:proofErr w:type="spellEnd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tube containing 108 </w:t>
      </w:r>
      <w:proofErr w:type="spellStart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μl</w:t>
      </w:r>
      <w:proofErr w:type="spellEnd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CellPak</w:t>
      </w:r>
      <w:proofErr w:type="spellEnd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>Sysmex</w:t>
      </w:r>
      <w:proofErr w:type="spellEnd"/>
      <w:r w:rsidR="00C553B3" w:rsidRPr="00FE05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America, Lincolnshire IL, USA), as recommended by the manufacturer.</w:t>
      </w:r>
    </w:p>
    <w:p w:rsidR="00381201" w:rsidRPr="00FE0510" w:rsidRDefault="00381201" w:rsidP="00FE0510">
      <w:pPr>
        <w:adjustRightInd w:val="0"/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0510">
        <w:rPr>
          <w:rFonts w:ascii="Arial" w:hAnsi="Arial" w:cs="Arial"/>
          <w:b/>
          <w:sz w:val="24"/>
          <w:szCs w:val="24"/>
        </w:rPr>
        <w:t>Immunoblotting analysis</w:t>
      </w:r>
    </w:p>
    <w:p w:rsidR="00381201" w:rsidRPr="00FE0510" w:rsidRDefault="00381201" w:rsidP="00FE0510">
      <w:pPr>
        <w:adjustRightInd w:val="0"/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0510">
        <w:rPr>
          <w:rFonts w:ascii="Arial" w:hAnsi="Arial" w:cs="Arial"/>
          <w:sz w:val="24"/>
          <w:szCs w:val="24"/>
        </w:rPr>
        <w:t xml:space="preserve">Cells were harvested in lysis solution; the extracted proteins were subjected to immunoblotting as described previously </w:t>
      </w:r>
      <w:r w:rsidRPr="00FE0510">
        <w:rPr>
          <w:rFonts w:ascii="Arial" w:hAnsi="Arial" w:cs="Arial"/>
          <w:sz w:val="24"/>
          <w:szCs w:val="24"/>
        </w:rPr>
        <w:fldChar w:fldCharType="begin">
          <w:fldData xml:space="preserve">PEVuZE5vdGU+PENpdGU+PEF1dGhvcj5XdTwvQXV0aG9yPjxZZWFyPjIwMTY8L1llYXI+PFJlY051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</w:fldData>
        </w:fldChar>
      </w:r>
      <w:r w:rsidR="00F90AB5" w:rsidRPr="00FE0510">
        <w:rPr>
          <w:rFonts w:ascii="Arial" w:hAnsi="Arial" w:cs="Arial"/>
          <w:sz w:val="24"/>
          <w:szCs w:val="24"/>
        </w:rPr>
        <w:instrText xml:space="preserve"> ADDIN EN.CITE </w:instrText>
      </w:r>
      <w:r w:rsidR="00F90AB5" w:rsidRPr="00FE0510">
        <w:rPr>
          <w:rFonts w:ascii="Arial" w:hAnsi="Arial" w:cs="Arial"/>
          <w:sz w:val="24"/>
          <w:szCs w:val="24"/>
        </w:rPr>
        <w:fldChar w:fldCharType="begin">
          <w:fldData xml:space="preserve">PEVuZE5vdGU+PENpdGU+PEF1dGhvcj5XdTwvQXV0aG9yPjxZZWFyPjIwMTY8L1llYXI+PFJlY051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</w:fldData>
        </w:fldChar>
      </w:r>
      <w:r w:rsidR="00F90AB5" w:rsidRPr="00FE0510">
        <w:rPr>
          <w:rFonts w:ascii="Arial" w:hAnsi="Arial" w:cs="Arial"/>
          <w:sz w:val="24"/>
          <w:szCs w:val="24"/>
        </w:rPr>
        <w:instrText xml:space="preserve"> ADDIN EN.CITE.DATA </w:instrText>
      </w:r>
      <w:r w:rsidR="00F90AB5" w:rsidRPr="00FE0510">
        <w:rPr>
          <w:rFonts w:ascii="Arial" w:hAnsi="Arial" w:cs="Arial"/>
          <w:sz w:val="24"/>
          <w:szCs w:val="24"/>
        </w:rPr>
      </w:r>
      <w:r w:rsidR="00F90AB5" w:rsidRPr="00FE0510">
        <w:rPr>
          <w:rFonts w:ascii="Arial" w:hAnsi="Arial" w:cs="Arial"/>
          <w:sz w:val="24"/>
          <w:szCs w:val="24"/>
        </w:rPr>
        <w:fldChar w:fldCharType="end"/>
      </w:r>
      <w:r w:rsidRPr="00FE0510">
        <w:rPr>
          <w:rFonts w:ascii="Arial" w:hAnsi="Arial" w:cs="Arial"/>
          <w:sz w:val="24"/>
          <w:szCs w:val="24"/>
        </w:rPr>
      </w:r>
      <w:r w:rsidRPr="00FE0510">
        <w:rPr>
          <w:rFonts w:ascii="Arial" w:hAnsi="Arial" w:cs="Arial"/>
          <w:sz w:val="24"/>
          <w:szCs w:val="24"/>
        </w:rPr>
        <w:fldChar w:fldCharType="separate"/>
      </w:r>
      <w:r w:rsidR="00F90AB5" w:rsidRPr="00FE0510">
        <w:rPr>
          <w:rFonts w:ascii="Arial" w:hAnsi="Arial" w:cs="Arial"/>
          <w:noProof/>
          <w:sz w:val="24"/>
          <w:szCs w:val="24"/>
        </w:rPr>
        <w:t>(1)</w:t>
      </w:r>
      <w:r w:rsidRPr="00FE0510">
        <w:rPr>
          <w:rFonts w:ascii="Arial" w:hAnsi="Arial" w:cs="Arial"/>
          <w:sz w:val="24"/>
          <w:szCs w:val="24"/>
        </w:rPr>
        <w:fldChar w:fldCharType="end"/>
      </w:r>
      <w:r w:rsidRPr="00FE0510">
        <w:rPr>
          <w:rFonts w:ascii="Arial" w:hAnsi="Arial" w:cs="Arial"/>
          <w:sz w:val="24"/>
          <w:szCs w:val="24"/>
        </w:rPr>
        <w:t>, using the corresponding antibodies (see the table below for antibody information and dilution).</w:t>
      </w:r>
    </w:p>
    <w:p w:rsidR="00BE5266" w:rsidRPr="00FE0510" w:rsidRDefault="00277971" w:rsidP="00FE0510">
      <w:pPr>
        <w:adjustRightInd w:val="0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E0510">
        <w:rPr>
          <w:rFonts w:ascii="Arial" w:hAnsi="Arial" w:cs="Arial"/>
          <w:b/>
          <w:sz w:val="24"/>
          <w:szCs w:val="24"/>
        </w:rPr>
        <w:t>Antibodies information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680"/>
        <w:gridCol w:w="1620"/>
        <w:gridCol w:w="1350"/>
        <w:gridCol w:w="1710"/>
      </w:tblGrid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cat#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dilution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EGF Receptor (D38B1) XP® Rabbit </w:t>
            </w:r>
            <w:proofErr w:type="spellStart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</w:t>
            </w:r>
            <w:proofErr w:type="spellEnd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#4267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</w:t>
            </w:r>
            <w:proofErr w:type="spellEnd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-EGF Receptor (Tyr1068)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#2234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Phospho-Akt</w:t>
            </w:r>
            <w:proofErr w:type="spellEnd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(Thr308) (D25E6) XP® Rabbit </w:t>
            </w:r>
            <w:proofErr w:type="spellStart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</w:t>
            </w:r>
            <w:proofErr w:type="spellEnd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#13038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PARP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#9542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5E7166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62"/>
            </w:r>
            <w:r w:rsidR="00277971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-actin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#A2066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1:20000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Stat3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#9132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Phospho-Stat3 (Tyr705) (D3A7) XP® Rabbit </w:t>
            </w:r>
            <w:proofErr w:type="spellStart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#9145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Histone H3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#9715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Anti-PAR Polyclonal Antibody (rabbit)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trevigen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4336-BPC-100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277971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Lamin B2 (E1S1Q) Rabbit </w:t>
            </w:r>
            <w:proofErr w:type="spellStart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</w:t>
            </w:r>
            <w:proofErr w:type="spellEnd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#13823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FE0510" w:rsidRDefault="00277971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1:2000</w:t>
            </w:r>
            <w:r w:rsidR="005F6F0C"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WB</w:t>
            </w:r>
          </w:p>
        </w:tc>
      </w:tr>
      <w:tr w:rsidR="00703549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703549" w:rsidRPr="00FE0510" w:rsidRDefault="00703549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53BP1 antibody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703549" w:rsidRPr="00FE0510" w:rsidRDefault="00703549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Santa Cruz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703549" w:rsidRPr="00FE0510" w:rsidRDefault="00703549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Sc-10911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703549" w:rsidRPr="00FE0510" w:rsidRDefault="007B10E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1:200 for IF</w:t>
            </w:r>
          </w:p>
        </w:tc>
      </w:tr>
      <w:tr w:rsidR="005F6F0C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F0C" w:rsidRPr="00FE0510" w:rsidRDefault="005F6F0C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Anti-gamma H2A.X (</w:t>
            </w:r>
            <w:proofErr w:type="spellStart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</w:t>
            </w:r>
            <w:proofErr w:type="spellEnd"/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S139)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F0C" w:rsidRPr="00FE0510" w:rsidRDefault="005F6F0C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F0C" w:rsidRPr="00FE0510" w:rsidRDefault="005F6F0C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ab2893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F0C" w:rsidRPr="00FE0510" w:rsidRDefault="005F6F0C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1:1000 for IF</w:t>
            </w:r>
          </w:p>
        </w:tc>
      </w:tr>
      <w:tr w:rsidR="00FE0510" w:rsidRPr="00FE0510" w:rsidTr="0068547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10" w:rsidRPr="00FE0510" w:rsidRDefault="0068547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Cleaved Caspase-3(Asp175) antibody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10" w:rsidRPr="00FE0510" w:rsidRDefault="0068547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10" w:rsidRPr="00FE0510" w:rsidRDefault="0068547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#9661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10" w:rsidRPr="00FE0510" w:rsidRDefault="0068547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1:500 for WB</w:t>
            </w:r>
          </w:p>
        </w:tc>
      </w:tr>
      <w:tr w:rsidR="0068547B" w:rsidRPr="00FE0510" w:rsidTr="00FE051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547B" w:rsidRDefault="0068547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Cleaved PARP antibody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547B" w:rsidRDefault="0068547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547B" w:rsidRDefault="0068547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#5625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547B" w:rsidRDefault="0068547B" w:rsidP="00FE0510">
            <w:pPr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1:1000 for WB</w:t>
            </w:r>
          </w:p>
        </w:tc>
      </w:tr>
    </w:tbl>
    <w:p w:rsidR="006953CD" w:rsidRPr="00FE0510" w:rsidRDefault="006953CD" w:rsidP="00FE0510">
      <w:pPr>
        <w:adjustRightInd w:val="0"/>
        <w:snapToGri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53CD" w:rsidRPr="00FE0510" w:rsidRDefault="006953CD" w:rsidP="00FE0510">
      <w:pPr>
        <w:adjustRightInd w:val="0"/>
        <w:snapToGri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0510">
        <w:rPr>
          <w:rFonts w:ascii="Arial" w:hAnsi="Arial" w:cs="Arial"/>
          <w:b/>
          <w:bCs/>
          <w:sz w:val="24"/>
          <w:szCs w:val="24"/>
        </w:rPr>
        <w:t>Immunohistochemical</w:t>
      </w:r>
      <w:proofErr w:type="spellEnd"/>
      <w:r w:rsidRPr="00FE0510">
        <w:rPr>
          <w:rFonts w:ascii="Arial" w:hAnsi="Arial" w:cs="Arial"/>
          <w:b/>
          <w:bCs/>
          <w:sz w:val="24"/>
          <w:szCs w:val="24"/>
        </w:rPr>
        <w:t xml:space="preserve"> staining</w:t>
      </w:r>
      <w:bookmarkStart w:id="0" w:name="_GoBack"/>
      <w:bookmarkEnd w:id="0"/>
    </w:p>
    <w:p w:rsidR="006953CD" w:rsidRPr="00FE0510" w:rsidRDefault="006953CD" w:rsidP="00FE0510">
      <w:pPr>
        <w:adjustRightInd w:val="0"/>
        <w:snapToGrid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E0510">
        <w:rPr>
          <w:rFonts w:ascii="Arial" w:hAnsi="Arial" w:cs="Arial"/>
          <w:bCs/>
          <w:sz w:val="24"/>
          <w:szCs w:val="24"/>
        </w:rPr>
        <w:t>Sections (5-μm thick) of formalin-fixed, paraffin-embedded whole brains from animals were stained with anti-Cleaved-Caspase 3 and anti-</w:t>
      </w:r>
      <w:r w:rsidRPr="00FE0510">
        <w:rPr>
          <w:rFonts w:ascii="Arial" w:hAnsi="Arial" w:cs="Arial"/>
          <w:bCs/>
          <w:sz w:val="24"/>
          <w:szCs w:val="24"/>
        </w:rPr>
        <w:sym w:font="Symbol" w:char="F067"/>
      </w:r>
      <w:r w:rsidRPr="00FE0510">
        <w:rPr>
          <w:rFonts w:ascii="Arial" w:hAnsi="Arial" w:cs="Arial"/>
          <w:bCs/>
          <w:sz w:val="24"/>
          <w:szCs w:val="24"/>
        </w:rPr>
        <w:t xml:space="preserve">H2AX (Cell Signaling Technology, Boston, MA). The sections were visualized using a </w:t>
      </w:r>
      <w:proofErr w:type="spellStart"/>
      <w:r w:rsidRPr="00FE0510">
        <w:rPr>
          <w:rFonts w:ascii="Arial" w:hAnsi="Arial" w:cs="Arial"/>
          <w:bCs/>
          <w:sz w:val="24"/>
          <w:szCs w:val="24"/>
        </w:rPr>
        <w:t>diaminobenzidine</w:t>
      </w:r>
      <w:proofErr w:type="spellEnd"/>
      <w:r w:rsidRPr="00FE0510">
        <w:rPr>
          <w:rFonts w:ascii="Arial" w:hAnsi="Arial" w:cs="Arial"/>
          <w:bCs/>
          <w:sz w:val="24"/>
          <w:szCs w:val="24"/>
        </w:rPr>
        <w:t xml:space="preserve"> substrate kit, and the slides were examined under a bright field microscope.</w:t>
      </w:r>
    </w:p>
    <w:p w:rsidR="001527EC" w:rsidRPr="00FE0510" w:rsidRDefault="001527EC" w:rsidP="00FE0510">
      <w:pPr>
        <w:adjustRightInd w:val="0"/>
        <w:spacing w:after="120" w:line="360" w:lineRule="auto"/>
        <w:ind w:right="-540"/>
        <w:jc w:val="both"/>
        <w:rPr>
          <w:rFonts w:ascii="Arial" w:hAnsi="Arial" w:cs="Arial"/>
          <w:b/>
          <w:bCs/>
          <w:sz w:val="24"/>
          <w:szCs w:val="24"/>
        </w:rPr>
      </w:pPr>
      <w:r w:rsidRPr="00FE0510">
        <w:rPr>
          <w:rFonts w:ascii="Arial" w:hAnsi="Arial" w:cs="Arial"/>
          <w:b/>
          <w:bCs/>
          <w:sz w:val="24"/>
          <w:szCs w:val="24"/>
        </w:rPr>
        <w:t>TUNEL assay</w:t>
      </w:r>
    </w:p>
    <w:p w:rsidR="001527EC" w:rsidRPr="00FE0510" w:rsidRDefault="001527EC" w:rsidP="00FE0510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E0510">
        <w:rPr>
          <w:rFonts w:ascii="Arial" w:hAnsi="Arial" w:cs="Arial"/>
          <w:sz w:val="24"/>
          <w:szCs w:val="24"/>
        </w:rPr>
        <w:t xml:space="preserve">TUNEL assay was performed using </w:t>
      </w:r>
      <w:r w:rsidRPr="00FE0510">
        <w:rPr>
          <w:rFonts w:ascii="Arial" w:hAnsi="Arial" w:cs="Arial"/>
          <w:i/>
          <w:sz w:val="24"/>
          <w:szCs w:val="24"/>
        </w:rPr>
        <w:t>In Situ</w:t>
      </w:r>
      <w:r w:rsidRPr="00FE0510">
        <w:rPr>
          <w:rFonts w:ascii="Arial" w:hAnsi="Arial" w:cs="Arial"/>
          <w:sz w:val="24"/>
          <w:szCs w:val="24"/>
        </w:rPr>
        <w:t xml:space="preserve"> cell death detection Kit (Roche Applied Science, Indianapolis, IN) according the manufacturer’s instruction. Briefly, </w:t>
      </w:r>
      <w:r w:rsidR="00BC18CE" w:rsidRPr="00FE0510">
        <w:rPr>
          <w:rFonts w:ascii="Arial" w:hAnsi="Arial" w:cs="Arial"/>
          <w:sz w:val="24"/>
          <w:szCs w:val="24"/>
        </w:rPr>
        <w:t>tissue sections</w:t>
      </w:r>
      <w:r w:rsidRPr="00FE0510">
        <w:rPr>
          <w:rFonts w:ascii="Arial" w:hAnsi="Arial" w:cs="Arial"/>
          <w:sz w:val="24"/>
          <w:szCs w:val="24"/>
        </w:rPr>
        <w:t xml:space="preserve"> were fixed with 4% paraformaldehyde in PBS for 1 hour at room temperature and </w:t>
      </w:r>
      <w:proofErr w:type="spellStart"/>
      <w:r w:rsidRPr="00FE0510">
        <w:rPr>
          <w:rFonts w:ascii="Arial" w:hAnsi="Arial" w:cs="Arial"/>
          <w:sz w:val="24"/>
          <w:szCs w:val="24"/>
        </w:rPr>
        <w:t>permeablized</w:t>
      </w:r>
      <w:proofErr w:type="spellEnd"/>
      <w:r w:rsidRPr="00FE0510">
        <w:rPr>
          <w:rFonts w:ascii="Arial" w:hAnsi="Arial" w:cs="Arial"/>
          <w:sz w:val="24"/>
          <w:szCs w:val="24"/>
        </w:rPr>
        <w:t xml:space="preserve"> with 0.1% Triton X-100 in 0.1% sodium citrate for 2 minutes on ice. </w:t>
      </w:r>
      <w:r w:rsidR="005D637C" w:rsidRPr="00FE0510">
        <w:rPr>
          <w:rFonts w:ascii="Arial" w:hAnsi="Arial" w:cs="Arial"/>
          <w:sz w:val="24"/>
          <w:szCs w:val="24"/>
        </w:rPr>
        <w:t>T</w:t>
      </w:r>
      <w:r w:rsidR="005D637C" w:rsidRPr="00FE0510">
        <w:rPr>
          <w:rFonts w:ascii="Arial" w:hAnsi="Arial" w:cs="Arial"/>
          <w:sz w:val="24"/>
          <w:szCs w:val="24"/>
        </w:rPr>
        <w:t>issue sections</w:t>
      </w:r>
      <w:r w:rsidRPr="00FE0510">
        <w:rPr>
          <w:rFonts w:ascii="Arial" w:hAnsi="Arial" w:cs="Arial"/>
          <w:sz w:val="24"/>
          <w:szCs w:val="24"/>
        </w:rPr>
        <w:t xml:space="preserve"> were labeled with TUNEL reaction mixture at 37</w:t>
      </w:r>
      <w:r w:rsidRPr="00FE0510">
        <w:rPr>
          <w:rFonts w:ascii="Arial" w:hAnsi="Arial" w:cs="Arial"/>
          <w:sz w:val="24"/>
          <w:szCs w:val="24"/>
        </w:rPr>
        <w:sym w:font="Symbol" w:char="F0B0"/>
      </w:r>
      <w:r w:rsidRPr="00FE0510">
        <w:rPr>
          <w:rFonts w:ascii="Arial" w:hAnsi="Arial" w:cs="Arial"/>
          <w:sz w:val="24"/>
          <w:szCs w:val="24"/>
        </w:rPr>
        <w:t>C for 1 hour and</w:t>
      </w:r>
      <w:r w:rsidRPr="00FE0510">
        <w:rPr>
          <w:rFonts w:ascii="Arial" w:hAnsi="Arial" w:cs="Arial"/>
          <w:bCs/>
          <w:sz w:val="24"/>
          <w:szCs w:val="24"/>
        </w:rPr>
        <w:t xml:space="preserve"> counterstained with </w:t>
      </w:r>
      <w:proofErr w:type="spellStart"/>
      <w:r w:rsidRPr="00FE0510">
        <w:rPr>
          <w:rFonts w:ascii="Arial" w:hAnsi="Arial" w:cs="Arial"/>
          <w:bCs/>
          <w:sz w:val="24"/>
          <w:szCs w:val="24"/>
        </w:rPr>
        <w:t>Vecta</w:t>
      </w:r>
      <w:proofErr w:type="spellEnd"/>
      <w:r w:rsidRPr="00FE0510">
        <w:rPr>
          <w:rFonts w:ascii="Arial" w:hAnsi="Arial" w:cs="Arial"/>
          <w:bCs/>
          <w:sz w:val="24"/>
          <w:szCs w:val="24"/>
        </w:rPr>
        <w:t xml:space="preserve"> shield sealant containing 4′</w:t>
      </w:r>
      <w:proofErr w:type="gramStart"/>
      <w:r w:rsidRPr="00FE0510">
        <w:rPr>
          <w:rFonts w:ascii="Arial" w:hAnsi="Arial" w:cs="Arial"/>
          <w:bCs/>
          <w:sz w:val="24"/>
          <w:szCs w:val="24"/>
        </w:rPr>
        <w:t>,6</w:t>
      </w:r>
      <w:proofErr w:type="gramEnd"/>
      <w:r w:rsidRPr="00FE0510">
        <w:rPr>
          <w:rFonts w:ascii="Arial" w:hAnsi="Arial" w:cs="Arial"/>
          <w:bCs/>
          <w:sz w:val="24"/>
          <w:szCs w:val="24"/>
        </w:rPr>
        <w:t xml:space="preserve">-diamidino-2-phenylindole (DAPI) (Vector laboratories, California, USA). </w:t>
      </w:r>
    </w:p>
    <w:p w:rsidR="001D6664" w:rsidRPr="00FE0510" w:rsidRDefault="001D6664" w:rsidP="00FE0510">
      <w:pPr>
        <w:adjustRightInd w:val="0"/>
        <w:snapToGri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0510">
        <w:rPr>
          <w:rFonts w:ascii="Arial" w:hAnsi="Arial" w:cs="Arial"/>
          <w:b/>
          <w:sz w:val="24"/>
          <w:szCs w:val="24"/>
        </w:rPr>
        <w:t>Flow cytometric analysis of apoptosis</w:t>
      </w:r>
    </w:p>
    <w:p w:rsidR="001D6664" w:rsidRPr="00FE0510" w:rsidRDefault="001D6664" w:rsidP="00FE051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510">
        <w:rPr>
          <w:rFonts w:ascii="Arial" w:hAnsi="Arial" w:cs="Arial"/>
          <w:sz w:val="24"/>
          <w:szCs w:val="24"/>
        </w:rPr>
        <w:t xml:space="preserve">Cell apoptosis was detected using </w:t>
      </w:r>
      <w:proofErr w:type="spellStart"/>
      <w:r w:rsidRPr="00FE0510">
        <w:rPr>
          <w:rFonts w:ascii="Arial" w:hAnsi="Arial" w:cs="Arial"/>
          <w:sz w:val="24"/>
          <w:szCs w:val="24"/>
        </w:rPr>
        <w:t>Annexin</w:t>
      </w:r>
      <w:proofErr w:type="spellEnd"/>
      <w:r w:rsidRPr="00FE0510">
        <w:rPr>
          <w:rFonts w:ascii="Arial" w:hAnsi="Arial" w:cs="Arial"/>
          <w:sz w:val="24"/>
          <w:szCs w:val="24"/>
        </w:rPr>
        <w:t>-V-</w:t>
      </w:r>
      <w:proofErr w:type="spellStart"/>
      <w:r w:rsidRPr="00FE0510">
        <w:rPr>
          <w:rFonts w:ascii="Arial" w:hAnsi="Arial" w:cs="Arial"/>
          <w:sz w:val="24"/>
          <w:szCs w:val="24"/>
        </w:rPr>
        <w:t>fluos</w:t>
      </w:r>
      <w:proofErr w:type="spellEnd"/>
      <w:r w:rsidRPr="00FE0510">
        <w:rPr>
          <w:rFonts w:ascii="Arial" w:hAnsi="Arial" w:cs="Arial"/>
          <w:sz w:val="24"/>
          <w:szCs w:val="24"/>
        </w:rPr>
        <w:t xml:space="preserve"> staining kit (Roche) according the manufacturer’s instruction.</w:t>
      </w:r>
      <w:r w:rsidRPr="00FE0510">
        <w:rPr>
          <w:rFonts w:ascii="Arial" w:hAnsi="Arial" w:cs="Arial"/>
          <w:sz w:val="24"/>
          <w:szCs w:val="24"/>
        </w:rPr>
        <w:t xml:space="preserve"> </w:t>
      </w:r>
      <w:r w:rsidRPr="00FE0510">
        <w:rPr>
          <w:rFonts w:ascii="Arial" w:hAnsi="Arial" w:cs="Arial"/>
          <w:sz w:val="24"/>
          <w:szCs w:val="24"/>
        </w:rPr>
        <w:t xml:space="preserve">Samples were measured (10,000 events collected from each) in a BD </w:t>
      </w:r>
      <w:proofErr w:type="spellStart"/>
      <w:r w:rsidRPr="00FE0510">
        <w:rPr>
          <w:rFonts w:ascii="Arial" w:hAnsi="Arial" w:cs="Arial"/>
          <w:sz w:val="24"/>
          <w:szCs w:val="24"/>
        </w:rPr>
        <w:t>Pharmingen</w:t>
      </w:r>
      <w:proofErr w:type="spellEnd"/>
      <w:r w:rsidRPr="00FE0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510">
        <w:rPr>
          <w:rFonts w:ascii="Arial" w:hAnsi="Arial" w:cs="Arial"/>
          <w:sz w:val="24"/>
          <w:szCs w:val="24"/>
        </w:rPr>
        <w:t>FACScan</w:t>
      </w:r>
      <w:proofErr w:type="spellEnd"/>
      <w:r w:rsidRPr="00FE0510">
        <w:rPr>
          <w:rFonts w:ascii="Arial" w:hAnsi="Arial" w:cs="Arial"/>
          <w:sz w:val="24"/>
          <w:szCs w:val="24"/>
        </w:rPr>
        <w:t xml:space="preserve"> (BD </w:t>
      </w:r>
      <w:proofErr w:type="spellStart"/>
      <w:r w:rsidRPr="00FE0510">
        <w:rPr>
          <w:rFonts w:ascii="Arial" w:hAnsi="Arial" w:cs="Arial"/>
          <w:sz w:val="24"/>
          <w:szCs w:val="24"/>
        </w:rPr>
        <w:t>Pharmingen</w:t>
      </w:r>
      <w:proofErr w:type="spellEnd"/>
      <w:r w:rsidRPr="00FE0510">
        <w:rPr>
          <w:rFonts w:ascii="Arial" w:hAnsi="Arial" w:cs="Arial"/>
          <w:sz w:val="24"/>
          <w:szCs w:val="24"/>
        </w:rPr>
        <w:t xml:space="preserve">). </w:t>
      </w:r>
    </w:p>
    <w:p w:rsidR="00FB3B2B" w:rsidRPr="00FE0510" w:rsidRDefault="00FB3B2B" w:rsidP="00FE0510">
      <w:pPr>
        <w:autoSpaceDE w:val="0"/>
        <w:autoSpaceDN w:val="0"/>
        <w:adjustRightInd w:val="0"/>
        <w:snapToGrid w:val="0"/>
        <w:spacing w:after="12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E0510">
        <w:rPr>
          <w:rFonts w:ascii="Arial" w:hAnsi="Arial" w:cs="Arial"/>
          <w:b/>
          <w:bCs/>
          <w:sz w:val="24"/>
          <w:szCs w:val="24"/>
        </w:rPr>
        <w:t xml:space="preserve">Assay for 8-OHdG </w:t>
      </w:r>
    </w:p>
    <w:p w:rsidR="00FB3B2B" w:rsidRPr="00FE0510" w:rsidRDefault="00FB3B2B" w:rsidP="00FE0510">
      <w:pPr>
        <w:autoSpaceDE w:val="0"/>
        <w:autoSpaceDN w:val="0"/>
        <w:adjustRightInd w:val="0"/>
        <w:snapToGrid w:val="0"/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0510">
        <w:rPr>
          <w:rFonts w:ascii="Arial" w:eastAsia="Times New Roman" w:hAnsi="Arial" w:cs="Arial"/>
          <w:sz w:val="24"/>
          <w:szCs w:val="24"/>
        </w:rPr>
        <w:t xml:space="preserve">The level of 8-OHdG in extracted DNA was determined using the </w:t>
      </w:r>
      <w:proofErr w:type="spellStart"/>
      <w:r w:rsidRPr="00FE0510">
        <w:rPr>
          <w:rFonts w:ascii="Arial" w:eastAsia="Times New Roman" w:hAnsi="Arial" w:cs="Arial"/>
          <w:sz w:val="24"/>
          <w:szCs w:val="24"/>
        </w:rPr>
        <w:t>OxiSelect</w:t>
      </w:r>
      <w:proofErr w:type="spellEnd"/>
      <w:r w:rsidRPr="00FE0510">
        <w:rPr>
          <w:rFonts w:ascii="Arial" w:eastAsia="Times New Roman" w:hAnsi="Arial" w:cs="Arial"/>
          <w:sz w:val="24"/>
          <w:szCs w:val="24"/>
        </w:rPr>
        <w:t xml:space="preserve"> Oxidative DNA Damage ELISA Kit (Cell </w:t>
      </w:r>
      <w:proofErr w:type="spellStart"/>
      <w:r w:rsidRPr="00FE0510">
        <w:rPr>
          <w:rFonts w:ascii="Arial" w:eastAsia="Times New Roman" w:hAnsi="Arial" w:cs="Arial"/>
          <w:sz w:val="24"/>
          <w:szCs w:val="24"/>
        </w:rPr>
        <w:t>Biolabs</w:t>
      </w:r>
      <w:proofErr w:type="spellEnd"/>
      <w:r w:rsidRPr="00FE0510">
        <w:rPr>
          <w:rFonts w:ascii="Arial" w:eastAsia="Times New Roman" w:hAnsi="Arial" w:cs="Arial"/>
          <w:sz w:val="24"/>
          <w:szCs w:val="24"/>
        </w:rPr>
        <w:t>, Inc.).  Briefly, 5</w:t>
      </w:r>
      <w:r w:rsidRPr="00FE0510">
        <w:rPr>
          <w:rFonts w:ascii="Arial" w:eastAsia="Times New Roman" w:hAnsi="Arial" w:cs="Arial"/>
          <w:sz w:val="24"/>
          <w:szCs w:val="24"/>
        </w:rPr>
        <w:sym w:font="Symbol" w:char="F06D"/>
      </w:r>
      <w:r w:rsidRPr="00FE0510">
        <w:rPr>
          <w:rFonts w:ascii="Arial" w:eastAsia="Times New Roman" w:hAnsi="Arial" w:cs="Arial"/>
          <w:sz w:val="24"/>
          <w:szCs w:val="24"/>
        </w:rPr>
        <w:t xml:space="preserve">g DNA was converted to single-stranded DNA by incubating the sample at 95°C for 5 min and rapidly chilling on ice. The </w:t>
      </w:r>
      <w:r w:rsidRPr="00FE0510">
        <w:rPr>
          <w:rFonts w:ascii="Arial" w:eastAsia="Times New Roman" w:hAnsi="Arial" w:cs="Arial"/>
          <w:sz w:val="24"/>
          <w:szCs w:val="24"/>
        </w:rPr>
        <w:lastRenderedPageBreak/>
        <w:t xml:space="preserve">samples were then digested to nucleosides by incubating the denatured DNA with 10 units of nuclease P1 for 2 h at 37°C in 20 </w:t>
      </w:r>
      <w:proofErr w:type="spellStart"/>
      <w:r w:rsidRPr="00FE0510">
        <w:rPr>
          <w:rFonts w:ascii="Arial" w:eastAsia="Times New Roman" w:hAnsi="Arial" w:cs="Arial"/>
          <w:sz w:val="24"/>
          <w:szCs w:val="24"/>
        </w:rPr>
        <w:t>mM</w:t>
      </w:r>
      <w:proofErr w:type="spellEnd"/>
      <w:r w:rsidRPr="00FE0510">
        <w:rPr>
          <w:rFonts w:ascii="Arial" w:eastAsia="Times New Roman" w:hAnsi="Arial" w:cs="Arial"/>
          <w:sz w:val="24"/>
          <w:szCs w:val="24"/>
        </w:rPr>
        <w:t xml:space="preserve"> sodium acetate, pH 5.2, treated with 10 units of alkaline phosphatase for 1 h at 37°C in 100 </w:t>
      </w:r>
      <w:proofErr w:type="spellStart"/>
      <w:r w:rsidRPr="00FE0510">
        <w:rPr>
          <w:rFonts w:ascii="Arial" w:eastAsia="Times New Roman" w:hAnsi="Arial" w:cs="Arial"/>
          <w:sz w:val="24"/>
          <w:szCs w:val="24"/>
        </w:rPr>
        <w:t>mM</w:t>
      </w:r>
      <w:proofErr w:type="spellEnd"/>
      <w:r w:rsidRPr="00FE05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0510">
        <w:rPr>
          <w:rFonts w:ascii="Arial" w:eastAsia="Times New Roman" w:hAnsi="Arial" w:cs="Arial"/>
          <w:sz w:val="24"/>
          <w:szCs w:val="24"/>
        </w:rPr>
        <w:t>Tris</w:t>
      </w:r>
      <w:proofErr w:type="spellEnd"/>
      <w:r w:rsidRPr="00FE0510">
        <w:rPr>
          <w:rFonts w:ascii="Arial" w:eastAsia="Times New Roman" w:hAnsi="Arial" w:cs="Arial"/>
          <w:sz w:val="24"/>
          <w:szCs w:val="24"/>
        </w:rPr>
        <w:t xml:space="preserve">, pH 7.5. The reaction mixture was centrifuged for 5 min at 6,000 g, and the supernatant was used for the 8-OHdG enzyme-linked immunosorbent assay (ELISA). </w:t>
      </w:r>
    </w:p>
    <w:p w:rsidR="00381201" w:rsidRPr="00FE0510" w:rsidRDefault="00381201" w:rsidP="00FE0510">
      <w:pPr>
        <w:adjustRightInd w:val="0"/>
        <w:snapToGrid w:val="0"/>
        <w:spacing w:after="12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0510">
        <w:rPr>
          <w:rFonts w:ascii="Arial" w:hAnsi="Arial" w:cs="Arial"/>
          <w:b/>
          <w:color w:val="000000" w:themeColor="text1"/>
          <w:sz w:val="24"/>
          <w:szCs w:val="24"/>
        </w:rPr>
        <w:t>Plasmids, transfection and CRISPR</w:t>
      </w:r>
    </w:p>
    <w:p w:rsidR="00381201" w:rsidRPr="00FE0510" w:rsidRDefault="00381201" w:rsidP="00FE0510">
      <w:pPr>
        <w:adjustRightInd w:val="0"/>
        <w:snapToGrid w:val="0"/>
        <w:spacing w:after="12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510">
        <w:rPr>
          <w:rFonts w:ascii="Arial" w:hAnsi="Arial" w:cs="Arial"/>
          <w:color w:val="000000" w:themeColor="text1"/>
          <w:sz w:val="24"/>
          <w:szCs w:val="24"/>
        </w:rPr>
        <w:t>Retrovirus based EGFR wild-type (EGFR-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wt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) and EGFR kinase-inactive mutant (EGFR-KI) were generous gifts from Dr. Oliver 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Bogler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(MD Anderson) </w:t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PEVuZE5vdGU+PENpdGU+PEF1dGhvcj5DaHVtYmFsa2FyPC9BdXRob3I+PFllYXI+MjAxMTwvWWVh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</w:fldData>
        </w:fldChar>
      </w:r>
      <w:r w:rsidR="00F90AB5" w:rsidRPr="00FE0510">
        <w:rPr>
          <w:rFonts w:ascii="Arial" w:hAnsi="Arial" w:cs="Arial"/>
          <w:color w:val="000000" w:themeColor="text1"/>
          <w:sz w:val="24"/>
          <w:szCs w:val="24"/>
        </w:rPr>
        <w:instrText xml:space="preserve"> ADDIN EN.CITE </w:instrText>
      </w:r>
      <w:r w:rsidR="00F90AB5" w:rsidRPr="00FE0510">
        <w:rPr>
          <w:rFonts w:ascii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PEVuZE5vdGU+PENpdGU+PEF1dGhvcj5DaHVtYmFsa2FyPC9BdXRob3I+PFllYXI+MjAxMTwvWWVh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</w:fldData>
        </w:fldChar>
      </w:r>
      <w:r w:rsidR="00F90AB5" w:rsidRPr="00FE0510">
        <w:rPr>
          <w:rFonts w:ascii="Arial" w:hAnsi="Arial" w:cs="Arial"/>
          <w:color w:val="000000" w:themeColor="text1"/>
          <w:sz w:val="24"/>
          <w:szCs w:val="24"/>
        </w:rPr>
        <w:instrText xml:space="preserve"> ADDIN EN.CITE.DATA </w:instrText>
      </w:r>
      <w:r w:rsidR="00F90AB5" w:rsidRPr="00FE0510">
        <w:rPr>
          <w:rFonts w:ascii="Arial" w:hAnsi="Arial" w:cs="Arial"/>
          <w:color w:val="000000" w:themeColor="text1"/>
          <w:sz w:val="24"/>
          <w:szCs w:val="24"/>
        </w:rPr>
      </w:r>
      <w:r w:rsidR="00F90AB5" w:rsidRPr="00FE051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FE0510">
        <w:rPr>
          <w:rFonts w:ascii="Arial" w:hAnsi="Arial" w:cs="Arial"/>
          <w:color w:val="000000" w:themeColor="text1"/>
          <w:sz w:val="24"/>
          <w:szCs w:val="24"/>
        </w:rPr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90AB5" w:rsidRPr="00FE0510">
        <w:rPr>
          <w:rFonts w:ascii="Arial" w:hAnsi="Arial" w:cs="Arial"/>
          <w:noProof/>
          <w:color w:val="000000" w:themeColor="text1"/>
          <w:sz w:val="24"/>
          <w:szCs w:val="24"/>
        </w:rPr>
        <w:t>(2)</w:t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FE0510">
        <w:rPr>
          <w:rFonts w:ascii="Arial" w:hAnsi="Arial" w:cs="Arial"/>
          <w:color w:val="000000" w:themeColor="text1"/>
          <w:sz w:val="24"/>
          <w:szCs w:val="24"/>
        </w:rPr>
        <w:t>. Retroviral particles expressing EGFR-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wt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or EGFR-KI mutant were produced in HEK293FT cells with the mixed set of packing plasmids, and the viruses were concentrated and tittered as previously described </w:t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F90AB5" w:rsidRPr="00FE0510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&lt;EndNote&gt;&lt;Cite&gt;&lt;Author&gt;Saito&lt;/Author&gt;&lt;RecNum&gt;37&lt;/RecNum&gt;&lt;DisplayText&gt;(3)&lt;/DisplayText&gt;&lt;record&gt;&lt;rec-number&gt;37&lt;/rec-number&gt;&lt;foreign-keys&gt;&lt;key app="EN" db-id="0v2x09r06e0ssbee5fu5t2vmrdefrrev9r9r"&gt;37&lt;/key&gt;&lt;/foreign-keys&gt;&lt;ref-type name="Journal Article"&gt;17&lt;/ref-type&gt;&lt;contributors&gt;&lt;authors&gt;&lt;author&gt;Saito, N.&lt;/author&gt;&lt;author&gt;Fu, J.&lt;/author&gt;&lt;author&gt;Zheng, S.&lt;/author&gt;&lt;author&gt;Yao, J.&lt;/author&gt;&lt;author&gt;Wang, S.&lt;/author&gt;&lt;author&gt;Liu, D. D.&lt;/author&gt;&lt;author&gt;Yuan, Y.&lt;/author&gt;&lt;author&gt;Sulman, E. P.&lt;/author&gt;&lt;author&gt;Lang, F. F.&lt;/author&gt;&lt;author&gt;Colman, H.&lt;/author&gt;&lt;author&gt;Verhaak, R. G.&lt;/author&gt;&lt;author&gt;Yung, W. K.&lt;/author&gt;&lt;author&gt;Koul, D.&lt;/author&gt;&lt;/authors&gt;&lt;/contributors&gt;&lt;auth-address&gt;Brain Tumor Center, Department of Neuro-Oncology, The University of Texas MD Anderson Cancer Center, Houston, Texas, USA.&lt;/auth-address&gt;&lt;titles&gt;&lt;title&gt;A high Notch pathway activation predicts response to gamma secretase inhibitors in proneural subtype of glioma tumor initiating cells&lt;/title&gt;&lt;secondary-title&gt;Stem Cells&lt;/secondary-title&gt;&lt;/titles&gt;&lt;periodical&gt;&lt;full-title&gt;Stem Cells&lt;/full-title&gt;&lt;/periodical&gt;&lt;edition&gt;2013/09/17&lt;/edition&gt;&lt;dates&gt;&lt;pub-dates&gt;&lt;date&gt;Aug 27&lt;/date&gt;&lt;/pub-dates&gt;&lt;/dates&gt;&lt;isbn&gt;1549-4918 (Electronic)&amp;#xD;1066-5099 (Linking)&lt;/isbn&gt;&lt;accession-num&gt;24038660&lt;/accession-num&gt;&lt;urls&gt;&lt;related-urls&gt;&lt;url&gt;http://www.ncbi.nlm.nih.gov/entrez/query.fcgi?cmd=Retrieve&amp;amp;db=PubMed&amp;amp;dopt=Citation&amp;amp;list_uids=24038660&lt;/url&gt;&lt;/related-urls&gt;&lt;/urls&gt;&lt;electronic-resource-num&gt;10.1002/stem.1528&lt;/electronic-resource-num&gt;&lt;language&gt;Eng&lt;/language&gt;&lt;/record&gt;&lt;/Cite&gt;&lt;/EndNote&gt;</w:instrText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90AB5" w:rsidRPr="00FE0510">
        <w:rPr>
          <w:rFonts w:ascii="Arial" w:hAnsi="Arial" w:cs="Arial"/>
          <w:noProof/>
          <w:color w:val="000000" w:themeColor="text1"/>
          <w:sz w:val="24"/>
          <w:szCs w:val="24"/>
        </w:rPr>
        <w:t>(3)</w:t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. Cells were infected with retrovirus for 2 days and selected with 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zeocin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at 250 mg/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mL.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1201" w:rsidRPr="00FE0510" w:rsidRDefault="00381201" w:rsidP="00FE0510">
      <w:pPr>
        <w:adjustRightInd w:val="0"/>
        <w:snapToGrid w:val="0"/>
        <w:spacing w:after="12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FE0510">
        <w:rPr>
          <w:rFonts w:ascii="Arial" w:hAnsi="Arial" w:cs="Arial"/>
          <w:color w:val="000000" w:themeColor="text1"/>
          <w:sz w:val="24"/>
          <w:szCs w:val="24"/>
        </w:rPr>
        <w:t>pGIPZ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>-mediated</w:t>
      </w:r>
      <w:proofErr w:type="gram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expression of 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shRNAs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(clone IDs: V3LHS_361965 and V3LHS_361962) targeting EGFR were purchased from GE Healthcare 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Dharmacon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(Pittsburgh, PA). Lentiviral particles expressing targeting or control scramble shRNA (SCR) were produced in HEK293FT cells with the mixed set of packing plasmids, and the viruses were concentrated and 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titered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as previously described </w:t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F90AB5" w:rsidRPr="00FE0510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&lt;EndNote&gt;&lt;Cite&gt;&lt;Author&gt;Saito&lt;/Author&gt;&lt;RecNum&gt;37&lt;/RecNum&gt;&lt;DisplayText&gt;(3)&lt;/DisplayText&gt;&lt;record&gt;&lt;rec-number&gt;37&lt;/rec-number&gt;&lt;foreign-keys&gt;&lt;key app="EN" db-id="0v2x09r06e0ssbee5fu5t2vmrdefrrev9r9r"&gt;37&lt;/key&gt;&lt;/foreign-keys&gt;&lt;ref-type name="Journal Article"&gt;17&lt;/ref-type&gt;&lt;contributors&gt;&lt;authors&gt;&lt;author&gt;Saito, N.&lt;/author&gt;&lt;author&gt;Fu, J.&lt;/author&gt;&lt;author&gt;Zheng, S.&lt;/author&gt;&lt;author&gt;Yao, J.&lt;/author&gt;&lt;author&gt;Wang, S.&lt;/author&gt;&lt;author&gt;Liu, D. D.&lt;/author&gt;&lt;author&gt;Yuan, Y.&lt;/author&gt;&lt;author&gt;Sulman, E. P.&lt;/author&gt;&lt;author&gt;Lang, F. F.&lt;/author&gt;&lt;author&gt;Colman, H.&lt;/author&gt;&lt;author&gt;Verhaak, R. G.&lt;/author&gt;&lt;author&gt;Yung, W. K.&lt;/author&gt;&lt;author&gt;Koul, D.&lt;/author&gt;&lt;/authors&gt;&lt;/contributors&gt;&lt;auth-address&gt;Brain Tumor Center, Department of Neuro-Oncology, The University of Texas MD Anderson Cancer Center, Houston, Texas, USA.&lt;/auth-address&gt;&lt;titles&gt;&lt;title&gt;A high Notch pathway activation predicts response to gamma secretase inhibitors in proneural subtype of glioma tumor initiating cells&lt;/title&gt;&lt;secondary-title&gt;Stem Cells&lt;/secondary-title&gt;&lt;/titles&gt;&lt;periodical&gt;&lt;full-title&gt;Stem Cells&lt;/full-title&gt;&lt;/periodical&gt;&lt;edition&gt;2013/09/17&lt;/edition&gt;&lt;dates&gt;&lt;pub-dates&gt;&lt;date&gt;Aug 27&lt;/date&gt;&lt;/pub-dates&gt;&lt;/dates&gt;&lt;isbn&gt;1549-4918 (Electronic)&amp;#xD;1066-5099 (Linking)&lt;/isbn&gt;&lt;accession-num&gt;24038660&lt;/accession-num&gt;&lt;urls&gt;&lt;related-urls&gt;&lt;url&gt;http://www.ncbi.nlm.nih.gov/entrez/query.fcgi?cmd=Retrieve&amp;amp;db=PubMed&amp;amp;dopt=Citation&amp;amp;list_uids=24038660&lt;/url&gt;&lt;/related-urls&gt;&lt;/urls&gt;&lt;electronic-resource-num&gt;10.1002/stem.1528&lt;/electronic-resource-num&gt;&lt;language&gt;Eng&lt;/language&gt;&lt;/record&gt;&lt;/Cite&gt;&lt;/EndNote&gt;</w:instrText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90AB5" w:rsidRPr="00FE0510">
        <w:rPr>
          <w:rFonts w:ascii="Arial" w:hAnsi="Arial" w:cs="Arial"/>
          <w:noProof/>
          <w:color w:val="000000" w:themeColor="text1"/>
          <w:sz w:val="24"/>
          <w:szCs w:val="24"/>
        </w:rPr>
        <w:t>(3)</w:t>
      </w:r>
      <w:r w:rsidRPr="00FE051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. Cells were infected with lentivirus for 2 days and selected with 1 </w:t>
      </w:r>
      <w:r w:rsidRPr="00FE0510">
        <w:rPr>
          <w:rFonts w:ascii="Arial" w:hAnsi="Arial" w:cs="Arial"/>
          <w:color w:val="000000" w:themeColor="text1"/>
          <w:sz w:val="24"/>
          <w:szCs w:val="24"/>
        </w:rPr>
        <w:sym w:font="Symbol" w:char="F06D"/>
      </w:r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g/ml </w:t>
      </w:r>
      <w:proofErr w:type="spellStart"/>
      <w:r w:rsidRPr="00FE0510">
        <w:rPr>
          <w:rStyle w:val="Emphasis"/>
          <w:rFonts w:ascii="Arial" w:hAnsi="Arial" w:cs="Arial"/>
          <w:bCs/>
          <w:i w:val="0"/>
          <w:color w:val="000000" w:themeColor="text1"/>
          <w:sz w:val="24"/>
          <w:szCs w:val="24"/>
        </w:rPr>
        <w:t>puromycin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27765" w:rsidRPr="00FE0510" w:rsidRDefault="00381201" w:rsidP="00FE0510">
      <w:pPr>
        <w:adjustRightInd w:val="0"/>
        <w:snapToGrid w:val="0"/>
        <w:spacing w:after="120" w:line="36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For the CRISPR/Cas9n-mediated knock-out of EGFR in GSC262 cells, EGFR double 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nickase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plasmid (sc-400015-NIC, Santa Cruz, Dallas, Texas) and control double 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nickase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plasmid (sc-437281, Santa Cruz) were transfected into GSC262 cells with </w:t>
      </w:r>
      <w:proofErr w:type="spellStart"/>
      <w:r w:rsidRPr="00FE0510">
        <w:rPr>
          <w:rFonts w:ascii="Arial" w:hAnsi="Arial" w:cs="Arial"/>
          <w:color w:val="000000" w:themeColor="text1"/>
          <w:sz w:val="24"/>
          <w:szCs w:val="24"/>
        </w:rPr>
        <w:t>Lipofectamine</w:t>
      </w:r>
      <w:proofErr w:type="spellEnd"/>
      <w:r w:rsidRPr="00FE0510">
        <w:rPr>
          <w:rFonts w:ascii="Arial" w:hAnsi="Arial" w:cs="Arial"/>
          <w:color w:val="000000" w:themeColor="text1"/>
          <w:sz w:val="24"/>
          <w:szCs w:val="24"/>
        </w:rPr>
        <w:t xml:space="preserve"> 2000 (Invitrogen, Grand Island, NY) for 48 hours. GSC262 cells with green fluorescent protein were sorted by flow cytometry and plated into 96-well plates to form single colonies. A reverse transcription-polymerase chain reaction was performed, followed by sequencing to confirm complete allelic knock-out.</w:t>
      </w:r>
      <w:r w:rsidR="007E543B" w:rsidRPr="00FE0510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4B186E" w:rsidRPr="00FE0510">
        <w:rPr>
          <w:rFonts w:ascii="Arial" w:hAnsi="Arial" w:cs="Arial"/>
          <w:sz w:val="24"/>
          <w:szCs w:val="24"/>
          <w:lang w:eastAsia="en-US"/>
        </w:rPr>
        <w:t xml:space="preserve">EGFR Double </w:t>
      </w:r>
      <w:proofErr w:type="spellStart"/>
      <w:r w:rsidR="004B186E" w:rsidRPr="00FE0510">
        <w:rPr>
          <w:rFonts w:ascii="Arial" w:hAnsi="Arial" w:cs="Arial"/>
          <w:sz w:val="24"/>
          <w:szCs w:val="24"/>
          <w:lang w:eastAsia="en-US"/>
        </w:rPr>
        <w:t>Nickase</w:t>
      </w:r>
      <w:proofErr w:type="spellEnd"/>
      <w:r w:rsidR="004B186E" w:rsidRPr="00FE0510">
        <w:rPr>
          <w:rFonts w:ascii="Arial" w:hAnsi="Arial" w:cs="Arial"/>
          <w:sz w:val="24"/>
          <w:szCs w:val="24"/>
          <w:lang w:eastAsia="en-US"/>
        </w:rPr>
        <w:t xml:space="preserve"> Plasmid consist</w:t>
      </w:r>
      <w:r w:rsidR="00163756" w:rsidRPr="00FE0510">
        <w:rPr>
          <w:rFonts w:ascii="Arial" w:hAnsi="Arial" w:cs="Arial"/>
          <w:sz w:val="24"/>
          <w:szCs w:val="24"/>
          <w:lang w:eastAsia="en-US"/>
        </w:rPr>
        <w:t>s</w:t>
      </w:r>
      <w:r w:rsidR="004B186E" w:rsidRPr="00FE0510">
        <w:rPr>
          <w:rFonts w:ascii="Arial" w:hAnsi="Arial" w:cs="Arial"/>
          <w:sz w:val="24"/>
          <w:szCs w:val="24"/>
          <w:lang w:eastAsia="en-US"/>
        </w:rPr>
        <w:t xml:space="preserve"> of a pair of plasmids, each encoding a D10A mutated Cas9 nuclease and a unique, target-specific 20 </w:t>
      </w:r>
      <w:proofErr w:type="spellStart"/>
      <w:proofErr w:type="gramStart"/>
      <w:r w:rsidR="004B186E" w:rsidRPr="00FE0510">
        <w:rPr>
          <w:rFonts w:ascii="Arial" w:hAnsi="Arial" w:cs="Arial"/>
          <w:sz w:val="24"/>
          <w:szCs w:val="24"/>
          <w:lang w:eastAsia="en-US"/>
        </w:rPr>
        <w:t>nt</w:t>
      </w:r>
      <w:proofErr w:type="spellEnd"/>
      <w:proofErr w:type="gramEnd"/>
      <w:r w:rsidR="004B186E" w:rsidRPr="00FE0510">
        <w:rPr>
          <w:rFonts w:ascii="Arial" w:hAnsi="Arial" w:cs="Arial"/>
          <w:sz w:val="24"/>
          <w:szCs w:val="24"/>
          <w:lang w:eastAsia="en-US"/>
        </w:rPr>
        <w:t xml:space="preserve"> guide RNA (gRNA). Each pair of gRNA sequences are offset by approximately 20 </w:t>
      </w:r>
      <w:proofErr w:type="spellStart"/>
      <w:r w:rsidR="004B186E" w:rsidRPr="00FE0510">
        <w:rPr>
          <w:rFonts w:ascii="Arial" w:hAnsi="Arial" w:cs="Arial"/>
          <w:sz w:val="24"/>
          <w:szCs w:val="24"/>
          <w:lang w:eastAsia="en-US"/>
        </w:rPr>
        <w:t>bp</w:t>
      </w:r>
      <w:proofErr w:type="spellEnd"/>
      <w:r w:rsidR="004B186E" w:rsidRPr="00FE0510">
        <w:rPr>
          <w:rFonts w:ascii="Arial" w:hAnsi="Arial" w:cs="Arial"/>
          <w:sz w:val="24"/>
          <w:szCs w:val="24"/>
          <w:lang w:eastAsia="en-US"/>
        </w:rPr>
        <w:t xml:space="preserve"> to allow for gene kn</w:t>
      </w:r>
      <w:r w:rsidR="00B02111" w:rsidRPr="00FE0510">
        <w:rPr>
          <w:rFonts w:ascii="Arial" w:hAnsi="Arial" w:cs="Arial"/>
          <w:sz w:val="24"/>
          <w:szCs w:val="24"/>
          <w:lang w:eastAsia="en-US"/>
        </w:rPr>
        <w:t xml:space="preserve">ockout with greater specificity. The </w:t>
      </w:r>
      <w:r w:rsidR="006B2A57" w:rsidRPr="00FE0510">
        <w:rPr>
          <w:rFonts w:ascii="Arial" w:hAnsi="Arial" w:cs="Arial"/>
          <w:sz w:val="24"/>
          <w:szCs w:val="24"/>
          <w:lang w:eastAsia="en-US"/>
        </w:rPr>
        <w:t xml:space="preserve">target sequences for the two </w:t>
      </w:r>
      <w:proofErr w:type="spellStart"/>
      <w:r w:rsidR="006B2A57" w:rsidRPr="00FE0510">
        <w:rPr>
          <w:rFonts w:ascii="Arial" w:hAnsi="Arial" w:cs="Arial"/>
          <w:sz w:val="24"/>
          <w:szCs w:val="24"/>
          <w:lang w:eastAsia="en-US"/>
        </w:rPr>
        <w:t>sgRNAs</w:t>
      </w:r>
      <w:proofErr w:type="spellEnd"/>
      <w:r w:rsidR="006B2A57" w:rsidRPr="00FE0510">
        <w:rPr>
          <w:rFonts w:ascii="Arial" w:hAnsi="Arial" w:cs="Arial"/>
          <w:sz w:val="24"/>
          <w:szCs w:val="24"/>
          <w:lang w:eastAsia="en-US"/>
        </w:rPr>
        <w:t xml:space="preserve"> are “</w:t>
      </w:r>
      <w:r w:rsidR="00FF1543" w:rsidRPr="00FE0510">
        <w:rPr>
          <w:rFonts w:ascii="Arial" w:hAnsi="Arial" w:cs="Arial"/>
          <w:sz w:val="24"/>
          <w:szCs w:val="24"/>
          <w:lang w:eastAsia="en-US"/>
        </w:rPr>
        <w:t>TGAGCTTGTTACTCGTGCCT</w:t>
      </w:r>
      <w:r w:rsidR="006B2A57" w:rsidRPr="00FE0510">
        <w:rPr>
          <w:rFonts w:ascii="Arial" w:hAnsi="Arial" w:cs="Arial"/>
          <w:sz w:val="24"/>
          <w:szCs w:val="24"/>
          <w:lang w:eastAsia="en-US"/>
        </w:rPr>
        <w:t>” and</w:t>
      </w:r>
      <w:r w:rsidR="006B2A57" w:rsidRPr="00FE0510">
        <w:rPr>
          <w:rFonts w:ascii="Arial" w:eastAsia="Times New Roman" w:hAnsi="Arial" w:cs="Arial"/>
          <w:sz w:val="24"/>
          <w:szCs w:val="24"/>
        </w:rPr>
        <w:t xml:space="preserve"> “</w:t>
      </w:r>
      <w:r w:rsidR="00FF1543" w:rsidRPr="00FE0510">
        <w:rPr>
          <w:rFonts w:ascii="Arial" w:eastAsia="Times New Roman" w:hAnsi="Arial" w:cs="Arial"/>
          <w:sz w:val="24"/>
          <w:szCs w:val="24"/>
        </w:rPr>
        <w:t>ATCATTTTCTCAGCCTCCAG</w:t>
      </w:r>
      <w:r w:rsidR="007E543B" w:rsidRPr="00FE0510">
        <w:rPr>
          <w:rFonts w:ascii="Arial" w:eastAsia="Times New Roman" w:hAnsi="Arial" w:cs="Arial"/>
          <w:sz w:val="24"/>
          <w:szCs w:val="24"/>
        </w:rPr>
        <w:t xml:space="preserve">”, respectively. </w:t>
      </w:r>
      <w:r w:rsidR="006B2A57" w:rsidRPr="00FE0510">
        <w:rPr>
          <w:rFonts w:ascii="Arial" w:eastAsia="Times New Roman" w:hAnsi="Arial" w:cs="Arial"/>
          <w:sz w:val="24"/>
          <w:szCs w:val="24"/>
        </w:rPr>
        <w:t xml:space="preserve">Single clones were screened for EGFR expression </w:t>
      </w:r>
      <w:r w:rsidR="00127765" w:rsidRPr="00FE0510">
        <w:rPr>
          <w:rFonts w:ascii="Arial" w:eastAsia="Times New Roman" w:hAnsi="Arial" w:cs="Arial"/>
          <w:sz w:val="24"/>
          <w:szCs w:val="24"/>
        </w:rPr>
        <w:t>by western blot and sequencing.</w:t>
      </w:r>
    </w:p>
    <w:p w:rsidR="00F90AB5" w:rsidRPr="00FE0510" w:rsidRDefault="00F90AB5" w:rsidP="00FE0510">
      <w:pPr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:rsidR="00F90AB5" w:rsidRPr="00FE0510" w:rsidRDefault="00F90AB5" w:rsidP="00FE0510">
      <w:pPr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:rsidR="00F90AB5" w:rsidRPr="00FE0510" w:rsidRDefault="00F90AB5" w:rsidP="00FE0510">
      <w:pPr>
        <w:pStyle w:val="EndNoteBibliography"/>
        <w:adjustRightInd w:val="0"/>
        <w:spacing w:after="12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FE0510">
        <w:rPr>
          <w:rFonts w:ascii="Arial" w:hAnsi="Arial" w:cs="Arial"/>
          <w:sz w:val="24"/>
          <w:szCs w:val="24"/>
        </w:rPr>
        <w:fldChar w:fldCharType="begin"/>
      </w:r>
      <w:r w:rsidRPr="00FE0510">
        <w:rPr>
          <w:rFonts w:ascii="Arial" w:hAnsi="Arial" w:cs="Arial"/>
          <w:sz w:val="24"/>
          <w:szCs w:val="24"/>
        </w:rPr>
        <w:instrText xml:space="preserve"> ADDIN EN.REFLIST </w:instrText>
      </w:r>
      <w:r w:rsidRPr="00FE0510">
        <w:rPr>
          <w:rFonts w:ascii="Arial" w:hAnsi="Arial" w:cs="Arial"/>
          <w:sz w:val="24"/>
          <w:szCs w:val="24"/>
        </w:rPr>
        <w:fldChar w:fldCharType="separate"/>
      </w:r>
      <w:r w:rsidRPr="00FE0510">
        <w:rPr>
          <w:rFonts w:ascii="Arial" w:hAnsi="Arial" w:cs="Arial"/>
          <w:sz w:val="24"/>
          <w:szCs w:val="24"/>
        </w:rPr>
        <w:t>1.</w:t>
      </w:r>
      <w:r w:rsidRPr="00FE0510">
        <w:rPr>
          <w:rFonts w:ascii="Arial" w:hAnsi="Arial" w:cs="Arial"/>
          <w:sz w:val="24"/>
          <w:szCs w:val="24"/>
        </w:rPr>
        <w:tab/>
        <w:t xml:space="preserve">Wu S, Wang S, Zheng S, Verhaak R, Koul D, and Yung WK. MSK1-Mediated beta-Catenin Phosphorylation Confers Resistance to PI3K/mTOR Inhibitors in Glioblastoma. </w:t>
      </w:r>
      <w:r w:rsidRPr="00FE0510">
        <w:rPr>
          <w:rFonts w:ascii="Arial" w:hAnsi="Arial" w:cs="Arial"/>
          <w:i/>
          <w:sz w:val="24"/>
          <w:szCs w:val="24"/>
        </w:rPr>
        <w:t>Mol Cancer Ther.</w:t>
      </w:r>
      <w:r w:rsidRPr="00FE0510">
        <w:rPr>
          <w:rFonts w:ascii="Arial" w:hAnsi="Arial" w:cs="Arial"/>
          <w:sz w:val="24"/>
          <w:szCs w:val="24"/>
        </w:rPr>
        <w:t xml:space="preserve"> 2016;15(7):1656-68.</w:t>
      </w:r>
    </w:p>
    <w:p w:rsidR="00F90AB5" w:rsidRPr="00FE0510" w:rsidRDefault="00F90AB5" w:rsidP="00FE0510">
      <w:pPr>
        <w:pStyle w:val="EndNoteBibliography"/>
        <w:adjustRightInd w:val="0"/>
        <w:spacing w:after="12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FE0510">
        <w:rPr>
          <w:rFonts w:ascii="Arial" w:hAnsi="Arial" w:cs="Arial"/>
          <w:sz w:val="24"/>
          <w:szCs w:val="24"/>
        </w:rPr>
        <w:t>2.</w:t>
      </w:r>
      <w:r w:rsidRPr="00FE0510">
        <w:rPr>
          <w:rFonts w:ascii="Arial" w:hAnsi="Arial" w:cs="Arial"/>
          <w:sz w:val="24"/>
          <w:szCs w:val="24"/>
        </w:rPr>
        <w:tab/>
        <w:t xml:space="preserve">Chumbalkar V, Latha K, Hwang Y, Maywald R, Hawley L, Sawaya R, et al. Analysis of phosphotyrosine signaling in glioblastoma identifies STAT5 as a novel downstream target of DeltaEGFR. </w:t>
      </w:r>
      <w:r w:rsidRPr="00FE0510">
        <w:rPr>
          <w:rFonts w:ascii="Arial" w:hAnsi="Arial" w:cs="Arial"/>
          <w:i/>
          <w:sz w:val="24"/>
          <w:szCs w:val="24"/>
        </w:rPr>
        <w:t>J Proteome Res.</w:t>
      </w:r>
      <w:r w:rsidRPr="00FE0510">
        <w:rPr>
          <w:rFonts w:ascii="Arial" w:hAnsi="Arial" w:cs="Arial"/>
          <w:sz w:val="24"/>
          <w:szCs w:val="24"/>
        </w:rPr>
        <w:t xml:space="preserve"> 2011;10(3):1343-52.</w:t>
      </w:r>
    </w:p>
    <w:p w:rsidR="00F90AB5" w:rsidRPr="00FE0510" w:rsidRDefault="00F90AB5" w:rsidP="00FE0510">
      <w:pPr>
        <w:pStyle w:val="EndNoteBibliography"/>
        <w:adjustRightInd w:val="0"/>
        <w:spacing w:after="120" w:line="36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FE0510">
        <w:rPr>
          <w:rFonts w:ascii="Arial" w:hAnsi="Arial" w:cs="Arial"/>
          <w:sz w:val="24"/>
          <w:szCs w:val="24"/>
        </w:rPr>
        <w:t>3.</w:t>
      </w:r>
      <w:r w:rsidRPr="00FE0510">
        <w:rPr>
          <w:rFonts w:ascii="Arial" w:hAnsi="Arial" w:cs="Arial"/>
          <w:sz w:val="24"/>
          <w:szCs w:val="24"/>
        </w:rPr>
        <w:tab/>
        <w:t xml:space="preserve">Saito N, Fu J, Zheng S, Yao J, Wang S, Liu DD, et al. A high Notch pathway activation predicts response to gamma secretase inhibitors in proneural subtype of glioma tumor initiating cells. </w:t>
      </w:r>
      <w:r w:rsidRPr="00FE0510">
        <w:rPr>
          <w:rFonts w:ascii="Arial" w:hAnsi="Arial" w:cs="Arial"/>
          <w:i/>
          <w:sz w:val="24"/>
          <w:szCs w:val="24"/>
        </w:rPr>
        <w:t>Stem Cells.</w:t>
      </w:r>
    </w:p>
    <w:p w:rsidR="00127765" w:rsidRPr="00FE0510" w:rsidRDefault="00F90AB5" w:rsidP="00FE0510">
      <w:pPr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FE0510">
        <w:rPr>
          <w:rFonts w:ascii="Arial" w:hAnsi="Arial" w:cs="Arial"/>
          <w:sz w:val="24"/>
          <w:szCs w:val="24"/>
        </w:rPr>
        <w:fldChar w:fldCharType="end"/>
      </w:r>
    </w:p>
    <w:sectPr w:rsidR="00127765" w:rsidRPr="00FE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pxwvwzov0xe0eda5zvewxlwsfvffae0vee&quot;&gt;PARP&lt;record-ids&gt;&lt;item&gt;21&lt;/item&gt;&lt;item&gt;23&lt;/item&gt;&lt;/record-ids&gt;&lt;/item&gt;&lt;/Libraries&gt;"/>
  </w:docVars>
  <w:rsids>
    <w:rsidRoot w:val="00471126"/>
    <w:rsid w:val="000A326D"/>
    <w:rsid w:val="000C2D4F"/>
    <w:rsid w:val="000E08FC"/>
    <w:rsid w:val="00127765"/>
    <w:rsid w:val="00130D9A"/>
    <w:rsid w:val="001527EC"/>
    <w:rsid w:val="00163756"/>
    <w:rsid w:val="001A0E20"/>
    <w:rsid w:val="001D6664"/>
    <w:rsid w:val="002474B3"/>
    <w:rsid w:val="00277971"/>
    <w:rsid w:val="00381201"/>
    <w:rsid w:val="003D5608"/>
    <w:rsid w:val="00451108"/>
    <w:rsid w:val="00471126"/>
    <w:rsid w:val="004B186E"/>
    <w:rsid w:val="004C446C"/>
    <w:rsid w:val="004E737D"/>
    <w:rsid w:val="005D637C"/>
    <w:rsid w:val="005E7166"/>
    <w:rsid w:val="005F6F0C"/>
    <w:rsid w:val="0068547B"/>
    <w:rsid w:val="006953CD"/>
    <w:rsid w:val="006B2A57"/>
    <w:rsid w:val="00703549"/>
    <w:rsid w:val="00761731"/>
    <w:rsid w:val="007657F0"/>
    <w:rsid w:val="007B10EB"/>
    <w:rsid w:val="007E543B"/>
    <w:rsid w:val="00825232"/>
    <w:rsid w:val="008D620D"/>
    <w:rsid w:val="008F7188"/>
    <w:rsid w:val="009509DD"/>
    <w:rsid w:val="00B02111"/>
    <w:rsid w:val="00B02E95"/>
    <w:rsid w:val="00B117C1"/>
    <w:rsid w:val="00BC18CE"/>
    <w:rsid w:val="00BE5266"/>
    <w:rsid w:val="00BF374B"/>
    <w:rsid w:val="00C553B3"/>
    <w:rsid w:val="00C94B02"/>
    <w:rsid w:val="00CC599B"/>
    <w:rsid w:val="00E36273"/>
    <w:rsid w:val="00EE5486"/>
    <w:rsid w:val="00F90AB5"/>
    <w:rsid w:val="00FB3B2B"/>
    <w:rsid w:val="00FE0510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E6303-AE85-4A60-BCD2-029714B7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1201"/>
    <w:rPr>
      <w:i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38120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90A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0AB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90A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90AB5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Wu,Shaofang</dc:creator>
  <cp:keywords/>
  <dc:description/>
  <cp:lastModifiedBy>Wu,Shaofang</cp:lastModifiedBy>
  <cp:revision>28</cp:revision>
  <dcterms:created xsi:type="dcterms:W3CDTF">2018-03-29T15:02:00Z</dcterms:created>
  <dcterms:modified xsi:type="dcterms:W3CDTF">2019-10-16T15:28:00Z</dcterms:modified>
</cp:coreProperties>
</file>