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C997" w14:textId="0AADDA21" w:rsidR="008A162B" w:rsidRPr="00CD7B6E" w:rsidRDefault="004E76E1" w:rsidP="008A162B">
      <w:pPr>
        <w:spacing w:line="360" w:lineRule="auto"/>
        <w:rPr>
          <w:rFonts w:cs="Times New Roman"/>
          <w:b/>
        </w:rPr>
      </w:pPr>
      <w:r>
        <w:rPr>
          <w:rFonts w:cs="Times New Roman"/>
          <w:b/>
        </w:rPr>
        <w:t>Supplementa</w:t>
      </w:r>
      <w:r w:rsidR="00FA00DF">
        <w:rPr>
          <w:rFonts w:cs="Times New Roman"/>
          <w:b/>
        </w:rPr>
        <w:t>ry</w:t>
      </w:r>
      <w:r>
        <w:rPr>
          <w:rFonts w:cs="Times New Roman"/>
          <w:b/>
        </w:rPr>
        <w:t xml:space="preserve"> </w:t>
      </w:r>
      <w:r w:rsidR="007771A3" w:rsidRPr="00AD7F4B">
        <w:rPr>
          <w:rFonts w:cs="Times New Roman"/>
          <w:b/>
        </w:rPr>
        <w:t>Materials and Methods</w:t>
      </w:r>
    </w:p>
    <w:p w14:paraId="01253828" w14:textId="77777777" w:rsidR="00CB3F37" w:rsidRDefault="00CB3F37" w:rsidP="008F5AF1">
      <w:pPr>
        <w:spacing w:line="360" w:lineRule="auto"/>
        <w:rPr>
          <w:rFonts w:cs="Times New Roman"/>
          <w:b/>
        </w:rPr>
      </w:pPr>
    </w:p>
    <w:p w14:paraId="340E93D4" w14:textId="79EB2D22" w:rsidR="00BB13E1" w:rsidRPr="00E60DBD" w:rsidRDefault="00BB13E1" w:rsidP="00BB13E1">
      <w:pPr>
        <w:spacing w:line="360" w:lineRule="auto"/>
        <w:rPr>
          <w:rFonts w:cs="Times New Roman"/>
          <w:b/>
        </w:rPr>
      </w:pPr>
      <w:r w:rsidRPr="00E60DBD">
        <w:rPr>
          <w:rFonts w:cs="Times New Roman"/>
          <w:b/>
        </w:rPr>
        <w:t xml:space="preserve">Analysis of cell </w:t>
      </w:r>
      <w:r>
        <w:rPr>
          <w:rFonts w:cs="Times New Roman"/>
          <w:b/>
        </w:rPr>
        <w:t>viability</w:t>
      </w:r>
    </w:p>
    <w:p w14:paraId="6F8FB1E3" w14:textId="512A3D42" w:rsidR="00BB13E1" w:rsidRDefault="00BB13E1" w:rsidP="00BB13E1">
      <w:pPr>
        <w:spacing w:line="360" w:lineRule="auto"/>
      </w:pPr>
      <w:r>
        <w:rPr>
          <w:rFonts w:cs="Times New Roman"/>
        </w:rPr>
        <w:t xml:space="preserve"> </w:t>
      </w:r>
      <w:r>
        <w:rPr>
          <w:rFonts w:cs="Times New Roman"/>
        </w:rPr>
        <w:tab/>
        <w:t>EBC1 and NCI-H358 cell lines were obtained from ATCC and authenticated by short tandem repeat profiling (IDEXX Bioresearch).  Normal Human Bronch</w:t>
      </w:r>
      <w:r w:rsidR="009C646A">
        <w:rPr>
          <w:rFonts w:cs="Times New Roman"/>
        </w:rPr>
        <w:t>i</w:t>
      </w:r>
      <w:r>
        <w:rPr>
          <w:rFonts w:cs="Times New Roman"/>
        </w:rPr>
        <w:t xml:space="preserve">al Epithelial cells (NHBE) were obtained from Lonza </w:t>
      </w:r>
      <w:proofErr w:type="spellStart"/>
      <w:r>
        <w:rPr>
          <w:rFonts w:cs="Times New Roman"/>
        </w:rPr>
        <w:t>BioReasearch</w:t>
      </w:r>
      <w:proofErr w:type="spellEnd"/>
      <w:r>
        <w:rPr>
          <w:rFonts w:cs="Times New Roman"/>
        </w:rPr>
        <w:t>.  R</w:t>
      </w:r>
      <w:r w:rsidRPr="00A71553">
        <w:rPr>
          <w:rFonts w:cs="Times New Roman"/>
        </w:rPr>
        <w:t xml:space="preserve">elative cell growth </w:t>
      </w:r>
      <w:r>
        <w:rPr>
          <w:rFonts w:cs="Times New Roman"/>
        </w:rPr>
        <w:t xml:space="preserve">in monolayer following various treatments </w:t>
      </w:r>
      <w:r w:rsidRPr="00A71553">
        <w:rPr>
          <w:rFonts w:cs="Times New Roman"/>
        </w:rPr>
        <w:t xml:space="preserve">was determined by measuring the reduction of the indicator dye </w:t>
      </w:r>
      <w:proofErr w:type="spellStart"/>
      <w:r>
        <w:rPr>
          <w:rFonts w:cs="Times New Roman"/>
        </w:rPr>
        <w:t>a</w:t>
      </w:r>
      <w:r w:rsidRPr="00A71553">
        <w:rPr>
          <w:rFonts w:cs="Times New Roman"/>
        </w:rPr>
        <w:t>lamar</w:t>
      </w:r>
      <w:r>
        <w:rPr>
          <w:rFonts w:cs="Times New Roman"/>
        </w:rPr>
        <w:t>B</w:t>
      </w:r>
      <w:r w:rsidRPr="00A71553">
        <w:rPr>
          <w:rFonts w:cs="Times New Roman"/>
        </w:rPr>
        <w:t>lue</w:t>
      </w:r>
      <w:proofErr w:type="spellEnd"/>
      <w:r>
        <w:rPr>
          <w:rFonts w:cs="Times New Roman"/>
        </w:rPr>
        <w:t xml:space="preserve"> (</w:t>
      </w:r>
      <w:r w:rsidRPr="00791C40">
        <w:rPr>
          <w:rFonts w:cs="Times New Roman"/>
        </w:rPr>
        <w:t>Invitrogen</w:t>
      </w:r>
      <w:r>
        <w:rPr>
          <w:rFonts w:cs="Times New Roman"/>
        </w:rPr>
        <w:t xml:space="preserve">, </w:t>
      </w:r>
      <w:r w:rsidRPr="00791C40">
        <w:rPr>
          <w:rFonts w:cs="Times New Roman"/>
        </w:rPr>
        <w:t>DAL1100</w:t>
      </w:r>
      <w:r>
        <w:rPr>
          <w:rFonts w:cs="Times New Roman"/>
        </w:rPr>
        <w:t>) according to manufacturer’s instructions.</w:t>
      </w:r>
      <w:r>
        <w:t xml:space="preserve">  </w:t>
      </w:r>
    </w:p>
    <w:p w14:paraId="7F3F2E87" w14:textId="649EFB88" w:rsidR="00BB13E1" w:rsidRPr="007C6F22" w:rsidRDefault="00BB13E1" w:rsidP="00784394">
      <w:pPr>
        <w:spacing w:line="360" w:lineRule="auto"/>
        <w:ind w:firstLine="720"/>
        <w:rPr>
          <w:rFonts w:cs="Times New Roman"/>
        </w:rPr>
      </w:pPr>
      <w:r w:rsidRPr="00BB13E1">
        <w:t xml:space="preserve">For detection of apoptosis, </w:t>
      </w:r>
      <w:r>
        <w:t>EBC1 cells</w:t>
      </w:r>
      <w:r w:rsidRPr="00BB13E1">
        <w:t xml:space="preserve"> were stained with </w:t>
      </w:r>
      <w:r w:rsidR="00784394">
        <w:t>A</w:t>
      </w:r>
      <w:r w:rsidRPr="00BB13E1">
        <w:t xml:space="preserve">nnexin V-conjugated to fluorescein isothiocyanate (FITC) and propidium iodide (PI) using the </w:t>
      </w:r>
      <w:r w:rsidR="00784394" w:rsidRPr="00784394">
        <w:t>FITC Annexin V/Dead Cell apoptosis kit</w:t>
      </w:r>
      <w:r w:rsidRPr="00BB13E1">
        <w:t xml:space="preserve"> (</w:t>
      </w:r>
      <w:r w:rsidR="001D5746" w:rsidRPr="001D5746">
        <w:t>Invitrogen</w:t>
      </w:r>
      <w:r w:rsidR="001D5746">
        <w:t xml:space="preserve"> </w:t>
      </w:r>
      <w:r w:rsidR="001D5746" w:rsidRPr="001D5746">
        <w:t>V13242</w:t>
      </w:r>
      <w:r w:rsidR="001D5746">
        <w:t>)</w:t>
      </w:r>
      <w:r w:rsidR="001D5746" w:rsidRPr="001D5746">
        <w:t xml:space="preserve"> </w:t>
      </w:r>
      <w:r w:rsidRPr="00BB13E1">
        <w:t>according to the manufacturer's instruction</w:t>
      </w:r>
      <w:r w:rsidR="009C646A">
        <w:t>s</w:t>
      </w:r>
      <w:r w:rsidRPr="00BB13E1">
        <w:t>.</w:t>
      </w:r>
      <w:r w:rsidR="001D5746">
        <w:t xml:space="preserve"> </w:t>
      </w:r>
      <w:r w:rsidRPr="00BB13E1">
        <w:t xml:space="preserve"> Immediately after staining, the cells were analyzed on a flow cytometer using 488-nm excitation and a 525-nm band pass filter for FITC and a 620-nm filter for PI detection.</w:t>
      </w:r>
      <w:r w:rsidR="009C646A" w:rsidRPr="009C646A">
        <w:t xml:space="preserve"> </w:t>
      </w:r>
      <w:r w:rsidR="009C646A">
        <w:t xml:space="preserve"> </w:t>
      </w:r>
      <w:r w:rsidR="009C646A" w:rsidRPr="00BB13E1">
        <w:t xml:space="preserve">At least </w:t>
      </w:r>
      <w:r w:rsidR="009C646A">
        <w:t>1</w:t>
      </w:r>
      <w:r w:rsidR="009C646A" w:rsidRPr="00BB13E1">
        <w:t>0,000 cells were acquired in a</w:t>
      </w:r>
      <w:r w:rsidR="009C646A">
        <w:t>n</w:t>
      </w:r>
      <w:r w:rsidR="009C646A" w:rsidRPr="00BB13E1">
        <w:t xml:space="preserve"> </w:t>
      </w:r>
      <w:proofErr w:type="spellStart"/>
      <w:r w:rsidR="009C646A" w:rsidRPr="001D5746">
        <w:t>Accuri</w:t>
      </w:r>
      <w:proofErr w:type="spellEnd"/>
      <w:r w:rsidR="009C646A" w:rsidRPr="001D5746">
        <w:t xml:space="preserve"> C6</w:t>
      </w:r>
      <w:r w:rsidR="009C646A" w:rsidRPr="00BB13E1">
        <w:t xml:space="preserve"> flow cytometer</w:t>
      </w:r>
      <w:r w:rsidR="009C646A">
        <w:t>.</w:t>
      </w:r>
      <w:r w:rsidR="009C646A" w:rsidRPr="009C646A">
        <w:t xml:space="preserve"> </w:t>
      </w:r>
      <w:r w:rsidR="009C646A">
        <w:t xml:space="preserve"> </w:t>
      </w:r>
      <w:r w:rsidR="009C646A" w:rsidRPr="00BB13E1">
        <w:t>Percentages of cells undergoing apoptosis were determined by dual-color analysis.</w:t>
      </w:r>
    </w:p>
    <w:p w14:paraId="5E1A5A7F" w14:textId="77777777" w:rsidR="00BB13E1" w:rsidRDefault="00BB13E1" w:rsidP="008F5AF1">
      <w:pPr>
        <w:spacing w:line="360" w:lineRule="auto"/>
        <w:rPr>
          <w:rFonts w:cs="Times New Roman"/>
          <w:b/>
        </w:rPr>
      </w:pPr>
    </w:p>
    <w:p w14:paraId="2AF678DE" w14:textId="6F02EBBB" w:rsidR="00186713" w:rsidRPr="004E76E1" w:rsidRDefault="00233B08" w:rsidP="008F5AF1">
      <w:pPr>
        <w:spacing w:line="360" w:lineRule="auto"/>
        <w:rPr>
          <w:rFonts w:cs="Times New Roman"/>
          <w:b/>
        </w:rPr>
      </w:pPr>
      <w:r>
        <w:rPr>
          <w:rFonts w:cs="Times New Roman"/>
          <w:b/>
        </w:rPr>
        <w:t>Kinetics of MET antibody trafficking to lysosomes</w:t>
      </w:r>
    </w:p>
    <w:p w14:paraId="11BD9122" w14:textId="3F95CFE6" w:rsidR="00452D40" w:rsidRDefault="00186713" w:rsidP="000F2E75">
      <w:pPr>
        <w:spacing w:line="360" w:lineRule="auto"/>
        <w:ind w:firstLine="720"/>
        <w:rPr>
          <w:rFonts w:cs="Times New Roman"/>
        </w:rPr>
      </w:pPr>
      <w:r>
        <w:rPr>
          <w:rFonts w:cs="Times New Roman"/>
        </w:rPr>
        <w:t xml:space="preserve">MET antibodies were conjugated with fluorophore </w:t>
      </w:r>
      <w:r w:rsidR="00452D40">
        <w:rPr>
          <w:rFonts w:cs="Times New Roman"/>
        </w:rPr>
        <w:t>Alexa F</w:t>
      </w:r>
      <w:r w:rsidR="00233B08">
        <w:rPr>
          <w:rFonts w:cs="Times New Roman"/>
        </w:rPr>
        <w:t>l</w:t>
      </w:r>
      <w:r w:rsidR="00452D40">
        <w:rPr>
          <w:rFonts w:cs="Times New Roman"/>
        </w:rPr>
        <w:t>uor 647 according to manufacturer’s instructions</w:t>
      </w:r>
      <w:r w:rsidR="00091A78">
        <w:rPr>
          <w:rFonts w:cs="Times New Roman"/>
        </w:rPr>
        <w:t xml:space="preserve"> and incubated with EBC1 cells for 15 minutes</w:t>
      </w:r>
      <w:r w:rsidR="00452D40">
        <w:rPr>
          <w:rFonts w:cs="Times New Roman"/>
        </w:rPr>
        <w:t xml:space="preserve">.  Noninternalized primary antibodies on the cell surface were detected with Alexa </w:t>
      </w:r>
      <w:proofErr w:type="spellStart"/>
      <w:r w:rsidR="00452D40">
        <w:rPr>
          <w:rFonts w:cs="Times New Roman"/>
        </w:rPr>
        <w:t>Fuor</w:t>
      </w:r>
      <w:proofErr w:type="spellEnd"/>
      <w:r w:rsidR="00452D40">
        <w:rPr>
          <w:rFonts w:cs="Times New Roman"/>
        </w:rPr>
        <w:t xml:space="preserve"> 488-conjugated goat anti-human IgG Fab Fragment (Jackson </w:t>
      </w:r>
      <w:proofErr w:type="spellStart"/>
      <w:r w:rsidR="00452D40">
        <w:rPr>
          <w:rFonts w:cs="Times New Roman"/>
        </w:rPr>
        <w:t>ImmunoResearch</w:t>
      </w:r>
      <w:proofErr w:type="spellEnd"/>
      <w:r w:rsidR="00452D40">
        <w:rPr>
          <w:rFonts w:cs="Times New Roman"/>
        </w:rPr>
        <w:t xml:space="preserve"> Laboratories).  Lysosomes and endosomes were labeled by incubating cells with </w:t>
      </w:r>
      <w:r w:rsidR="00452D40" w:rsidRPr="008F5AF1">
        <w:rPr>
          <w:rFonts w:cs="Times New Roman"/>
        </w:rPr>
        <w:t>1</w:t>
      </w:r>
      <w:r w:rsidR="00294562">
        <w:rPr>
          <w:rFonts w:cs="Times New Roman"/>
        </w:rPr>
        <w:t xml:space="preserve"> </w:t>
      </w:r>
      <w:r w:rsidR="00452D40" w:rsidRPr="008F5AF1">
        <w:rPr>
          <w:rFonts w:cs="Times New Roman"/>
        </w:rPr>
        <w:t>mg/ml Fluorescein-3kDa-dextran</w:t>
      </w:r>
      <w:r w:rsidR="00452D40">
        <w:rPr>
          <w:rFonts w:cs="Times New Roman"/>
        </w:rPr>
        <w:t xml:space="preserve"> and </w:t>
      </w:r>
      <w:r w:rsidR="00452D40" w:rsidRPr="008F5AF1">
        <w:rPr>
          <w:rFonts w:cs="Times New Roman"/>
        </w:rPr>
        <w:t>5</w:t>
      </w:r>
      <w:r w:rsidR="008B168A">
        <w:rPr>
          <w:rFonts w:cs="Times New Roman"/>
        </w:rPr>
        <w:t xml:space="preserve"> </w:t>
      </w:r>
      <w:r w:rsidR="00CB3F37">
        <w:rPr>
          <w:rFonts w:ascii="Symbol" w:hAnsi="Symbol" w:cs="Times New Roman"/>
        </w:rPr>
        <w:t></w:t>
      </w:r>
      <w:r w:rsidR="00452D40" w:rsidRPr="008F5AF1">
        <w:rPr>
          <w:rFonts w:cs="Times New Roman"/>
        </w:rPr>
        <w:t>g/ml AF568-labeled recombinant human transferrin (Sigma)</w:t>
      </w:r>
      <w:r w:rsidR="008B1375">
        <w:rPr>
          <w:rFonts w:cs="Times New Roman"/>
        </w:rPr>
        <w:t>,</w:t>
      </w:r>
      <w:r w:rsidR="00452D40">
        <w:rPr>
          <w:rFonts w:cs="Times New Roman"/>
        </w:rPr>
        <w:t xml:space="preserve"> respectively.  Images were acquired </w:t>
      </w:r>
      <w:r w:rsidR="00452D40" w:rsidRPr="008F5AF1">
        <w:rPr>
          <w:rFonts w:cs="Times New Roman"/>
        </w:rPr>
        <w:t>using Zeiss S</w:t>
      </w:r>
      <w:r w:rsidR="00294562">
        <w:rPr>
          <w:rFonts w:cs="Times New Roman"/>
        </w:rPr>
        <w:t>p</w:t>
      </w:r>
      <w:r w:rsidR="00452D40" w:rsidRPr="008F5AF1">
        <w:rPr>
          <w:rFonts w:cs="Times New Roman"/>
        </w:rPr>
        <w:t xml:space="preserve">inning disk confocal microscope. </w:t>
      </w:r>
      <w:r w:rsidR="004F7B1B">
        <w:rPr>
          <w:rFonts w:cs="Times New Roman"/>
        </w:rPr>
        <w:t xml:space="preserve"> </w:t>
      </w:r>
      <w:r w:rsidR="00452D40" w:rsidRPr="008F5AF1">
        <w:rPr>
          <w:rFonts w:cs="Times New Roman"/>
        </w:rPr>
        <w:t>Six fields per condition were acquired and the colocalization between M</w:t>
      </w:r>
      <w:r w:rsidR="00CB3F37">
        <w:rPr>
          <w:rFonts w:cs="Times New Roman"/>
        </w:rPr>
        <w:t>ET</w:t>
      </w:r>
      <w:r w:rsidR="00452D40" w:rsidRPr="008F5AF1">
        <w:rPr>
          <w:rFonts w:cs="Times New Roman"/>
        </w:rPr>
        <w:t xml:space="preserve"> antibodies and either dextran or transferrin was quantified</w:t>
      </w:r>
      <w:r w:rsidR="00452D40">
        <w:rPr>
          <w:rFonts w:cs="Times New Roman"/>
        </w:rPr>
        <w:t>.</w:t>
      </w:r>
    </w:p>
    <w:p w14:paraId="021A7DB9" w14:textId="23885F43" w:rsidR="0017153B" w:rsidRDefault="0017153B" w:rsidP="008F5AF1">
      <w:pPr>
        <w:spacing w:line="360" w:lineRule="auto"/>
        <w:rPr>
          <w:rFonts w:cs="Times New Roman"/>
        </w:rPr>
      </w:pPr>
    </w:p>
    <w:p w14:paraId="41BB6083" w14:textId="134577C5" w:rsidR="00246E47" w:rsidRPr="004E76E1" w:rsidRDefault="00246E47" w:rsidP="008F5AF1">
      <w:pPr>
        <w:spacing w:line="360" w:lineRule="auto"/>
        <w:rPr>
          <w:rFonts w:cs="Times New Roman"/>
          <w:b/>
        </w:rPr>
      </w:pPr>
      <w:r w:rsidRPr="004E76E1">
        <w:rPr>
          <w:rFonts w:cs="Times New Roman"/>
          <w:b/>
        </w:rPr>
        <w:t>Epitope Mapping by Hydrogen Deuterium Exchange (HDX)</w:t>
      </w:r>
    </w:p>
    <w:p w14:paraId="71C3AC70" w14:textId="06A97BE3" w:rsidR="00246E47" w:rsidRPr="00246E47" w:rsidRDefault="00233B08" w:rsidP="000F2E75">
      <w:pPr>
        <w:spacing w:line="360" w:lineRule="auto"/>
        <w:ind w:firstLine="720"/>
        <w:rPr>
          <w:rFonts w:cs="Times New Roman"/>
        </w:rPr>
      </w:pPr>
      <w:r>
        <w:rPr>
          <w:rFonts w:cs="Times New Roman"/>
        </w:rPr>
        <w:t>HDX was used t</w:t>
      </w:r>
      <w:r w:rsidR="00246E47" w:rsidRPr="00246E47">
        <w:rPr>
          <w:rFonts w:cs="Times New Roman"/>
        </w:rPr>
        <w:t>o map the binding epitope</w:t>
      </w:r>
      <w:r w:rsidR="00246E47">
        <w:rPr>
          <w:rFonts w:cs="Times New Roman"/>
        </w:rPr>
        <w:t>s</w:t>
      </w:r>
      <w:r w:rsidR="00246E47" w:rsidRPr="00246E47">
        <w:rPr>
          <w:rFonts w:cs="Times New Roman"/>
        </w:rPr>
        <w:t xml:space="preserve"> of the </w:t>
      </w:r>
      <w:proofErr w:type="spellStart"/>
      <w:r>
        <w:rPr>
          <w:rFonts w:cs="Times New Roman"/>
        </w:rPr>
        <w:t>biparatopic</w:t>
      </w:r>
      <w:proofErr w:type="spellEnd"/>
      <w:r>
        <w:rPr>
          <w:rFonts w:cs="Times New Roman"/>
        </w:rPr>
        <w:t xml:space="preserve"> MET antibody </w:t>
      </w:r>
      <w:r w:rsidR="00246E47">
        <w:rPr>
          <w:rFonts w:cs="Times New Roman"/>
        </w:rPr>
        <w:t xml:space="preserve">and the parental antibodies </w:t>
      </w:r>
      <w:r w:rsidR="00246E47" w:rsidRPr="00246E47">
        <w:rPr>
          <w:rFonts w:cs="Times New Roman"/>
        </w:rPr>
        <w:t>on human MET</w:t>
      </w:r>
      <w:r>
        <w:rPr>
          <w:rFonts w:cs="Times New Roman"/>
        </w:rPr>
        <w:t>.  T</w:t>
      </w:r>
      <w:r w:rsidRPr="00246E47">
        <w:rPr>
          <w:rFonts w:cs="Times New Roman"/>
        </w:rPr>
        <w:t xml:space="preserve">he </w:t>
      </w:r>
      <w:r w:rsidR="00246E47" w:rsidRPr="00246E47">
        <w:rPr>
          <w:rFonts w:cs="Times New Roman"/>
        </w:rPr>
        <w:t xml:space="preserve">recombinant extracellular domain of </w:t>
      </w:r>
      <w:r>
        <w:rPr>
          <w:rFonts w:cs="Times New Roman"/>
        </w:rPr>
        <w:t xml:space="preserve">human </w:t>
      </w:r>
      <w:r w:rsidR="00246E47" w:rsidRPr="00246E47">
        <w:rPr>
          <w:rFonts w:cs="Times New Roman"/>
        </w:rPr>
        <w:t xml:space="preserve">MET with </w:t>
      </w:r>
      <w:r w:rsidR="00246E47" w:rsidRPr="00246E47">
        <w:rPr>
          <w:rFonts w:cs="Times New Roman"/>
        </w:rPr>
        <w:lastRenderedPageBreak/>
        <w:t xml:space="preserve">a C-terminal </w:t>
      </w:r>
      <w:proofErr w:type="spellStart"/>
      <w:r w:rsidR="00246E47" w:rsidRPr="00246E47">
        <w:rPr>
          <w:rFonts w:cs="Times New Roman"/>
        </w:rPr>
        <w:t>myc-myc-hexahistidine</w:t>
      </w:r>
      <w:proofErr w:type="spellEnd"/>
      <w:r w:rsidR="00246E47" w:rsidRPr="00246E47">
        <w:rPr>
          <w:rFonts w:cs="Times New Roman"/>
        </w:rPr>
        <w:t xml:space="preserve"> tag (</w:t>
      </w:r>
      <w:proofErr w:type="spellStart"/>
      <w:r w:rsidR="00246E47" w:rsidRPr="00246E47">
        <w:rPr>
          <w:rFonts w:cs="Times New Roman"/>
        </w:rPr>
        <w:t>hMET</w:t>
      </w:r>
      <w:r w:rsidR="00294562">
        <w:rPr>
          <w:rFonts w:cs="Times New Roman"/>
        </w:rPr>
        <w:t>.</w:t>
      </w:r>
      <w:r w:rsidR="00246E47" w:rsidRPr="00246E47">
        <w:rPr>
          <w:rFonts w:cs="Times New Roman"/>
        </w:rPr>
        <w:t>mmH</w:t>
      </w:r>
      <w:proofErr w:type="spellEnd"/>
      <w:r w:rsidR="00246E47" w:rsidRPr="00246E47">
        <w:rPr>
          <w:rFonts w:cs="Times New Roman"/>
        </w:rPr>
        <w:t xml:space="preserve">) was utilized. The antibodies were individually covalently attached to NHS-activated </w:t>
      </w:r>
      <w:proofErr w:type="spellStart"/>
      <w:r w:rsidR="00246E47" w:rsidRPr="00246E47">
        <w:rPr>
          <w:rFonts w:cs="Times New Roman"/>
        </w:rPr>
        <w:t>Sepharose</w:t>
      </w:r>
      <w:proofErr w:type="spellEnd"/>
      <w:r w:rsidR="00246E47" w:rsidRPr="00246E47">
        <w:rPr>
          <w:rFonts w:cs="Times New Roman"/>
        </w:rPr>
        <w:t xml:space="preserve"> 4 Fast Flow beads (GE Healthcare).</w:t>
      </w:r>
      <w:r w:rsidR="00246E47">
        <w:rPr>
          <w:rFonts w:cs="Times New Roman"/>
        </w:rPr>
        <w:t xml:space="preserve">  </w:t>
      </w:r>
      <w:r w:rsidR="00246E47" w:rsidRPr="00246E47">
        <w:rPr>
          <w:rFonts w:cs="Times New Roman"/>
        </w:rPr>
        <w:t>We applied two methods, ‘</w:t>
      </w:r>
      <w:r w:rsidRPr="00246E47">
        <w:rPr>
          <w:rFonts w:cs="Times New Roman"/>
        </w:rPr>
        <w:t>O</w:t>
      </w:r>
      <w:r>
        <w:rPr>
          <w:rFonts w:cs="Times New Roman"/>
        </w:rPr>
        <w:t>n</w:t>
      </w:r>
      <w:r w:rsidR="00246E47" w:rsidRPr="00246E47">
        <w:rPr>
          <w:rFonts w:cs="Times New Roman"/>
        </w:rPr>
        <w:t xml:space="preserve">-Antigen’ and ‘On-Complex’, to confirm the binding epitopes of the antibodies. In the ‘On-Antigen’ experimental condition, the antigen </w:t>
      </w:r>
      <w:proofErr w:type="spellStart"/>
      <w:r w:rsidR="00246E47" w:rsidRPr="00246E47">
        <w:rPr>
          <w:rFonts w:cs="Times New Roman"/>
        </w:rPr>
        <w:t>hMET</w:t>
      </w:r>
      <w:r w:rsidR="00294562">
        <w:rPr>
          <w:rFonts w:cs="Times New Roman"/>
        </w:rPr>
        <w:t>.</w:t>
      </w:r>
      <w:r w:rsidR="00246E47" w:rsidRPr="00246E47">
        <w:rPr>
          <w:rFonts w:cs="Times New Roman"/>
        </w:rPr>
        <w:t>mmh</w:t>
      </w:r>
      <w:proofErr w:type="spellEnd"/>
      <w:r w:rsidR="00246E47" w:rsidRPr="00246E47">
        <w:rPr>
          <w:rFonts w:cs="Times New Roman"/>
        </w:rPr>
        <w:t xml:space="preserve"> was deuterated for 5 or 10 min</w:t>
      </w:r>
      <w:r>
        <w:rPr>
          <w:rFonts w:cs="Times New Roman"/>
        </w:rPr>
        <w:t>ute</w:t>
      </w:r>
      <w:r w:rsidR="00246E47" w:rsidRPr="00246E47">
        <w:rPr>
          <w:rFonts w:cs="Times New Roman"/>
        </w:rPr>
        <w:t>s in PBS buffer prepared with deuterium oxide (D</w:t>
      </w:r>
      <w:r w:rsidR="00246E47" w:rsidRPr="00CB3F37">
        <w:rPr>
          <w:rFonts w:cs="Times New Roman"/>
          <w:vertAlign w:val="subscript"/>
        </w:rPr>
        <w:t>2</w:t>
      </w:r>
      <w:r w:rsidR="00246E47" w:rsidRPr="00246E47">
        <w:rPr>
          <w:rFonts w:cs="Times New Roman"/>
        </w:rPr>
        <w:t xml:space="preserve">O). The deuterated antigen was then bound to </w:t>
      </w:r>
      <w:r w:rsidR="003B3752">
        <w:rPr>
          <w:rFonts w:cs="Times New Roman"/>
        </w:rPr>
        <w:t xml:space="preserve">MET antibody-coated </w:t>
      </w:r>
      <w:r w:rsidR="00246E47" w:rsidRPr="00246E47">
        <w:rPr>
          <w:rFonts w:cs="Times New Roman"/>
        </w:rPr>
        <w:t>beads</w:t>
      </w:r>
      <w:r>
        <w:rPr>
          <w:rFonts w:cs="Times New Roman"/>
        </w:rPr>
        <w:t xml:space="preserve"> </w:t>
      </w:r>
      <w:r w:rsidR="00294562">
        <w:rPr>
          <w:rFonts w:cs="Times New Roman"/>
        </w:rPr>
        <w:t xml:space="preserve">and subsequently eluted </w:t>
      </w:r>
      <w:r w:rsidR="00246E47" w:rsidRPr="00246E47">
        <w:rPr>
          <w:rFonts w:cs="Times New Roman"/>
        </w:rPr>
        <w:t>with</w:t>
      </w:r>
      <w:r w:rsidR="00294562">
        <w:rPr>
          <w:rFonts w:cs="Times New Roman"/>
        </w:rPr>
        <w:t xml:space="preserve"> </w:t>
      </w:r>
      <w:r w:rsidR="00246E47" w:rsidRPr="00246E47">
        <w:rPr>
          <w:rFonts w:cs="Times New Roman"/>
        </w:rPr>
        <w:t xml:space="preserve">low pH quench buffer.  The eluted sample was loaded </w:t>
      </w:r>
      <w:r w:rsidR="00230CD4">
        <w:rPr>
          <w:rFonts w:cs="Times New Roman"/>
        </w:rPr>
        <w:t>on</w:t>
      </w:r>
      <w:r w:rsidR="00246E47" w:rsidRPr="00246E47">
        <w:rPr>
          <w:rFonts w:cs="Times New Roman"/>
        </w:rPr>
        <w:t xml:space="preserve"> Waters </w:t>
      </w:r>
      <w:r w:rsidRPr="00246E47">
        <w:rPr>
          <w:rFonts w:cs="Times New Roman"/>
        </w:rPr>
        <w:t>S</w:t>
      </w:r>
      <w:r>
        <w:rPr>
          <w:rFonts w:cs="Times New Roman"/>
        </w:rPr>
        <w:t>YNAPT</w:t>
      </w:r>
      <w:r w:rsidRPr="00246E47">
        <w:rPr>
          <w:rFonts w:cs="Times New Roman"/>
        </w:rPr>
        <w:t xml:space="preserve"> </w:t>
      </w:r>
      <w:r w:rsidR="00246E47" w:rsidRPr="00246E47">
        <w:rPr>
          <w:rFonts w:cs="Times New Roman"/>
        </w:rPr>
        <w:t xml:space="preserve">G2-Si H/DX-MS system consisting of integrated online peptide digestion, trapping, </w:t>
      </w:r>
      <w:proofErr w:type="gramStart"/>
      <w:r w:rsidR="00246E47" w:rsidRPr="00246E47">
        <w:rPr>
          <w:rFonts w:cs="Times New Roman"/>
        </w:rPr>
        <w:t>9</w:t>
      </w:r>
      <w:r w:rsidR="00CB4AFE">
        <w:rPr>
          <w:rFonts w:cs="Times New Roman"/>
        </w:rPr>
        <w:t xml:space="preserve"> </w:t>
      </w:r>
      <w:r w:rsidR="00246E47" w:rsidRPr="00246E47">
        <w:rPr>
          <w:rFonts w:cs="Times New Roman"/>
        </w:rPr>
        <w:t>minute</w:t>
      </w:r>
      <w:proofErr w:type="gramEnd"/>
      <w:r w:rsidR="00246E47" w:rsidRPr="00246E47">
        <w:rPr>
          <w:rFonts w:cs="Times New Roman"/>
        </w:rPr>
        <w:t xml:space="preserve"> </w:t>
      </w:r>
      <w:r w:rsidR="003B3752">
        <w:rPr>
          <w:rFonts w:cs="Times New Roman"/>
        </w:rPr>
        <w:t>l</w:t>
      </w:r>
      <w:r w:rsidR="003B3752" w:rsidRPr="00246E47">
        <w:rPr>
          <w:rFonts w:cs="Times New Roman"/>
        </w:rPr>
        <w:t xml:space="preserve">iquid </w:t>
      </w:r>
      <w:r w:rsidR="003B3752">
        <w:rPr>
          <w:rFonts w:cs="Times New Roman"/>
        </w:rPr>
        <w:t>c</w:t>
      </w:r>
      <w:r w:rsidR="00246E47" w:rsidRPr="00246E47">
        <w:rPr>
          <w:rFonts w:cs="Times New Roman"/>
        </w:rPr>
        <w:t>hromatography separation and data acquisition.</w:t>
      </w:r>
      <w:r w:rsidR="00CB4AFE">
        <w:rPr>
          <w:rFonts w:cs="Times New Roman"/>
        </w:rPr>
        <w:t xml:space="preserve">  </w:t>
      </w:r>
      <w:r w:rsidR="00246E47" w:rsidRPr="00246E47">
        <w:rPr>
          <w:rFonts w:cs="Times New Roman"/>
        </w:rPr>
        <w:t xml:space="preserve">In the ‘On-Complex’ experimental condition, the </w:t>
      </w:r>
      <w:proofErr w:type="spellStart"/>
      <w:r w:rsidR="00246E47" w:rsidRPr="00246E47">
        <w:rPr>
          <w:rFonts w:cs="Times New Roman"/>
        </w:rPr>
        <w:t>hMET</w:t>
      </w:r>
      <w:r w:rsidR="00294562">
        <w:rPr>
          <w:rFonts w:cs="Times New Roman"/>
        </w:rPr>
        <w:t>.</w:t>
      </w:r>
      <w:r w:rsidR="003B3752">
        <w:rPr>
          <w:rFonts w:cs="Times New Roman"/>
        </w:rPr>
        <w:t>mmh</w:t>
      </w:r>
      <w:proofErr w:type="spellEnd"/>
      <w:r w:rsidR="00246E47" w:rsidRPr="00246E47">
        <w:rPr>
          <w:rFonts w:cs="Times New Roman"/>
        </w:rPr>
        <w:t xml:space="preserve"> was first bound to </w:t>
      </w:r>
      <w:r w:rsidR="00CB4AFE">
        <w:rPr>
          <w:rFonts w:cs="Times New Roman"/>
        </w:rPr>
        <w:t xml:space="preserve">MET </w:t>
      </w:r>
      <w:r w:rsidR="003B3752">
        <w:rPr>
          <w:rFonts w:cs="Times New Roman"/>
        </w:rPr>
        <w:t>antibody-</w:t>
      </w:r>
      <w:r w:rsidR="00246E47" w:rsidRPr="00246E47">
        <w:rPr>
          <w:rFonts w:cs="Times New Roman"/>
        </w:rPr>
        <w:t>coated beads and then deuterated for 5 or 10 min</w:t>
      </w:r>
      <w:r w:rsidR="003B3752">
        <w:rPr>
          <w:rFonts w:cs="Times New Roman"/>
        </w:rPr>
        <w:t>ute</w:t>
      </w:r>
      <w:r w:rsidR="00246E47" w:rsidRPr="00246E47">
        <w:rPr>
          <w:rFonts w:cs="Times New Roman"/>
        </w:rPr>
        <w:t>s via incubation in PBS buffer prepared with D</w:t>
      </w:r>
      <w:r w:rsidR="00246E47" w:rsidRPr="00CB3F37">
        <w:rPr>
          <w:rFonts w:cs="Times New Roman"/>
          <w:vertAlign w:val="subscript"/>
        </w:rPr>
        <w:t>2</w:t>
      </w:r>
      <w:r w:rsidR="00246E47" w:rsidRPr="00246E47">
        <w:rPr>
          <w:rFonts w:cs="Times New Roman"/>
        </w:rPr>
        <w:t xml:space="preserve">O. The deuterated MET ligand was eluted and analyzed by Waters </w:t>
      </w:r>
      <w:r w:rsidR="003B3752" w:rsidRPr="00246E47">
        <w:rPr>
          <w:rFonts w:cs="Times New Roman"/>
        </w:rPr>
        <w:t>S</w:t>
      </w:r>
      <w:r w:rsidR="003B3752">
        <w:rPr>
          <w:rFonts w:cs="Times New Roman"/>
        </w:rPr>
        <w:t>YNAPT</w:t>
      </w:r>
      <w:r w:rsidR="003B3752" w:rsidRPr="00246E47">
        <w:rPr>
          <w:rFonts w:cs="Times New Roman"/>
        </w:rPr>
        <w:t xml:space="preserve"> </w:t>
      </w:r>
      <w:r w:rsidR="00246E47" w:rsidRPr="00246E47">
        <w:rPr>
          <w:rFonts w:cs="Times New Roman"/>
        </w:rPr>
        <w:t>G2-Si H/DX-MS system as described above.</w:t>
      </w:r>
    </w:p>
    <w:p w14:paraId="2E60B410" w14:textId="2F0272DB" w:rsidR="00A71553" w:rsidRDefault="00246E47" w:rsidP="00CB4AFE">
      <w:pPr>
        <w:spacing w:line="360" w:lineRule="auto"/>
        <w:ind w:firstLine="720"/>
        <w:rPr>
          <w:rFonts w:cs="Times New Roman"/>
        </w:rPr>
      </w:pPr>
      <w:r w:rsidRPr="00246E47">
        <w:rPr>
          <w:rFonts w:cs="Times New Roman"/>
        </w:rPr>
        <w:t xml:space="preserve">For the identification of the peptic peptides from </w:t>
      </w:r>
      <w:proofErr w:type="spellStart"/>
      <w:r w:rsidRPr="00246E47">
        <w:rPr>
          <w:rFonts w:cs="Times New Roman"/>
        </w:rPr>
        <w:t>hMET</w:t>
      </w:r>
      <w:r w:rsidR="00294562">
        <w:rPr>
          <w:rFonts w:cs="Times New Roman"/>
        </w:rPr>
        <w:t>.</w:t>
      </w:r>
      <w:r w:rsidRPr="00246E47">
        <w:rPr>
          <w:rFonts w:cs="Times New Roman"/>
        </w:rPr>
        <w:t>mmH</w:t>
      </w:r>
      <w:proofErr w:type="spellEnd"/>
      <w:r w:rsidRPr="00246E47">
        <w:rPr>
          <w:rFonts w:cs="Times New Roman"/>
        </w:rPr>
        <w:t xml:space="preserve">, LC-MSE data from an un-deuterated sample were processed and searched against </w:t>
      </w:r>
      <w:proofErr w:type="spellStart"/>
      <w:r w:rsidR="003B3752">
        <w:rPr>
          <w:rFonts w:cs="Times New Roman"/>
        </w:rPr>
        <w:t>h</w:t>
      </w:r>
      <w:r w:rsidRPr="00246E47">
        <w:rPr>
          <w:rFonts w:cs="Times New Roman"/>
        </w:rPr>
        <w:t>MET</w:t>
      </w:r>
      <w:r w:rsidR="00294562">
        <w:rPr>
          <w:rFonts w:cs="Times New Roman"/>
        </w:rPr>
        <w:t>.</w:t>
      </w:r>
      <w:r w:rsidRPr="00246E47">
        <w:rPr>
          <w:rFonts w:cs="Times New Roman"/>
        </w:rPr>
        <w:t>mmH</w:t>
      </w:r>
      <w:proofErr w:type="spellEnd"/>
      <w:r w:rsidRPr="00246E47">
        <w:rPr>
          <w:rFonts w:cs="Times New Roman"/>
        </w:rPr>
        <w:t xml:space="preserve"> using Waters </w:t>
      </w:r>
      <w:proofErr w:type="spellStart"/>
      <w:r w:rsidRPr="00246E47">
        <w:rPr>
          <w:rFonts w:cs="Times New Roman"/>
        </w:rPr>
        <w:t>ProteinLynx</w:t>
      </w:r>
      <w:proofErr w:type="spellEnd"/>
      <w:r w:rsidRPr="00246E47">
        <w:rPr>
          <w:rFonts w:cs="Times New Roman"/>
        </w:rPr>
        <w:t xml:space="preserve"> Global Server (PLGS) software.  The identified peptides were imported to </w:t>
      </w:r>
      <w:proofErr w:type="spellStart"/>
      <w:r w:rsidRPr="00246E47">
        <w:rPr>
          <w:rFonts w:cs="Times New Roman"/>
        </w:rPr>
        <w:t>DynamX</w:t>
      </w:r>
      <w:proofErr w:type="spellEnd"/>
      <w:r w:rsidRPr="00246E47">
        <w:rPr>
          <w:rFonts w:cs="Times New Roman"/>
        </w:rPr>
        <w:t xml:space="preserve"> 3.0 software and filtered by the following two criteria</w:t>
      </w:r>
      <w:r w:rsidR="003B3752">
        <w:rPr>
          <w:rFonts w:cs="Times New Roman"/>
        </w:rPr>
        <w:t>:</w:t>
      </w:r>
      <w:r w:rsidR="003B3752" w:rsidRPr="00246E47">
        <w:rPr>
          <w:rFonts w:cs="Times New Roman"/>
        </w:rPr>
        <w:t xml:space="preserve"> </w:t>
      </w:r>
      <w:r w:rsidRPr="00246E47">
        <w:rPr>
          <w:rFonts w:cs="Times New Roman"/>
        </w:rPr>
        <w:t xml:space="preserve">the minimum products per amino acid is 0.3 and the replication file threshold is 3.0. </w:t>
      </w:r>
      <w:proofErr w:type="spellStart"/>
      <w:r w:rsidRPr="00246E47">
        <w:rPr>
          <w:rFonts w:cs="Times New Roman"/>
        </w:rPr>
        <w:t>DynamX</w:t>
      </w:r>
      <w:proofErr w:type="spellEnd"/>
      <w:r w:rsidRPr="00246E47">
        <w:rPr>
          <w:rFonts w:cs="Times New Roman"/>
        </w:rPr>
        <w:t xml:space="preserve"> 3.0 software automatically calculated the deuterium uptake difference of each identified peptide between ‘On-Antigen’ and ‘On-Complex” across both 5 and </w:t>
      </w:r>
      <w:proofErr w:type="gramStart"/>
      <w:r w:rsidRPr="00246E47">
        <w:rPr>
          <w:rFonts w:cs="Times New Roman"/>
        </w:rPr>
        <w:t>10 min</w:t>
      </w:r>
      <w:r w:rsidR="003B3752">
        <w:rPr>
          <w:rFonts w:cs="Times New Roman"/>
        </w:rPr>
        <w:t>ute</w:t>
      </w:r>
      <w:proofErr w:type="gramEnd"/>
      <w:r w:rsidRPr="00246E47">
        <w:rPr>
          <w:rFonts w:cs="Times New Roman"/>
        </w:rPr>
        <w:t xml:space="preserve"> deuteration time points. The individual isotopic peak of each peptide picked up by </w:t>
      </w:r>
      <w:proofErr w:type="spellStart"/>
      <w:r w:rsidRPr="00246E47">
        <w:rPr>
          <w:rFonts w:cs="Times New Roman"/>
        </w:rPr>
        <w:t>DynamX</w:t>
      </w:r>
      <w:proofErr w:type="spellEnd"/>
      <w:r w:rsidRPr="00246E47">
        <w:rPr>
          <w:rFonts w:cs="Times New Roman"/>
        </w:rPr>
        <w:t xml:space="preserve"> 3.0 software for the centroid value calculation was also manually examined to ensure the accuracy of the deuterium uptake calculation. In general, delta values for deuteration above 0.2 were used as the cut-off for determining a specific binding epitope.</w:t>
      </w:r>
    </w:p>
    <w:p w14:paraId="457C6436" w14:textId="501D51AB" w:rsidR="00CB4AFE" w:rsidRDefault="00CB4AFE" w:rsidP="00CB4AFE">
      <w:pPr>
        <w:spacing w:line="360" w:lineRule="auto"/>
        <w:rPr>
          <w:rFonts w:cs="Times New Roman"/>
        </w:rPr>
      </w:pPr>
    </w:p>
    <w:p w14:paraId="2B0F6B8C" w14:textId="2F539BCC" w:rsidR="00CB4AFE" w:rsidRPr="004E76E1" w:rsidRDefault="00CB4AFE" w:rsidP="00CB4AFE">
      <w:pPr>
        <w:spacing w:line="360" w:lineRule="auto"/>
        <w:rPr>
          <w:rFonts w:cs="Times New Roman"/>
          <w:b/>
        </w:rPr>
      </w:pPr>
      <w:r w:rsidRPr="004E76E1">
        <w:rPr>
          <w:rFonts w:cs="Times New Roman"/>
          <w:b/>
        </w:rPr>
        <w:t>Surface plasmon resonance</w:t>
      </w:r>
    </w:p>
    <w:p w14:paraId="141D412C" w14:textId="6853FC1B" w:rsidR="00294562" w:rsidRDefault="00294562" w:rsidP="000F2E75">
      <w:pPr>
        <w:spacing w:line="360" w:lineRule="auto"/>
        <w:ind w:firstLine="720"/>
        <w:rPr>
          <w:rFonts w:cs="Times New Roman"/>
        </w:rPr>
      </w:pPr>
      <w:r w:rsidRPr="000F2E75">
        <w:rPr>
          <w:rFonts w:cs="Times New Roman"/>
          <w:i/>
        </w:rPr>
        <w:t xml:space="preserve">Determination of the kinetics binding parameters for the interaction of </w:t>
      </w:r>
      <w:proofErr w:type="spellStart"/>
      <w:r w:rsidRPr="000F2E75">
        <w:rPr>
          <w:rFonts w:cs="Times New Roman"/>
          <w:i/>
        </w:rPr>
        <w:t>METxMET</w:t>
      </w:r>
      <w:proofErr w:type="spellEnd"/>
      <w:r w:rsidRPr="000F2E75">
        <w:rPr>
          <w:rFonts w:cs="Times New Roman"/>
          <w:i/>
        </w:rPr>
        <w:t xml:space="preserve"> and parental antibodies with recombinant human MET protein under neutral conditions:</w:t>
      </w:r>
      <w:r w:rsidRPr="00294562">
        <w:rPr>
          <w:rFonts w:cs="Times New Roman"/>
        </w:rPr>
        <w:t xml:space="preserve"> Using SPR-</w:t>
      </w:r>
      <w:proofErr w:type="spellStart"/>
      <w:r w:rsidRPr="00294562">
        <w:rPr>
          <w:rFonts w:cs="Times New Roman"/>
        </w:rPr>
        <w:t>Biacore</w:t>
      </w:r>
      <w:proofErr w:type="spellEnd"/>
      <w:r w:rsidRPr="00294562">
        <w:rPr>
          <w:rFonts w:cs="Times New Roman"/>
        </w:rPr>
        <w:t xml:space="preserve">, </w:t>
      </w:r>
      <w:proofErr w:type="spellStart"/>
      <w:r w:rsidRPr="00294562">
        <w:rPr>
          <w:rFonts w:cs="Times New Roman"/>
        </w:rPr>
        <w:t>METxMET</w:t>
      </w:r>
      <w:proofErr w:type="spellEnd"/>
      <w:r w:rsidRPr="00294562">
        <w:rPr>
          <w:rFonts w:cs="Times New Roman"/>
        </w:rPr>
        <w:t xml:space="preserve"> and parental antibodies binding kinetics </w:t>
      </w:r>
      <w:r w:rsidR="0001429A">
        <w:rPr>
          <w:rFonts w:cs="Times New Roman"/>
        </w:rPr>
        <w:t>were determined</w:t>
      </w:r>
      <w:r w:rsidRPr="00294562">
        <w:rPr>
          <w:rFonts w:cs="Times New Roman"/>
        </w:rPr>
        <w:t xml:space="preserve"> on </w:t>
      </w:r>
      <w:r w:rsidR="0001429A">
        <w:rPr>
          <w:rFonts w:cs="Times New Roman"/>
        </w:rPr>
        <w:t xml:space="preserve">a </w:t>
      </w:r>
      <w:proofErr w:type="spellStart"/>
      <w:r w:rsidRPr="00294562">
        <w:rPr>
          <w:rFonts w:cs="Times New Roman"/>
        </w:rPr>
        <w:t>Biacore</w:t>
      </w:r>
      <w:proofErr w:type="spellEnd"/>
      <w:r w:rsidRPr="00294562">
        <w:rPr>
          <w:rFonts w:cs="Times New Roman"/>
        </w:rPr>
        <w:t xml:space="preserve"> T200 instrument using a dextran-coated (CM5) chip at 25°C.  The running buffer was HBS-ET (10</w:t>
      </w:r>
      <w:r w:rsidR="00535B5A">
        <w:rPr>
          <w:rFonts w:cs="Times New Roman"/>
        </w:rPr>
        <w:t xml:space="preserve"> </w:t>
      </w:r>
      <w:r w:rsidRPr="00294562">
        <w:rPr>
          <w:rFonts w:cs="Times New Roman"/>
        </w:rPr>
        <w:t>m</w:t>
      </w:r>
      <w:r w:rsidR="00535B5A">
        <w:rPr>
          <w:rFonts w:cs="Times New Roman"/>
        </w:rPr>
        <w:t>mol/L</w:t>
      </w:r>
      <w:r w:rsidRPr="00294562">
        <w:rPr>
          <w:rFonts w:cs="Times New Roman"/>
        </w:rPr>
        <w:t xml:space="preserve"> </w:t>
      </w:r>
      <w:proofErr w:type="spellStart"/>
      <w:r w:rsidRPr="00294562">
        <w:rPr>
          <w:rFonts w:cs="Times New Roman"/>
        </w:rPr>
        <w:t>Hepes</w:t>
      </w:r>
      <w:proofErr w:type="spellEnd"/>
      <w:r w:rsidRPr="00294562">
        <w:rPr>
          <w:rFonts w:cs="Times New Roman"/>
        </w:rPr>
        <w:t>, 150</w:t>
      </w:r>
      <w:r w:rsidR="00535B5A">
        <w:rPr>
          <w:rFonts w:cs="Times New Roman"/>
        </w:rPr>
        <w:t xml:space="preserve"> </w:t>
      </w:r>
      <w:proofErr w:type="spellStart"/>
      <w:r w:rsidRPr="00294562">
        <w:rPr>
          <w:rFonts w:cs="Times New Roman"/>
        </w:rPr>
        <w:t>m</w:t>
      </w:r>
      <w:r w:rsidR="00535B5A">
        <w:rPr>
          <w:rFonts w:cs="Times New Roman"/>
        </w:rPr>
        <w:t>mo</w:t>
      </w:r>
      <w:proofErr w:type="spellEnd"/>
      <w:r w:rsidR="00535B5A">
        <w:rPr>
          <w:rFonts w:cs="Times New Roman"/>
        </w:rPr>
        <w:t>/L</w:t>
      </w:r>
      <w:r w:rsidRPr="00294562">
        <w:rPr>
          <w:rFonts w:cs="Times New Roman"/>
        </w:rPr>
        <w:t xml:space="preserve"> NaCl, 3.4</w:t>
      </w:r>
      <w:r w:rsidR="00535B5A">
        <w:rPr>
          <w:rFonts w:cs="Times New Roman"/>
        </w:rPr>
        <w:t xml:space="preserve"> </w:t>
      </w:r>
      <w:r w:rsidRPr="00294562">
        <w:rPr>
          <w:rFonts w:cs="Times New Roman"/>
        </w:rPr>
        <w:t>m</w:t>
      </w:r>
      <w:r w:rsidR="00535B5A">
        <w:rPr>
          <w:rFonts w:cs="Times New Roman"/>
        </w:rPr>
        <w:t>mol/L</w:t>
      </w:r>
      <w:r w:rsidRPr="00294562">
        <w:rPr>
          <w:rFonts w:cs="Times New Roman"/>
        </w:rPr>
        <w:t xml:space="preserve"> EDTA, 0.05% polysorbate 20, pH 7.4).  A capture </w:t>
      </w:r>
      <w:r w:rsidRPr="00294562">
        <w:rPr>
          <w:rFonts w:cs="Times New Roman"/>
        </w:rPr>
        <w:lastRenderedPageBreak/>
        <w:t xml:space="preserve">sensor surface was prepared by covalently immobilizing goat anti-human </w:t>
      </w:r>
      <w:proofErr w:type="spellStart"/>
      <w:r w:rsidRPr="00294562">
        <w:rPr>
          <w:rFonts w:cs="Times New Roman"/>
        </w:rPr>
        <w:t>Fcγ</w:t>
      </w:r>
      <w:proofErr w:type="spellEnd"/>
      <w:r w:rsidRPr="00294562">
        <w:rPr>
          <w:rFonts w:cs="Times New Roman"/>
        </w:rPr>
        <w:t xml:space="preserve"> antibody (Regeneron) to the chip surface using (1¬Ethyl-3-[3-</w:t>
      </w:r>
      <w:proofErr w:type="gramStart"/>
      <w:r w:rsidRPr="00294562">
        <w:rPr>
          <w:rFonts w:cs="Times New Roman"/>
        </w:rPr>
        <w:t>dimethylaminopropyl]carbodiimide</w:t>
      </w:r>
      <w:proofErr w:type="gramEnd"/>
      <w:r w:rsidRPr="00294562">
        <w:rPr>
          <w:rFonts w:cs="Times New Roman"/>
        </w:rPr>
        <w:t xml:space="preserve"> hydrochloride)/N-</w:t>
      </w:r>
      <w:proofErr w:type="spellStart"/>
      <w:r w:rsidRPr="00294562">
        <w:rPr>
          <w:rFonts w:cs="Times New Roman"/>
        </w:rPr>
        <w:t>hydroxysuccinimide</w:t>
      </w:r>
      <w:proofErr w:type="spellEnd"/>
      <w:r w:rsidRPr="00294562">
        <w:rPr>
          <w:rFonts w:cs="Times New Roman"/>
        </w:rPr>
        <w:t xml:space="preserve"> (EDC/NHS) coupling chemistry.  </w:t>
      </w:r>
      <w:proofErr w:type="spellStart"/>
      <w:r w:rsidRPr="00294562">
        <w:rPr>
          <w:rFonts w:cs="Times New Roman"/>
        </w:rPr>
        <w:t>METxMET</w:t>
      </w:r>
      <w:proofErr w:type="spellEnd"/>
      <w:r w:rsidRPr="00294562">
        <w:rPr>
          <w:rFonts w:cs="Times New Roman"/>
        </w:rPr>
        <w:t xml:space="preserve"> and parental antibodies w</w:t>
      </w:r>
      <w:r>
        <w:rPr>
          <w:rFonts w:cs="Times New Roman"/>
        </w:rPr>
        <w:t>ere</w:t>
      </w:r>
      <w:r w:rsidRPr="00294562">
        <w:rPr>
          <w:rFonts w:cs="Times New Roman"/>
        </w:rPr>
        <w:t xml:space="preserve"> captured through their Fc regions by an anti-human Fc antibody immobilized on the sensor chips and were tested for binding to the extracellular domains of monomeric and dimeric MET proteins (with C-terminal </w:t>
      </w:r>
      <w:proofErr w:type="spellStart"/>
      <w:r w:rsidRPr="00294562">
        <w:rPr>
          <w:rFonts w:cs="Times New Roman"/>
        </w:rPr>
        <w:t>MycMycHis</w:t>
      </w:r>
      <w:proofErr w:type="spellEnd"/>
      <w:r w:rsidRPr="00294562">
        <w:rPr>
          <w:rFonts w:cs="Times New Roman"/>
        </w:rPr>
        <w:t xml:space="preserve"> or mouse Fc tags) prepared at </w:t>
      </w:r>
      <w:r w:rsidR="00535B5A">
        <w:rPr>
          <w:rFonts w:cs="Times New Roman"/>
        </w:rPr>
        <w:t xml:space="preserve">a </w:t>
      </w:r>
      <w:r w:rsidRPr="00294562">
        <w:rPr>
          <w:rFonts w:cs="Times New Roman"/>
        </w:rPr>
        <w:t xml:space="preserve">concentration range </w:t>
      </w:r>
      <w:r w:rsidR="00535B5A">
        <w:rPr>
          <w:rFonts w:cs="Times New Roman"/>
        </w:rPr>
        <w:t>of</w:t>
      </w:r>
      <w:r w:rsidRPr="00294562">
        <w:rPr>
          <w:rFonts w:cs="Times New Roman"/>
        </w:rPr>
        <w:t xml:space="preserve"> 250</w:t>
      </w:r>
      <w:r w:rsidR="00535B5A">
        <w:rPr>
          <w:rFonts w:cs="Times New Roman"/>
        </w:rPr>
        <w:t xml:space="preserve"> </w:t>
      </w:r>
      <w:r w:rsidRPr="00294562">
        <w:rPr>
          <w:rFonts w:cs="Times New Roman"/>
        </w:rPr>
        <w:t>n</w:t>
      </w:r>
      <w:r w:rsidR="00535B5A">
        <w:rPr>
          <w:rFonts w:cs="Times New Roman"/>
        </w:rPr>
        <w:t>mol/L</w:t>
      </w:r>
      <w:r w:rsidRPr="00294562">
        <w:rPr>
          <w:rFonts w:cs="Times New Roman"/>
        </w:rPr>
        <w:t xml:space="preserve"> to 0.79</w:t>
      </w:r>
      <w:r w:rsidR="00535B5A">
        <w:rPr>
          <w:rFonts w:cs="Times New Roman"/>
        </w:rPr>
        <w:t xml:space="preserve"> </w:t>
      </w:r>
      <w:r w:rsidRPr="00294562">
        <w:rPr>
          <w:rFonts w:cs="Times New Roman"/>
        </w:rPr>
        <w:t>n</w:t>
      </w:r>
      <w:r w:rsidR="00535B5A">
        <w:rPr>
          <w:rFonts w:cs="Times New Roman"/>
        </w:rPr>
        <w:t>mol/L</w:t>
      </w:r>
      <w:r w:rsidRPr="00294562">
        <w:rPr>
          <w:rFonts w:cs="Times New Roman"/>
        </w:rPr>
        <w:t xml:space="preserve"> and individually injected over captured surfaces for 2 minutes followed by 1-15 minutes dissociation phase.  All capture surfaces were regenerated with one 15</w:t>
      </w:r>
      <w:r w:rsidR="00535B5A">
        <w:rPr>
          <w:rFonts w:cs="Times New Roman"/>
        </w:rPr>
        <w:t xml:space="preserve"> </w:t>
      </w:r>
      <w:r w:rsidRPr="00294562">
        <w:rPr>
          <w:rFonts w:cs="Times New Roman"/>
        </w:rPr>
        <w:t>s</w:t>
      </w:r>
      <w:r w:rsidR="00535B5A">
        <w:rPr>
          <w:rFonts w:cs="Times New Roman"/>
        </w:rPr>
        <w:t>econd</w:t>
      </w:r>
      <w:r w:rsidRPr="00294562">
        <w:rPr>
          <w:rFonts w:cs="Times New Roman"/>
        </w:rPr>
        <w:t xml:space="preserve"> pulse of 10</w:t>
      </w:r>
      <w:r w:rsidR="00535B5A">
        <w:rPr>
          <w:rFonts w:cs="Times New Roman"/>
        </w:rPr>
        <w:t xml:space="preserve"> </w:t>
      </w:r>
      <w:r w:rsidRPr="00294562">
        <w:rPr>
          <w:rFonts w:cs="Times New Roman"/>
        </w:rPr>
        <w:t>m</w:t>
      </w:r>
      <w:r w:rsidR="00535B5A">
        <w:rPr>
          <w:rFonts w:cs="Times New Roman"/>
        </w:rPr>
        <w:t>mol/L</w:t>
      </w:r>
      <w:r w:rsidRPr="00294562">
        <w:rPr>
          <w:rFonts w:cs="Times New Roman"/>
        </w:rPr>
        <w:t xml:space="preserve"> glycine-HCl, pH 1.5 (pH 1.5, (GE Healthcare). Kinetic parameters were obtained by globally fitting the data to a 1:1 binding with mass transport limitation or heterogeneous ligand binding model using </w:t>
      </w:r>
      <w:proofErr w:type="spellStart"/>
      <w:r w:rsidRPr="00294562">
        <w:rPr>
          <w:rFonts w:cs="Times New Roman"/>
        </w:rPr>
        <w:t>Biacore</w:t>
      </w:r>
      <w:proofErr w:type="spellEnd"/>
      <w:r w:rsidRPr="00294562">
        <w:rPr>
          <w:rFonts w:cs="Times New Roman"/>
        </w:rPr>
        <w:t xml:space="preserve"> T200 Evaluation Software.  The equilibrium dissociation constant (KD) was calculated by dividing the dissociation rate constant (</w:t>
      </w:r>
      <w:proofErr w:type="spellStart"/>
      <w:r w:rsidRPr="00294562">
        <w:rPr>
          <w:rFonts w:cs="Times New Roman"/>
        </w:rPr>
        <w:t>kd</w:t>
      </w:r>
      <w:proofErr w:type="spellEnd"/>
      <w:r w:rsidRPr="00294562">
        <w:rPr>
          <w:rFonts w:cs="Times New Roman"/>
        </w:rPr>
        <w:t xml:space="preserve">) by the association rate constant (ka). </w:t>
      </w:r>
    </w:p>
    <w:p w14:paraId="1C12F809" w14:textId="1A1558C0" w:rsidR="00511B11" w:rsidRDefault="00294562" w:rsidP="000F2E75">
      <w:pPr>
        <w:spacing w:line="360" w:lineRule="auto"/>
        <w:ind w:firstLine="720"/>
        <w:rPr>
          <w:rFonts w:cs="Times New Roman"/>
        </w:rPr>
      </w:pPr>
      <w:r w:rsidRPr="000F2E75">
        <w:rPr>
          <w:rFonts w:cs="Times New Roman"/>
          <w:i/>
        </w:rPr>
        <w:t>Binding competition assay</w:t>
      </w:r>
      <w:r w:rsidR="005256D6">
        <w:rPr>
          <w:rFonts w:cs="Times New Roman"/>
          <w:i/>
        </w:rPr>
        <w:t xml:space="preserve"> (</w:t>
      </w:r>
      <w:r w:rsidR="005256D6" w:rsidRPr="005256D6">
        <w:rPr>
          <w:rFonts w:cs="Times New Roman"/>
          <w:b/>
          <w:bCs/>
          <w:i/>
        </w:rPr>
        <w:t>Table S</w:t>
      </w:r>
      <w:r w:rsidR="00501417">
        <w:rPr>
          <w:rFonts w:cs="Times New Roman"/>
          <w:b/>
          <w:bCs/>
          <w:i/>
        </w:rPr>
        <w:t>2</w:t>
      </w:r>
      <w:r w:rsidR="005256D6">
        <w:rPr>
          <w:rFonts w:cs="Times New Roman"/>
          <w:i/>
        </w:rPr>
        <w:t>)</w:t>
      </w:r>
      <w:r w:rsidRPr="000F2E75">
        <w:rPr>
          <w:rFonts w:cs="Times New Roman"/>
          <w:i/>
        </w:rPr>
        <w:t>:</w:t>
      </w:r>
      <w:r>
        <w:rPr>
          <w:rFonts w:cs="Times New Roman"/>
        </w:rPr>
        <w:t xml:space="preserve"> </w:t>
      </w:r>
      <w:r w:rsidRPr="00294562">
        <w:rPr>
          <w:rFonts w:cs="Times New Roman"/>
        </w:rPr>
        <w:t>Determination of</w:t>
      </w:r>
      <w:r w:rsidR="005256D6">
        <w:rPr>
          <w:rFonts w:cs="Times New Roman"/>
        </w:rPr>
        <w:t xml:space="preserve"> the ability of</w:t>
      </w:r>
      <w:r w:rsidRPr="00294562">
        <w:rPr>
          <w:rFonts w:cs="Times New Roman"/>
        </w:rPr>
        <w:t xml:space="preserve"> </w:t>
      </w:r>
      <w:r w:rsidR="005256D6">
        <w:rPr>
          <w:rFonts w:cs="Times New Roman"/>
        </w:rPr>
        <w:t xml:space="preserve">each Fab arm of </w:t>
      </w:r>
      <w:proofErr w:type="spellStart"/>
      <w:r w:rsidRPr="00294562">
        <w:rPr>
          <w:rFonts w:cs="Times New Roman"/>
        </w:rPr>
        <w:t>METxMET</w:t>
      </w:r>
      <w:proofErr w:type="spellEnd"/>
      <w:r w:rsidRPr="00294562">
        <w:rPr>
          <w:rFonts w:cs="Times New Roman"/>
        </w:rPr>
        <w:t xml:space="preserve"> </w:t>
      </w:r>
      <w:proofErr w:type="spellStart"/>
      <w:r w:rsidR="005256D6">
        <w:rPr>
          <w:rFonts w:cs="Times New Roman"/>
        </w:rPr>
        <w:t>biparatopic</w:t>
      </w:r>
      <w:proofErr w:type="spellEnd"/>
      <w:r w:rsidR="005256D6">
        <w:rPr>
          <w:rFonts w:cs="Times New Roman"/>
        </w:rPr>
        <w:t xml:space="preserve"> antibody </w:t>
      </w:r>
      <w:r w:rsidRPr="00294562">
        <w:rPr>
          <w:rFonts w:cs="Times New Roman"/>
        </w:rPr>
        <w:t>to bind non-overlapping epitopes of recombinant monomeric human MET</w:t>
      </w:r>
      <w:r>
        <w:rPr>
          <w:rFonts w:cs="Times New Roman"/>
        </w:rPr>
        <w:t xml:space="preserve">.  </w:t>
      </w:r>
      <w:r w:rsidRPr="00294562">
        <w:rPr>
          <w:rFonts w:cs="Times New Roman"/>
        </w:rPr>
        <w:t>Using SPR-</w:t>
      </w:r>
      <w:proofErr w:type="spellStart"/>
      <w:r w:rsidRPr="00294562">
        <w:rPr>
          <w:rFonts w:cs="Times New Roman"/>
        </w:rPr>
        <w:t>Biacore</w:t>
      </w:r>
      <w:proofErr w:type="spellEnd"/>
      <w:r w:rsidRPr="00294562">
        <w:rPr>
          <w:rFonts w:cs="Times New Roman"/>
        </w:rPr>
        <w:t xml:space="preserve">, </w:t>
      </w:r>
      <w:r w:rsidR="005256D6">
        <w:rPr>
          <w:rFonts w:cs="Times New Roman"/>
        </w:rPr>
        <w:t>antibody</w:t>
      </w:r>
      <w:r w:rsidRPr="00294562">
        <w:rPr>
          <w:rFonts w:cs="Times New Roman"/>
        </w:rPr>
        <w:t xml:space="preserve"> competition studies were performed on </w:t>
      </w:r>
      <w:r w:rsidR="005256D6">
        <w:rPr>
          <w:rFonts w:cs="Times New Roman"/>
        </w:rPr>
        <w:t xml:space="preserve">a </w:t>
      </w:r>
      <w:proofErr w:type="spellStart"/>
      <w:r w:rsidRPr="00294562">
        <w:rPr>
          <w:rFonts w:cs="Times New Roman"/>
        </w:rPr>
        <w:t>Biacore</w:t>
      </w:r>
      <w:proofErr w:type="spellEnd"/>
      <w:r w:rsidRPr="00294562">
        <w:rPr>
          <w:rFonts w:cs="Times New Roman"/>
        </w:rPr>
        <w:t xml:space="preserve"> T200 instrument using a dextran-coated (CM5) chip at 25°C.  The running buffer was HBS-ET (</w:t>
      </w:r>
      <w:r w:rsidR="005256D6" w:rsidRPr="00294562">
        <w:rPr>
          <w:rFonts w:cs="Times New Roman"/>
        </w:rPr>
        <w:t>10</w:t>
      </w:r>
      <w:r w:rsidR="005256D6">
        <w:rPr>
          <w:rFonts w:cs="Times New Roman"/>
        </w:rPr>
        <w:t xml:space="preserve"> </w:t>
      </w:r>
      <w:r w:rsidR="005256D6" w:rsidRPr="00294562">
        <w:rPr>
          <w:rFonts w:cs="Times New Roman"/>
        </w:rPr>
        <w:t>m</w:t>
      </w:r>
      <w:r w:rsidR="005256D6">
        <w:rPr>
          <w:rFonts w:cs="Times New Roman"/>
        </w:rPr>
        <w:t>mol/L</w:t>
      </w:r>
      <w:r w:rsidR="005256D6" w:rsidRPr="00294562">
        <w:rPr>
          <w:rFonts w:cs="Times New Roman"/>
        </w:rPr>
        <w:t xml:space="preserve"> </w:t>
      </w:r>
      <w:proofErr w:type="spellStart"/>
      <w:r w:rsidR="005256D6" w:rsidRPr="00294562">
        <w:rPr>
          <w:rFonts w:cs="Times New Roman"/>
        </w:rPr>
        <w:t>Hepes</w:t>
      </w:r>
      <w:proofErr w:type="spellEnd"/>
      <w:r w:rsidR="005256D6" w:rsidRPr="00294562">
        <w:rPr>
          <w:rFonts w:cs="Times New Roman"/>
        </w:rPr>
        <w:t>, 150</w:t>
      </w:r>
      <w:r w:rsidR="005256D6">
        <w:rPr>
          <w:rFonts w:cs="Times New Roman"/>
        </w:rPr>
        <w:t xml:space="preserve"> </w:t>
      </w:r>
      <w:proofErr w:type="spellStart"/>
      <w:r w:rsidR="005256D6" w:rsidRPr="00294562">
        <w:rPr>
          <w:rFonts w:cs="Times New Roman"/>
        </w:rPr>
        <w:t>m</w:t>
      </w:r>
      <w:r w:rsidR="005256D6">
        <w:rPr>
          <w:rFonts w:cs="Times New Roman"/>
        </w:rPr>
        <w:t>mo</w:t>
      </w:r>
      <w:proofErr w:type="spellEnd"/>
      <w:r w:rsidR="005256D6">
        <w:rPr>
          <w:rFonts w:cs="Times New Roman"/>
        </w:rPr>
        <w:t>/L</w:t>
      </w:r>
      <w:r w:rsidR="005256D6" w:rsidRPr="00294562">
        <w:rPr>
          <w:rFonts w:cs="Times New Roman"/>
        </w:rPr>
        <w:t xml:space="preserve"> NaCl, 3.4</w:t>
      </w:r>
      <w:r w:rsidR="005256D6">
        <w:rPr>
          <w:rFonts w:cs="Times New Roman"/>
        </w:rPr>
        <w:t xml:space="preserve"> </w:t>
      </w:r>
      <w:r w:rsidR="005256D6" w:rsidRPr="00294562">
        <w:rPr>
          <w:rFonts w:cs="Times New Roman"/>
        </w:rPr>
        <w:t>m</w:t>
      </w:r>
      <w:r w:rsidR="005256D6">
        <w:rPr>
          <w:rFonts w:cs="Times New Roman"/>
        </w:rPr>
        <w:t>mol/L</w:t>
      </w:r>
      <w:r w:rsidR="005256D6" w:rsidRPr="00294562">
        <w:rPr>
          <w:rFonts w:cs="Times New Roman"/>
        </w:rPr>
        <w:t xml:space="preserve"> EDTA, 0.05% polysorbate 20, pH 7.4</w:t>
      </w:r>
      <w:r w:rsidRPr="00294562">
        <w:rPr>
          <w:rFonts w:cs="Times New Roman"/>
        </w:rPr>
        <w:t>).  A capture sensor surface was prepared by covalently immobilizing goat anti-his antibody (GE Healthcare) to the chip surface using (1¬Ethyl-3</w:t>
      </w:r>
      <w:proofErr w:type="gramStart"/>
      <w:r w:rsidRPr="00294562">
        <w:rPr>
          <w:rFonts w:cs="Times New Roman"/>
        </w:rPr>
        <w:t>-[</w:t>
      </w:r>
      <w:proofErr w:type="gramEnd"/>
      <w:r w:rsidRPr="00294562">
        <w:rPr>
          <w:rFonts w:cs="Times New Roman"/>
        </w:rPr>
        <w:t>3 dimethylaminopropyl]carbodiimide hydrochloride)/N-</w:t>
      </w:r>
      <w:proofErr w:type="spellStart"/>
      <w:r w:rsidRPr="00294562">
        <w:rPr>
          <w:rFonts w:cs="Times New Roman"/>
        </w:rPr>
        <w:t>hydroxysuccinimide</w:t>
      </w:r>
      <w:proofErr w:type="spellEnd"/>
      <w:r w:rsidRPr="00294562">
        <w:rPr>
          <w:rFonts w:cs="Times New Roman"/>
        </w:rPr>
        <w:t xml:space="preserve"> (EDC/NHS) coupling chemistry.  Human MET was captured by surface-coupled anti-His until a signal of 120 resonance units (RU) was reached.  </w:t>
      </w:r>
      <w:proofErr w:type="spellStart"/>
      <w:r w:rsidRPr="00294562">
        <w:rPr>
          <w:rFonts w:cs="Times New Roman"/>
        </w:rPr>
        <w:t>METxMET</w:t>
      </w:r>
      <w:proofErr w:type="spellEnd"/>
      <w:r w:rsidRPr="00294562">
        <w:rPr>
          <w:rFonts w:cs="Times New Roman"/>
        </w:rPr>
        <w:t xml:space="preserve">, control antibody, parental Ab1 or parental Ab2 were pre-bound to </w:t>
      </w:r>
      <w:proofErr w:type="spellStart"/>
      <w:r>
        <w:rPr>
          <w:rFonts w:cs="Times New Roman"/>
        </w:rPr>
        <w:t>h</w:t>
      </w:r>
      <w:r w:rsidRPr="00246E47">
        <w:rPr>
          <w:rFonts w:cs="Times New Roman"/>
        </w:rPr>
        <w:t>MET</w:t>
      </w:r>
      <w:r>
        <w:rPr>
          <w:rFonts w:cs="Times New Roman"/>
        </w:rPr>
        <w:t>.</w:t>
      </w:r>
      <w:r w:rsidRPr="00246E47">
        <w:rPr>
          <w:rFonts w:cs="Times New Roman"/>
        </w:rPr>
        <w:t>mmH</w:t>
      </w:r>
      <w:proofErr w:type="spellEnd"/>
      <w:r w:rsidRPr="00246E47">
        <w:rPr>
          <w:rFonts w:cs="Times New Roman"/>
        </w:rPr>
        <w:t xml:space="preserve"> </w:t>
      </w:r>
      <w:r w:rsidRPr="00294562">
        <w:rPr>
          <w:rFonts w:cs="Times New Roman"/>
        </w:rPr>
        <w:t xml:space="preserve">immobilized on the sensor surface, followed by injections of either </w:t>
      </w:r>
      <w:proofErr w:type="spellStart"/>
      <w:r w:rsidRPr="00294562">
        <w:rPr>
          <w:rFonts w:cs="Times New Roman"/>
        </w:rPr>
        <w:t>METxMET</w:t>
      </w:r>
      <w:proofErr w:type="spellEnd"/>
      <w:r w:rsidRPr="00294562">
        <w:rPr>
          <w:rFonts w:cs="Times New Roman"/>
        </w:rPr>
        <w:t>, control antibody, parental Ab1 or parental Ab2 (second</w:t>
      </w:r>
      <w:bookmarkStart w:id="0" w:name="_GoBack"/>
      <w:bookmarkEnd w:id="0"/>
      <w:r w:rsidRPr="00294562">
        <w:rPr>
          <w:rFonts w:cs="Times New Roman"/>
        </w:rPr>
        <w:t xml:space="preserve"> antibody injection). Antibodies were injected at a concentration of 3</w:t>
      </w:r>
      <w:r w:rsidR="005256D6">
        <w:rPr>
          <w:rFonts w:cs="Times New Roman"/>
        </w:rPr>
        <w:t xml:space="preserve"> </w:t>
      </w:r>
      <w:proofErr w:type="spellStart"/>
      <w:r w:rsidRPr="00294562">
        <w:rPr>
          <w:rFonts w:cs="Times New Roman"/>
        </w:rPr>
        <w:t>μ</w:t>
      </w:r>
      <w:r w:rsidR="005256D6">
        <w:rPr>
          <w:rFonts w:cs="Times New Roman"/>
        </w:rPr>
        <w:t>mol</w:t>
      </w:r>
      <w:proofErr w:type="spellEnd"/>
      <w:r w:rsidR="005256D6">
        <w:rPr>
          <w:rFonts w:cs="Times New Roman"/>
        </w:rPr>
        <w:t>/L</w:t>
      </w:r>
      <w:r w:rsidRPr="00294562">
        <w:rPr>
          <w:rFonts w:cs="Times New Roman"/>
        </w:rPr>
        <w:t xml:space="preserve">. The first antibody (pre-bound) was injected at a flow rate of 15 </w:t>
      </w:r>
      <w:proofErr w:type="spellStart"/>
      <w:r w:rsidRPr="00294562">
        <w:rPr>
          <w:rFonts w:cs="Times New Roman"/>
        </w:rPr>
        <w:t>μL</w:t>
      </w:r>
      <w:proofErr w:type="spellEnd"/>
      <w:r w:rsidRPr="00294562">
        <w:rPr>
          <w:rFonts w:cs="Times New Roman"/>
        </w:rPr>
        <w:t>/min</w:t>
      </w:r>
      <w:r w:rsidR="005256D6">
        <w:rPr>
          <w:rFonts w:cs="Times New Roman"/>
        </w:rPr>
        <w:t>ute</w:t>
      </w:r>
      <w:r w:rsidRPr="00294562">
        <w:rPr>
          <w:rFonts w:cs="Times New Roman"/>
        </w:rPr>
        <w:t xml:space="preserve"> for 5 minutes and the second antibody was injected for 5 minutes immediately after the injection of the first antibody. Binding of the antibodies to the </w:t>
      </w:r>
      <w:proofErr w:type="spellStart"/>
      <w:r>
        <w:rPr>
          <w:rFonts w:cs="Times New Roman"/>
        </w:rPr>
        <w:t>h</w:t>
      </w:r>
      <w:r w:rsidRPr="00246E47">
        <w:rPr>
          <w:rFonts w:cs="Times New Roman"/>
        </w:rPr>
        <w:t>MET</w:t>
      </w:r>
      <w:r>
        <w:rPr>
          <w:rFonts w:cs="Times New Roman"/>
        </w:rPr>
        <w:t>.</w:t>
      </w:r>
      <w:r w:rsidRPr="00246E47">
        <w:rPr>
          <w:rFonts w:cs="Times New Roman"/>
        </w:rPr>
        <w:t>mmH</w:t>
      </w:r>
      <w:proofErr w:type="spellEnd"/>
      <w:r w:rsidRPr="00246E47">
        <w:rPr>
          <w:rFonts w:cs="Times New Roman"/>
        </w:rPr>
        <w:t xml:space="preserve"> </w:t>
      </w:r>
      <w:r w:rsidRPr="00294562">
        <w:rPr>
          <w:rFonts w:cs="Times New Roman"/>
        </w:rPr>
        <w:t xml:space="preserve">-sensor surface was analyzed </w:t>
      </w:r>
      <w:r w:rsidRPr="00294562">
        <w:rPr>
          <w:rFonts w:cs="Times New Roman"/>
        </w:rPr>
        <w:lastRenderedPageBreak/>
        <w:t xml:space="preserve">using Scrubber 2.0c. The binding signals of the pre-bound and second antibody were measured 30 seconds after the respective injection. </w:t>
      </w:r>
    </w:p>
    <w:p w14:paraId="5F998A9E" w14:textId="77777777" w:rsidR="00501417" w:rsidRDefault="00501417" w:rsidP="00511B11">
      <w:pPr>
        <w:rPr>
          <w:rFonts w:cs="Times New Roman"/>
        </w:rPr>
      </w:pPr>
    </w:p>
    <w:p w14:paraId="2067C809" w14:textId="0EEB26EA" w:rsidR="00501417" w:rsidRPr="00E60DBD" w:rsidRDefault="00501417" w:rsidP="00501417">
      <w:pPr>
        <w:spacing w:line="360" w:lineRule="auto"/>
        <w:rPr>
          <w:b/>
          <w:bCs/>
        </w:rPr>
      </w:pPr>
      <w:r w:rsidRPr="00E60DBD">
        <w:rPr>
          <w:b/>
          <w:bCs/>
        </w:rPr>
        <w:t>Luciferase Reporter Assay</w:t>
      </w:r>
      <w:r>
        <w:rPr>
          <w:b/>
          <w:bCs/>
        </w:rPr>
        <w:t xml:space="preserve"> (Table S1)</w:t>
      </w:r>
    </w:p>
    <w:p w14:paraId="4871C5AE" w14:textId="6C66C927" w:rsidR="00501417" w:rsidRDefault="00501417" w:rsidP="00501417">
      <w:pPr>
        <w:spacing w:line="360" w:lineRule="auto"/>
        <w:ind w:firstLine="720"/>
        <w:rPr>
          <w:bCs/>
        </w:rPr>
      </w:pPr>
      <w:r>
        <w:rPr>
          <w:color w:val="000000"/>
        </w:rPr>
        <w:t>Antibodies</w:t>
      </w:r>
      <w:r>
        <w:t xml:space="preserve"> at concentrations ranging from 1.7 </w:t>
      </w:r>
      <w:proofErr w:type="spellStart"/>
      <w:r>
        <w:t>pmol</w:t>
      </w:r>
      <w:proofErr w:type="spellEnd"/>
      <w:r>
        <w:t xml:space="preserve">/L–100 nmol/L were added to triplicate wells of HEK293 cells engineered to express luciferase under the control of a serum response element and incubated at 37°C for </w:t>
      </w:r>
      <w:r>
        <w:t>6</w:t>
      </w:r>
      <w:r>
        <w:t xml:space="preserve"> hours.  </w:t>
      </w:r>
      <w:r>
        <w:rPr>
          <w:bCs/>
        </w:rPr>
        <w:t>ONE-Glo luciferase substrate was added to each well and relative light units (RLU) were measured on a VICTOR X5 multilabel plate reader.</w:t>
      </w:r>
    </w:p>
    <w:p w14:paraId="6EBF7E0E" w14:textId="60595EDF" w:rsidR="004E76E1" w:rsidRDefault="004E76E1" w:rsidP="00511B11">
      <w:pPr>
        <w:rPr>
          <w:rFonts w:cs="Times New Roman"/>
        </w:rPr>
      </w:pPr>
      <w:r>
        <w:rPr>
          <w:rFonts w:cs="Times New Roman"/>
        </w:rPr>
        <w:br w:type="page"/>
      </w:r>
    </w:p>
    <w:p w14:paraId="37AD01EB" w14:textId="3C1F1BC8" w:rsidR="00782CE2" w:rsidRPr="00186713" w:rsidRDefault="004E76E1" w:rsidP="008F5AF1">
      <w:pPr>
        <w:spacing w:line="360" w:lineRule="auto"/>
        <w:rPr>
          <w:rFonts w:cs="Times New Roman"/>
          <w:b/>
        </w:rPr>
      </w:pPr>
      <w:r>
        <w:rPr>
          <w:rFonts w:cs="Times New Roman"/>
          <w:b/>
        </w:rPr>
        <w:lastRenderedPageBreak/>
        <w:t>Supplementa</w:t>
      </w:r>
      <w:r w:rsidR="00FA00DF">
        <w:rPr>
          <w:rFonts w:cs="Times New Roman"/>
          <w:b/>
        </w:rPr>
        <w:t xml:space="preserve">ry </w:t>
      </w:r>
      <w:r w:rsidR="00A8576B" w:rsidRPr="00186713">
        <w:rPr>
          <w:rFonts w:cs="Times New Roman"/>
          <w:b/>
        </w:rPr>
        <w:t>Figure Legends</w:t>
      </w:r>
      <w:r w:rsidR="00AD7F4B" w:rsidRPr="00186713">
        <w:rPr>
          <w:rFonts w:cs="Times New Roman"/>
          <w:b/>
        </w:rPr>
        <w:t xml:space="preserve"> </w:t>
      </w:r>
    </w:p>
    <w:p w14:paraId="43B123AF" w14:textId="525D9FB3" w:rsidR="005F7B95" w:rsidRPr="005F7B95" w:rsidRDefault="00782CE2" w:rsidP="008F5AF1">
      <w:pPr>
        <w:spacing w:line="360" w:lineRule="auto"/>
        <w:rPr>
          <w:rFonts w:cs="Times New Roman"/>
        </w:rPr>
      </w:pPr>
      <w:r w:rsidRPr="00735807">
        <w:rPr>
          <w:rFonts w:cs="Times New Roman"/>
          <w:b/>
        </w:rPr>
        <w:t>Fig</w:t>
      </w:r>
      <w:r w:rsidR="00235FBA" w:rsidRPr="00735807">
        <w:rPr>
          <w:rFonts w:cs="Times New Roman"/>
          <w:b/>
        </w:rPr>
        <w:t xml:space="preserve">ure </w:t>
      </w:r>
      <w:r w:rsidR="00FA00DF" w:rsidRPr="00735807">
        <w:rPr>
          <w:rFonts w:cs="Times New Roman"/>
          <w:b/>
        </w:rPr>
        <w:t>S</w:t>
      </w:r>
      <w:r w:rsidRPr="00735807">
        <w:rPr>
          <w:rFonts w:cs="Times New Roman"/>
          <w:b/>
        </w:rPr>
        <w:t>1</w:t>
      </w:r>
      <w:r w:rsidR="00235FBA">
        <w:rPr>
          <w:rFonts w:cs="Times New Roman"/>
        </w:rPr>
        <w:t>.</w:t>
      </w:r>
      <w:r w:rsidR="00235FBA" w:rsidRPr="000337CA">
        <w:rPr>
          <w:rFonts w:cs="Times New Roman"/>
          <w:b/>
        </w:rPr>
        <w:t xml:space="preserve"> </w:t>
      </w:r>
      <w:proofErr w:type="spellStart"/>
      <w:r w:rsidR="004A63F4" w:rsidRPr="000337CA">
        <w:rPr>
          <w:rFonts w:cs="Times New Roman"/>
          <w:b/>
        </w:rPr>
        <w:t>Biparatopic</w:t>
      </w:r>
      <w:proofErr w:type="spellEnd"/>
      <w:r w:rsidR="004A63F4" w:rsidRPr="000337CA">
        <w:rPr>
          <w:rFonts w:cs="Times New Roman"/>
          <w:b/>
        </w:rPr>
        <w:t xml:space="preserve"> </w:t>
      </w:r>
      <w:r w:rsidR="00235FBA" w:rsidRPr="000337CA">
        <w:rPr>
          <w:rFonts w:cs="Times New Roman"/>
          <w:b/>
        </w:rPr>
        <w:t>MET</w:t>
      </w:r>
      <w:r w:rsidR="004A63F4" w:rsidRPr="000337CA">
        <w:rPr>
          <w:rFonts w:cs="Times New Roman"/>
          <w:b/>
        </w:rPr>
        <w:t xml:space="preserve"> antibody (</w:t>
      </w:r>
      <w:proofErr w:type="spellStart"/>
      <w:r w:rsidR="004A63F4" w:rsidRPr="000337CA">
        <w:rPr>
          <w:rFonts w:cs="Times New Roman"/>
          <w:b/>
        </w:rPr>
        <w:t>METxMET</w:t>
      </w:r>
      <w:proofErr w:type="spellEnd"/>
      <w:r w:rsidR="004A63F4" w:rsidRPr="000337CA">
        <w:rPr>
          <w:rFonts w:cs="Times New Roman"/>
          <w:b/>
        </w:rPr>
        <w:t xml:space="preserve">) </w:t>
      </w:r>
      <w:r w:rsidR="00502E81">
        <w:rPr>
          <w:rFonts w:cs="Times New Roman"/>
          <w:b/>
        </w:rPr>
        <w:t xml:space="preserve">specifically </w:t>
      </w:r>
      <w:r w:rsidR="00235FBA" w:rsidRPr="000337CA">
        <w:rPr>
          <w:rFonts w:cs="Times New Roman"/>
          <w:b/>
        </w:rPr>
        <w:t>inhibits growth</w:t>
      </w:r>
      <w:r w:rsidR="00502E81">
        <w:rPr>
          <w:rFonts w:cs="Times New Roman"/>
          <w:b/>
        </w:rPr>
        <w:t xml:space="preserve"> of MET</w:t>
      </w:r>
      <w:r w:rsidR="00B3449A">
        <w:rPr>
          <w:rFonts w:cs="Times New Roman"/>
          <w:b/>
        </w:rPr>
        <w:t>-</w:t>
      </w:r>
      <w:r w:rsidR="00502E81">
        <w:rPr>
          <w:rFonts w:cs="Times New Roman"/>
          <w:b/>
        </w:rPr>
        <w:t>amplified cancer cells</w:t>
      </w:r>
      <w:r w:rsidR="00235FBA" w:rsidRPr="000337CA">
        <w:rPr>
          <w:rFonts w:cs="Times New Roman"/>
          <w:b/>
        </w:rPr>
        <w:t xml:space="preserve">.  </w:t>
      </w:r>
      <w:r>
        <w:rPr>
          <w:rFonts w:cs="Times New Roman"/>
        </w:rPr>
        <w:t>(</w:t>
      </w:r>
      <w:r w:rsidRPr="00235FBA">
        <w:rPr>
          <w:rFonts w:cs="Times New Roman"/>
          <w:b/>
        </w:rPr>
        <w:t>A</w:t>
      </w:r>
      <w:r>
        <w:rPr>
          <w:rFonts w:cs="Times New Roman"/>
        </w:rPr>
        <w:t>)</w:t>
      </w:r>
      <w:r w:rsidR="00235FBA">
        <w:rPr>
          <w:rFonts w:cs="Times New Roman"/>
        </w:rPr>
        <w:t xml:space="preserve"> </w:t>
      </w:r>
      <w:r w:rsidR="00C527D4">
        <w:rPr>
          <w:rFonts w:cs="Times New Roman"/>
        </w:rPr>
        <w:t xml:space="preserve">SNU5 </w:t>
      </w:r>
      <w:r>
        <w:rPr>
          <w:rFonts w:cs="Times New Roman"/>
        </w:rPr>
        <w:t xml:space="preserve">cells were incubated with </w:t>
      </w:r>
      <w:r w:rsidR="00B3449A">
        <w:rPr>
          <w:rFonts w:cs="Times New Roman"/>
        </w:rPr>
        <w:t xml:space="preserve">IgG4 </w:t>
      </w:r>
      <w:r w:rsidR="00235FBA">
        <w:rPr>
          <w:rFonts w:cs="Times New Roman"/>
        </w:rPr>
        <w:t xml:space="preserve">control, </w:t>
      </w:r>
      <w:proofErr w:type="spellStart"/>
      <w:r w:rsidR="00235FBA">
        <w:rPr>
          <w:rFonts w:cs="Times New Roman"/>
        </w:rPr>
        <w:t>METxMET</w:t>
      </w:r>
      <w:proofErr w:type="spellEnd"/>
      <w:r w:rsidR="004A63F4">
        <w:rPr>
          <w:rFonts w:cs="Times New Roman"/>
        </w:rPr>
        <w:t xml:space="preserve"> antibody</w:t>
      </w:r>
      <w:r>
        <w:rPr>
          <w:rFonts w:cs="Times New Roman"/>
        </w:rPr>
        <w:t xml:space="preserve">, </w:t>
      </w:r>
      <w:r w:rsidR="00235FBA">
        <w:rPr>
          <w:rFonts w:cs="Times New Roman"/>
        </w:rPr>
        <w:t>parental</w:t>
      </w:r>
      <w:r>
        <w:rPr>
          <w:rFonts w:cs="Times New Roman"/>
        </w:rPr>
        <w:t xml:space="preserve"> Ab1</w:t>
      </w:r>
      <w:r w:rsidR="004A63F4">
        <w:rPr>
          <w:rFonts w:cs="Times New Roman"/>
        </w:rPr>
        <w:t xml:space="preserve"> or</w:t>
      </w:r>
      <w:r>
        <w:rPr>
          <w:rFonts w:cs="Times New Roman"/>
        </w:rPr>
        <w:t xml:space="preserve"> </w:t>
      </w:r>
      <w:r w:rsidR="00235FBA">
        <w:rPr>
          <w:rFonts w:cs="Times New Roman"/>
        </w:rPr>
        <w:t>parental Ab</w:t>
      </w:r>
      <w:r>
        <w:rPr>
          <w:rFonts w:cs="Times New Roman"/>
        </w:rPr>
        <w:t>2</w:t>
      </w:r>
      <w:r w:rsidR="003A43FA">
        <w:rPr>
          <w:rFonts w:cs="Times New Roman"/>
        </w:rPr>
        <w:t xml:space="preserve"> at 1</w:t>
      </w:r>
      <w:r w:rsidR="00B3449A">
        <w:rPr>
          <w:rFonts w:cs="Times New Roman"/>
        </w:rPr>
        <w:t xml:space="preserve"> </w:t>
      </w:r>
      <w:r w:rsidR="00412221" w:rsidRPr="00412221">
        <w:rPr>
          <w:rFonts w:ascii="Symbol" w:hAnsi="Symbol" w:cs="Times New Roman"/>
        </w:rPr>
        <w:t></w:t>
      </w:r>
      <w:r w:rsidR="003A43FA">
        <w:rPr>
          <w:rFonts w:cs="Times New Roman"/>
        </w:rPr>
        <w:t>g/ml</w:t>
      </w:r>
      <w:r>
        <w:rPr>
          <w:rFonts w:cs="Times New Roman"/>
        </w:rPr>
        <w:t xml:space="preserve"> or a combination </w:t>
      </w:r>
      <w:r w:rsidR="00235FBA">
        <w:rPr>
          <w:rFonts w:cs="Times New Roman"/>
        </w:rPr>
        <w:t xml:space="preserve">of the parental antibodies </w:t>
      </w:r>
      <w:r w:rsidR="003A43FA">
        <w:rPr>
          <w:rFonts w:cs="Times New Roman"/>
        </w:rPr>
        <w:t>at 0.5</w:t>
      </w:r>
      <w:r w:rsidR="00B3449A">
        <w:rPr>
          <w:rFonts w:cs="Times New Roman"/>
        </w:rPr>
        <w:t xml:space="preserve"> </w:t>
      </w:r>
      <w:r w:rsidR="00412221" w:rsidRPr="00412221">
        <w:rPr>
          <w:rFonts w:ascii="Symbol" w:hAnsi="Symbol" w:cs="Times New Roman"/>
        </w:rPr>
        <w:t></w:t>
      </w:r>
      <w:r w:rsidR="003A43FA">
        <w:rPr>
          <w:rFonts w:cs="Times New Roman"/>
        </w:rPr>
        <w:t>g/m</w:t>
      </w:r>
      <w:r w:rsidR="004A63F4">
        <w:rPr>
          <w:rFonts w:cs="Times New Roman"/>
        </w:rPr>
        <w:t>l each</w:t>
      </w:r>
      <w:r w:rsidR="003A43FA">
        <w:rPr>
          <w:rFonts w:cs="Times New Roman"/>
        </w:rPr>
        <w:t xml:space="preserve"> </w:t>
      </w:r>
      <w:r>
        <w:rPr>
          <w:rFonts w:cs="Times New Roman"/>
        </w:rPr>
        <w:t>for 5 days</w:t>
      </w:r>
      <w:r w:rsidR="000541A6">
        <w:rPr>
          <w:rFonts w:cs="Times New Roman"/>
        </w:rPr>
        <w:t xml:space="preserve"> and cell growth </w:t>
      </w:r>
      <w:r>
        <w:rPr>
          <w:rFonts w:cs="Times New Roman"/>
        </w:rPr>
        <w:t>was determined</w:t>
      </w:r>
      <w:r w:rsidR="000541A6">
        <w:rPr>
          <w:rFonts w:cs="Times New Roman"/>
        </w:rPr>
        <w:t>.</w:t>
      </w:r>
      <w:r>
        <w:rPr>
          <w:rFonts w:cs="Times New Roman"/>
        </w:rPr>
        <w:t xml:space="preserve"> </w:t>
      </w:r>
      <w:r w:rsidR="000541A6">
        <w:rPr>
          <w:rFonts w:cs="Times New Roman"/>
        </w:rPr>
        <w:t>The bar graph depicts the relative cell growth in each treatment group (</w:t>
      </w:r>
      <w:r w:rsidR="000541A6" w:rsidRPr="00782CE2">
        <w:rPr>
          <w:rFonts w:cs="Times New Roman"/>
        </w:rPr>
        <w:t>mean</w:t>
      </w:r>
      <w:r w:rsidR="00B3449A">
        <w:rPr>
          <w:rFonts w:cs="Times New Roman"/>
        </w:rPr>
        <w:t xml:space="preserve"> </w:t>
      </w:r>
      <w:r w:rsidR="000541A6" w:rsidRPr="00782CE2">
        <w:rPr>
          <w:rFonts w:cs="Times New Roman"/>
        </w:rPr>
        <w:t>±</w:t>
      </w:r>
      <w:r w:rsidR="00B3449A">
        <w:rPr>
          <w:rFonts w:cs="Times New Roman"/>
        </w:rPr>
        <w:t xml:space="preserve"> </w:t>
      </w:r>
      <w:r w:rsidR="000541A6" w:rsidRPr="00782CE2">
        <w:rPr>
          <w:rFonts w:cs="Times New Roman"/>
        </w:rPr>
        <w:t>SD</w:t>
      </w:r>
      <w:r w:rsidR="000541A6">
        <w:rPr>
          <w:rFonts w:cs="Times New Roman"/>
        </w:rPr>
        <w:t xml:space="preserve">).  </w:t>
      </w:r>
      <w:r w:rsidR="00294562">
        <w:rPr>
          <w:rFonts w:cs="Times New Roman"/>
        </w:rPr>
        <w:t>**P</w:t>
      </w:r>
      <w:r w:rsidR="00B3449A">
        <w:rPr>
          <w:rFonts w:cs="Times New Roman"/>
        </w:rPr>
        <w:t xml:space="preserve"> </w:t>
      </w:r>
      <w:r w:rsidR="00294562">
        <w:rPr>
          <w:rFonts w:cs="Times New Roman"/>
        </w:rPr>
        <w:t>&lt;</w:t>
      </w:r>
      <w:r w:rsidR="00B3449A">
        <w:rPr>
          <w:rFonts w:cs="Times New Roman"/>
        </w:rPr>
        <w:t xml:space="preserve"> </w:t>
      </w:r>
      <w:r w:rsidR="00294562">
        <w:rPr>
          <w:rFonts w:cs="Times New Roman"/>
        </w:rPr>
        <w:t>0.01, ****P</w:t>
      </w:r>
      <w:r w:rsidR="00B3449A">
        <w:rPr>
          <w:rFonts w:cs="Times New Roman"/>
        </w:rPr>
        <w:t xml:space="preserve"> </w:t>
      </w:r>
      <w:r w:rsidR="00294562">
        <w:rPr>
          <w:rFonts w:cs="Times New Roman"/>
        </w:rPr>
        <w:t>&lt;</w:t>
      </w:r>
      <w:r w:rsidR="00B3449A">
        <w:rPr>
          <w:rFonts w:cs="Times New Roman"/>
        </w:rPr>
        <w:t xml:space="preserve"> </w:t>
      </w:r>
      <w:r w:rsidR="00294562">
        <w:rPr>
          <w:rFonts w:cs="Times New Roman"/>
        </w:rPr>
        <w:t xml:space="preserve">0.0001, versus </w:t>
      </w:r>
      <w:r w:rsidR="00B3449A">
        <w:rPr>
          <w:rFonts w:cs="Times New Roman"/>
        </w:rPr>
        <w:t xml:space="preserve">IgG4 </w:t>
      </w:r>
      <w:r w:rsidR="00294562">
        <w:rPr>
          <w:rFonts w:cs="Times New Roman"/>
        </w:rPr>
        <w:t xml:space="preserve">control.  </w:t>
      </w:r>
      <w:r w:rsidR="00B2342B" w:rsidRPr="00B2342B">
        <w:rPr>
          <w:rFonts w:cs="Times New Roman"/>
          <w:vertAlign w:val="superscript"/>
        </w:rPr>
        <w:t>++</w:t>
      </w:r>
      <w:r w:rsidR="004A63F4">
        <w:rPr>
          <w:rFonts w:cs="Times New Roman"/>
        </w:rPr>
        <w:t>P</w:t>
      </w:r>
      <w:r w:rsidR="00B3449A">
        <w:rPr>
          <w:rFonts w:cs="Times New Roman"/>
        </w:rPr>
        <w:t xml:space="preserve"> </w:t>
      </w:r>
      <w:r>
        <w:rPr>
          <w:rFonts w:cs="Times New Roman"/>
        </w:rPr>
        <w:t>&lt;</w:t>
      </w:r>
      <w:r w:rsidR="00B3449A">
        <w:rPr>
          <w:rFonts w:cs="Times New Roman"/>
        </w:rPr>
        <w:t xml:space="preserve"> </w:t>
      </w:r>
      <w:r>
        <w:rPr>
          <w:rFonts w:cs="Times New Roman"/>
        </w:rPr>
        <w:t>0.01</w:t>
      </w:r>
      <w:r w:rsidR="004A63F4">
        <w:rPr>
          <w:rFonts w:cs="Times New Roman"/>
        </w:rPr>
        <w:t>,</w:t>
      </w:r>
      <w:r w:rsidR="00A30A15">
        <w:rPr>
          <w:rFonts w:cs="Times New Roman"/>
        </w:rPr>
        <w:t xml:space="preserve"> parental antibodies versus </w:t>
      </w:r>
      <w:proofErr w:type="spellStart"/>
      <w:r w:rsidR="00A30A15">
        <w:rPr>
          <w:rFonts w:cs="Times New Roman"/>
        </w:rPr>
        <w:t>METxMET</w:t>
      </w:r>
      <w:proofErr w:type="spellEnd"/>
      <w:r w:rsidR="00A30A15">
        <w:rPr>
          <w:rFonts w:cs="Times New Roman"/>
        </w:rPr>
        <w:t xml:space="preserve"> antibody, one-way ANOVA with Tukey’s post hoc </w:t>
      </w:r>
      <w:r w:rsidR="005F7B95">
        <w:rPr>
          <w:rFonts w:cs="Times New Roman"/>
        </w:rPr>
        <w:t>test for multiple comparisons.</w:t>
      </w:r>
      <w:r w:rsidR="004A63F4">
        <w:rPr>
          <w:rFonts w:cs="Times New Roman"/>
        </w:rPr>
        <w:t xml:space="preserve"> </w:t>
      </w:r>
      <w:r>
        <w:rPr>
          <w:rFonts w:cs="Times New Roman"/>
        </w:rPr>
        <w:t xml:space="preserve"> </w:t>
      </w:r>
      <w:r w:rsidR="003A43FA">
        <w:rPr>
          <w:rFonts w:cs="Times New Roman"/>
        </w:rPr>
        <w:t>(</w:t>
      </w:r>
      <w:r w:rsidR="00B2342B">
        <w:rPr>
          <w:rFonts w:cs="Times New Roman"/>
          <w:b/>
        </w:rPr>
        <w:t>B</w:t>
      </w:r>
      <w:r w:rsidR="003A43FA">
        <w:rPr>
          <w:rFonts w:cs="Times New Roman"/>
        </w:rPr>
        <w:t xml:space="preserve">) </w:t>
      </w:r>
      <w:r w:rsidR="00412221" w:rsidRPr="00412221">
        <w:rPr>
          <w:rFonts w:cs="Times New Roman"/>
        </w:rPr>
        <w:t>Flow cytometric analysis of A</w:t>
      </w:r>
      <w:r w:rsidR="00412221">
        <w:rPr>
          <w:rFonts w:cs="Times New Roman"/>
        </w:rPr>
        <w:t>nnexin V</w:t>
      </w:r>
      <w:r w:rsidR="00412221" w:rsidRPr="00412221">
        <w:rPr>
          <w:rFonts w:cs="Times New Roman"/>
        </w:rPr>
        <w:t xml:space="preserve">-FITC and PI staining for the determination of apoptosis in </w:t>
      </w:r>
      <w:r w:rsidR="00412221">
        <w:rPr>
          <w:rFonts w:cs="Times New Roman"/>
        </w:rPr>
        <w:t>EBC1</w:t>
      </w:r>
      <w:r w:rsidR="00412221" w:rsidRPr="00412221">
        <w:rPr>
          <w:rFonts w:cs="Times New Roman"/>
        </w:rPr>
        <w:t xml:space="preserve"> cells </w:t>
      </w:r>
      <w:r w:rsidR="00412221">
        <w:rPr>
          <w:rFonts w:cs="Times New Roman"/>
        </w:rPr>
        <w:t>following</w:t>
      </w:r>
      <w:r w:rsidR="00412221" w:rsidRPr="00412221">
        <w:rPr>
          <w:rFonts w:cs="Times New Roman"/>
        </w:rPr>
        <w:t xml:space="preserve"> treatment </w:t>
      </w:r>
      <w:r w:rsidR="00412221">
        <w:rPr>
          <w:rFonts w:cs="Times New Roman"/>
        </w:rPr>
        <w:t xml:space="preserve">with </w:t>
      </w:r>
      <w:r w:rsidR="00BB5095">
        <w:rPr>
          <w:rFonts w:cs="Times New Roman"/>
        </w:rPr>
        <w:t xml:space="preserve">IgG4 </w:t>
      </w:r>
      <w:r w:rsidR="00412221">
        <w:rPr>
          <w:rFonts w:cs="Times New Roman"/>
        </w:rPr>
        <w:t xml:space="preserve">control, </w:t>
      </w:r>
      <w:proofErr w:type="spellStart"/>
      <w:r w:rsidR="00412221">
        <w:rPr>
          <w:rFonts w:cs="Times New Roman"/>
        </w:rPr>
        <w:t>METxMET</w:t>
      </w:r>
      <w:proofErr w:type="spellEnd"/>
      <w:r w:rsidR="00412221">
        <w:rPr>
          <w:rFonts w:cs="Times New Roman"/>
        </w:rPr>
        <w:t xml:space="preserve"> or parental antibodies at 5</w:t>
      </w:r>
      <w:r w:rsidR="00412221" w:rsidRPr="00412221">
        <w:rPr>
          <w:rFonts w:ascii="Symbol" w:hAnsi="Symbol" w:cs="Times New Roman"/>
        </w:rPr>
        <w:t></w:t>
      </w:r>
      <w:r w:rsidR="00412221">
        <w:rPr>
          <w:rFonts w:cs="Times New Roman"/>
        </w:rPr>
        <w:t>g/ml</w:t>
      </w:r>
      <w:r w:rsidR="00412221" w:rsidRPr="00412221">
        <w:rPr>
          <w:rFonts w:cs="Times New Roman"/>
        </w:rPr>
        <w:t xml:space="preserve"> for </w:t>
      </w:r>
      <w:r w:rsidR="00412221">
        <w:rPr>
          <w:rFonts w:cs="Times New Roman"/>
        </w:rPr>
        <w:t>72</w:t>
      </w:r>
      <w:r w:rsidR="00412221" w:rsidRPr="00412221">
        <w:rPr>
          <w:rFonts w:cs="Times New Roman"/>
        </w:rPr>
        <w:t xml:space="preserve"> h</w:t>
      </w:r>
      <w:r w:rsidR="00412221">
        <w:rPr>
          <w:rFonts w:cs="Times New Roman"/>
        </w:rPr>
        <w:t>ours</w:t>
      </w:r>
      <w:r w:rsidR="00412221" w:rsidRPr="00412221">
        <w:rPr>
          <w:rFonts w:cs="Times New Roman"/>
        </w:rPr>
        <w:t>.</w:t>
      </w:r>
      <w:r w:rsidR="001256D8">
        <w:rPr>
          <w:rFonts w:cs="Times New Roman"/>
        </w:rPr>
        <w:t xml:space="preserve"> (</w:t>
      </w:r>
      <w:proofErr w:type="gramStart"/>
      <w:r w:rsidR="001256D8">
        <w:rPr>
          <w:rFonts w:cs="Times New Roman"/>
          <w:b/>
        </w:rPr>
        <w:t>C</w:t>
      </w:r>
      <w:r w:rsidR="00BB5095">
        <w:rPr>
          <w:rFonts w:cs="Times New Roman"/>
          <w:b/>
        </w:rPr>
        <w:t>,D</w:t>
      </w:r>
      <w:proofErr w:type="gramEnd"/>
      <w:r w:rsidR="001256D8">
        <w:rPr>
          <w:rFonts w:cs="Times New Roman"/>
        </w:rPr>
        <w:t xml:space="preserve">) </w:t>
      </w:r>
      <w:r w:rsidR="00BB5095">
        <w:rPr>
          <w:rFonts w:cs="Times New Roman"/>
          <w:bCs/>
        </w:rPr>
        <w:t xml:space="preserve">EBC1 or NCI-H358 </w:t>
      </w:r>
      <w:r w:rsidR="00BB5095">
        <w:rPr>
          <w:rFonts w:cs="Times New Roman"/>
        </w:rPr>
        <w:t>c</w:t>
      </w:r>
      <w:r w:rsidR="001256D8">
        <w:rPr>
          <w:rFonts w:cs="Times New Roman"/>
        </w:rPr>
        <w:t>ells were incubated with increasing concentration</w:t>
      </w:r>
      <w:r w:rsidR="00BB5095">
        <w:rPr>
          <w:rFonts w:cs="Times New Roman"/>
        </w:rPr>
        <w:t>s</w:t>
      </w:r>
      <w:r w:rsidR="001256D8">
        <w:rPr>
          <w:rFonts w:cs="Times New Roman"/>
        </w:rPr>
        <w:t xml:space="preserve"> of </w:t>
      </w:r>
      <w:r w:rsidR="00BB5095">
        <w:rPr>
          <w:rFonts w:cs="Times New Roman"/>
        </w:rPr>
        <w:t xml:space="preserve">IgG4 </w:t>
      </w:r>
      <w:r w:rsidR="001256D8">
        <w:rPr>
          <w:rFonts w:cs="Times New Roman"/>
        </w:rPr>
        <w:t xml:space="preserve">control, </w:t>
      </w:r>
      <w:proofErr w:type="spellStart"/>
      <w:r w:rsidR="001256D8">
        <w:rPr>
          <w:rFonts w:cs="Times New Roman"/>
        </w:rPr>
        <w:t>METxMET</w:t>
      </w:r>
      <w:proofErr w:type="spellEnd"/>
      <w:r w:rsidR="001256D8">
        <w:rPr>
          <w:rFonts w:cs="Times New Roman"/>
        </w:rPr>
        <w:t xml:space="preserve"> or parental antibodies (0.1</w:t>
      </w:r>
      <w:r w:rsidR="00BB5095">
        <w:rPr>
          <w:rFonts w:cs="Times New Roman"/>
        </w:rPr>
        <w:t xml:space="preserve"> – </w:t>
      </w:r>
      <w:r w:rsidR="001256D8">
        <w:rPr>
          <w:rFonts w:cs="Times New Roman"/>
        </w:rPr>
        <w:t>100</w:t>
      </w:r>
      <w:r w:rsidR="00BB5095">
        <w:rPr>
          <w:rFonts w:cs="Times New Roman"/>
        </w:rPr>
        <w:t xml:space="preserve"> </w:t>
      </w:r>
      <w:r w:rsidR="001256D8">
        <w:rPr>
          <w:rFonts w:cs="Times New Roman"/>
        </w:rPr>
        <w:t>n</w:t>
      </w:r>
      <w:r w:rsidR="00BB5095">
        <w:rPr>
          <w:rFonts w:cs="Times New Roman"/>
        </w:rPr>
        <w:t>mol/L</w:t>
      </w:r>
      <w:r w:rsidR="001256D8">
        <w:rPr>
          <w:rFonts w:cs="Times New Roman"/>
        </w:rPr>
        <w:t xml:space="preserve">) for </w:t>
      </w:r>
      <w:r w:rsidR="009440C7">
        <w:rPr>
          <w:rFonts w:cs="Times New Roman"/>
        </w:rPr>
        <w:t>5 days</w:t>
      </w:r>
      <w:r w:rsidR="001256D8">
        <w:rPr>
          <w:rFonts w:cs="Times New Roman"/>
        </w:rPr>
        <w:t xml:space="preserve"> and cell viability was measured.  The </w:t>
      </w:r>
      <w:r w:rsidR="009440C7">
        <w:rPr>
          <w:rFonts w:cs="Times New Roman"/>
        </w:rPr>
        <w:t>line</w:t>
      </w:r>
      <w:r w:rsidR="001256D8">
        <w:rPr>
          <w:rFonts w:cs="Times New Roman"/>
        </w:rPr>
        <w:t xml:space="preserve"> graphs depict the relative cell </w:t>
      </w:r>
      <w:r w:rsidR="009440C7">
        <w:rPr>
          <w:rFonts w:cs="Times New Roman"/>
        </w:rPr>
        <w:t>viability</w:t>
      </w:r>
      <w:r w:rsidR="001256D8">
        <w:rPr>
          <w:rFonts w:cs="Times New Roman"/>
        </w:rPr>
        <w:t xml:space="preserve"> in each treatment group (</w:t>
      </w:r>
      <w:r w:rsidR="001256D8" w:rsidRPr="00782CE2">
        <w:rPr>
          <w:rFonts w:cs="Times New Roman"/>
        </w:rPr>
        <w:t>mean</w:t>
      </w:r>
      <w:r w:rsidR="00BB5095">
        <w:rPr>
          <w:rFonts w:cs="Times New Roman"/>
        </w:rPr>
        <w:t xml:space="preserve"> </w:t>
      </w:r>
      <w:r w:rsidR="001256D8" w:rsidRPr="00782CE2">
        <w:rPr>
          <w:rFonts w:cs="Times New Roman"/>
        </w:rPr>
        <w:t>±</w:t>
      </w:r>
      <w:r w:rsidR="00BB5095">
        <w:rPr>
          <w:rFonts w:cs="Times New Roman"/>
        </w:rPr>
        <w:t xml:space="preserve"> </w:t>
      </w:r>
      <w:r w:rsidR="001256D8" w:rsidRPr="00782CE2">
        <w:rPr>
          <w:rFonts w:cs="Times New Roman"/>
        </w:rPr>
        <w:t>SD</w:t>
      </w:r>
      <w:r w:rsidR="001256D8">
        <w:rPr>
          <w:rFonts w:cs="Times New Roman"/>
        </w:rPr>
        <w:t>).</w:t>
      </w:r>
      <w:r w:rsidR="009440C7">
        <w:rPr>
          <w:rFonts w:cs="Times New Roman"/>
        </w:rPr>
        <w:t xml:space="preserve"> (</w:t>
      </w:r>
      <w:r w:rsidR="009440C7" w:rsidRPr="009440C7">
        <w:rPr>
          <w:rFonts w:cs="Times New Roman"/>
          <w:b/>
          <w:bCs/>
        </w:rPr>
        <w:t>E</w:t>
      </w:r>
      <w:r w:rsidR="009440C7">
        <w:rPr>
          <w:rFonts w:cs="Times New Roman"/>
        </w:rPr>
        <w:t xml:space="preserve">) </w:t>
      </w:r>
      <w:r w:rsidR="00BB5095">
        <w:rPr>
          <w:rFonts w:cs="Times New Roman"/>
        </w:rPr>
        <w:t>Normal human bronchial epithelial</w:t>
      </w:r>
      <w:r w:rsidR="009440C7">
        <w:rPr>
          <w:rFonts w:cs="Times New Roman"/>
        </w:rPr>
        <w:t xml:space="preserve"> cells were incubated with either control antibody (</w:t>
      </w:r>
      <w:r w:rsidR="00BB5095">
        <w:rPr>
          <w:rFonts w:cs="Times New Roman"/>
        </w:rPr>
        <w:t xml:space="preserve">10 </w:t>
      </w:r>
      <w:r w:rsidR="00BB5095" w:rsidRPr="00BB5095">
        <w:rPr>
          <w:rFonts w:ascii="Symbol" w:hAnsi="Symbol" w:cs="Times New Roman"/>
        </w:rPr>
        <w:t></w:t>
      </w:r>
      <w:r w:rsidR="00BB5095">
        <w:rPr>
          <w:rFonts w:cs="Times New Roman"/>
        </w:rPr>
        <w:t xml:space="preserve">g/ml; </w:t>
      </w:r>
      <w:r w:rsidR="009440C7">
        <w:rPr>
          <w:rFonts w:cs="Times New Roman"/>
        </w:rPr>
        <w:t>68</w:t>
      </w:r>
      <w:r w:rsidR="00BB5095">
        <w:rPr>
          <w:rFonts w:cs="Times New Roman"/>
        </w:rPr>
        <w:t xml:space="preserve"> </w:t>
      </w:r>
      <w:r w:rsidR="009440C7">
        <w:rPr>
          <w:rFonts w:cs="Times New Roman"/>
        </w:rPr>
        <w:t>n</w:t>
      </w:r>
      <w:r w:rsidR="00BB5095">
        <w:rPr>
          <w:rFonts w:cs="Times New Roman"/>
        </w:rPr>
        <w:t>mol/L</w:t>
      </w:r>
      <w:r w:rsidR="009440C7">
        <w:rPr>
          <w:rFonts w:cs="Times New Roman"/>
        </w:rPr>
        <w:t xml:space="preserve">), </w:t>
      </w:r>
      <w:proofErr w:type="spellStart"/>
      <w:r w:rsidR="009440C7">
        <w:rPr>
          <w:rFonts w:cs="Times New Roman"/>
        </w:rPr>
        <w:t>METxMET</w:t>
      </w:r>
      <w:proofErr w:type="spellEnd"/>
      <w:r w:rsidR="009440C7">
        <w:rPr>
          <w:rFonts w:cs="Times New Roman"/>
        </w:rPr>
        <w:t xml:space="preserve"> antibody (</w:t>
      </w:r>
      <w:r w:rsidR="00BB5095">
        <w:rPr>
          <w:rFonts w:cs="Times New Roman"/>
        </w:rPr>
        <w:t xml:space="preserve">5 or 10 </w:t>
      </w:r>
      <w:r w:rsidR="00BB5095" w:rsidRPr="00BB5095">
        <w:rPr>
          <w:rFonts w:ascii="Symbol" w:hAnsi="Symbol" w:cs="Times New Roman"/>
        </w:rPr>
        <w:t></w:t>
      </w:r>
      <w:r w:rsidR="00BB5095">
        <w:rPr>
          <w:rFonts w:cs="Times New Roman"/>
        </w:rPr>
        <w:t xml:space="preserve">g/ml; </w:t>
      </w:r>
      <w:r w:rsidR="009440C7">
        <w:rPr>
          <w:rFonts w:cs="Times New Roman"/>
        </w:rPr>
        <w:t xml:space="preserve">34 </w:t>
      </w:r>
      <w:r w:rsidR="00BB5095">
        <w:rPr>
          <w:rFonts w:cs="Times New Roman"/>
        </w:rPr>
        <w:t>or</w:t>
      </w:r>
      <w:r w:rsidR="009440C7">
        <w:rPr>
          <w:rFonts w:cs="Times New Roman"/>
        </w:rPr>
        <w:t xml:space="preserve"> 68 </w:t>
      </w:r>
      <w:r w:rsidR="00BB5095">
        <w:rPr>
          <w:rFonts w:cs="Times New Roman"/>
        </w:rPr>
        <w:t>nmol/L</w:t>
      </w:r>
      <w:r w:rsidR="009440C7">
        <w:rPr>
          <w:rFonts w:cs="Times New Roman"/>
        </w:rPr>
        <w:t xml:space="preserve">) or the MET TKI </w:t>
      </w:r>
      <w:proofErr w:type="spellStart"/>
      <w:r w:rsidR="009440C7">
        <w:rPr>
          <w:rFonts w:cs="Times New Roman"/>
        </w:rPr>
        <w:t>capmatinib</w:t>
      </w:r>
      <w:proofErr w:type="spellEnd"/>
      <w:r w:rsidR="009440C7">
        <w:rPr>
          <w:rFonts w:cs="Times New Roman"/>
        </w:rPr>
        <w:t xml:space="preserve"> (10</w:t>
      </w:r>
      <w:r w:rsidR="00BB5095">
        <w:rPr>
          <w:rFonts w:cs="Times New Roman"/>
        </w:rPr>
        <w:t xml:space="preserve"> </w:t>
      </w:r>
      <w:r w:rsidR="009440C7">
        <w:rPr>
          <w:rFonts w:cs="Times New Roman"/>
        </w:rPr>
        <w:t>n</w:t>
      </w:r>
      <w:r w:rsidR="00BB5095">
        <w:rPr>
          <w:rFonts w:cs="Times New Roman"/>
        </w:rPr>
        <w:t>mol/L</w:t>
      </w:r>
      <w:r w:rsidR="009440C7">
        <w:rPr>
          <w:rFonts w:cs="Times New Roman"/>
        </w:rPr>
        <w:t>) for 72 hours and cell growth was determined. The bar graph depicts the relative cell growth in each treatment group (</w:t>
      </w:r>
      <w:r w:rsidR="009440C7" w:rsidRPr="00782CE2">
        <w:rPr>
          <w:rFonts w:cs="Times New Roman"/>
        </w:rPr>
        <w:t>mean</w:t>
      </w:r>
      <w:r w:rsidR="00BB5095">
        <w:rPr>
          <w:rFonts w:cs="Times New Roman"/>
        </w:rPr>
        <w:t xml:space="preserve"> </w:t>
      </w:r>
      <w:r w:rsidR="009440C7" w:rsidRPr="00782CE2">
        <w:rPr>
          <w:rFonts w:cs="Times New Roman"/>
        </w:rPr>
        <w:t>±</w:t>
      </w:r>
      <w:r w:rsidR="00BB5095">
        <w:rPr>
          <w:rFonts w:cs="Times New Roman"/>
        </w:rPr>
        <w:t xml:space="preserve"> </w:t>
      </w:r>
      <w:r w:rsidR="009440C7" w:rsidRPr="00782CE2">
        <w:rPr>
          <w:rFonts w:cs="Times New Roman"/>
        </w:rPr>
        <w:t>SD</w:t>
      </w:r>
      <w:r w:rsidR="009440C7">
        <w:rPr>
          <w:rFonts w:cs="Times New Roman"/>
        </w:rPr>
        <w:t xml:space="preserve">).  </w:t>
      </w:r>
      <w:r w:rsidR="00D226BF">
        <w:rPr>
          <w:rFonts w:cs="Times New Roman"/>
        </w:rPr>
        <w:t>(</w:t>
      </w:r>
      <w:r w:rsidR="00412221">
        <w:rPr>
          <w:rFonts w:cs="Times New Roman"/>
          <w:b/>
        </w:rPr>
        <w:t>F</w:t>
      </w:r>
      <w:r w:rsidR="00D226BF">
        <w:rPr>
          <w:rFonts w:cs="Times New Roman"/>
        </w:rPr>
        <w:t xml:space="preserve">) </w:t>
      </w:r>
      <w:r w:rsidR="003A43FA">
        <w:rPr>
          <w:rFonts w:cs="Times New Roman"/>
        </w:rPr>
        <w:t xml:space="preserve">SNU5 </w:t>
      </w:r>
      <w:r w:rsidR="003A43FA">
        <w:rPr>
          <w:bCs/>
        </w:rPr>
        <w:t xml:space="preserve">tumor cells </w:t>
      </w:r>
      <w:r w:rsidR="00026E57">
        <w:rPr>
          <w:bCs/>
        </w:rPr>
        <w:t xml:space="preserve">were </w:t>
      </w:r>
      <w:r w:rsidR="005F7B95">
        <w:rPr>
          <w:bCs/>
        </w:rPr>
        <w:t xml:space="preserve">treated with </w:t>
      </w:r>
      <w:r w:rsidR="00026E57">
        <w:rPr>
          <w:bCs/>
        </w:rPr>
        <w:t xml:space="preserve">IgG4 </w:t>
      </w:r>
      <w:r w:rsidR="005F7B95">
        <w:rPr>
          <w:bCs/>
        </w:rPr>
        <w:t xml:space="preserve">control, </w:t>
      </w:r>
      <w:proofErr w:type="spellStart"/>
      <w:r w:rsidR="005F7B95">
        <w:rPr>
          <w:rFonts w:cs="Times New Roman"/>
        </w:rPr>
        <w:t>METxMET</w:t>
      </w:r>
      <w:proofErr w:type="spellEnd"/>
      <w:r w:rsidR="005F7B95">
        <w:rPr>
          <w:rFonts w:cs="Times New Roman"/>
        </w:rPr>
        <w:t xml:space="preserve"> antibody, parental Ab1 or parental Ab2 (5</w:t>
      </w:r>
      <w:r w:rsidR="00026E57">
        <w:rPr>
          <w:rFonts w:cs="Times New Roman"/>
        </w:rPr>
        <w:t xml:space="preserve"> </w:t>
      </w:r>
      <w:r w:rsidR="00412221" w:rsidRPr="00412221">
        <w:rPr>
          <w:rFonts w:ascii="Symbol" w:hAnsi="Symbol" w:cs="Times New Roman"/>
        </w:rPr>
        <w:t></w:t>
      </w:r>
      <w:r w:rsidR="005F7B95">
        <w:rPr>
          <w:rFonts w:cs="Times New Roman"/>
        </w:rPr>
        <w:t xml:space="preserve">g/ml) or the combination of parental antibodies (2.5 </w:t>
      </w:r>
      <w:r w:rsidR="00412221" w:rsidRPr="00412221">
        <w:rPr>
          <w:rFonts w:ascii="Symbol" w:hAnsi="Symbol" w:cs="Times New Roman"/>
        </w:rPr>
        <w:t></w:t>
      </w:r>
      <w:r w:rsidR="005F7B95">
        <w:rPr>
          <w:rFonts w:cs="Times New Roman"/>
        </w:rPr>
        <w:t xml:space="preserve">g/ml each) for 18 hours.  Cell lysates were prepared </w:t>
      </w:r>
      <w:r w:rsidR="005F7B95" w:rsidRPr="00782CE2">
        <w:t xml:space="preserve">from duplicate wells </w:t>
      </w:r>
      <w:r w:rsidR="005F7B95">
        <w:rPr>
          <w:rFonts w:cs="Times New Roman"/>
        </w:rPr>
        <w:t>and subjected to western blot analysis with antibodies against MET or Tubulin.</w:t>
      </w:r>
    </w:p>
    <w:p w14:paraId="0B65FDFA" w14:textId="77777777" w:rsidR="000815E5" w:rsidRDefault="000815E5" w:rsidP="000815E5">
      <w:pPr>
        <w:spacing w:line="360" w:lineRule="auto"/>
        <w:rPr>
          <w:rFonts w:cstheme="minorHAnsi"/>
          <w:b/>
        </w:rPr>
      </w:pPr>
    </w:p>
    <w:p w14:paraId="7D0C3E4A" w14:textId="5B52F39E" w:rsidR="000815E5" w:rsidRPr="00294562" w:rsidRDefault="000815E5" w:rsidP="000815E5">
      <w:pPr>
        <w:spacing w:line="360" w:lineRule="auto"/>
        <w:rPr>
          <w:rFonts w:cstheme="minorHAnsi"/>
        </w:rPr>
      </w:pPr>
      <w:r w:rsidRPr="000F2E75">
        <w:rPr>
          <w:rFonts w:cstheme="minorHAnsi"/>
          <w:b/>
        </w:rPr>
        <w:t>Figure. S</w:t>
      </w:r>
      <w:r>
        <w:rPr>
          <w:rFonts w:cstheme="minorHAnsi"/>
          <w:b/>
        </w:rPr>
        <w:t>2</w:t>
      </w:r>
      <w:r w:rsidRPr="000F2E75">
        <w:rPr>
          <w:rFonts w:cstheme="minorHAnsi"/>
          <w:b/>
        </w:rPr>
        <w:t xml:space="preserve">. Ligand binding properties of </w:t>
      </w:r>
      <w:proofErr w:type="spellStart"/>
      <w:r>
        <w:rPr>
          <w:rFonts w:cs="Times New Roman"/>
          <w:b/>
        </w:rPr>
        <w:t>b</w:t>
      </w:r>
      <w:r w:rsidRPr="00B86459">
        <w:rPr>
          <w:rFonts w:cs="Times New Roman"/>
          <w:b/>
        </w:rPr>
        <w:t>iparatopic</w:t>
      </w:r>
      <w:proofErr w:type="spellEnd"/>
      <w:r w:rsidRPr="00B86459">
        <w:rPr>
          <w:rFonts w:cs="Times New Roman"/>
          <w:b/>
        </w:rPr>
        <w:t xml:space="preserve"> MET antibody</w:t>
      </w:r>
      <w:r>
        <w:rPr>
          <w:rFonts w:cs="Times New Roman"/>
          <w:b/>
        </w:rPr>
        <w:t>.</w:t>
      </w:r>
      <w:r w:rsidRPr="00B86459">
        <w:rPr>
          <w:rFonts w:cs="Times New Roman"/>
          <w:b/>
        </w:rPr>
        <w:t xml:space="preserve"> </w:t>
      </w:r>
      <w:r>
        <w:rPr>
          <w:rFonts w:cs="Times New Roman"/>
          <w:b/>
        </w:rPr>
        <w:t xml:space="preserve"> </w:t>
      </w:r>
      <w:proofErr w:type="spellStart"/>
      <w:r w:rsidRPr="00294562">
        <w:rPr>
          <w:rFonts w:cstheme="minorHAnsi"/>
        </w:rPr>
        <w:t>Senso</w:t>
      </w:r>
      <w:r w:rsidR="004E3EFB">
        <w:rPr>
          <w:rFonts w:cstheme="minorHAnsi"/>
        </w:rPr>
        <w:t>r</w:t>
      </w:r>
      <w:r w:rsidRPr="00294562">
        <w:rPr>
          <w:rFonts w:cstheme="minorHAnsi"/>
        </w:rPr>
        <w:t>gram</w:t>
      </w:r>
      <w:r>
        <w:rPr>
          <w:rFonts w:cstheme="minorHAnsi"/>
        </w:rPr>
        <w:t>s</w:t>
      </w:r>
      <w:proofErr w:type="spellEnd"/>
      <w:r w:rsidRPr="00294562">
        <w:rPr>
          <w:rFonts w:cstheme="minorHAnsi"/>
        </w:rPr>
        <w:t xml:space="preserve"> of binding kinetics of </w:t>
      </w:r>
      <w:proofErr w:type="spellStart"/>
      <w:r>
        <w:rPr>
          <w:bCs/>
        </w:rPr>
        <w:t>biparatopic</w:t>
      </w:r>
      <w:proofErr w:type="spellEnd"/>
      <w:r>
        <w:rPr>
          <w:bCs/>
        </w:rPr>
        <w:t xml:space="preserve"> MET </w:t>
      </w:r>
      <w:r>
        <w:rPr>
          <w:rFonts w:cs="Times New Roman"/>
        </w:rPr>
        <w:t>antibody</w:t>
      </w:r>
      <w:r w:rsidRPr="000337CA">
        <w:rPr>
          <w:rFonts w:cs="Times New Roman"/>
        </w:rPr>
        <w:t xml:space="preserve"> </w:t>
      </w:r>
      <w:r>
        <w:rPr>
          <w:rFonts w:cs="Times New Roman"/>
        </w:rPr>
        <w:t>(</w:t>
      </w:r>
      <w:proofErr w:type="spellStart"/>
      <w:r>
        <w:rPr>
          <w:rFonts w:cs="Times New Roman"/>
        </w:rPr>
        <w:t>METxMET</w:t>
      </w:r>
      <w:proofErr w:type="spellEnd"/>
      <w:r>
        <w:rPr>
          <w:rFonts w:cs="Times New Roman"/>
        </w:rPr>
        <w:t>)</w:t>
      </w:r>
      <w:r w:rsidRPr="00294562">
        <w:rPr>
          <w:rFonts w:cstheme="minorHAnsi"/>
        </w:rPr>
        <w:t xml:space="preserve"> binding to monomer</w:t>
      </w:r>
      <w:r w:rsidR="00430447">
        <w:rPr>
          <w:rFonts w:cstheme="minorHAnsi"/>
        </w:rPr>
        <w:t>ic</w:t>
      </w:r>
      <w:r w:rsidRPr="00294562">
        <w:rPr>
          <w:rFonts w:cstheme="minorHAnsi"/>
        </w:rPr>
        <w:t xml:space="preserve"> and dimer</w:t>
      </w:r>
      <w:r w:rsidR="00430447">
        <w:rPr>
          <w:rFonts w:cstheme="minorHAnsi"/>
        </w:rPr>
        <w:t>ic</w:t>
      </w:r>
      <w:r w:rsidRPr="00294562">
        <w:rPr>
          <w:rFonts w:cstheme="minorHAnsi"/>
        </w:rPr>
        <w:t xml:space="preserve"> h</w:t>
      </w:r>
      <w:r w:rsidR="004E3EFB">
        <w:rPr>
          <w:rFonts w:cstheme="minorHAnsi"/>
        </w:rPr>
        <w:t xml:space="preserve">uman </w:t>
      </w:r>
      <w:r w:rsidRPr="00294562">
        <w:rPr>
          <w:rFonts w:cstheme="minorHAnsi"/>
        </w:rPr>
        <w:t>MET proteins</w:t>
      </w:r>
      <w:r w:rsidR="004E3EFB">
        <w:rPr>
          <w:rFonts w:cstheme="minorHAnsi"/>
        </w:rPr>
        <w:t xml:space="preserve">.  </w:t>
      </w:r>
      <w:proofErr w:type="spellStart"/>
      <w:r w:rsidRPr="00294562">
        <w:rPr>
          <w:rFonts w:cstheme="minorHAnsi"/>
        </w:rPr>
        <w:t>METxMET</w:t>
      </w:r>
      <w:proofErr w:type="spellEnd"/>
      <w:r w:rsidRPr="00294562">
        <w:rPr>
          <w:rFonts w:cstheme="minorHAnsi"/>
        </w:rPr>
        <w:t xml:space="preserve"> antibody was captured on a</w:t>
      </w:r>
      <w:r w:rsidR="004E3EFB">
        <w:rPr>
          <w:rFonts w:cstheme="minorHAnsi"/>
        </w:rPr>
        <w:t>n</w:t>
      </w:r>
      <w:r w:rsidRPr="00294562">
        <w:rPr>
          <w:rFonts w:cstheme="minorHAnsi"/>
        </w:rPr>
        <w:t xml:space="preserve"> anti-human Fc coupled chip surface. </w:t>
      </w:r>
      <w:r w:rsidR="004E3EFB">
        <w:rPr>
          <w:rFonts w:cstheme="minorHAnsi"/>
        </w:rPr>
        <w:t xml:space="preserve"> T</w:t>
      </w:r>
      <w:r w:rsidRPr="00294562">
        <w:rPr>
          <w:rFonts w:cstheme="minorHAnsi"/>
        </w:rPr>
        <w:t xml:space="preserve">he association phase of </w:t>
      </w:r>
      <w:r>
        <w:rPr>
          <w:rFonts w:cstheme="minorHAnsi"/>
        </w:rPr>
        <w:t>h</w:t>
      </w:r>
      <w:r w:rsidR="004E3EFB">
        <w:rPr>
          <w:rFonts w:cstheme="minorHAnsi"/>
        </w:rPr>
        <w:t xml:space="preserve">uman </w:t>
      </w:r>
      <w:r w:rsidRPr="00294562">
        <w:rPr>
          <w:rFonts w:cstheme="minorHAnsi"/>
        </w:rPr>
        <w:t>MET was monitored at 50</w:t>
      </w:r>
      <w:r w:rsidR="004E3EFB">
        <w:rPr>
          <w:rFonts w:cstheme="minorHAnsi"/>
        </w:rPr>
        <w:t xml:space="preserve"> </w:t>
      </w:r>
      <w:proofErr w:type="spellStart"/>
      <w:r w:rsidRPr="00294562">
        <w:rPr>
          <w:rFonts w:cstheme="minorHAnsi"/>
        </w:rPr>
        <w:t>μl</w:t>
      </w:r>
      <w:proofErr w:type="spellEnd"/>
      <w:r w:rsidRPr="00294562">
        <w:rPr>
          <w:rFonts w:cstheme="minorHAnsi"/>
        </w:rPr>
        <w:t>/min</w:t>
      </w:r>
      <w:r w:rsidR="004E3EFB">
        <w:rPr>
          <w:rFonts w:cstheme="minorHAnsi"/>
        </w:rPr>
        <w:t>ute</w:t>
      </w:r>
      <w:r w:rsidRPr="00294562">
        <w:rPr>
          <w:rFonts w:cstheme="minorHAnsi"/>
        </w:rPr>
        <w:t xml:space="preserve"> for 2 minutes over each of the captured surfaces. Representative </w:t>
      </w:r>
      <w:proofErr w:type="spellStart"/>
      <w:r w:rsidRPr="00294562">
        <w:rPr>
          <w:rFonts w:cstheme="minorHAnsi"/>
        </w:rPr>
        <w:t>sensorgrams</w:t>
      </w:r>
      <w:proofErr w:type="spellEnd"/>
      <w:r w:rsidRPr="00294562">
        <w:rPr>
          <w:rFonts w:cstheme="minorHAnsi"/>
        </w:rPr>
        <w:t xml:space="preserve"> of </w:t>
      </w:r>
      <w:r w:rsidR="00DC2473">
        <w:rPr>
          <w:rFonts w:cstheme="minorHAnsi"/>
        </w:rPr>
        <w:t>(</w:t>
      </w:r>
      <w:r w:rsidRPr="00DC2473">
        <w:rPr>
          <w:rFonts w:cstheme="minorHAnsi"/>
          <w:b/>
          <w:bCs/>
        </w:rPr>
        <w:t>A</w:t>
      </w:r>
      <w:r w:rsidRPr="00294562">
        <w:rPr>
          <w:rFonts w:cstheme="minorHAnsi"/>
        </w:rPr>
        <w:t xml:space="preserve">) </w:t>
      </w:r>
      <w:proofErr w:type="spellStart"/>
      <w:r w:rsidRPr="00294562">
        <w:rPr>
          <w:rFonts w:cstheme="minorHAnsi"/>
        </w:rPr>
        <w:t>METxMET</w:t>
      </w:r>
      <w:proofErr w:type="spellEnd"/>
      <w:r w:rsidRPr="00294562">
        <w:rPr>
          <w:rFonts w:cstheme="minorHAnsi"/>
        </w:rPr>
        <w:t xml:space="preserve"> antibody binding to monomer</w:t>
      </w:r>
      <w:r w:rsidR="004E3EFB">
        <w:rPr>
          <w:rFonts w:cstheme="minorHAnsi"/>
        </w:rPr>
        <w:t>ic MET</w:t>
      </w:r>
      <w:r w:rsidRPr="00294562">
        <w:rPr>
          <w:rFonts w:cstheme="minorHAnsi"/>
        </w:rPr>
        <w:t xml:space="preserve"> </w:t>
      </w:r>
      <w:r w:rsidR="004E3EFB">
        <w:rPr>
          <w:rFonts w:cstheme="minorHAnsi"/>
        </w:rPr>
        <w:t>(</w:t>
      </w:r>
      <w:proofErr w:type="spellStart"/>
      <w:r w:rsidRPr="00294562">
        <w:rPr>
          <w:rFonts w:cstheme="minorHAnsi"/>
        </w:rPr>
        <w:t>hMET.mmh</w:t>
      </w:r>
      <w:proofErr w:type="spellEnd"/>
      <w:r w:rsidR="004E3EFB">
        <w:rPr>
          <w:rFonts w:cstheme="minorHAnsi"/>
        </w:rPr>
        <w:t>)</w:t>
      </w:r>
      <w:r w:rsidRPr="00294562">
        <w:rPr>
          <w:rFonts w:cstheme="minorHAnsi"/>
        </w:rPr>
        <w:t>, concentration range 25</w:t>
      </w:r>
      <w:r w:rsidR="004E3EFB">
        <w:rPr>
          <w:rFonts w:cstheme="minorHAnsi"/>
        </w:rPr>
        <w:t xml:space="preserve"> </w:t>
      </w:r>
      <w:r w:rsidRPr="00294562">
        <w:rPr>
          <w:rFonts w:cstheme="minorHAnsi"/>
        </w:rPr>
        <w:t>n</w:t>
      </w:r>
      <w:r w:rsidR="004E3EFB">
        <w:rPr>
          <w:rFonts w:cstheme="minorHAnsi"/>
        </w:rPr>
        <w:t>mol/L</w:t>
      </w:r>
      <w:r w:rsidRPr="00294562">
        <w:rPr>
          <w:rFonts w:cstheme="minorHAnsi"/>
        </w:rPr>
        <w:t xml:space="preserve"> </w:t>
      </w:r>
      <w:r w:rsidR="009B6442">
        <w:rPr>
          <w:rFonts w:cstheme="minorHAnsi"/>
        </w:rPr>
        <w:t>to</w:t>
      </w:r>
      <w:r w:rsidRPr="00294562">
        <w:rPr>
          <w:rFonts w:cstheme="minorHAnsi"/>
        </w:rPr>
        <w:t xml:space="preserve"> 0.79</w:t>
      </w:r>
      <w:r w:rsidR="004E3EFB">
        <w:rPr>
          <w:rFonts w:cstheme="minorHAnsi"/>
        </w:rPr>
        <w:t xml:space="preserve"> </w:t>
      </w:r>
      <w:r w:rsidRPr="00294562">
        <w:rPr>
          <w:rFonts w:cstheme="minorHAnsi"/>
        </w:rPr>
        <w:t>n</w:t>
      </w:r>
      <w:r w:rsidR="004E3EFB">
        <w:rPr>
          <w:rFonts w:cstheme="minorHAnsi"/>
        </w:rPr>
        <w:t>mol/L</w:t>
      </w:r>
      <w:r w:rsidRPr="00294562">
        <w:rPr>
          <w:rFonts w:cstheme="minorHAnsi"/>
        </w:rPr>
        <w:t xml:space="preserve"> and </w:t>
      </w:r>
      <w:r w:rsidR="00DC2473">
        <w:rPr>
          <w:rFonts w:cstheme="minorHAnsi"/>
        </w:rPr>
        <w:t>(</w:t>
      </w:r>
      <w:r w:rsidRPr="00DC2473">
        <w:rPr>
          <w:rFonts w:cstheme="minorHAnsi"/>
          <w:b/>
          <w:bCs/>
        </w:rPr>
        <w:t>B</w:t>
      </w:r>
      <w:r w:rsidRPr="00294562">
        <w:rPr>
          <w:rFonts w:cstheme="minorHAnsi"/>
        </w:rPr>
        <w:t xml:space="preserve">) </w:t>
      </w:r>
      <w:proofErr w:type="spellStart"/>
      <w:r w:rsidRPr="00294562">
        <w:rPr>
          <w:rFonts w:cstheme="minorHAnsi"/>
        </w:rPr>
        <w:t>METxMET</w:t>
      </w:r>
      <w:proofErr w:type="spellEnd"/>
      <w:r w:rsidRPr="00294562">
        <w:rPr>
          <w:rFonts w:cstheme="minorHAnsi"/>
        </w:rPr>
        <w:t xml:space="preserve"> antibody binding to dimer</w:t>
      </w:r>
      <w:r w:rsidR="004E3EFB">
        <w:rPr>
          <w:rFonts w:cstheme="minorHAnsi"/>
        </w:rPr>
        <w:t>ic MET</w:t>
      </w:r>
      <w:r w:rsidRPr="00294562">
        <w:rPr>
          <w:rFonts w:cstheme="minorHAnsi"/>
        </w:rPr>
        <w:t xml:space="preserve"> </w:t>
      </w:r>
      <w:r w:rsidR="004E3EFB">
        <w:rPr>
          <w:rFonts w:cstheme="minorHAnsi"/>
        </w:rPr>
        <w:t>(</w:t>
      </w:r>
      <w:proofErr w:type="spellStart"/>
      <w:r w:rsidRPr="00294562">
        <w:rPr>
          <w:rFonts w:cstheme="minorHAnsi"/>
        </w:rPr>
        <w:t>hMET.mFc</w:t>
      </w:r>
      <w:proofErr w:type="spellEnd"/>
      <w:r w:rsidR="004E3EFB">
        <w:rPr>
          <w:rFonts w:cstheme="minorHAnsi"/>
        </w:rPr>
        <w:t>)</w:t>
      </w:r>
      <w:r w:rsidRPr="00294562">
        <w:rPr>
          <w:rFonts w:cstheme="minorHAnsi"/>
        </w:rPr>
        <w:t>, concentration range 12.5</w:t>
      </w:r>
      <w:r w:rsidR="004E3EFB">
        <w:rPr>
          <w:rFonts w:cstheme="minorHAnsi"/>
        </w:rPr>
        <w:t xml:space="preserve"> </w:t>
      </w:r>
      <w:r w:rsidRPr="00294562">
        <w:rPr>
          <w:rFonts w:cstheme="minorHAnsi"/>
        </w:rPr>
        <w:t>n</w:t>
      </w:r>
      <w:r w:rsidR="004E3EFB">
        <w:rPr>
          <w:rFonts w:cstheme="minorHAnsi"/>
        </w:rPr>
        <w:t>mol/L</w:t>
      </w:r>
      <w:r w:rsidRPr="00294562">
        <w:rPr>
          <w:rFonts w:cstheme="minorHAnsi"/>
        </w:rPr>
        <w:t xml:space="preserve"> </w:t>
      </w:r>
      <w:r w:rsidR="009B6442">
        <w:rPr>
          <w:rFonts w:cstheme="minorHAnsi"/>
        </w:rPr>
        <w:t>to</w:t>
      </w:r>
      <w:r w:rsidRPr="00294562">
        <w:rPr>
          <w:rFonts w:cstheme="minorHAnsi"/>
        </w:rPr>
        <w:t xml:space="preserve"> 0.40</w:t>
      </w:r>
      <w:r w:rsidR="004E3EFB">
        <w:rPr>
          <w:rFonts w:cstheme="minorHAnsi"/>
        </w:rPr>
        <w:t xml:space="preserve"> </w:t>
      </w:r>
      <w:r w:rsidRPr="00294562">
        <w:rPr>
          <w:rFonts w:cstheme="minorHAnsi"/>
        </w:rPr>
        <w:t>n</w:t>
      </w:r>
      <w:r w:rsidR="004E3EFB">
        <w:rPr>
          <w:rFonts w:cstheme="minorHAnsi"/>
        </w:rPr>
        <w:t>mol/L</w:t>
      </w:r>
      <w:r w:rsidRPr="00294562">
        <w:rPr>
          <w:rFonts w:cstheme="minorHAnsi"/>
        </w:rPr>
        <w:t xml:space="preserve"> are shown as black lines. The data were globally fit to a 1:1 or heterogeneous </w:t>
      </w:r>
      <w:r w:rsidRPr="00294562">
        <w:rPr>
          <w:rFonts w:cstheme="minorHAnsi"/>
        </w:rPr>
        <w:lastRenderedPageBreak/>
        <w:t>ligand binding interaction model using T200 evaluation software 2.0.  Kinetic fits from the analyses are overlaid on the binding data in red.</w:t>
      </w:r>
    </w:p>
    <w:p w14:paraId="59BE9777" w14:textId="77777777" w:rsidR="000815E5" w:rsidRDefault="000815E5" w:rsidP="000815E5">
      <w:pPr>
        <w:spacing w:line="360" w:lineRule="auto"/>
        <w:rPr>
          <w:rFonts w:cstheme="minorHAnsi"/>
        </w:rPr>
      </w:pPr>
    </w:p>
    <w:p w14:paraId="7FC5905C" w14:textId="1ED3FB39" w:rsidR="000815E5" w:rsidRPr="00294562" w:rsidRDefault="000815E5" w:rsidP="000815E5">
      <w:pPr>
        <w:spacing w:line="360" w:lineRule="auto"/>
        <w:rPr>
          <w:rFonts w:cstheme="minorHAnsi"/>
        </w:rPr>
      </w:pPr>
      <w:r w:rsidRPr="000F2E75">
        <w:rPr>
          <w:rFonts w:cstheme="minorHAnsi"/>
          <w:b/>
        </w:rPr>
        <w:t>Figure S</w:t>
      </w:r>
      <w:r>
        <w:rPr>
          <w:rFonts w:cstheme="minorHAnsi"/>
          <w:b/>
        </w:rPr>
        <w:t>3</w:t>
      </w:r>
      <w:r w:rsidRPr="000F2E75">
        <w:rPr>
          <w:rFonts w:cstheme="minorHAnsi"/>
          <w:b/>
        </w:rPr>
        <w:t>. Ligand binding properties of MET parental antibodies.</w:t>
      </w:r>
      <w:r w:rsidRPr="00294562">
        <w:rPr>
          <w:rFonts w:cstheme="minorHAnsi"/>
        </w:rPr>
        <w:t xml:space="preserve"> </w:t>
      </w:r>
      <w:proofErr w:type="spellStart"/>
      <w:r w:rsidRPr="00294562">
        <w:rPr>
          <w:rFonts w:cstheme="minorHAnsi"/>
        </w:rPr>
        <w:t>Senso</w:t>
      </w:r>
      <w:r w:rsidR="00430447">
        <w:rPr>
          <w:rFonts w:cstheme="minorHAnsi"/>
        </w:rPr>
        <w:t>r</w:t>
      </w:r>
      <w:r w:rsidRPr="00294562">
        <w:rPr>
          <w:rFonts w:cstheme="minorHAnsi"/>
        </w:rPr>
        <w:t>gram</w:t>
      </w:r>
      <w:proofErr w:type="spellEnd"/>
      <w:r w:rsidRPr="00294562">
        <w:rPr>
          <w:rFonts w:cstheme="minorHAnsi"/>
        </w:rPr>
        <w:t xml:space="preserve"> of binding kinetics of parental antibodies binding to monomer</w:t>
      </w:r>
      <w:r w:rsidR="00430447">
        <w:rPr>
          <w:rFonts w:cstheme="minorHAnsi"/>
        </w:rPr>
        <w:t>ic</w:t>
      </w:r>
      <w:r w:rsidRPr="00294562">
        <w:rPr>
          <w:rFonts w:cstheme="minorHAnsi"/>
        </w:rPr>
        <w:t xml:space="preserve"> h</w:t>
      </w:r>
      <w:r w:rsidR="00430447">
        <w:rPr>
          <w:rFonts w:cstheme="minorHAnsi"/>
        </w:rPr>
        <w:t xml:space="preserve">uman </w:t>
      </w:r>
      <w:r w:rsidRPr="00294562">
        <w:rPr>
          <w:rFonts w:cstheme="minorHAnsi"/>
        </w:rPr>
        <w:t>MET protein</w:t>
      </w:r>
      <w:r w:rsidR="00430447">
        <w:rPr>
          <w:rFonts w:cstheme="minorHAnsi"/>
        </w:rPr>
        <w:t>.</w:t>
      </w:r>
      <w:r w:rsidRPr="00294562">
        <w:rPr>
          <w:rFonts w:cstheme="minorHAnsi"/>
        </w:rPr>
        <w:t xml:space="preserve"> </w:t>
      </w:r>
      <w:r w:rsidR="00430447">
        <w:rPr>
          <w:rFonts w:cstheme="minorHAnsi"/>
        </w:rPr>
        <w:t>P</w:t>
      </w:r>
      <w:r w:rsidRPr="00294562">
        <w:rPr>
          <w:rFonts w:cstheme="minorHAnsi"/>
        </w:rPr>
        <w:t xml:space="preserve">arental antibodies </w:t>
      </w:r>
      <w:proofErr w:type="gramStart"/>
      <w:r w:rsidRPr="00294562">
        <w:rPr>
          <w:rFonts w:cstheme="minorHAnsi"/>
        </w:rPr>
        <w:t>was</w:t>
      </w:r>
      <w:proofErr w:type="gramEnd"/>
      <w:r w:rsidRPr="00294562">
        <w:rPr>
          <w:rFonts w:cstheme="minorHAnsi"/>
        </w:rPr>
        <w:t xml:space="preserve"> captured on a</w:t>
      </w:r>
      <w:r w:rsidR="00430447">
        <w:rPr>
          <w:rFonts w:cstheme="minorHAnsi"/>
        </w:rPr>
        <w:t>n</w:t>
      </w:r>
      <w:r w:rsidRPr="00294562">
        <w:rPr>
          <w:rFonts w:cstheme="minorHAnsi"/>
        </w:rPr>
        <w:t xml:space="preserve"> anti-human Fc coupled chip surface. </w:t>
      </w:r>
      <w:r w:rsidR="00430447">
        <w:rPr>
          <w:rFonts w:cstheme="minorHAnsi"/>
        </w:rPr>
        <w:t xml:space="preserve"> T</w:t>
      </w:r>
      <w:r w:rsidRPr="00294562">
        <w:rPr>
          <w:rFonts w:cstheme="minorHAnsi"/>
        </w:rPr>
        <w:t xml:space="preserve">he association phase of </w:t>
      </w:r>
      <w:r>
        <w:rPr>
          <w:rFonts w:cstheme="minorHAnsi"/>
        </w:rPr>
        <w:t>h</w:t>
      </w:r>
      <w:r w:rsidR="00430447">
        <w:rPr>
          <w:rFonts w:cstheme="minorHAnsi"/>
        </w:rPr>
        <w:t xml:space="preserve">uman </w:t>
      </w:r>
      <w:r w:rsidRPr="00294562">
        <w:rPr>
          <w:rFonts w:cstheme="minorHAnsi"/>
        </w:rPr>
        <w:t>MET was monitored at 50</w:t>
      </w:r>
      <w:r w:rsidR="00430447">
        <w:rPr>
          <w:rFonts w:cstheme="minorHAnsi"/>
        </w:rPr>
        <w:t xml:space="preserve"> </w:t>
      </w:r>
      <w:proofErr w:type="spellStart"/>
      <w:r w:rsidRPr="00294562">
        <w:rPr>
          <w:rFonts w:cstheme="minorHAnsi"/>
        </w:rPr>
        <w:t>μl</w:t>
      </w:r>
      <w:proofErr w:type="spellEnd"/>
      <w:r w:rsidRPr="00294562">
        <w:rPr>
          <w:rFonts w:cstheme="minorHAnsi"/>
        </w:rPr>
        <w:t>/min</w:t>
      </w:r>
      <w:r w:rsidR="00430447">
        <w:rPr>
          <w:rFonts w:cstheme="minorHAnsi"/>
        </w:rPr>
        <w:t>ute</w:t>
      </w:r>
      <w:r w:rsidRPr="00294562">
        <w:rPr>
          <w:rFonts w:cstheme="minorHAnsi"/>
        </w:rPr>
        <w:t xml:space="preserve"> for 2 minutes over each of the captured surfaces. Representative </w:t>
      </w:r>
      <w:proofErr w:type="spellStart"/>
      <w:r w:rsidRPr="00294562">
        <w:rPr>
          <w:rFonts w:cstheme="minorHAnsi"/>
        </w:rPr>
        <w:t>sensorgrams</w:t>
      </w:r>
      <w:proofErr w:type="spellEnd"/>
      <w:r w:rsidRPr="00294562">
        <w:rPr>
          <w:rFonts w:cstheme="minorHAnsi"/>
        </w:rPr>
        <w:t xml:space="preserve"> of </w:t>
      </w:r>
      <w:r w:rsidR="00430447">
        <w:rPr>
          <w:rFonts w:cstheme="minorHAnsi"/>
        </w:rPr>
        <w:t>(</w:t>
      </w:r>
      <w:r w:rsidRPr="00430447">
        <w:rPr>
          <w:rFonts w:cstheme="minorHAnsi"/>
          <w:b/>
          <w:bCs/>
        </w:rPr>
        <w:t>A</w:t>
      </w:r>
      <w:r w:rsidRPr="00430447">
        <w:rPr>
          <w:rFonts w:cstheme="minorHAnsi"/>
        </w:rPr>
        <w:t>)</w:t>
      </w:r>
      <w:r w:rsidRPr="00294562">
        <w:rPr>
          <w:rFonts w:cstheme="minorHAnsi"/>
        </w:rPr>
        <w:t xml:space="preserve"> </w:t>
      </w:r>
      <w:r>
        <w:rPr>
          <w:rFonts w:cstheme="minorHAnsi"/>
        </w:rPr>
        <w:t>P</w:t>
      </w:r>
      <w:r w:rsidRPr="00294562">
        <w:rPr>
          <w:rFonts w:cstheme="minorHAnsi"/>
        </w:rPr>
        <w:t>arental Ab1 binding to monomer</w:t>
      </w:r>
      <w:r w:rsidR="00430447">
        <w:rPr>
          <w:rFonts w:cstheme="minorHAnsi"/>
        </w:rPr>
        <w:t>ic MET</w:t>
      </w:r>
      <w:r w:rsidRPr="00294562">
        <w:rPr>
          <w:rFonts w:cstheme="minorHAnsi"/>
        </w:rPr>
        <w:t xml:space="preserve"> </w:t>
      </w:r>
      <w:r w:rsidR="00430447">
        <w:rPr>
          <w:rFonts w:cstheme="minorHAnsi"/>
        </w:rPr>
        <w:t>(</w:t>
      </w:r>
      <w:proofErr w:type="spellStart"/>
      <w:r w:rsidRPr="00294562">
        <w:rPr>
          <w:rFonts w:cstheme="minorHAnsi"/>
        </w:rPr>
        <w:t>hMET.mmh</w:t>
      </w:r>
      <w:proofErr w:type="spellEnd"/>
      <w:r w:rsidR="00430447">
        <w:rPr>
          <w:rFonts w:cstheme="minorHAnsi"/>
        </w:rPr>
        <w:t>)</w:t>
      </w:r>
      <w:r w:rsidRPr="00294562">
        <w:rPr>
          <w:rFonts w:cstheme="minorHAnsi"/>
        </w:rPr>
        <w:t>, concentration range 250</w:t>
      </w:r>
      <w:r w:rsidR="00430447">
        <w:rPr>
          <w:rFonts w:cstheme="minorHAnsi"/>
        </w:rPr>
        <w:t xml:space="preserve"> </w:t>
      </w:r>
      <w:r w:rsidRPr="00294562">
        <w:rPr>
          <w:rFonts w:cstheme="minorHAnsi"/>
        </w:rPr>
        <w:t>n</w:t>
      </w:r>
      <w:r w:rsidR="00430447">
        <w:rPr>
          <w:rFonts w:cstheme="minorHAnsi"/>
        </w:rPr>
        <w:t>mol/L</w:t>
      </w:r>
      <w:r w:rsidRPr="00294562">
        <w:rPr>
          <w:rFonts w:cstheme="minorHAnsi"/>
        </w:rPr>
        <w:t xml:space="preserve"> </w:t>
      </w:r>
      <w:r w:rsidR="009B6442">
        <w:rPr>
          <w:rFonts w:cstheme="minorHAnsi"/>
        </w:rPr>
        <w:t>to</w:t>
      </w:r>
      <w:r w:rsidRPr="00294562">
        <w:rPr>
          <w:rFonts w:cstheme="minorHAnsi"/>
        </w:rPr>
        <w:t xml:space="preserve"> 7.9</w:t>
      </w:r>
      <w:r w:rsidR="00430447">
        <w:rPr>
          <w:rFonts w:cstheme="minorHAnsi"/>
        </w:rPr>
        <w:t xml:space="preserve"> </w:t>
      </w:r>
      <w:r w:rsidRPr="00294562">
        <w:rPr>
          <w:rFonts w:cstheme="minorHAnsi"/>
        </w:rPr>
        <w:t>n</w:t>
      </w:r>
      <w:r w:rsidR="00430447">
        <w:rPr>
          <w:rFonts w:cstheme="minorHAnsi"/>
        </w:rPr>
        <w:t>mol/L</w:t>
      </w:r>
      <w:r w:rsidRPr="00294562">
        <w:rPr>
          <w:rFonts w:cstheme="minorHAnsi"/>
        </w:rPr>
        <w:t xml:space="preserve"> and </w:t>
      </w:r>
      <w:r w:rsidR="00430447">
        <w:rPr>
          <w:rFonts w:cstheme="minorHAnsi"/>
        </w:rPr>
        <w:t>(</w:t>
      </w:r>
      <w:r w:rsidRPr="00430447">
        <w:rPr>
          <w:rFonts w:cstheme="minorHAnsi"/>
          <w:b/>
          <w:bCs/>
        </w:rPr>
        <w:t>B</w:t>
      </w:r>
      <w:r w:rsidRPr="00294562">
        <w:rPr>
          <w:rFonts w:cstheme="minorHAnsi"/>
        </w:rPr>
        <w:t xml:space="preserve">) </w:t>
      </w:r>
      <w:r>
        <w:rPr>
          <w:rFonts w:cstheme="minorHAnsi"/>
        </w:rPr>
        <w:t>P</w:t>
      </w:r>
      <w:r w:rsidRPr="00294562">
        <w:rPr>
          <w:rFonts w:cstheme="minorHAnsi"/>
        </w:rPr>
        <w:t>arental Ab2 binding to monomer</w:t>
      </w:r>
      <w:r w:rsidR="00430447">
        <w:rPr>
          <w:rFonts w:cstheme="minorHAnsi"/>
        </w:rPr>
        <w:t>ic MET</w:t>
      </w:r>
      <w:r w:rsidRPr="00294562">
        <w:rPr>
          <w:rFonts w:cstheme="minorHAnsi"/>
        </w:rPr>
        <w:t xml:space="preserve"> </w:t>
      </w:r>
      <w:r w:rsidR="00430447">
        <w:rPr>
          <w:rFonts w:cstheme="minorHAnsi"/>
        </w:rPr>
        <w:t>(</w:t>
      </w:r>
      <w:proofErr w:type="spellStart"/>
      <w:r w:rsidRPr="00294562">
        <w:rPr>
          <w:rFonts w:cstheme="minorHAnsi"/>
        </w:rPr>
        <w:t>hMET.mmh</w:t>
      </w:r>
      <w:proofErr w:type="spellEnd"/>
      <w:r w:rsidR="00430447">
        <w:rPr>
          <w:rFonts w:cstheme="minorHAnsi"/>
        </w:rPr>
        <w:t>)</w:t>
      </w:r>
      <w:r w:rsidRPr="00294562">
        <w:rPr>
          <w:rFonts w:cstheme="minorHAnsi"/>
        </w:rPr>
        <w:t xml:space="preserve">, concentration range </w:t>
      </w:r>
      <w:r w:rsidR="00430447" w:rsidRPr="00294562">
        <w:rPr>
          <w:rFonts w:cstheme="minorHAnsi"/>
        </w:rPr>
        <w:t>250</w:t>
      </w:r>
      <w:r w:rsidR="00430447">
        <w:rPr>
          <w:rFonts w:cstheme="minorHAnsi"/>
        </w:rPr>
        <w:t xml:space="preserve"> </w:t>
      </w:r>
      <w:r w:rsidR="00430447" w:rsidRPr="00294562">
        <w:rPr>
          <w:rFonts w:cstheme="minorHAnsi"/>
        </w:rPr>
        <w:t>n</w:t>
      </w:r>
      <w:r w:rsidR="00430447">
        <w:rPr>
          <w:rFonts w:cstheme="minorHAnsi"/>
        </w:rPr>
        <w:t>mol/L</w:t>
      </w:r>
      <w:r w:rsidR="00430447" w:rsidRPr="00294562">
        <w:rPr>
          <w:rFonts w:cstheme="minorHAnsi"/>
        </w:rPr>
        <w:t xml:space="preserve"> </w:t>
      </w:r>
      <w:r w:rsidR="009B6442">
        <w:rPr>
          <w:rFonts w:cstheme="minorHAnsi"/>
        </w:rPr>
        <w:t xml:space="preserve">to </w:t>
      </w:r>
      <w:r w:rsidR="00430447" w:rsidRPr="00294562">
        <w:rPr>
          <w:rFonts w:cstheme="minorHAnsi"/>
        </w:rPr>
        <w:t>7.9</w:t>
      </w:r>
      <w:r w:rsidR="00430447">
        <w:rPr>
          <w:rFonts w:cstheme="minorHAnsi"/>
        </w:rPr>
        <w:t xml:space="preserve"> </w:t>
      </w:r>
      <w:r w:rsidR="00430447" w:rsidRPr="00294562">
        <w:rPr>
          <w:rFonts w:cstheme="minorHAnsi"/>
        </w:rPr>
        <w:t>n</w:t>
      </w:r>
      <w:r w:rsidR="00430447">
        <w:rPr>
          <w:rFonts w:cstheme="minorHAnsi"/>
        </w:rPr>
        <w:t>mol/L</w:t>
      </w:r>
      <w:r w:rsidR="00430447" w:rsidRPr="00294562">
        <w:rPr>
          <w:rFonts w:cstheme="minorHAnsi"/>
        </w:rPr>
        <w:t xml:space="preserve"> </w:t>
      </w:r>
      <w:r w:rsidRPr="00294562">
        <w:rPr>
          <w:rFonts w:cstheme="minorHAnsi"/>
        </w:rPr>
        <w:t>are shown as black lines. The data were globally fit to a 1:1 binding interaction model using T200 evaluation software 2.0.  Kinetic fits from the analyses are overlaid on the binding data in red.</w:t>
      </w:r>
    </w:p>
    <w:p w14:paraId="5F0AE35B" w14:textId="3FC1105F" w:rsidR="00782CE2" w:rsidRDefault="00782CE2" w:rsidP="008F5AF1">
      <w:pPr>
        <w:spacing w:line="360" w:lineRule="auto"/>
      </w:pPr>
    </w:p>
    <w:p w14:paraId="304774FD" w14:textId="59EA0469" w:rsidR="00735807" w:rsidRDefault="00735807" w:rsidP="008F5AF1">
      <w:pPr>
        <w:spacing w:line="360" w:lineRule="auto"/>
        <w:rPr>
          <w:rFonts w:cs="Times New Roman"/>
        </w:rPr>
      </w:pPr>
      <w:r w:rsidRPr="004A63F4">
        <w:rPr>
          <w:rFonts w:cs="Times New Roman"/>
          <w:b/>
        </w:rPr>
        <w:t>Figure S</w:t>
      </w:r>
      <w:r w:rsidR="000815E5">
        <w:rPr>
          <w:rFonts w:cs="Times New Roman"/>
          <w:b/>
        </w:rPr>
        <w:t>4</w:t>
      </w:r>
      <w:r>
        <w:rPr>
          <w:rFonts w:cs="Times New Roman"/>
        </w:rPr>
        <w:t xml:space="preserve">. </w:t>
      </w:r>
      <w:proofErr w:type="spellStart"/>
      <w:r w:rsidR="00B86459" w:rsidRPr="00B86459">
        <w:rPr>
          <w:rFonts w:cs="Times New Roman"/>
          <w:b/>
        </w:rPr>
        <w:t>Biparatopic</w:t>
      </w:r>
      <w:proofErr w:type="spellEnd"/>
      <w:r w:rsidR="00B86459" w:rsidRPr="00B86459">
        <w:rPr>
          <w:rFonts w:cs="Times New Roman"/>
          <w:b/>
        </w:rPr>
        <w:t xml:space="preserve"> MET antibody accelerates the rate of MET degradation.</w:t>
      </w:r>
      <w:r w:rsidR="00B86459">
        <w:rPr>
          <w:rFonts w:cs="Times New Roman"/>
        </w:rPr>
        <w:t xml:space="preserve">  </w:t>
      </w:r>
      <w:r>
        <w:rPr>
          <w:rFonts w:cs="Times New Roman"/>
        </w:rPr>
        <w:t>EBC1 cells were incubated with cycloheximide</w:t>
      </w:r>
      <w:r w:rsidR="009B2DE1">
        <w:rPr>
          <w:rFonts w:cs="Times New Roman"/>
        </w:rPr>
        <w:t xml:space="preserve"> (50 </w:t>
      </w:r>
      <w:r w:rsidR="009B2DE1" w:rsidRPr="009B2DE1">
        <w:rPr>
          <w:rFonts w:ascii="Symbol" w:hAnsi="Symbol" w:cs="Times New Roman"/>
        </w:rPr>
        <w:t></w:t>
      </w:r>
      <w:r w:rsidR="009B2DE1">
        <w:rPr>
          <w:rFonts w:cs="Times New Roman"/>
        </w:rPr>
        <w:t>g/ml)</w:t>
      </w:r>
      <w:r>
        <w:rPr>
          <w:rFonts w:cs="Times New Roman"/>
        </w:rPr>
        <w:t xml:space="preserve"> and </w:t>
      </w:r>
      <w:r w:rsidR="009B2DE1">
        <w:rPr>
          <w:rFonts w:cs="Times New Roman"/>
        </w:rPr>
        <w:t xml:space="preserve">IgG4 </w:t>
      </w:r>
      <w:r>
        <w:rPr>
          <w:bCs/>
        </w:rPr>
        <w:t xml:space="preserve">control, </w:t>
      </w:r>
      <w:proofErr w:type="spellStart"/>
      <w:r w:rsidR="000337CA">
        <w:rPr>
          <w:bCs/>
        </w:rPr>
        <w:t>biparatopic</w:t>
      </w:r>
      <w:proofErr w:type="spellEnd"/>
      <w:r w:rsidR="000337CA">
        <w:rPr>
          <w:bCs/>
        </w:rPr>
        <w:t xml:space="preserve"> MET </w:t>
      </w:r>
      <w:r>
        <w:rPr>
          <w:rFonts w:cs="Times New Roman"/>
        </w:rPr>
        <w:t>antibody</w:t>
      </w:r>
      <w:r w:rsidR="000337CA" w:rsidRPr="000337CA">
        <w:rPr>
          <w:rFonts w:cs="Times New Roman"/>
        </w:rPr>
        <w:t xml:space="preserve"> </w:t>
      </w:r>
      <w:r w:rsidR="000337CA">
        <w:rPr>
          <w:rFonts w:cs="Times New Roman"/>
        </w:rPr>
        <w:t>(</w:t>
      </w:r>
      <w:proofErr w:type="spellStart"/>
      <w:r w:rsidR="000337CA">
        <w:rPr>
          <w:rFonts w:cs="Times New Roman"/>
        </w:rPr>
        <w:t>METxMET</w:t>
      </w:r>
      <w:proofErr w:type="spellEnd"/>
      <w:r w:rsidR="000337CA">
        <w:rPr>
          <w:rFonts w:cs="Times New Roman"/>
        </w:rPr>
        <w:t>)</w:t>
      </w:r>
      <w:r>
        <w:rPr>
          <w:rFonts w:cs="Times New Roman"/>
        </w:rPr>
        <w:t>, parental Ab1 or parental Ab2 at 5</w:t>
      </w:r>
      <w:r w:rsidR="009B2DE1">
        <w:rPr>
          <w:rFonts w:cs="Times New Roman"/>
        </w:rPr>
        <w:t xml:space="preserve"> </w:t>
      </w:r>
      <w:r w:rsidR="00412221" w:rsidRPr="00412221">
        <w:rPr>
          <w:rFonts w:ascii="Symbol" w:hAnsi="Symbol" w:cs="Times New Roman"/>
        </w:rPr>
        <w:t></w:t>
      </w:r>
      <w:r>
        <w:rPr>
          <w:rFonts w:cs="Times New Roman"/>
        </w:rPr>
        <w:t xml:space="preserve">g/ml for the indicated times. Cell lysates were prepared </w:t>
      </w:r>
      <w:r w:rsidRPr="00782CE2">
        <w:t>from duplicate wells</w:t>
      </w:r>
      <w:r>
        <w:t xml:space="preserve"> and </w:t>
      </w:r>
      <w:r w:rsidRPr="00782CE2">
        <w:t>MET protein levels were assessed by western blot analysis</w:t>
      </w:r>
      <w:r>
        <w:t xml:space="preserve"> and quantified using ImageJ64. The line graph depicts the average MET protein level as a function of time. </w:t>
      </w:r>
    </w:p>
    <w:p w14:paraId="384519B4" w14:textId="77777777" w:rsidR="00735807" w:rsidRDefault="00735807" w:rsidP="008F5AF1">
      <w:pPr>
        <w:spacing w:line="360" w:lineRule="auto"/>
        <w:rPr>
          <w:rFonts w:cs="Times New Roman"/>
        </w:rPr>
      </w:pPr>
    </w:p>
    <w:p w14:paraId="4EB3AE7E" w14:textId="1832F584" w:rsidR="00782CE2" w:rsidRDefault="00782CE2" w:rsidP="008F5AF1">
      <w:pPr>
        <w:spacing w:line="360" w:lineRule="auto"/>
        <w:rPr>
          <w:rFonts w:cs="Times New Roman"/>
        </w:rPr>
      </w:pPr>
      <w:r w:rsidRPr="000337CA">
        <w:rPr>
          <w:rFonts w:cs="Times New Roman"/>
          <w:b/>
        </w:rPr>
        <w:t>Fig</w:t>
      </w:r>
      <w:r w:rsidR="00357833" w:rsidRPr="000337CA">
        <w:rPr>
          <w:rFonts w:cs="Times New Roman"/>
          <w:b/>
        </w:rPr>
        <w:t xml:space="preserve">ure </w:t>
      </w:r>
      <w:r w:rsidR="00FA00DF" w:rsidRPr="000337CA">
        <w:rPr>
          <w:rFonts w:cs="Times New Roman"/>
          <w:b/>
        </w:rPr>
        <w:t>S</w:t>
      </w:r>
      <w:r w:rsidR="000815E5">
        <w:rPr>
          <w:rFonts w:cs="Times New Roman"/>
          <w:b/>
        </w:rPr>
        <w:t>5</w:t>
      </w:r>
      <w:r w:rsidR="00357833" w:rsidRPr="000337CA">
        <w:rPr>
          <w:rFonts w:cs="Times New Roman"/>
          <w:b/>
        </w:rPr>
        <w:t xml:space="preserve">. </w:t>
      </w:r>
      <w:proofErr w:type="spellStart"/>
      <w:r w:rsidR="000337CA" w:rsidRPr="000337CA">
        <w:rPr>
          <w:rFonts w:cs="Times New Roman"/>
          <w:b/>
        </w:rPr>
        <w:t>B</w:t>
      </w:r>
      <w:r w:rsidR="00357833" w:rsidRPr="000337CA">
        <w:rPr>
          <w:rFonts w:cs="Times New Roman"/>
          <w:b/>
        </w:rPr>
        <w:t>iparatopic</w:t>
      </w:r>
      <w:proofErr w:type="spellEnd"/>
      <w:r w:rsidR="00357833" w:rsidRPr="000337CA">
        <w:rPr>
          <w:rFonts w:cs="Times New Roman"/>
          <w:b/>
        </w:rPr>
        <w:t xml:space="preserve"> </w:t>
      </w:r>
      <w:r w:rsidR="000337CA" w:rsidRPr="000337CA">
        <w:rPr>
          <w:rFonts w:cs="Times New Roman"/>
          <w:b/>
        </w:rPr>
        <w:t xml:space="preserve">MET </w:t>
      </w:r>
      <w:r w:rsidR="00357833" w:rsidRPr="000337CA">
        <w:rPr>
          <w:rFonts w:cs="Times New Roman"/>
          <w:b/>
        </w:rPr>
        <w:t xml:space="preserve">antibody </w:t>
      </w:r>
      <w:r w:rsidR="00B2342B" w:rsidRPr="000337CA">
        <w:rPr>
          <w:rFonts w:cs="Times New Roman"/>
          <w:b/>
        </w:rPr>
        <w:t xml:space="preserve">traffics </w:t>
      </w:r>
      <w:r w:rsidR="000337CA" w:rsidRPr="000337CA">
        <w:rPr>
          <w:rFonts w:cs="Times New Roman"/>
          <w:b/>
        </w:rPr>
        <w:t xml:space="preserve">rapidly </w:t>
      </w:r>
      <w:r w:rsidR="00B2342B" w:rsidRPr="000337CA">
        <w:rPr>
          <w:rFonts w:cs="Times New Roman"/>
          <w:b/>
        </w:rPr>
        <w:t>to lysosomes</w:t>
      </w:r>
      <w:r w:rsidR="00357833" w:rsidRPr="000337CA">
        <w:rPr>
          <w:rFonts w:cs="Times New Roman"/>
          <w:b/>
        </w:rPr>
        <w:t>.</w:t>
      </w:r>
      <w:r w:rsidR="00357833">
        <w:rPr>
          <w:rFonts w:cs="Times New Roman"/>
        </w:rPr>
        <w:t xml:space="preserve">  </w:t>
      </w:r>
      <w:r w:rsidR="000337CA">
        <w:rPr>
          <w:rFonts w:cs="Times New Roman"/>
        </w:rPr>
        <w:t xml:space="preserve">Alexa Fluor </w:t>
      </w:r>
      <w:r w:rsidR="008F5AF1" w:rsidRPr="008F5AF1">
        <w:rPr>
          <w:rFonts w:cs="Times New Roman"/>
        </w:rPr>
        <w:t xml:space="preserve">647-labeled </w:t>
      </w:r>
      <w:r w:rsidR="000337CA" w:rsidRPr="008F5AF1">
        <w:rPr>
          <w:rFonts w:cs="Times New Roman"/>
        </w:rPr>
        <w:t>M</w:t>
      </w:r>
      <w:r w:rsidR="000337CA">
        <w:rPr>
          <w:rFonts w:cs="Times New Roman"/>
        </w:rPr>
        <w:t xml:space="preserve">ET </w:t>
      </w:r>
      <w:r w:rsidR="008F5AF1" w:rsidRPr="008F5AF1">
        <w:rPr>
          <w:rFonts w:cs="Times New Roman"/>
        </w:rPr>
        <w:t xml:space="preserve">antibodies were bound to </w:t>
      </w:r>
      <w:r w:rsidR="000337CA">
        <w:rPr>
          <w:rFonts w:cs="Times New Roman"/>
        </w:rPr>
        <w:t xml:space="preserve">EBC1 cells at </w:t>
      </w:r>
      <w:r w:rsidR="008F5AF1" w:rsidRPr="008F5AF1">
        <w:rPr>
          <w:rFonts w:cs="Times New Roman"/>
        </w:rPr>
        <w:t>4</w:t>
      </w:r>
      <w:r w:rsidR="00A24765" w:rsidRPr="00294562">
        <w:rPr>
          <w:rFonts w:cs="Times New Roman"/>
        </w:rPr>
        <w:t>°</w:t>
      </w:r>
      <w:r w:rsidR="008F5AF1" w:rsidRPr="008F5AF1">
        <w:rPr>
          <w:rFonts w:cs="Times New Roman"/>
        </w:rPr>
        <w:t>C</w:t>
      </w:r>
      <w:r w:rsidR="000337CA">
        <w:rPr>
          <w:rFonts w:cs="Times New Roman"/>
        </w:rPr>
        <w:t xml:space="preserve">. </w:t>
      </w:r>
      <w:r w:rsidR="008F5AF1" w:rsidRPr="008F5AF1">
        <w:rPr>
          <w:rFonts w:cs="Times New Roman"/>
        </w:rPr>
        <w:t xml:space="preserve"> </w:t>
      </w:r>
      <w:r w:rsidR="00B86459">
        <w:rPr>
          <w:rFonts w:cs="Times New Roman"/>
        </w:rPr>
        <w:t>Cells were then</w:t>
      </w:r>
      <w:r w:rsidR="008F5AF1" w:rsidRPr="008F5AF1">
        <w:rPr>
          <w:rFonts w:cs="Times New Roman"/>
        </w:rPr>
        <w:t xml:space="preserve"> switch</w:t>
      </w:r>
      <w:r w:rsidR="00B86459">
        <w:rPr>
          <w:rFonts w:cs="Times New Roman"/>
        </w:rPr>
        <w:t xml:space="preserve">ed </w:t>
      </w:r>
      <w:r w:rsidR="008F5AF1" w:rsidRPr="008F5AF1">
        <w:rPr>
          <w:rFonts w:cs="Times New Roman"/>
        </w:rPr>
        <w:t>to 37</w:t>
      </w:r>
      <w:r w:rsidR="00091A78" w:rsidRPr="00294562">
        <w:rPr>
          <w:rFonts w:cs="Times New Roman"/>
        </w:rPr>
        <w:t>°C</w:t>
      </w:r>
      <w:r w:rsidR="00091A78" w:rsidDel="00091A78">
        <w:rPr>
          <w:rFonts w:cs="Times New Roman"/>
        </w:rPr>
        <w:t xml:space="preserve"> </w:t>
      </w:r>
      <w:r w:rsidR="00B86459">
        <w:rPr>
          <w:rFonts w:cs="Times New Roman"/>
        </w:rPr>
        <w:t xml:space="preserve">in the presence of </w:t>
      </w:r>
      <w:r w:rsidR="008F5AF1" w:rsidRPr="008F5AF1">
        <w:rPr>
          <w:rFonts w:cs="Times New Roman"/>
        </w:rPr>
        <w:t>5</w:t>
      </w:r>
      <w:r w:rsidR="00A24765">
        <w:rPr>
          <w:rFonts w:cs="Times New Roman"/>
        </w:rPr>
        <w:t xml:space="preserve"> </w:t>
      </w:r>
      <w:r w:rsidR="00FE7E8D">
        <w:rPr>
          <w:rFonts w:ascii="Symbol" w:hAnsi="Symbol" w:cs="Times New Roman"/>
        </w:rPr>
        <w:t></w:t>
      </w:r>
      <w:r w:rsidR="008F5AF1" w:rsidRPr="008F5AF1">
        <w:rPr>
          <w:rFonts w:cs="Times New Roman"/>
        </w:rPr>
        <w:t>g/ml AF568-labeled recombinant human transferrin and 1</w:t>
      </w:r>
      <w:r w:rsidR="00A24765">
        <w:rPr>
          <w:rFonts w:cs="Times New Roman"/>
        </w:rPr>
        <w:t xml:space="preserve"> </w:t>
      </w:r>
      <w:r w:rsidR="008F5AF1" w:rsidRPr="008F5AF1">
        <w:rPr>
          <w:rFonts w:cs="Times New Roman"/>
        </w:rPr>
        <w:t xml:space="preserve">mg/ml Fluorescein-3kDa-dextran </w:t>
      </w:r>
      <w:r w:rsidR="00562896">
        <w:rPr>
          <w:rFonts w:cs="Times New Roman"/>
        </w:rPr>
        <w:t>to label endosomes or lysosomes, respectively.  After</w:t>
      </w:r>
      <w:r w:rsidR="00562896" w:rsidRPr="008F5AF1">
        <w:rPr>
          <w:rFonts w:cs="Times New Roman"/>
        </w:rPr>
        <w:t xml:space="preserve"> </w:t>
      </w:r>
      <w:r w:rsidR="008F5AF1" w:rsidRPr="008F5AF1">
        <w:rPr>
          <w:rFonts w:cs="Times New Roman"/>
        </w:rPr>
        <w:t>15 or 60 minutes</w:t>
      </w:r>
      <w:r w:rsidR="00562896">
        <w:rPr>
          <w:rFonts w:cs="Times New Roman"/>
        </w:rPr>
        <w:t>,</w:t>
      </w:r>
      <w:r w:rsidR="00562896" w:rsidRPr="008F5AF1">
        <w:rPr>
          <w:rFonts w:cs="Times New Roman"/>
        </w:rPr>
        <w:t xml:space="preserve"> </w:t>
      </w:r>
      <w:r w:rsidR="00E56600">
        <w:rPr>
          <w:rFonts w:cs="Times New Roman"/>
        </w:rPr>
        <w:t>c</w:t>
      </w:r>
      <w:r w:rsidR="00E56600" w:rsidRPr="008F5AF1">
        <w:rPr>
          <w:rFonts w:cs="Times New Roman"/>
        </w:rPr>
        <w:t xml:space="preserve">ells </w:t>
      </w:r>
      <w:r w:rsidR="008F5AF1" w:rsidRPr="008F5AF1">
        <w:rPr>
          <w:rFonts w:cs="Times New Roman"/>
        </w:rPr>
        <w:t>were fixed with 4% paraformaldehyde</w:t>
      </w:r>
      <w:r w:rsidR="00562896">
        <w:rPr>
          <w:rFonts w:cs="Times New Roman"/>
        </w:rPr>
        <w:t xml:space="preserve"> </w:t>
      </w:r>
      <w:r w:rsidR="008F5AF1" w:rsidRPr="008F5AF1">
        <w:rPr>
          <w:rFonts w:cs="Times New Roman"/>
        </w:rPr>
        <w:t>and imaged using Zeiss S</w:t>
      </w:r>
      <w:r w:rsidR="00562896">
        <w:rPr>
          <w:rFonts w:cs="Times New Roman"/>
        </w:rPr>
        <w:t>p</w:t>
      </w:r>
      <w:r w:rsidR="008F5AF1" w:rsidRPr="008F5AF1">
        <w:rPr>
          <w:rFonts w:cs="Times New Roman"/>
        </w:rPr>
        <w:t xml:space="preserve">inning disk confocal microscope. Six fields per condition were acquired and the colocalization between </w:t>
      </w:r>
      <w:r w:rsidR="000E64BF">
        <w:rPr>
          <w:rFonts w:cs="Times New Roman"/>
        </w:rPr>
        <w:t xml:space="preserve">internalized </w:t>
      </w:r>
      <w:r w:rsidR="008F5AF1" w:rsidRPr="008F5AF1">
        <w:rPr>
          <w:rFonts w:cs="Times New Roman"/>
        </w:rPr>
        <w:t>M</w:t>
      </w:r>
      <w:r w:rsidR="00E56600">
        <w:rPr>
          <w:rFonts w:cs="Times New Roman"/>
        </w:rPr>
        <w:t>ET</w:t>
      </w:r>
      <w:r w:rsidR="008F5AF1" w:rsidRPr="008F5AF1">
        <w:rPr>
          <w:rFonts w:cs="Times New Roman"/>
        </w:rPr>
        <w:t xml:space="preserve"> antibodies and either dextran or transferrin was quantified.</w:t>
      </w:r>
      <w:r w:rsidR="00E56600">
        <w:rPr>
          <w:rFonts w:cs="Times New Roman"/>
        </w:rPr>
        <w:t xml:space="preserve">  The bar graph </w:t>
      </w:r>
      <w:r w:rsidR="00B86459">
        <w:rPr>
          <w:rFonts w:cs="Times New Roman"/>
        </w:rPr>
        <w:t xml:space="preserve">shows the percent colocalization of each MET antibody with labeled dextran (lysosomes) at 15 minutes.  </w:t>
      </w:r>
      <w:r w:rsidR="00685927">
        <w:rPr>
          <w:rFonts w:cs="Times New Roman"/>
        </w:rPr>
        <w:t>****P &lt; 0.0001, versus METxMET.</w:t>
      </w:r>
    </w:p>
    <w:p w14:paraId="4F3B4AED" w14:textId="77777777" w:rsidR="00D83D61" w:rsidRDefault="00D83D61" w:rsidP="008F5AF1">
      <w:pPr>
        <w:spacing w:line="360" w:lineRule="auto"/>
        <w:rPr>
          <w:rFonts w:cs="Times New Roman"/>
        </w:rPr>
      </w:pPr>
    </w:p>
    <w:p w14:paraId="423A288A" w14:textId="3DD6009D" w:rsidR="00DB7E1D" w:rsidRDefault="00782CE2" w:rsidP="008F5AF1">
      <w:pPr>
        <w:spacing w:line="360" w:lineRule="auto"/>
        <w:rPr>
          <w:rFonts w:eastAsia="Arial Unicode MS" w:cstheme="minorHAnsi"/>
          <w:color w:val="000000"/>
        </w:rPr>
      </w:pPr>
      <w:r w:rsidRPr="00E56600">
        <w:rPr>
          <w:rFonts w:cs="Times New Roman"/>
          <w:b/>
        </w:rPr>
        <w:t>Fig</w:t>
      </w:r>
      <w:r w:rsidR="00B2342B" w:rsidRPr="00E56600">
        <w:rPr>
          <w:rFonts w:cs="Times New Roman"/>
          <w:b/>
        </w:rPr>
        <w:t xml:space="preserve">ure </w:t>
      </w:r>
      <w:r w:rsidR="00FA00DF" w:rsidRPr="00E56600">
        <w:rPr>
          <w:rFonts w:cs="Times New Roman"/>
          <w:b/>
        </w:rPr>
        <w:t>S</w:t>
      </w:r>
      <w:r w:rsidR="000815E5">
        <w:rPr>
          <w:rFonts w:cs="Times New Roman"/>
          <w:b/>
        </w:rPr>
        <w:t>6</w:t>
      </w:r>
      <w:r w:rsidR="00B2342B" w:rsidRPr="00E56600">
        <w:rPr>
          <w:rFonts w:cs="Times New Roman"/>
          <w:b/>
        </w:rPr>
        <w:t xml:space="preserve">. </w:t>
      </w:r>
      <w:r w:rsidR="00E56600" w:rsidRPr="00E56600">
        <w:rPr>
          <w:rFonts w:cs="Times New Roman"/>
          <w:b/>
        </w:rPr>
        <w:t>M</w:t>
      </w:r>
      <w:r w:rsidR="00B2342B" w:rsidRPr="00E56600">
        <w:rPr>
          <w:rFonts w:cs="Times New Roman"/>
          <w:b/>
        </w:rPr>
        <w:t xml:space="preserve">apping of </w:t>
      </w:r>
      <w:r w:rsidR="00E56600" w:rsidRPr="00E56600">
        <w:rPr>
          <w:rFonts w:cs="Times New Roman"/>
          <w:b/>
        </w:rPr>
        <w:t xml:space="preserve">epitopes for </w:t>
      </w:r>
      <w:proofErr w:type="spellStart"/>
      <w:r w:rsidR="00E56600" w:rsidRPr="00E56600">
        <w:rPr>
          <w:rFonts w:cs="Times New Roman"/>
          <w:b/>
        </w:rPr>
        <w:t>biparatopic</w:t>
      </w:r>
      <w:proofErr w:type="spellEnd"/>
      <w:r w:rsidR="00E56600" w:rsidRPr="00E56600">
        <w:rPr>
          <w:rFonts w:cs="Times New Roman"/>
          <w:b/>
        </w:rPr>
        <w:t xml:space="preserve"> </w:t>
      </w:r>
      <w:r w:rsidR="00B2342B" w:rsidRPr="00E56600">
        <w:rPr>
          <w:rFonts w:cs="Times New Roman"/>
          <w:b/>
        </w:rPr>
        <w:t xml:space="preserve">and parental </w:t>
      </w:r>
      <w:r w:rsidR="00E56600" w:rsidRPr="00E56600">
        <w:rPr>
          <w:rFonts w:cs="Times New Roman"/>
          <w:b/>
        </w:rPr>
        <w:t xml:space="preserve">MET </w:t>
      </w:r>
      <w:r w:rsidR="00B2342B" w:rsidRPr="00E56600">
        <w:rPr>
          <w:rFonts w:cs="Times New Roman"/>
          <w:b/>
        </w:rPr>
        <w:t xml:space="preserve">antibodies </w:t>
      </w:r>
      <w:r w:rsidR="00E56600" w:rsidRPr="00E56600">
        <w:rPr>
          <w:rFonts w:cs="Times New Roman"/>
          <w:b/>
        </w:rPr>
        <w:t>on human MET using</w:t>
      </w:r>
      <w:r w:rsidR="00B2342B" w:rsidRPr="00E56600">
        <w:rPr>
          <w:rFonts w:cs="Times New Roman"/>
          <w:b/>
        </w:rPr>
        <w:t xml:space="preserve"> Hydrogen Deuterium </w:t>
      </w:r>
      <w:r w:rsidR="00B2342B" w:rsidRPr="00E56600">
        <w:rPr>
          <w:rFonts w:cstheme="minorHAnsi"/>
          <w:b/>
        </w:rPr>
        <w:t>Exchange</w:t>
      </w:r>
      <w:r w:rsidR="00DB7E1D" w:rsidRPr="00E56600">
        <w:rPr>
          <w:rFonts w:cstheme="minorHAnsi"/>
          <w:b/>
        </w:rPr>
        <w:t>.</w:t>
      </w:r>
      <w:r w:rsidR="00DB7E1D" w:rsidRPr="00DB7E1D">
        <w:rPr>
          <w:rFonts w:cstheme="minorHAnsi"/>
        </w:rPr>
        <w:t xml:space="preserve">  </w:t>
      </w:r>
      <w:r w:rsidR="00D861DB">
        <w:rPr>
          <w:rFonts w:eastAsia="Arial Unicode MS" w:cstheme="minorHAnsi"/>
          <w:color w:val="000000"/>
        </w:rPr>
        <w:t xml:space="preserve">Peptides corresponding to </w:t>
      </w:r>
      <w:r w:rsidR="00B86459">
        <w:rPr>
          <w:rFonts w:eastAsia="Arial Unicode MS" w:cstheme="minorHAnsi"/>
          <w:color w:val="000000"/>
        </w:rPr>
        <w:t xml:space="preserve">amino acid </w:t>
      </w:r>
      <w:r w:rsidR="00D861DB" w:rsidRPr="00DB7E1D">
        <w:rPr>
          <w:rFonts w:eastAsia="Arial Unicode MS" w:cstheme="minorHAnsi"/>
          <w:color w:val="000000"/>
        </w:rPr>
        <w:t>residues 192-2</w:t>
      </w:r>
      <w:r w:rsidR="00D861DB">
        <w:rPr>
          <w:rFonts w:eastAsia="Arial Unicode MS" w:cstheme="minorHAnsi"/>
          <w:color w:val="000000"/>
        </w:rPr>
        <w:t>28, 296-349</w:t>
      </w:r>
      <w:r w:rsidR="006B0128">
        <w:rPr>
          <w:rFonts w:eastAsia="Arial Unicode MS" w:cstheme="minorHAnsi"/>
          <w:color w:val="000000"/>
        </w:rPr>
        <w:t xml:space="preserve"> and</w:t>
      </w:r>
      <w:r w:rsidR="00D861DB">
        <w:rPr>
          <w:rFonts w:eastAsia="Arial Unicode MS" w:cstheme="minorHAnsi"/>
          <w:color w:val="000000"/>
        </w:rPr>
        <w:t xml:space="preserve"> 421-455 were</w:t>
      </w:r>
      <w:r w:rsidR="00D861DB" w:rsidRPr="00DB7E1D">
        <w:rPr>
          <w:rFonts w:eastAsia="Arial Unicode MS" w:cstheme="minorHAnsi"/>
          <w:color w:val="000000"/>
        </w:rPr>
        <w:t xml:space="preserve"> found to have significantly reduced </w:t>
      </w:r>
      <w:r w:rsidR="006B0128" w:rsidRPr="00DB7E1D">
        <w:rPr>
          <w:rFonts w:eastAsia="Arial Unicode MS" w:cstheme="minorHAnsi"/>
          <w:color w:val="000000"/>
        </w:rPr>
        <w:t>deuter</w:t>
      </w:r>
      <w:r w:rsidR="006B0128">
        <w:rPr>
          <w:rFonts w:eastAsia="Arial Unicode MS" w:cstheme="minorHAnsi"/>
          <w:color w:val="000000"/>
        </w:rPr>
        <w:t>ium</w:t>
      </w:r>
      <w:r w:rsidR="006B0128" w:rsidRPr="00DB7E1D">
        <w:rPr>
          <w:rFonts w:eastAsia="Arial Unicode MS" w:cstheme="minorHAnsi"/>
          <w:color w:val="000000"/>
        </w:rPr>
        <w:t xml:space="preserve"> </w:t>
      </w:r>
      <w:r w:rsidR="00D861DB" w:rsidRPr="00DB7E1D">
        <w:rPr>
          <w:rFonts w:eastAsia="Arial Unicode MS" w:cstheme="minorHAnsi"/>
          <w:color w:val="000000"/>
        </w:rPr>
        <w:t xml:space="preserve">uptake upon binding of </w:t>
      </w:r>
      <w:r w:rsidR="006B0128">
        <w:rPr>
          <w:rFonts w:eastAsia="Arial Unicode MS" w:cstheme="minorHAnsi"/>
          <w:color w:val="000000"/>
        </w:rPr>
        <w:t xml:space="preserve">the </w:t>
      </w:r>
      <w:proofErr w:type="spellStart"/>
      <w:r w:rsidR="006B0128">
        <w:rPr>
          <w:rFonts w:eastAsia="Arial Unicode MS" w:cstheme="minorHAnsi"/>
          <w:color w:val="000000"/>
        </w:rPr>
        <w:t>biparatopic</w:t>
      </w:r>
      <w:proofErr w:type="spellEnd"/>
      <w:r w:rsidR="006B0128">
        <w:rPr>
          <w:rFonts w:eastAsia="Arial Unicode MS" w:cstheme="minorHAnsi"/>
          <w:color w:val="000000"/>
        </w:rPr>
        <w:t xml:space="preserve"> MET antibody </w:t>
      </w:r>
      <w:r w:rsidR="00D861DB">
        <w:rPr>
          <w:rFonts w:eastAsia="Arial Unicode MS" w:cstheme="minorHAnsi"/>
          <w:color w:val="000000"/>
        </w:rPr>
        <w:t>and</w:t>
      </w:r>
      <w:r w:rsidR="00D861DB" w:rsidRPr="00DB7E1D">
        <w:rPr>
          <w:rFonts w:eastAsia="Arial Unicode MS" w:cstheme="minorHAnsi"/>
          <w:color w:val="000000"/>
        </w:rPr>
        <w:t xml:space="preserve"> were defined as the binding epitope</w:t>
      </w:r>
      <w:r w:rsidR="00D861DB">
        <w:rPr>
          <w:rFonts w:eastAsia="Arial Unicode MS" w:cstheme="minorHAnsi"/>
          <w:color w:val="000000"/>
        </w:rPr>
        <w:t xml:space="preserve">s. </w:t>
      </w:r>
      <w:r w:rsidR="00DB7E1D" w:rsidRPr="00DB7E1D">
        <w:rPr>
          <w:rFonts w:cstheme="minorHAnsi"/>
        </w:rPr>
        <w:t xml:space="preserve">The regions corresponding to residues 305-315 and residues 421-455 were defined as the binding epitope for </w:t>
      </w:r>
      <w:r w:rsidR="00DB7E1D">
        <w:rPr>
          <w:rFonts w:cstheme="minorHAnsi"/>
        </w:rPr>
        <w:t xml:space="preserve">parental Ab1.  </w:t>
      </w:r>
      <w:r w:rsidR="00DB7E1D" w:rsidRPr="00DB7E1D">
        <w:rPr>
          <w:rFonts w:eastAsia="Arial Unicode MS" w:cstheme="minorHAnsi"/>
          <w:color w:val="000000"/>
        </w:rPr>
        <w:t>The region corresponding to residues 192-2</w:t>
      </w:r>
      <w:r w:rsidR="00D861DB">
        <w:rPr>
          <w:rFonts w:eastAsia="Arial Unicode MS" w:cstheme="minorHAnsi"/>
          <w:color w:val="000000"/>
        </w:rPr>
        <w:t>10</w:t>
      </w:r>
      <w:r w:rsidR="00DB7E1D" w:rsidRPr="00DB7E1D">
        <w:rPr>
          <w:rFonts w:eastAsia="Arial Unicode MS" w:cstheme="minorHAnsi"/>
          <w:color w:val="000000"/>
        </w:rPr>
        <w:t xml:space="preserve"> w</w:t>
      </w:r>
      <w:r w:rsidR="006B0128">
        <w:rPr>
          <w:rFonts w:eastAsia="Arial Unicode MS" w:cstheme="minorHAnsi"/>
          <w:color w:val="000000"/>
        </w:rPr>
        <w:t>as</w:t>
      </w:r>
      <w:r w:rsidR="00DB7E1D" w:rsidRPr="00DB7E1D">
        <w:rPr>
          <w:rFonts w:eastAsia="Arial Unicode MS" w:cstheme="minorHAnsi"/>
          <w:color w:val="000000"/>
        </w:rPr>
        <w:t xml:space="preserve"> defined as the binding epitope</w:t>
      </w:r>
      <w:r w:rsidR="006B0128">
        <w:rPr>
          <w:rFonts w:eastAsia="Arial Unicode MS" w:cstheme="minorHAnsi"/>
          <w:color w:val="000000"/>
        </w:rPr>
        <w:t xml:space="preserve"> for parental Ab2</w:t>
      </w:r>
      <w:r w:rsidR="00DB7E1D" w:rsidRPr="00DB7E1D">
        <w:rPr>
          <w:rFonts w:eastAsia="Arial Unicode MS" w:cstheme="minorHAnsi"/>
          <w:color w:val="000000"/>
        </w:rPr>
        <w:t>.</w:t>
      </w:r>
    </w:p>
    <w:p w14:paraId="29E6DE26" w14:textId="18E52D4D" w:rsidR="00294562" w:rsidRDefault="00294562" w:rsidP="008F5AF1">
      <w:pPr>
        <w:spacing w:line="360" w:lineRule="auto"/>
        <w:rPr>
          <w:rFonts w:eastAsia="Arial Unicode MS" w:cstheme="minorHAnsi"/>
          <w:color w:val="000000"/>
        </w:rPr>
      </w:pPr>
    </w:p>
    <w:p w14:paraId="070AFAFC" w14:textId="77777777" w:rsidR="00294562" w:rsidRPr="00DB7E1D" w:rsidRDefault="00294562" w:rsidP="008F5AF1">
      <w:pPr>
        <w:spacing w:line="360" w:lineRule="auto"/>
        <w:rPr>
          <w:rFonts w:cstheme="minorHAnsi"/>
        </w:rPr>
      </w:pPr>
    </w:p>
    <w:sectPr w:rsidR="00294562" w:rsidRPr="00DB7E1D" w:rsidSect="00CA5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es2xewoee25dewxznxdrp7xwa95st55v25&quot;&gt;METxMET Methods&lt;record-ids&gt;&lt;item&gt;1&lt;/item&gt;&lt;item&gt;2&lt;/item&gt;&lt;/record-ids&gt;&lt;/item&gt;&lt;/Libraries&gt;"/>
  </w:docVars>
  <w:rsids>
    <w:rsidRoot w:val="00782CE2"/>
    <w:rsid w:val="00004A66"/>
    <w:rsid w:val="0001429A"/>
    <w:rsid w:val="00026E57"/>
    <w:rsid w:val="00032709"/>
    <w:rsid w:val="000329B6"/>
    <w:rsid w:val="000337CA"/>
    <w:rsid w:val="000541A6"/>
    <w:rsid w:val="00054FAD"/>
    <w:rsid w:val="0006303D"/>
    <w:rsid w:val="000815E5"/>
    <w:rsid w:val="00091A78"/>
    <w:rsid w:val="0009621F"/>
    <w:rsid w:val="000B65D1"/>
    <w:rsid w:val="000E64BF"/>
    <w:rsid w:val="000F0614"/>
    <w:rsid w:val="000F2E75"/>
    <w:rsid w:val="001256D8"/>
    <w:rsid w:val="0017153B"/>
    <w:rsid w:val="00180B0C"/>
    <w:rsid w:val="00186713"/>
    <w:rsid w:val="00191CC5"/>
    <w:rsid w:val="001D5746"/>
    <w:rsid w:val="001E27B1"/>
    <w:rsid w:val="00210DCA"/>
    <w:rsid w:val="00230CD4"/>
    <w:rsid w:val="00230D74"/>
    <w:rsid w:val="0023395E"/>
    <w:rsid w:val="00233B08"/>
    <w:rsid w:val="00235FBA"/>
    <w:rsid w:val="00246E47"/>
    <w:rsid w:val="00294562"/>
    <w:rsid w:val="002A4CF6"/>
    <w:rsid w:val="002D6CCA"/>
    <w:rsid w:val="00320EFC"/>
    <w:rsid w:val="003454FB"/>
    <w:rsid w:val="0034742D"/>
    <w:rsid w:val="003522B9"/>
    <w:rsid w:val="00357833"/>
    <w:rsid w:val="003A43FA"/>
    <w:rsid w:val="003B3752"/>
    <w:rsid w:val="003F4F02"/>
    <w:rsid w:val="00412221"/>
    <w:rsid w:val="00430447"/>
    <w:rsid w:val="00452D40"/>
    <w:rsid w:val="004A63F4"/>
    <w:rsid w:val="004B72D7"/>
    <w:rsid w:val="004C0FC7"/>
    <w:rsid w:val="004C419A"/>
    <w:rsid w:val="004D1B3A"/>
    <w:rsid w:val="004E3EFB"/>
    <w:rsid w:val="004E76E1"/>
    <w:rsid w:val="004F5506"/>
    <w:rsid w:val="004F7B1B"/>
    <w:rsid w:val="00501417"/>
    <w:rsid w:val="00502E81"/>
    <w:rsid w:val="00511B11"/>
    <w:rsid w:val="005256D6"/>
    <w:rsid w:val="0053055D"/>
    <w:rsid w:val="00535B5A"/>
    <w:rsid w:val="00545836"/>
    <w:rsid w:val="00562896"/>
    <w:rsid w:val="00570861"/>
    <w:rsid w:val="005835C6"/>
    <w:rsid w:val="00583B18"/>
    <w:rsid w:val="005D4862"/>
    <w:rsid w:val="005F7B95"/>
    <w:rsid w:val="00685927"/>
    <w:rsid w:val="006A2254"/>
    <w:rsid w:val="006A27FA"/>
    <w:rsid w:val="006A4FC1"/>
    <w:rsid w:val="006B0128"/>
    <w:rsid w:val="006B393F"/>
    <w:rsid w:val="00735807"/>
    <w:rsid w:val="00747F08"/>
    <w:rsid w:val="0076059F"/>
    <w:rsid w:val="007771A3"/>
    <w:rsid w:val="00782CE2"/>
    <w:rsid w:val="00784394"/>
    <w:rsid w:val="00791C40"/>
    <w:rsid w:val="007A5ADB"/>
    <w:rsid w:val="007C04E2"/>
    <w:rsid w:val="007D61D9"/>
    <w:rsid w:val="00803B50"/>
    <w:rsid w:val="00803EB7"/>
    <w:rsid w:val="00846B9B"/>
    <w:rsid w:val="008554E3"/>
    <w:rsid w:val="00855D9E"/>
    <w:rsid w:val="00873640"/>
    <w:rsid w:val="008866A7"/>
    <w:rsid w:val="008A162B"/>
    <w:rsid w:val="008A58B8"/>
    <w:rsid w:val="008B1375"/>
    <w:rsid w:val="008B168A"/>
    <w:rsid w:val="008F5AF1"/>
    <w:rsid w:val="00921266"/>
    <w:rsid w:val="00941265"/>
    <w:rsid w:val="009440C7"/>
    <w:rsid w:val="009A0C3A"/>
    <w:rsid w:val="009A10A8"/>
    <w:rsid w:val="009A214C"/>
    <w:rsid w:val="009A3E74"/>
    <w:rsid w:val="009B2DE1"/>
    <w:rsid w:val="009B6442"/>
    <w:rsid w:val="009B7CA9"/>
    <w:rsid w:val="009C646A"/>
    <w:rsid w:val="009C698E"/>
    <w:rsid w:val="00A00681"/>
    <w:rsid w:val="00A07EEE"/>
    <w:rsid w:val="00A24765"/>
    <w:rsid w:val="00A30A15"/>
    <w:rsid w:val="00A71553"/>
    <w:rsid w:val="00A8576B"/>
    <w:rsid w:val="00AC18C0"/>
    <w:rsid w:val="00AD0F1C"/>
    <w:rsid w:val="00AD7F4B"/>
    <w:rsid w:val="00B2342B"/>
    <w:rsid w:val="00B3449A"/>
    <w:rsid w:val="00B8414A"/>
    <w:rsid w:val="00B86459"/>
    <w:rsid w:val="00BB13E1"/>
    <w:rsid w:val="00BB5095"/>
    <w:rsid w:val="00C1773E"/>
    <w:rsid w:val="00C23BAB"/>
    <w:rsid w:val="00C527D4"/>
    <w:rsid w:val="00CA0E72"/>
    <w:rsid w:val="00CA5892"/>
    <w:rsid w:val="00CB3F37"/>
    <w:rsid w:val="00CB4AFE"/>
    <w:rsid w:val="00CD7B6E"/>
    <w:rsid w:val="00CE38CC"/>
    <w:rsid w:val="00D07095"/>
    <w:rsid w:val="00D226BF"/>
    <w:rsid w:val="00D736E3"/>
    <w:rsid w:val="00D83D61"/>
    <w:rsid w:val="00D861DB"/>
    <w:rsid w:val="00D9626E"/>
    <w:rsid w:val="00DA52EE"/>
    <w:rsid w:val="00DA7F0B"/>
    <w:rsid w:val="00DB7E1D"/>
    <w:rsid w:val="00DC060E"/>
    <w:rsid w:val="00DC2473"/>
    <w:rsid w:val="00DE3418"/>
    <w:rsid w:val="00E56600"/>
    <w:rsid w:val="00E75564"/>
    <w:rsid w:val="00E76E82"/>
    <w:rsid w:val="00E87308"/>
    <w:rsid w:val="00EA0DA7"/>
    <w:rsid w:val="00EB1620"/>
    <w:rsid w:val="00EE1314"/>
    <w:rsid w:val="00EF43C8"/>
    <w:rsid w:val="00F14DDB"/>
    <w:rsid w:val="00F47823"/>
    <w:rsid w:val="00F60FDE"/>
    <w:rsid w:val="00FA00DF"/>
    <w:rsid w:val="00FE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C031A"/>
  <w14:defaultImageDpi w14:val="32767"/>
  <w15:chartTrackingRefBased/>
  <w15:docId w15:val="{58048E31-96DB-E447-AAC7-9BE46FA7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94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CE2"/>
    <w:pPr>
      <w:ind w:left="720"/>
      <w:contextualSpacing/>
    </w:pPr>
  </w:style>
  <w:style w:type="paragraph" w:customStyle="1" w:styleId="EndNoteBibliographyTitle">
    <w:name w:val="EndNote Bibliography Title"/>
    <w:basedOn w:val="Normal"/>
    <w:link w:val="EndNoteBibliographyTitleChar"/>
    <w:rsid w:val="0054583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45836"/>
    <w:rPr>
      <w:rFonts w:ascii="Calibri" w:hAnsi="Calibri" w:cs="Calibri"/>
    </w:rPr>
  </w:style>
  <w:style w:type="paragraph" w:customStyle="1" w:styleId="EndNoteBibliography">
    <w:name w:val="EndNote Bibliography"/>
    <w:basedOn w:val="Normal"/>
    <w:link w:val="EndNoteBibliographyChar"/>
    <w:rsid w:val="00545836"/>
    <w:rPr>
      <w:rFonts w:ascii="Calibri" w:hAnsi="Calibri" w:cs="Calibri"/>
    </w:rPr>
  </w:style>
  <w:style w:type="character" w:customStyle="1" w:styleId="EndNoteBibliographyChar">
    <w:name w:val="EndNote Bibliography Char"/>
    <w:basedOn w:val="DefaultParagraphFont"/>
    <w:link w:val="EndNoteBibliography"/>
    <w:rsid w:val="00545836"/>
    <w:rPr>
      <w:rFonts w:ascii="Calibri" w:hAnsi="Calibri" w:cs="Calibri"/>
    </w:rPr>
  </w:style>
  <w:style w:type="paragraph" w:styleId="BalloonText">
    <w:name w:val="Balloon Text"/>
    <w:basedOn w:val="Normal"/>
    <w:link w:val="BalloonTextChar"/>
    <w:uiPriority w:val="99"/>
    <w:semiHidden/>
    <w:unhideWhenUsed/>
    <w:rsid w:val="004A63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3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337CA"/>
    <w:rPr>
      <w:sz w:val="16"/>
      <w:szCs w:val="16"/>
    </w:rPr>
  </w:style>
  <w:style w:type="paragraph" w:styleId="CommentText">
    <w:name w:val="annotation text"/>
    <w:basedOn w:val="Normal"/>
    <w:link w:val="CommentTextChar"/>
    <w:uiPriority w:val="99"/>
    <w:semiHidden/>
    <w:unhideWhenUsed/>
    <w:rsid w:val="000337CA"/>
    <w:rPr>
      <w:sz w:val="20"/>
      <w:szCs w:val="20"/>
    </w:rPr>
  </w:style>
  <w:style w:type="character" w:customStyle="1" w:styleId="CommentTextChar">
    <w:name w:val="Comment Text Char"/>
    <w:basedOn w:val="DefaultParagraphFont"/>
    <w:link w:val="CommentText"/>
    <w:uiPriority w:val="99"/>
    <w:semiHidden/>
    <w:rsid w:val="000337CA"/>
    <w:rPr>
      <w:sz w:val="20"/>
      <w:szCs w:val="20"/>
    </w:rPr>
  </w:style>
  <w:style w:type="paragraph" w:styleId="CommentSubject">
    <w:name w:val="annotation subject"/>
    <w:basedOn w:val="CommentText"/>
    <w:next w:val="CommentText"/>
    <w:link w:val="CommentSubjectChar"/>
    <w:uiPriority w:val="99"/>
    <w:semiHidden/>
    <w:unhideWhenUsed/>
    <w:rsid w:val="000337CA"/>
    <w:rPr>
      <w:b/>
      <w:bCs/>
    </w:rPr>
  </w:style>
  <w:style w:type="character" w:customStyle="1" w:styleId="CommentSubjectChar">
    <w:name w:val="Comment Subject Char"/>
    <w:basedOn w:val="CommentTextChar"/>
    <w:link w:val="CommentSubject"/>
    <w:uiPriority w:val="99"/>
    <w:semiHidden/>
    <w:rsid w:val="00033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111">
      <w:bodyDiv w:val="1"/>
      <w:marLeft w:val="0"/>
      <w:marRight w:val="0"/>
      <w:marTop w:val="0"/>
      <w:marBottom w:val="0"/>
      <w:divBdr>
        <w:top w:val="none" w:sz="0" w:space="0" w:color="auto"/>
        <w:left w:val="none" w:sz="0" w:space="0" w:color="auto"/>
        <w:bottom w:val="none" w:sz="0" w:space="0" w:color="auto"/>
        <w:right w:val="none" w:sz="0" w:space="0" w:color="auto"/>
      </w:divBdr>
    </w:div>
    <w:div w:id="106825143">
      <w:bodyDiv w:val="1"/>
      <w:marLeft w:val="0"/>
      <w:marRight w:val="0"/>
      <w:marTop w:val="0"/>
      <w:marBottom w:val="0"/>
      <w:divBdr>
        <w:top w:val="none" w:sz="0" w:space="0" w:color="auto"/>
        <w:left w:val="none" w:sz="0" w:space="0" w:color="auto"/>
        <w:bottom w:val="none" w:sz="0" w:space="0" w:color="auto"/>
        <w:right w:val="none" w:sz="0" w:space="0" w:color="auto"/>
      </w:divBdr>
      <w:divsChild>
        <w:div w:id="1571773377">
          <w:marLeft w:val="547"/>
          <w:marRight w:val="0"/>
          <w:marTop w:val="67"/>
          <w:marBottom w:val="0"/>
          <w:divBdr>
            <w:top w:val="none" w:sz="0" w:space="0" w:color="auto"/>
            <w:left w:val="none" w:sz="0" w:space="0" w:color="auto"/>
            <w:bottom w:val="none" w:sz="0" w:space="0" w:color="auto"/>
            <w:right w:val="none" w:sz="0" w:space="0" w:color="auto"/>
          </w:divBdr>
        </w:div>
        <w:div w:id="1554611399">
          <w:marLeft w:val="547"/>
          <w:marRight w:val="0"/>
          <w:marTop w:val="67"/>
          <w:marBottom w:val="0"/>
          <w:divBdr>
            <w:top w:val="none" w:sz="0" w:space="0" w:color="auto"/>
            <w:left w:val="none" w:sz="0" w:space="0" w:color="auto"/>
            <w:bottom w:val="none" w:sz="0" w:space="0" w:color="auto"/>
            <w:right w:val="none" w:sz="0" w:space="0" w:color="auto"/>
          </w:divBdr>
        </w:div>
      </w:divsChild>
    </w:div>
    <w:div w:id="336463614">
      <w:bodyDiv w:val="1"/>
      <w:marLeft w:val="0"/>
      <w:marRight w:val="0"/>
      <w:marTop w:val="0"/>
      <w:marBottom w:val="0"/>
      <w:divBdr>
        <w:top w:val="none" w:sz="0" w:space="0" w:color="auto"/>
        <w:left w:val="none" w:sz="0" w:space="0" w:color="auto"/>
        <w:bottom w:val="none" w:sz="0" w:space="0" w:color="auto"/>
        <w:right w:val="none" w:sz="0" w:space="0" w:color="auto"/>
      </w:divBdr>
    </w:div>
    <w:div w:id="689599995">
      <w:bodyDiv w:val="1"/>
      <w:marLeft w:val="0"/>
      <w:marRight w:val="0"/>
      <w:marTop w:val="0"/>
      <w:marBottom w:val="0"/>
      <w:divBdr>
        <w:top w:val="none" w:sz="0" w:space="0" w:color="auto"/>
        <w:left w:val="none" w:sz="0" w:space="0" w:color="auto"/>
        <w:bottom w:val="none" w:sz="0" w:space="0" w:color="auto"/>
        <w:right w:val="none" w:sz="0" w:space="0" w:color="auto"/>
      </w:divBdr>
    </w:div>
    <w:div w:id="837578934">
      <w:bodyDiv w:val="1"/>
      <w:marLeft w:val="0"/>
      <w:marRight w:val="0"/>
      <w:marTop w:val="0"/>
      <w:marBottom w:val="0"/>
      <w:divBdr>
        <w:top w:val="none" w:sz="0" w:space="0" w:color="auto"/>
        <w:left w:val="none" w:sz="0" w:space="0" w:color="auto"/>
        <w:bottom w:val="none" w:sz="0" w:space="0" w:color="auto"/>
        <w:right w:val="none" w:sz="0" w:space="0" w:color="auto"/>
      </w:divBdr>
      <w:divsChild>
        <w:div w:id="477842173">
          <w:marLeft w:val="0"/>
          <w:marRight w:val="0"/>
          <w:marTop w:val="0"/>
          <w:marBottom w:val="0"/>
          <w:divBdr>
            <w:top w:val="none" w:sz="0" w:space="0" w:color="auto"/>
            <w:left w:val="none" w:sz="0" w:space="0" w:color="auto"/>
            <w:bottom w:val="none" w:sz="0" w:space="0" w:color="auto"/>
            <w:right w:val="none" w:sz="0" w:space="0" w:color="auto"/>
          </w:divBdr>
          <w:divsChild>
            <w:div w:id="1746994813">
              <w:marLeft w:val="0"/>
              <w:marRight w:val="0"/>
              <w:marTop w:val="0"/>
              <w:marBottom w:val="0"/>
              <w:divBdr>
                <w:top w:val="none" w:sz="0" w:space="0" w:color="auto"/>
                <w:left w:val="none" w:sz="0" w:space="0" w:color="auto"/>
                <w:bottom w:val="none" w:sz="0" w:space="0" w:color="auto"/>
                <w:right w:val="none" w:sz="0" w:space="0" w:color="auto"/>
              </w:divBdr>
              <w:divsChild>
                <w:div w:id="1017854566">
                  <w:marLeft w:val="0"/>
                  <w:marRight w:val="0"/>
                  <w:marTop w:val="0"/>
                  <w:marBottom w:val="0"/>
                  <w:divBdr>
                    <w:top w:val="none" w:sz="0" w:space="0" w:color="auto"/>
                    <w:left w:val="none" w:sz="0" w:space="0" w:color="auto"/>
                    <w:bottom w:val="none" w:sz="0" w:space="0" w:color="auto"/>
                    <w:right w:val="none" w:sz="0" w:space="0" w:color="auto"/>
                  </w:divBdr>
                </w:div>
              </w:divsChild>
            </w:div>
            <w:div w:id="1127699502">
              <w:marLeft w:val="0"/>
              <w:marRight w:val="0"/>
              <w:marTop w:val="0"/>
              <w:marBottom w:val="0"/>
              <w:divBdr>
                <w:top w:val="none" w:sz="0" w:space="0" w:color="auto"/>
                <w:left w:val="none" w:sz="0" w:space="0" w:color="auto"/>
                <w:bottom w:val="none" w:sz="0" w:space="0" w:color="auto"/>
                <w:right w:val="none" w:sz="0" w:space="0" w:color="auto"/>
              </w:divBdr>
              <w:divsChild>
                <w:div w:id="1819616587">
                  <w:marLeft w:val="0"/>
                  <w:marRight w:val="0"/>
                  <w:marTop w:val="0"/>
                  <w:marBottom w:val="0"/>
                  <w:divBdr>
                    <w:top w:val="none" w:sz="0" w:space="0" w:color="auto"/>
                    <w:left w:val="none" w:sz="0" w:space="0" w:color="auto"/>
                    <w:bottom w:val="none" w:sz="0" w:space="0" w:color="auto"/>
                    <w:right w:val="none" w:sz="0" w:space="0" w:color="auto"/>
                  </w:divBdr>
                </w:div>
              </w:divsChild>
            </w:div>
            <w:div w:id="1744520072">
              <w:marLeft w:val="0"/>
              <w:marRight w:val="0"/>
              <w:marTop w:val="0"/>
              <w:marBottom w:val="0"/>
              <w:divBdr>
                <w:top w:val="none" w:sz="0" w:space="0" w:color="auto"/>
                <w:left w:val="none" w:sz="0" w:space="0" w:color="auto"/>
                <w:bottom w:val="none" w:sz="0" w:space="0" w:color="auto"/>
                <w:right w:val="none" w:sz="0" w:space="0" w:color="auto"/>
              </w:divBdr>
              <w:divsChild>
                <w:div w:id="134684747">
                  <w:marLeft w:val="0"/>
                  <w:marRight w:val="0"/>
                  <w:marTop w:val="0"/>
                  <w:marBottom w:val="0"/>
                  <w:divBdr>
                    <w:top w:val="none" w:sz="0" w:space="0" w:color="auto"/>
                    <w:left w:val="none" w:sz="0" w:space="0" w:color="auto"/>
                    <w:bottom w:val="none" w:sz="0" w:space="0" w:color="auto"/>
                    <w:right w:val="none" w:sz="0" w:space="0" w:color="auto"/>
                  </w:divBdr>
                </w:div>
              </w:divsChild>
            </w:div>
            <w:div w:id="592713816">
              <w:marLeft w:val="0"/>
              <w:marRight w:val="0"/>
              <w:marTop w:val="0"/>
              <w:marBottom w:val="0"/>
              <w:divBdr>
                <w:top w:val="none" w:sz="0" w:space="0" w:color="auto"/>
                <w:left w:val="none" w:sz="0" w:space="0" w:color="auto"/>
                <w:bottom w:val="none" w:sz="0" w:space="0" w:color="auto"/>
                <w:right w:val="none" w:sz="0" w:space="0" w:color="auto"/>
              </w:divBdr>
              <w:divsChild>
                <w:div w:id="1330791359">
                  <w:marLeft w:val="0"/>
                  <w:marRight w:val="0"/>
                  <w:marTop w:val="0"/>
                  <w:marBottom w:val="0"/>
                  <w:divBdr>
                    <w:top w:val="none" w:sz="0" w:space="0" w:color="auto"/>
                    <w:left w:val="none" w:sz="0" w:space="0" w:color="auto"/>
                    <w:bottom w:val="none" w:sz="0" w:space="0" w:color="auto"/>
                    <w:right w:val="none" w:sz="0" w:space="0" w:color="auto"/>
                  </w:divBdr>
                </w:div>
              </w:divsChild>
            </w:div>
            <w:div w:id="1262058813">
              <w:marLeft w:val="0"/>
              <w:marRight w:val="0"/>
              <w:marTop w:val="0"/>
              <w:marBottom w:val="0"/>
              <w:divBdr>
                <w:top w:val="none" w:sz="0" w:space="0" w:color="auto"/>
                <w:left w:val="none" w:sz="0" w:space="0" w:color="auto"/>
                <w:bottom w:val="none" w:sz="0" w:space="0" w:color="auto"/>
                <w:right w:val="none" w:sz="0" w:space="0" w:color="auto"/>
              </w:divBdr>
              <w:divsChild>
                <w:div w:id="150289618">
                  <w:marLeft w:val="0"/>
                  <w:marRight w:val="0"/>
                  <w:marTop w:val="0"/>
                  <w:marBottom w:val="0"/>
                  <w:divBdr>
                    <w:top w:val="none" w:sz="0" w:space="0" w:color="auto"/>
                    <w:left w:val="none" w:sz="0" w:space="0" w:color="auto"/>
                    <w:bottom w:val="none" w:sz="0" w:space="0" w:color="auto"/>
                    <w:right w:val="none" w:sz="0" w:space="0" w:color="auto"/>
                  </w:divBdr>
                </w:div>
              </w:divsChild>
            </w:div>
            <w:div w:id="1716544873">
              <w:marLeft w:val="0"/>
              <w:marRight w:val="0"/>
              <w:marTop w:val="0"/>
              <w:marBottom w:val="0"/>
              <w:divBdr>
                <w:top w:val="none" w:sz="0" w:space="0" w:color="auto"/>
                <w:left w:val="none" w:sz="0" w:space="0" w:color="auto"/>
                <w:bottom w:val="none" w:sz="0" w:space="0" w:color="auto"/>
                <w:right w:val="none" w:sz="0" w:space="0" w:color="auto"/>
              </w:divBdr>
              <w:divsChild>
                <w:div w:id="1084759592">
                  <w:marLeft w:val="0"/>
                  <w:marRight w:val="0"/>
                  <w:marTop w:val="0"/>
                  <w:marBottom w:val="0"/>
                  <w:divBdr>
                    <w:top w:val="none" w:sz="0" w:space="0" w:color="auto"/>
                    <w:left w:val="none" w:sz="0" w:space="0" w:color="auto"/>
                    <w:bottom w:val="none" w:sz="0" w:space="0" w:color="auto"/>
                    <w:right w:val="none" w:sz="0" w:space="0" w:color="auto"/>
                  </w:divBdr>
                </w:div>
              </w:divsChild>
            </w:div>
            <w:div w:id="592979899">
              <w:marLeft w:val="0"/>
              <w:marRight w:val="0"/>
              <w:marTop w:val="0"/>
              <w:marBottom w:val="0"/>
              <w:divBdr>
                <w:top w:val="none" w:sz="0" w:space="0" w:color="auto"/>
                <w:left w:val="none" w:sz="0" w:space="0" w:color="auto"/>
                <w:bottom w:val="none" w:sz="0" w:space="0" w:color="auto"/>
                <w:right w:val="none" w:sz="0" w:space="0" w:color="auto"/>
              </w:divBdr>
              <w:divsChild>
                <w:div w:id="365175771">
                  <w:marLeft w:val="0"/>
                  <w:marRight w:val="0"/>
                  <w:marTop w:val="0"/>
                  <w:marBottom w:val="0"/>
                  <w:divBdr>
                    <w:top w:val="none" w:sz="0" w:space="0" w:color="auto"/>
                    <w:left w:val="none" w:sz="0" w:space="0" w:color="auto"/>
                    <w:bottom w:val="none" w:sz="0" w:space="0" w:color="auto"/>
                    <w:right w:val="none" w:sz="0" w:space="0" w:color="auto"/>
                  </w:divBdr>
                </w:div>
              </w:divsChild>
            </w:div>
            <w:div w:id="1957448469">
              <w:marLeft w:val="0"/>
              <w:marRight w:val="0"/>
              <w:marTop w:val="0"/>
              <w:marBottom w:val="0"/>
              <w:divBdr>
                <w:top w:val="none" w:sz="0" w:space="0" w:color="auto"/>
                <w:left w:val="none" w:sz="0" w:space="0" w:color="auto"/>
                <w:bottom w:val="none" w:sz="0" w:space="0" w:color="auto"/>
                <w:right w:val="none" w:sz="0" w:space="0" w:color="auto"/>
              </w:divBdr>
              <w:divsChild>
                <w:div w:id="1216158635">
                  <w:marLeft w:val="0"/>
                  <w:marRight w:val="0"/>
                  <w:marTop w:val="0"/>
                  <w:marBottom w:val="0"/>
                  <w:divBdr>
                    <w:top w:val="none" w:sz="0" w:space="0" w:color="auto"/>
                    <w:left w:val="none" w:sz="0" w:space="0" w:color="auto"/>
                    <w:bottom w:val="none" w:sz="0" w:space="0" w:color="auto"/>
                    <w:right w:val="none" w:sz="0" w:space="0" w:color="auto"/>
                  </w:divBdr>
                </w:div>
              </w:divsChild>
            </w:div>
            <w:div w:id="1973360971">
              <w:marLeft w:val="0"/>
              <w:marRight w:val="0"/>
              <w:marTop w:val="0"/>
              <w:marBottom w:val="0"/>
              <w:divBdr>
                <w:top w:val="none" w:sz="0" w:space="0" w:color="auto"/>
                <w:left w:val="none" w:sz="0" w:space="0" w:color="auto"/>
                <w:bottom w:val="none" w:sz="0" w:space="0" w:color="auto"/>
                <w:right w:val="none" w:sz="0" w:space="0" w:color="auto"/>
              </w:divBdr>
              <w:divsChild>
                <w:div w:id="308094017">
                  <w:marLeft w:val="0"/>
                  <w:marRight w:val="0"/>
                  <w:marTop w:val="0"/>
                  <w:marBottom w:val="0"/>
                  <w:divBdr>
                    <w:top w:val="none" w:sz="0" w:space="0" w:color="auto"/>
                    <w:left w:val="none" w:sz="0" w:space="0" w:color="auto"/>
                    <w:bottom w:val="none" w:sz="0" w:space="0" w:color="auto"/>
                    <w:right w:val="none" w:sz="0" w:space="0" w:color="auto"/>
                  </w:divBdr>
                </w:div>
              </w:divsChild>
            </w:div>
            <w:div w:id="1919092297">
              <w:marLeft w:val="0"/>
              <w:marRight w:val="0"/>
              <w:marTop w:val="0"/>
              <w:marBottom w:val="0"/>
              <w:divBdr>
                <w:top w:val="none" w:sz="0" w:space="0" w:color="auto"/>
                <w:left w:val="none" w:sz="0" w:space="0" w:color="auto"/>
                <w:bottom w:val="none" w:sz="0" w:space="0" w:color="auto"/>
                <w:right w:val="none" w:sz="0" w:space="0" w:color="auto"/>
              </w:divBdr>
              <w:divsChild>
                <w:div w:id="1537233355">
                  <w:marLeft w:val="0"/>
                  <w:marRight w:val="0"/>
                  <w:marTop w:val="0"/>
                  <w:marBottom w:val="0"/>
                  <w:divBdr>
                    <w:top w:val="none" w:sz="0" w:space="0" w:color="auto"/>
                    <w:left w:val="none" w:sz="0" w:space="0" w:color="auto"/>
                    <w:bottom w:val="none" w:sz="0" w:space="0" w:color="auto"/>
                    <w:right w:val="none" w:sz="0" w:space="0" w:color="auto"/>
                  </w:divBdr>
                </w:div>
              </w:divsChild>
            </w:div>
            <w:div w:id="1108965841">
              <w:marLeft w:val="0"/>
              <w:marRight w:val="0"/>
              <w:marTop w:val="0"/>
              <w:marBottom w:val="0"/>
              <w:divBdr>
                <w:top w:val="none" w:sz="0" w:space="0" w:color="auto"/>
                <w:left w:val="none" w:sz="0" w:space="0" w:color="auto"/>
                <w:bottom w:val="none" w:sz="0" w:space="0" w:color="auto"/>
                <w:right w:val="none" w:sz="0" w:space="0" w:color="auto"/>
              </w:divBdr>
              <w:divsChild>
                <w:div w:id="644359472">
                  <w:marLeft w:val="0"/>
                  <w:marRight w:val="0"/>
                  <w:marTop w:val="0"/>
                  <w:marBottom w:val="0"/>
                  <w:divBdr>
                    <w:top w:val="none" w:sz="0" w:space="0" w:color="auto"/>
                    <w:left w:val="none" w:sz="0" w:space="0" w:color="auto"/>
                    <w:bottom w:val="none" w:sz="0" w:space="0" w:color="auto"/>
                    <w:right w:val="none" w:sz="0" w:space="0" w:color="auto"/>
                  </w:divBdr>
                </w:div>
              </w:divsChild>
            </w:div>
            <w:div w:id="1480685350">
              <w:marLeft w:val="0"/>
              <w:marRight w:val="0"/>
              <w:marTop w:val="0"/>
              <w:marBottom w:val="0"/>
              <w:divBdr>
                <w:top w:val="none" w:sz="0" w:space="0" w:color="auto"/>
                <w:left w:val="none" w:sz="0" w:space="0" w:color="auto"/>
                <w:bottom w:val="none" w:sz="0" w:space="0" w:color="auto"/>
                <w:right w:val="none" w:sz="0" w:space="0" w:color="auto"/>
              </w:divBdr>
              <w:divsChild>
                <w:div w:id="13024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1938">
          <w:marLeft w:val="0"/>
          <w:marRight w:val="0"/>
          <w:marTop w:val="0"/>
          <w:marBottom w:val="0"/>
          <w:divBdr>
            <w:top w:val="none" w:sz="0" w:space="0" w:color="auto"/>
            <w:left w:val="none" w:sz="0" w:space="0" w:color="auto"/>
            <w:bottom w:val="none" w:sz="0" w:space="0" w:color="auto"/>
            <w:right w:val="none" w:sz="0" w:space="0" w:color="auto"/>
          </w:divBdr>
          <w:divsChild>
            <w:div w:id="383791650">
              <w:marLeft w:val="0"/>
              <w:marRight w:val="0"/>
              <w:marTop w:val="0"/>
              <w:marBottom w:val="0"/>
              <w:divBdr>
                <w:top w:val="none" w:sz="0" w:space="0" w:color="auto"/>
                <w:left w:val="none" w:sz="0" w:space="0" w:color="auto"/>
                <w:bottom w:val="none" w:sz="0" w:space="0" w:color="auto"/>
                <w:right w:val="none" w:sz="0" w:space="0" w:color="auto"/>
              </w:divBdr>
              <w:divsChild>
                <w:div w:id="1664048158">
                  <w:marLeft w:val="0"/>
                  <w:marRight w:val="0"/>
                  <w:marTop w:val="0"/>
                  <w:marBottom w:val="0"/>
                  <w:divBdr>
                    <w:top w:val="none" w:sz="0" w:space="0" w:color="auto"/>
                    <w:left w:val="none" w:sz="0" w:space="0" w:color="auto"/>
                    <w:bottom w:val="none" w:sz="0" w:space="0" w:color="auto"/>
                    <w:right w:val="none" w:sz="0" w:space="0" w:color="auto"/>
                  </w:divBdr>
                </w:div>
              </w:divsChild>
            </w:div>
            <w:div w:id="738788838">
              <w:marLeft w:val="0"/>
              <w:marRight w:val="0"/>
              <w:marTop w:val="0"/>
              <w:marBottom w:val="0"/>
              <w:divBdr>
                <w:top w:val="none" w:sz="0" w:space="0" w:color="auto"/>
                <w:left w:val="none" w:sz="0" w:space="0" w:color="auto"/>
                <w:bottom w:val="none" w:sz="0" w:space="0" w:color="auto"/>
                <w:right w:val="none" w:sz="0" w:space="0" w:color="auto"/>
              </w:divBdr>
              <w:divsChild>
                <w:div w:id="15048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8893">
      <w:bodyDiv w:val="1"/>
      <w:marLeft w:val="0"/>
      <w:marRight w:val="0"/>
      <w:marTop w:val="0"/>
      <w:marBottom w:val="0"/>
      <w:divBdr>
        <w:top w:val="none" w:sz="0" w:space="0" w:color="auto"/>
        <w:left w:val="none" w:sz="0" w:space="0" w:color="auto"/>
        <w:bottom w:val="none" w:sz="0" w:space="0" w:color="auto"/>
        <w:right w:val="none" w:sz="0" w:space="0" w:color="auto"/>
      </w:divBdr>
      <w:divsChild>
        <w:div w:id="208883102">
          <w:marLeft w:val="0"/>
          <w:marRight w:val="0"/>
          <w:marTop w:val="0"/>
          <w:marBottom w:val="0"/>
          <w:divBdr>
            <w:top w:val="none" w:sz="0" w:space="0" w:color="auto"/>
            <w:left w:val="none" w:sz="0" w:space="0" w:color="auto"/>
            <w:bottom w:val="none" w:sz="0" w:space="0" w:color="auto"/>
            <w:right w:val="none" w:sz="0" w:space="0" w:color="auto"/>
          </w:divBdr>
          <w:divsChild>
            <w:div w:id="1621455497">
              <w:marLeft w:val="0"/>
              <w:marRight w:val="0"/>
              <w:marTop w:val="0"/>
              <w:marBottom w:val="0"/>
              <w:divBdr>
                <w:top w:val="none" w:sz="0" w:space="0" w:color="auto"/>
                <w:left w:val="none" w:sz="0" w:space="0" w:color="auto"/>
                <w:bottom w:val="none" w:sz="0" w:space="0" w:color="auto"/>
                <w:right w:val="none" w:sz="0" w:space="0" w:color="auto"/>
              </w:divBdr>
              <w:divsChild>
                <w:div w:id="14340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8835">
      <w:bodyDiv w:val="1"/>
      <w:marLeft w:val="0"/>
      <w:marRight w:val="0"/>
      <w:marTop w:val="0"/>
      <w:marBottom w:val="0"/>
      <w:divBdr>
        <w:top w:val="none" w:sz="0" w:space="0" w:color="auto"/>
        <w:left w:val="none" w:sz="0" w:space="0" w:color="auto"/>
        <w:bottom w:val="none" w:sz="0" w:space="0" w:color="auto"/>
        <w:right w:val="none" w:sz="0" w:space="0" w:color="auto"/>
      </w:divBdr>
    </w:div>
    <w:div w:id="954216804">
      <w:bodyDiv w:val="1"/>
      <w:marLeft w:val="0"/>
      <w:marRight w:val="0"/>
      <w:marTop w:val="0"/>
      <w:marBottom w:val="0"/>
      <w:divBdr>
        <w:top w:val="none" w:sz="0" w:space="0" w:color="auto"/>
        <w:left w:val="none" w:sz="0" w:space="0" w:color="auto"/>
        <w:bottom w:val="none" w:sz="0" w:space="0" w:color="auto"/>
        <w:right w:val="none" w:sz="0" w:space="0" w:color="auto"/>
      </w:divBdr>
    </w:div>
    <w:div w:id="1230726773">
      <w:bodyDiv w:val="1"/>
      <w:marLeft w:val="0"/>
      <w:marRight w:val="0"/>
      <w:marTop w:val="0"/>
      <w:marBottom w:val="0"/>
      <w:divBdr>
        <w:top w:val="none" w:sz="0" w:space="0" w:color="auto"/>
        <w:left w:val="none" w:sz="0" w:space="0" w:color="auto"/>
        <w:bottom w:val="none" w:sz="0" w:space="0" w:color="auto"/>
        <w:right w:val="none" w:sz="0" w:space="0" w:color="auto"/>
      </w:divBdr>
      <w:divsChild>
        <w:div w:id="1365859563">
          <w:marLeft w:val="0"/>
          <w:marRight w:val="0"/>
          <w:marTop w:val="0"/>
          <w:marBottom w:val="0"/>
          <w:divBdr>
            <w:top w:val="none" w:sz="0" w:space="0" w:color="auto"/>
            <w:left w:val="none" w:sz="0" w:space="0" w:color="auto"/>
            <w:bottom w:val="none" w:sz="0" w:space="0" w:color="auto"/>
            <w:right w:val="none" w:sz="0" w:space="0" w:color="auto"/>
          </w:divBdr>
          <w:divsChild>
            <w:div w:id="1498376745">
              <w:marLeft w:val="0"/>
              <w:marRight w:val="0"/>
              <w:marTop w:val="0"/>
              <w:marBottom w:val="0"/>
              <w:divBdr>
                <w:top w:val="none" w:sz="0" w:space="0" w:color="auto"/>
                <w:left w:val="none" w:sz="0" w:space="0" w:color="auto"/>
                <w:bottom w:val="none" w:sz="0" w:space="0" w:color="auto"/>
                <w:right w:val="none" w:sz="0" w:space="0" w:color="auto"/>
              </w:divBdr>
              <w:divsChild>
                <w:div w:id="1547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3265">
      <w:bodyDiv w:val="1"/>
      <w:marLeft w:val="0"/>
      <w:marRight w:val="0"/>
      <w:marTop w:val="0"/>
      <w:marBottom w:val="0"/>
      <w:divBdr>
        <w:top w:val="none" w:sz="0" w:space="0" w:color="auto"/>
        <w:left w:val="none" w:sz="0" w:space="0" w:color="auto"/>
        <w:bottom w:val="none" w:sz="0" w:space="0" w:color="auto"/>
        <w:right w:val="none" w:sz="0" w:space="0" w:color="auto"/>
      </w:divBdr>
    </w:div>
    <w:div w:id="1498110857">
      <w:bodyDiv w:val="1"/>
      <w:marLeft w:val="0"/>
      <w:marRight w:val="0"/>
      <w:marTop w:val="0"/>
      <w:marBottom w:val="0"/>
      <w:divBdr>
        <w:top w:val="none" w:sz="0" w:space="0" w:color="auto"/>
        <w:left w:val="none" w:sz="0" w:space="0" w:color="auto"/>
        <w:bottom w:val="none" w:sz="0" w:space="0" w:color="auto"/>
        <w:right w:val="none" w:sz="0" w:space="0" w:color="auto"/>
      </w:divBdr>
    </w:div>
    <w:div w:id="1571427248">
      <w:bodyDiv w:val="1"/>
      <w:marLeft w:val="0"/>
      <w:marRight w:val="0"/>
      <w:marTop w:val="0"/>
      <w:marBottom w:val="0"/>
      <w:divBdr>
        <w:top w:val="none" w:sz="0" w:space="0" w:color="auto"/>
        <w:left w:val="none" w:sz="0" w:space="0" w:color="auto"/>
        <w:bottom w:val="none" w:sz="0" w:space="0" w:color="auto"/>
        <w:right w:val="none" w:sz="0" w:space="0" w:color="auto"/>
      </w:divBdr>
      <w:divsChild>
        <w:div w:id="147285485">
          <w:marLeft w:val="0"/>
          <w:marRight w:val="0"/>
          <w:marTop w:val="0"/>
          <w:marBottom w:val="0"/>
          <w:divBdr>
            <w:top w:val="none" w:sz="0" w:space="0" w:color="auto"/>
            <w:left w:val="none" w:sz="0" w:space="0" w:color="auto"/>
            <w:bottom w:val="none" w:sz="0" w:space="0" w:color="auto"/>
            <w:right w:val="none" w:sz="0" w:space="0" w:color="auto"/>
          </w:divBdr>
          <w:divsChild>
            <w:div w:id="1544635320">
              <w:marLeft w:val="0"/>
              <w:marRight w:val="0"/>
              <w:marTop w:val="0"/>
              <w:marBottom w:val="0"/>
              <w:divBdr>
                <w:top w:val="none" w:sz="0" w:space="0" w:color="auto"/>
                <w:left w:val="none" w:sz="0" w:space="0" w:color="auto"/>
                <w:bottom w:val="none" w:sz="0" w:space="0" w:color="auto"/>
                <w:right w:val="none" w:sz="0" w:space="0" w:color="auto"/>
              </w:divBdr>
              <w:divsChild>
                <w:div w:id="11130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4801">
      <w:bodyDiv w:val="1"/>
      <w:marLeft w:val="0"/>
      <w:marRight w:val="0"/>
      <w:marTop w:val="0"/>
      <w:marBottom w:val="0"/>
      <w:divBdr>
        <w:top w:val="none" w:sz="0" w:space="0" w:color="auto"/>
        <w:left w:val="none" w:sz="0" w:space="0" w:color="auto"/>
        <w:bottom w:val="none" w:sz="0" w:space="0" w:color="auto"/>
        <w:right w:val="none" w:sz="0" w:space="0" w:color="auto"/>
      </w:divBdr>
    </w:div>
    <w:div w:id="1805394162">
      <w:bodyDiv w:val="1"/>
      <w:marLeft w:val="0"/>
      <w:marRight w:val="0"/>
      <w:marTop w:val="0"/>
      <w:marBottom w:val="0"/>
      <w:divBdr>
        <w:top w:val="none" w:sz="0" w:space="0" w:color="auto"/>
        <w:left w:val="none" w:sz="0" w:space="0" w:color="auto"/>
        <w:bottom w:val="none" w:sz="0" w:space="0" w:color="auto"/>
        <w:right w:val="none" w:sz="0" w:space="0" w:color="auto"/>
      </w:divBdr>
    </w:div>
    <w:div w:id="1951013864">
      <w:bodyDiv w:val="1"/>
      <w:marLeft w:val="0"/>
      <w:marRight w:val="0"/>
      <w:marTop w:val="0"/>
      <w:marBottom w:val="0"/>
      <w:divBdr>
        <w:top w:val="none" w:sz="0" w:space="0" w:color="auto"/>
        <w:left w:val="none" w:sz="0" w:space="0" w:color="auto"/>
        <w:bottom w:val="none" w:sz="0" w:space="0" w:color="auto"/>
        <w:right w:val="none" w:sz="0" w:space="0" w:color="auto"/>
      </w:divBdr>
    </w:div>
    <w:div w:id="21440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DaSilva</dc:creator>
  <cp:keywords/>
  <dc:description/>
  <cp:lastModifiedBy>John DaSilva</cp:lastModifiedBy>
  <cp:revision>4</cp:revision>
  <cp:lastPrinted>2019-10-17T19:23:00Z</cp:lastPrinted>
  <dcterms:created xsi:type="dcterms:W3CDTF">2019-10-18T13:03:00Z</dcterms:created>
  <dcterms:modified xsi:type="dcterms:W3CDTF">2019-11-01T14:38:00Z</dcterms:modified>
</cp:coreProperties>
</file>