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AD28FF" w:rsidRPr="005024B7" w:rsidRDefault="006A1EDD">
      <w:pPr>
        <w:spacing w:after="0" w:line="360" w:lineRule="auto"/>
        <w:jc w:val="center"/>
        <w:rPr>
          <w:rFonts w:ascii="Times New Roman" w:eastAsia="Times New Roman" w:hAnsi="Times New Roman" w:cs="Times New Roman"/>
          <w:b/>
          <w:sz w:val="24"/>
          <w:szCs w:val="24"/>
        </w:rPr>
      </w:pPr>
      <w:bookmarkStart w:id="0" w:name="_heading=h.gjdgxs" w:colFirst="0" w:colLast="0"/>
      <w:bookmarkEnd w:id="0"/>
      <w:r w:rsidRPr="005024B7">
        <w:rPr>
          <w:rFonts w:ascii="Times New Roman" w:eastAsia="Times New Roman" w:hAnsi="Times New Roman" w:cs="Times New Roman"/>
          <w:b/>
          <w:sz w:val="24"/>
          <w:szCs w:val="24"/>
        </w:rPr>
        <w:t xml:space="preserve">Comprehensive Transcriptome Profiling of Cryptic </w:t>
      </w:r>
      <w:r w:rsidRPr="005024B7">
        <w:rPr>
          <w:rFonts w:ascii="Times New Roman" w:eastAsia="Times New Roman" w:hAnsi="Times New Roman" w:cs="Times New Roman"/>
          <w:b/>
          <w:i/>
          <w:sz w:val="24"/>
          <w:szCs w:val="24"/>
        </w:rPr>
        <w:t>CBFA2T3-GLIS2</w:t>
      </w:r>
      <w:r w:rsidRPr="005024B7">
        <w:rPr>
          <w:rFonts w:ascii="Times New Roman" w:eastAsia="Times New Roman" w:hAnsi="Times New Roman" w:cs="Times New Roman"/>
          <w:b/>
          <w:sz w:val="24"/>
          <w:szCs w:val="24"/>
        </w:rPr>
        <w:t xml:space="preserve"> Fusion-positive AML Defines Novel Therapeutic Options – A COG and TARGET Pediatric AML Study</w:t>
      </w:r>
    </w:p>
    <w:p w14:paraId="40D512AE" w14:textId="77777777" w:rsidR="00A14C8C" w:rsidRDefault="00A14C8C">
      <w:pPr>
        <w:spacing w:after="0" w:line="360" w:lineRule="auto"/>
        <w:jc w:val="center"/>
        <w:rPr>
          <w:rFonts w:ascii="Times New Roman" w:eastAsia="Times New Roman" w:hAnsi="Times New Roman" w:cs="Times New Roman"/>
          <w:sz w:val="24"/>
          <w:szCs w:val="24"/>
        </w:rPr>
      </w:pPr>
    </w:p>
    <w:p w14:paraId="00000003" w14:textId="2FB7FF97" w:rsidR="00AD28FF" w:rsidRDefault="006A1EDD">
      <w:pPr>
        <w:spacing w:after="0" w:line="360" w:lineRule="auto"/>
        <w:jc w:val="center"/>
        <w:rPr>
          <w:rFonts w:ascii="Times New Roman" w:eastAsia="Times New Roman" w:hAnsi="Times New Roman" w:cs="Times New Roman"/>
          <w:sz w:val="24"/>
          <w:szCs w:val="24"/>
        </w:rPr>
      </w:pPr>
      <w:r w:rsidRPr="005024B7">
        <w:rPr>
          <w:rFonts w:ascii="Times New Roman" w:eastAsia="Times New Roman" w:hAnsi="Times New Roman" w:cs="Times New Roman"/>
          <w:sz w:val="24"/>
          <w:szCs w:val="24"/>
        </w:rPr>
        <w:t>Smith, J., L., Ries, R., E., …, Meshinchi, S.</w:t>
      </w:r>
    </w:p>
    <w:p w14:paraId="3CE81D47" w14:textId="77777777" w:rsidR="00A14C8C" w:rsidRPr="005024B7" w:rsidRDefault="00A14C8C">
      <w:pPr>
        <w:spacing w:after="0" w:line="360" w:lineRule="auto"/>
        <w:jc w:val="center"/>
        <w:rPr>
          <w:rFonts w:ascii="Times New Roman" w:eastAsia="Times New Roman" w:hAnsi="Times New Roman" w:cs="Times New Roman"/>
          <w:sz w:val="24"/>
          <w:szCs w:val="24"/>
        </w:rPr>
      </w:pPr>
    </w:p>
    <w:p w14:paraId="00000005" w14:textId="7C35F37D" w:rsidR="00AD28FF" w:rsidRDefault="006A1EDD">
      <w:pPr>
        <w:spacing w:line="360" w:lineRule="auto"/>
        <w:rPr>
          <w:rFonts w:ascii="Times New Roman" w:eastAsia="Times New Roman" w:hAnsi="Times New Roman" w:cs="Times New Roman"/>
          <w:b/>
          <w:sz w:val="24"/>
          <w:szCs w:val="24"/>
        </w:rPr>
      </w:pPr>
      <w:r w:rsidRPr="005024B7">
        <w:rPr>
          <w:rFonts w:ascii="Times New Roman" w:eastAsia="Times New Roman" w:hAnsi="Times New Roman" w:cs="Times New Roman"/>
          <w:b/>
          <w:sz w:val="24"/>
          <w:szCs w:val="24"/>
        </w:rPr>
        <w:t>Supplemental Methods</w:t>
      </w:r>
    </w:p>
    <w:p w14:paraId="3CCAF5BA" w14:textId="53147E8D" w:rsidR="00021ED8" w:rsidRDefault="00021ED8" w:rsidP="00021ED8">
      <w:pPr>
        <w:spacing w:after="0" w:line="360" w:lineRule="auto"/>
        <w:contextualSpacing/>
        <w:mirrorIndents/>
        <w:jc w:val="both"/>
        <w:rPr>
          <w:rFonts w:ascii="Times New Roman" w:eastAsia="Times New Roman" w:hAnsi="Times New Roman" w:cs="Times New Roman"/>
          <w:color w:val="000000" w:themeColor="text1"/>
          <w:sz w:val="24"/>
          <w:szCs w:val="24"/>
        </w:rPr>
      </w:pPr>
      <w:r w:rsidRPr="00C259BE">
        <w:rPr>
          <w:rFonts w:ascii="Times New Roman" w:eastAsia="Times New Roman" w:hAnsi="Times New Roman" w:cs="Times New Roman"/>
          <w:b/>
          <w:color w:val="000000" w:themeColor="text1"/>
          <w:sz w:val="24"/>
          <w:szCs w:val="24"/>
        </w:rPr>
        <w:t xml:space="preserve">Statistical Methods. </w:t>
      </w:r>
      <w:r w:rsidR="00ED7393" w:rsidRPr="004D6F42">
        <w:rPr>
          <w:rFonts w:ascii="Times New Roman" w:eastAsia="Times New Roman" w:hAnsi="Times New Roman" w:cs="Times New Roman"/>
          <w:color w:val="000000" w:themeColor="text1"/>
          <w:sz w:val="24"/>
          <w:szCs w:val="24"/>
        </w:rPr>
        <w:t>Data were current as of March 31, 2018 for outcome analyses</w:t>
      </w:r>
      <w:r w:rsidR="00ED7393">
        <w:rPr>
          <w:rFonts w:ascii="Times New Roman" w:eastAsia="Times New Roman" w:hAnsi="Times New Roman" w:cs="Times New Roman"/>
          <w:color w:val="000000" w:themeColor="text1"/>
          <w:sz w:val="24"/>
          <w:szCs w:val="24"/>
        </w:rPr>
        <w:t>.</w:t>
      </w:r>
      <w:r w:rsidR="00ED7393" w:rsidRPr="00C259BE">
        <w:rPr>
          <w:rFonts w:ascii="Times New Roman" w:eastAsia="Times New Roman" w:hAnsi="Times New Roman" w:cs="Times New Roman"/>
          <w:color w:val="000000" w:themeColor="text1"/>
          <w:sz w:val="24"/>
          <w:szCs w:val="24"/>
        </w:rPr>
        <w:t xml:space="preserve"> </w:t>
      </w:r>
      <w:r w:rsidRPr="00C259BE">
        <w:rPr>
          <w:rFonts w:ascii="Times New Roman" w:eastAsia="Times New Roman" w:hAnsi="Times New Roman" w:cs="Times New Roman"/>
          <w:color w:val="000000" w:themeColor="text1"/>
          <w:sz w:val="24"/>
          <w:szCs w:val="24"/>
        </w:rPr>
        <w:t xml:space="preserve">Overall survival (OS) and event-free survival (EFS) were calculated from Kaplan-Meier estimates. OS was defined as the time from study entry to death from any cause. EFS was defined as time from study entry to induction failure, relapse, or death. Cox proportional hazard regression models were used to estimate hazard ratios (HR) for univariate and multivariate analyses of OS and EFS. The log-rank statistic was used to compare differences between groups for OS and EFS. The significance of observed differences in proportions was tested by Pearson’s chi-square test.  Fisher’s exact test was used when data were sparse. The Kruskal-Wallis test was used to determine the significance between differences in medians for continuous variables. </w:t>
      </w:r>
    </w:p>
    <w:p w14:paraId="00000006" w14:textId="1FF29F62" w:rsidR="00AD28FF" w:rsidRDefault="006A1EDD">
      <w:pPr>
        <w:spacing w:after="0" w:line="360" w:lineRule="auto"/>
        <w:jc w:val="both"/>
        <w:rPr>
          <w:rFonts w:ascii="Times New Roman" w:eastAsia="Times New Roman" w:hAnsi="Times New Roman" w:cs="Times New Roman"/>
          <w:color w:val="000000"/>
          <w:sz w:val="24"/>
          <w:szCs w:val="24"/>
          <w:highlight w:val="white"/>
        </w:rPr>
      </w:pPr>
      <w:bookmarkStart w:id="1" w:name="_heading=h.30j0zll" w:colFirst="0" w:colLast="0"/>
      <w:bookmarkEnd w:id="1"/>
      <w:r w:rsidRPr="005024B7">
        <w:rPr>
          <w:rFonts w:ascii="Times New Roman" w:eastAsia="Times New Roman" w:hAnsi="Times New Roman" w:cs="Times New Roman"/>
          <w:b/>
          <w:sz w:val="24"/>
          <w:szCs w:val="24"/>
        </w:rPr>
        <w:t>Flow Cytometry and Cytotoxicity Assays</w:t>
      </w:r>
      <w:r w:rsidRPr="005024B7">
        <w:rPr>
          <w:rFonts w:ascii="Times New Roman" w:eastAsia="Times New Roman" w:hAnsi="Times New Roman" w:cs="Times New Roman"/>
          <w:sz w:val="24"/>
          <w:szCs w:val="24"/>
        </w:rPr>
        <w:t xml:space="preserve">. Flow cytometry data from 437 pediatric AML patients from AAML0531 for 13 cell surface antigens (CD45, D34, CD38, HLADR, CD11b, CD36, CD15, CD13, CD14, CD33, CD7, CD56, CD117) were provided by </w:t>
      </w:r>
      <w:proofErr w:type="spellStart"/>
      <w:r w:rsidRPr="005024B7">
        <w:rPr>
          <w:rFonts w:ascii="Times New Roman" w:eastAsia="Times New Roman" w:hAnsi="Times New Roman" w:cs="Times New Roman"/>
          <w:sz w:val="24"/>
          <w:szCs w:val="24"/>
        </w:rPr>
        <w:t>Hematologics</w:t>
      </w:r>
      <w:proofErr w:type="spellEnd"/>
      <w:r w:rsidRPr="005024B7">
        <w:rPr>
          <w:rFonts w:ascii="Times New Roman" w:eastAsia="Times New Roman" w:hAnsi="Times New Roman" w:cs="Times New Roman"/>
          <w:sz w:val="24"/>
          <w:szCs w:val="24"/>
        </w:rPr>
        <w:t>, Inc. (Seattle, WA) as mean fluorescent intensity (MFI) values. Methods for flow cytometry and the myeloid immune marked panel above was previously reported (1</w:t>
      </w:r>
      <w:r w:rsidR="0085232F">
        <w:rPr>
          <w:rFonts w:ascii="Times New Roman" w:eastAsia="Times New Roman" w:hAnsi="Times New Roman" w:cs="Times New Roman"/>
          <w:sz w:val="24"/>
          <w:szCs w:val="24"/>
        </w:rPr>
        <w:t>8</w:t>
      </w:r>
      <w:r w:rsidRPr="005024B7">
        <w:rPr>
          <w:rFonts w:ascii="Times New Roman" w:eastAsia="Times New Roman" w:hAnsi="Times New Roman" w:cs="Times New Roman"/>
          <w:sz w:val="24"/>
          <w:szCs w:val="24"/>
        </w:rPr>
        <w:t xml:space="preserve">). Cytotoxicity assays were carried out on primary AML samples from bone marrow or peripheral blood by Notable Labs </w:t>
      </w:r>
      <w:r w:rsidRPr="005024B7">
        <w:rPr>
          <w:rFonts w:ascii="Times New Roman" w:eastAsia="Times New Roman" w:hAnsi="Times New Roman" w:cs="Times New Roman"/>
          <w:color w:val="000000"/>
          <w:sz w:val="24"/>
          <w:szCs w:val="24"/>
          <w:highlight w:val="white"/>
        </w:rPr>
        <w:t>translational drug discovery platform</w:t>
      </w:r>
      <w:r w:rsidRPr="005024B7">
        <w:rPr>
          <w:rFonts w:ascii="Times New Roman" w:eastAsia="Times New Roman" w:hAnsi="Times New Roman" w:cs="Times New Roman"/>
          <w:sz w:val="24"/>
          <w:szCs w:val="24"/>
        </w:rPr>
        <w:t xml:space="preserve"> (Foster City, CA).  Cytotoxicity assays utilized the CD56 antibody clone m906 as previously described (</w:t>
      </w:r>
      <w:r w:rsidR="00F32D8D">
        <w:rPr>
          <w:rFonts w:ascii="Times New Roman" w:eastAsia="Times New Roman" w:hAnsi="Times New Roman" w:cs="Times New Roman"/>
          <w:sz w:val="24"/>
          <w:szCs w:val="24"/>
        </w:rPr>
        <w:t>19</w:t>
      </w:r>
      <w:r w:rsidRPr="005024B7">
        <w:rPr>
          <w:rFonts w:ascii="Times New Roman" w:eastAsia="Times New Roman" w:hAnsi="Times New Roman" w:cs="Times New Roman"/>
          <w:sz w:val="24"/>
          <w:szCs w:val="24"/>
        </w:rPr>
        <w:t xml:space="preserve">). The antibody controls included </w:t>
      </w:r>
      <w:r w:rsidRPr="005024B7">
        <w:rPr>
          <w:rFonts w:ascii="Times New Roman" w:eastAsia="Times New Roman" w:hAnsi="Times New Roman" w:cs="Times New Roman"/>
          <w:color w:val="000000"/>
          <w:sz w:val="24"/>
          <w:szCs w:val="24"/>
          <w:highlight w:val="white"/>
        </w:rPr>
        <w:t>chKTi-SPP-DM1 (</w:t>
      </w:r>
      <w:r w:rsidR="00F32D8D">
        <w:rPr>
          <w:rFonts w:ascii="Times New Roman" w:eastAsia="Times New Roman" w:hAnsi="Times New Roman" w:cs="Times New Roman"/>
          <w:color w:val="000000"/>
          <w:sz w:val="24"/>
          <w:szCs w:val="24"/>
          <w:highlight w:val="white"/>
        </w:rPr>
        <w:t>20</w:t>
      </w:r>
      <w:r w:rsidRPr="005024B7">
        <w:rPr>
          <w:rFonts w:ascii="Times New Roman" w:eastAsia="Times New Roman" w:hAnsi="Times New Roman" w:cs="Times New Roman"/>
          <w:color w:val="000000"/>
          <w:sz w:val="24"/>
          <w:szCs w:val="24"/>
          <w:highlight w:val="white"/>
        </w:rPr>
        <w:t>) and human IgG-SAP and goat IgG-ZAP (Advanced Targeting Systems, San Diego, CA</w:t>
      </w:r>
      <w:r w:rsidR="00B369E0">
        <w:rPr>
          <w:rFonts w:ascii="Times New Roman" w:eastAsia="Times New Roman" w:hAnsi="Times New Roman" w:cs="Times New Roman"/>
          <w:color w:val="000000"/>
          <w:sz w:val="24"/>
          <w:szCs w:val="24"/>
          <w:highlight w:val="white"/>
        </w:rPr>
        <w:t xml:space="preserve">, </w:t>
      </w:r>
      <w:r w:rsidR="00B369E0">
        <w:rPr>
          <w:rFonts w:ascii="Times New Roman" w:hAnsi="Times New Roman" w:cs="Times New Roman"/>
          <w:sz w:val="24"/>
          <w:szCs w:val="24"/>
        </w:rPr>
        <w:t>#IT-36, #IT-35</w:t>
      </w:r>
      <w:r w:rsidRPr="005024B7">
        <w:rPr>
          <w:rFonts w:ascii="Times New Roman" w:eastAsia="Times New Roman" w:hAnsi="Times New Roman" w:cs="Times New Roman"/>
          <w:color w:val="000000"/>
          <w:sz w:val="24"/>
          <w:szCs w:val="24"/>
          <w:highlight w:val="white"/>
        </w:rPr>
        <w:t xml:space="preserve">). Briefly, fresh never frozen samples were red blood cell lysed to remove red blood cells and then plated at 15,000 cells per well in 15ul of serum free medium with cytokines in 384-well plates.  Frozen primary samples were thawed in </w:t>
      </w:r>
      <w:proofErr w:type="spellStart"/>
      <w:r w:rsidRPr="005024B7">
        <w:rPr>
          <w:rFonts w:ascii="Times New Roman" w:eastAsia="Times New Roman" w:hAnsi="Times New Roman" w:cs="Times New Roman"/>
          <w:color w:val="000000"/>
          <w:sz w:val="24"/>
          <w:szCs w:val="24"/>
          <w:highlight w:val="white"/>
        </w:rPr>
        <w:t>Iscoves</w:t>
      </w:r>
      <w:proofErr w:type="spellEnd"/>
      <w:r w:rsidRPr="005024B7">
        <w:rPr>
          <w:rFonts w:ascii="Times New Roman" w:eastAsia="Times New Roman" w:hAnsi="Times New Roman" w:cs="Times New Roman"/>
          <w:color w:val="000000"/>
          <w:sz w:val="24"/>
          <w:szCs w:val="24"/>
          <w:highlight w:val="white"/>
        </w:rPr>
        <w:t xml:space="preserve">’ Modified Dulbecco’s medium (IMDM) with 20% fetal bovine serum (FBS) with cytokines and plated at 30,000 cells per well in 15ul of IMDM/20%FBS/cytokine medium.  Plated primary cells were treated with ADC in triplicate and three days post-exposure the samples were stained with appropriate antibodies (Panel: CD45, CD14, CD66B, HLA-DR, CD11B, CD3/CD19/DAPI, CD33, CD56, CD38) and read out on an </w:t>
      </w:r>
      <w:proofErr w:type="spellStart"/>
      <w:r w:rsidRPr="005024B7">
        <w:rPr>
          <w:rFonts w:ascii="Times New Roman" w:eastAsia="Times New Roman" w:hAnsi="Times New Roman" w:cs="Times New Roman"/>
          <w:color w:val="000000"/>
          <w:sz w:val="24"/>
          <w:szCs w:val="24"/>
          <w:highlight w:val="white"/>
        </w:rPr>
        <w:lastRenderedPageBreak/>
        <w:t>Intellicyt</w:t>
      </w:r>
      <w:proofErr w:type="spellEnd"/>
      <w:r w:rsidRPr="005024B7">
        <w:rPr>
          <w:rFonts w:ascii="Times New Roman" w:eastAsia="Times New Roman" w:hAnsi="Times New Roman" w:cs="Times New Roman"/>
          <w:color w:val="000000"/>
          <w:sz w:val="24"/>
          <w:szCs w:val="24"/>
          <w:highlight w:val="white"/>
        </w:rPr>
        <w:t xml:space="preserve"> </w:t>
      </w:r>
      <w:proofErr w:type="spellStart"/>
      <w:r w:rsidRPr="005024B7">
        <w:rPr>
          <w:rFonts w:ascii="Times New Roman" w:eastAsia="Times New Roman" w:hAnsi="Times New Roman" w:cs="Times New Roman"/>
          <w:color w:val="000000"/>
          <w:sz w:val="24"/>
          <w:szCs w:val="24"/>
          <w:highlight w:val="white"/>
        </w:rPr>
        <w:t>iQue</w:t>
      </w:r>
      <w:proofErr w:type="spellEnd"/>
      <w:r w:rsidRPr="005024B7">
        <w:rPr>
          <w:rFonts w:ascii="Times New Roman" w:eastAsia="Times New Roman" w:hAnsi="Times New Roman" w:cs="Times New Roman"/>
          <w:color w:val="000000"/>
          <w:sz w:val="24"/>
          <w:szCs w:val="24"/>
          <w:highlight w:val="white"/>
        </w:rPr>
        <w:t xml:space="preserve"> Plus flow cytometer.  Live cells were gated using FSC/SSC and DAPI exclusion, and then further defined by cell surface marker expression. Average absolute counts and standard deviation for each population were calculated, as well as counts normalized to a vehicle-only (DMSO) control for every condition tested.</w:t>
      </w:r>
    </w:p>
    <w:p w14:paraId="00000007" w14:textId="0F30DFF5" w:rsidR="00AD28FF" w:rsidRDefault="00DC7107">
      <w:pPr>
        <w:spacing w:after="0" w:line="360" w:lineRule="auto"/>
        <w:jc w:val="both"/>
        <w:rPr>
          <w:rFonts w:ascii="Times New Roman" w:eastAsia="Times New Roman" w:hAnsi="Times New Roman" w:cs="Times New Roman"/>
          <w:sz w:val="24"/>
          <w:szCs w:val="24"/>
          <w:highlight w:val="white"/>
        </w:rPr>
      </w:pPr>
      <w:bookmarkStart w:id="2" w:name="_heading=h.ii2ksxtrh6gx" w:colFirst="0" w:colLast="0"/>
      <w:bookmarkEnd w:id="2"/>
      <w:r w:rsidRPr="00800FC7">
        <w:rPr>
          <w:rFonts w:ascii="Times New Roman" w:eastAsia="Times New Roman" w:hAnsi="Times New Roman" w:cs="Times New Roman"/>
          <w:b/>
          <w:i/>
          <w:sz w:val="24"/>
          <w:szCs w:val="24"/>
        </w:rPr>
        <w:t>CBFA2T3-GLIS2</w:t>
      </w:r>
      <w:r w:rsidRPr="00DC7107">
        <w:rPr>
          <w:rFonts w:ascii="Times New Roman" w:eastAsia="Times New Roman" w:hAnsi="Times New Roman" w:cs="Times New Roman"/>
          <w:b/>
          <w:sz w:val="24"/>
          <w:szCs w:val="24"/>
        </w:rPr>
        <w:t xml:space="preserve"> Transduced Cord Blood.</w:t>
      </w:r>
      <w:r w:rsidRPr="00DC7107">
        <w:rPr>
          <w:rFonts w:ascii="Times New Roman" w:eastAsia="Times New Roman" w:hAnsi="Times New Roman" w:cs="Times New Roman"/>
          <w:sz w:val="24"/>
          <w:szCs w:val="24"/>
        </w:rPr>
        <w:t xml:space="preserve"> Human cord blood samples for research were obtained from normal deliveries under Swedish Medical Center Institutional Review Board (</w:t>
      </w:r>
      <w:proofErr w:type="spellStart"/>
      <w:proofErr w:type="gramStart"/>
      <w:r w:rsidRPr="00DC7107">
        <w:rPr>
          <w:rFonts w:ascii="Times New Roman" w:eastAsia="Times New Roman" w:hAnsi="Times New Roman" w:cs="Times New Roman"/>
          <w:sz w:val="24"/>
          <w:szCs w:val="24"/>
        </w:rPr>
        <w:t>Seattle</w:t>
      </w:r>
      <w:r w:rsidR="007769ED">
        <w:rPr>
          <w:rFonts w:ascii="Times New Roman" w:eastAsia="Times New Roman" w:hAnsi="Times New Roman" w:cs="Times New Roman"/>
          <w:sz w:val="24"/>
          <w:szCs w:val="24"/>
        </w:rPr>
        <w:t>,WA</w:t>
      </w:r>
      <w:proofErr w:type="spellEnd"/>
      <w:proofErr w:type="gramEnd"/>
      <w:r w:rsidRPr="00DC7107">
        <w:rPr>
          <w:rFonts w:ascii="Times New Roman" w:eastAsia="Times New Roman" w:hAnsi="Times New Roman" w:cs="Times New Roman"/>
          <w:sz w:val="24"/>
          <w:szCs w:val="24"/>
        </w:rPr>
        <w:t xml:space="preserve">) approval and upon informed donor consent. Samples were red blood cell lysed and enriched for CD34+ fraction using </w:t>
      </w:r>
      <w:proofErr w:type="spellStart"/>
      <w:r w:rsidRPr="00DC7107">
        <w:rPr>
          <w:rFonts w:ascii="Times New Roman" w:eastAsia="Times New Roman" w:hAnsi="Times New Roman" w:cs="Times New Roman"/>
          <w:sz w:val="24"/>
          <w:szCs w:val="24"/>
        </w:rPr>
        <w:t>CliniMACS</w:t>
      </w:r>
      <w:proofErr w:type="spellEnd"/>
      <w:r w:rsidRPr="00DC7107">
        <w:rPr>
          <w:rFonts w:ascii="Times New Roman" w:eastAsia="Times New Roman" w:hAnsi="Times New Roman" w:cs="Times New Roman"/>
          <w:sz w:val="24"/>
          <w:szCs w:val="24"/>
        </w:rPr>
        <w:t xml:space="preserve"> CD34 </w:t>
      </w:r>
      <w:proofErr w:type="spellStart"/>
      <w:r w:rsidRPr="00DC7107">
        <w:rPr>
          <w:rFonts w:ascii="Times New Roman" w:eastAsia="Times New Roman" w:hAnsi="Times New Roman" w:cs="Times New Roman"/>
          <w:sz w:val="24"/>
          <w:szCs w:val="24"/>
        </w:rPr>
        <w:t>MicroBeads</w:t>
      </w:r>
      <w:proofErr w:type="spellEnd"/>
      <w:r w:rsidRPr="00DC7107">
        <w:rPr>
          <w:rFonts w:ascii="Times New Roman" w:eastAsia="Times New Roman" w:hAnsi="Times New Roman" w:cs="Times New Roman"/>
          <w:sz w:val="24"/>
          <w:szCs w:val="24"/>
        </w:rPr>
        <w:t xml:space="preserve"> (</w:t>
      </w:r>
      <w:proofErr w:type="spellStart"/>
      <w:r w:rsidRPr="00DC7107">
        <w:rPr>
          <w:rFonts w:ascii="Times New Roman" w:eastAsia="Times New Roman" w:hAnsi="Times New Roman" w:cs="Times New Roman"/>
          <w:sz w:val="24"/>
          <w:szCs w:val="24"/>
        </w:rPr>
        <w:t>Miltenyi</w:t>
      </w:r>
      <w:proofErr w:type="spellEnd"/>
      <w:r w:rsidRPr="00DC7107">
        <w:rPr>
          <w:rFonts w:ascii="Times New Roman" w:eastAsia="Times New Roman" w:hAnsi="Times New Roman" w:cs="Times New Roman"/>
          <w:sz w:val="24"/>
          <w:szCs w:val="24"/>
        </w:rPr>
        <w:t xml:space="preserve"> </w:t>
      </w:r>
      <w:proofErr w:type="spellStart"/>
      <w:r w:rsidRPr="00DC7107">
        <w:rPr>
          <w:rFonts w:ascii="Times New Roman" w:eastAsia="Times New Roman" w:hAnsi="Times New Roman" w:cs="Times New Roman"/>
          <w:sz w:val="24"/>
          <w:szCs w:val="24"/>
        </w:rPr>
        <w:t>Biotec</w:t>
      </w:r>
      <w:proofErr w:type="spellEnd"/>
      <w:r w:rsidRPr="00DC7107">
        <w:rPr>
          <w:rFonts w:ascii="Times New Roman" w:eastAsia="Times New Roman" w:hAnsi="Times New Roman" w:cs="Times New Roman"/>
          <w:sz w:val="24"/>
          <w:szCs w:val="24"/>
        </w:rPr>
        <w:t>, Germany</w:t>
      </w:r>
      <w:r w:rsidR="00011AF4">
        <w:rPr>
          <w:rFonts w:ascii="Times New Roman" w:eastAsia="Times New Roman" w:hAnsi="Times New Roman" w:cs="Times New Roman"/>
          <w:sz w:val="24"/>
          <w:szCs w:val="24"/>
        </w:rPr>
        <w:t>, #</w:t>
      </w:r>
      <w:r w:rsidR="00011AF4" w:rsidRPr="00011AF4">
        <w:rPr>
          <w:rFonts w:ascii="Times New Roman" w:eastAsia="Times New Roman" w:hAnsi="Times New Roman" w:cs="Times New Roman"/>
          <w:sz w:val="24"/>
          <w:szCs w:val="24"/>
        </w:rPr>
        <w:t>130-046-702</w:t>
      </w:r>
      <w:r w:rsidRPr="00DC7107">
        <w:rPr>
          <w:rFonts w:ascii="Times New Roman" w:eastAsia="Times New Roman" w:hAnsi="Times New Roman" w:cs="Times New Roman"/>
          <w:sz w:val="24"/>
          <w:szCs w:val="24"/>
        </w:rPr>
        <w:t>).</w:t>
      </w:r>
      <w:r w:rsidR="007769ED">
        <w:rPr>
          <w:rFonts w:ascii="Times New Roman" w:eastAsia="Times New Roman" w:hAnsi="Times New Roman" w:cs="Times New Roman"/>
          <w:sz w:val="24"/>
          <w:szCs w:val="24"/>
        </w:rPr>
        <w:t xml:space="preserve"> </w:t>
      </w:r>
      <w:r w:rsidRPr="00DC7107">
        <w:rPr>
          <w:rFonts w:ascii="Times New Roman" w:eastAsia="Times New Roman" w:hAnsi="Times New Roman" w:cs="Times New Roman"/>
          <w:sz w:val="24"/>
          <w:szCs w:val="24"/>
        </w:rPr>
        <w:t xml:space="preserve">The CD34+ cord blood cells were transduced with a </w:t>
      </w:r>
      <w:proofErr w:type="spellStart"/>
      <w:r w:rsidRPr="00DC7107">
        <w:rPr>
          <w:rFonts w:ascii="Times New Roman" w:eastAsia="Times New Roman" w:hAnsi="Times New Roman" w:cs="Times New Roman"/>
          <w:sz w:val="24"/>
          <w:szCs w:val="24"/>
        </w:rPr>
        <w:t>pRRL</w:t>
      </w:r>
      <w:proofErr w:type="spellEnd"/>
      <w:r w:rsidRPr="00DC7107">
        <w:rPr>
          <w:rFonts w:ascii="Times New Roman" w:eastAsia="Times New Roman" w:hAnsi="Times New Roman" w:cs="Times New Roman"/>
          <w:sz w:val="24"/>
          <w:szCs w:val="24"/>
        </w:rPr>
        <w:t xml:space="preserve"> lentivirus encoding the </w:t>
      </w:r>
      <w:r w:rsidRPr="00450466">
        <w:rPr>
          <w:rFonts w:ascii="Times New Roman" w:eastAsia="Times New Roman" w:hAnsi="Times New Roman" w:cs="Times New Roman"/>
          <w:i/>
          <w:sz w:val="24"/>
          <w:szCs w:val="24"/>
        </w:rPr>
        <w:t>CBFA2T3-GLIS2</w:t>
      </w:r>
      <w:r w:rsidRPr="00DC7107">
        <w:rPr>
          <w:rFonts w:ascii="Times New Roman" w:eastAsia="Times New Roman" w:hAnsi="Times New Roman" w:cs="Times New Roman"/>
          <w:sz w:val="24"/>
          <w:szCs w:val="24"/>
        </w:rPr>
        <w:t xml:space="preserve"> fusion transcript and GFP </w:t>
      </w:r>
      <w:r w:rsidR="00555048">
        <w:rPr>
          <w:rFonts w:ascii="Times New Roman" w:eastAsia="Times New Roman" w:hAnsi="Times New Roman" w:cs="Times New Roman"/>
          <w:sz w:val="24"/>
          <w:szCs w:val="24"/>
        </w:rPr>
        <w:t>(</w:t>
      </w:r>
      <w:r w:rsidR="009C60D2">
        <w:rPr>
          <w:rFonts w:ascii="Times New Roman" w:eastAsia="Times New Roman" w:hAnsi="Times New Roman" w:cs="Times New Roman"/>
          <w:sz w:val="24"/>
          <w:szCs w:val="24"/>
        </w:rPr>
        <w:t>50</w:t>
      </w:r>
      <w:r w:rsidR="00555048">
        <w:rPr>
          <w:rFonts w:ascii="Times New Roman" w:eastAsia="Times New Roman" w:hAnsi="Times New Roman" w:cs="Times New Roman"/>
          <w:sz w:val="24"/>
          <w:szCs w:val="24"/>
        </w:rPr>
        <w:t>)</w:t>
      </w:r>
      <w:r w:rsidRPr="0044157B">
        <w:rPr>
          <w:rFonts w:ascii="Times New Roman" w:eastAsia="Times New Roman" w:hAnsi="Times New Roman" w:cs="Times New Roman"/>
          <w:sz w:val="24"/>
          <w:szCs w:val="24"/>
        </w:rPr>
        <w:t>.</w:t>
      </w:r>
      <w:r w:rsidRPr="007769ED">
        <w:rPr>
          <w:rFonts w:ascii="Times New Roman" w:eastAsia="Times New Roman" w:hAnsi="Times New Roman" w:cs="Times New Roman"/>
          <w:color w:val="FF0000"/>
          <w:sz w:val="24"/>
          <w:szCs w:val="24"/>
        </w:rPr>
        <w:t xml:space="preserve">  </w:t>
      </w:r>
      <w:r w:rsidRPr="00DC7107">
        <w:rPr>
          <w:rFonts w:ascii="Times New Roman" w:eastAsia="Times New Roman" w:hAnsi="Times New Roman" w:cs="Times New Roman"/>
          <w:sz w:val="24"/>
          <w:szCs w:val="24"/>
        </w:rPr>
        <w:t>Transduced and mock-transduced control cells</w:t>
      </w:r>
      <w:r w:rsidR="00380710">
        <w:rPr>
          <w:rFonts w:ascii="Times New Roman" w:eastAsia="Times New Roman" w:hAnsi="Times New Roman" w:cs="Times New Roman"/>
          <w:sz w:val="24"/>
          <w:szCs w:val="24"/>
        </w:rPr>
        <w:t xml:space="preserve"> </w:t>
      </w:r>
      <w:r w:rsidRPr="00DC7107">
        <w:rPr>
          <w:rFonts w:ascii="Times New Roman" w:eastAsia="Times New Roman" w:hAnsi="Times New Roman" w:cs="Times New Roman"/>
          <w:sz w:val="24"/>
          <w:szCs w:val="24"/>
        </w:rPr>
        <w:t>were cultured in bulk in a myeloid promoting condition (IMDM with 15% FBS and 10 ng/mL of each growth factor SCF, TPO, FLT3L, IL3, and IL6). The transduction efficiency was approximately 9% at MOI of 50 and expression of the fusion transcript was confirmed by RT-PCR, using the primers: forward 5-[6-</w:t>
      </w:r>
      <w:proofErr w:type="gramStart"/>
      <w:r w:rsidRPr="00DC7107">
        <w:rPr>
          <w:rFonts w:ascii="Times New Roman" w:eastAsia="Times New Roman" w:hAnsi="Times New Roman" w:cs="Times New Roman"/>
          <w:sz w:val="24"/>
          <w:szCs w:val="24"/>
        </w:rPr>
        <w:t>FAM]CGAAGGGCCTCAGCTAGACGTG</w:t>
      </w:r>
      <w:proofErr w:type="gramEnd"/>
      <w:r w:rsidRPr="00DC7107">
        <w:rPr>
          <w:rFonts w:ascii="Times New Roman" w:eastAsia="Times New Roman" w:hAnsi="Times New Roman" w:cs="Times New Roman"/>
          <w:sz w:val="24"/>
          <w:szCs w:val="24"/>
        </w:rPr>
        <w:t xml:space="preserve">-3  and reverse 5-CTCGGGCTTGACATGGTAAT-3. Growth kinetics were evaluated by flow cytometry, </w:t>
      </w:r>
      <w:r w:rsidR="004C33CA">
        <w:rPr>
          <w:rFonts w:ascii="Times New Roman" w:eastAsia="Times New Roman" w:hAnsi="Times New Roman" w:cs="Times New Roman"/>
          <w:sz w:val="24"/>
          <w:szCs w:val="24"/>
        </w:rPr>
        <w:t xml:space="preserve">and </w:t>
      </w:r>
      <w:r w:rsidRPr="00DC7107">
        <w:rPr>
          <w:rFonts w:ascii="Times New Roman" w:eastAsia="Times New Roman" w:hAnsi="Times New Roman" w:cs="Times New Roman"/>
          <w:sz w:val="24"/>
          <w:szCs w:val="24"/>
        </w:rPr>
        <w:t>growth rates calculated using GraphPad Prism exponential growth analysis</w:t>
      </w:r>
      <w:r w:rsidR="004C33CA">
        <w:rPr>
          <w:rFonts w:ascii="Times New Roman" w:eastAsia="Times New Roman" w:hAnsi="Times New Roman" w:cs="Times New Roman"/>
          <w:sz w:val="24"/>
          <w:szCs w:val="24"/>
        </w:rPr>
        <w:t>. D</w:t>
      </w:r>
      <w:r w:rsidRPr="00DC7107">
        <w:rPr>
          <w:rFonts w:ascii="Times New Roman" w:eastAsia="Times New Roman" w:hAnsi="Times New Roman" w:cs="Times New Roman"/>
          <w:sz w:val="24"/>
          <w:szCs w:val="24"/>
        </w:rPr>
        <w:t xml:space="preserve">ifferences in proliferation </w:t>
      </w:r>
      <w:r w:rsidR="004C33CA">
        <w:rPr>
          <w:rFonts w:ascii="Times New Roman" w:eastAsia="Times New Roman" w:hAnsi="Times New Roman" w:cs="Times New Roman"/>
          <w:sz w:val="24"/>
          <w:szCs w:val="24"/>
        </w:rPr>
        <w:t xml:space="preserve">were </w:t>
      </w:r>
      <w:r w:rsidRPr="00DC7107">
        <w:rPr>
          <w:rFonts w:ascii="Times New Roman" w:eastAsia="Times New Roman" w:hAnsi="Times New Roman" w:cs="Times New Roman"/>
          <w:sz w:val="24"/>
          <w:szCs w:val="24"/>
        </w:rPr>
        <w:t>assessed using a paired two-tailed student’s t-test. Surface protein expression was assessed by multidimensional flow cytometry, as described above (</w:t>
      </w:r>
      <w:proofErr w:type="spellStart"/>
      <w:r w:rsidRPr="00DC7107">
        <w:rPr>
          <w:rFonts w:ascii="Times New Roman" w:eastAsia="Times New Roman" w:hAnsi="Times New Roman" w:cs="Times New Roman"/>
          <w:sz w:val="24"/>
          <w:szCs w:val="24"/>
        </w:rPr>
        <w:t>Hematologics</w:t>
      </w:r>
      <w:proofErr w:type="spellEnd"/>
      <w:r w:rsidRPr="00DC7107">
        <w:rPr>
          <w:rFonts w:ascii="Times New Roman" w:eastAsia="Times New Roman" w:hAnsi="Times New Roman" w:cs="Times New Roman"/>
          <w:sz w:val="24"/>
          <w:szCs w:val="24"/>
        </w:rPr>
        <w:t xml:space="preserve"> Inc, Seattle, </w:t>
      </w:r>
      <w:proofErr w:type="gramStart"/>
      <w:r w:rsidRPr="00DC7107">
        <w:rPr>
          <w:rFonts w:ascii="Times New Roman" w:eastAsia="Times New Roman" w:hAnsi="Times New Roman" w:cs="Times New Roman"/>
          <w:sz w:val="24"/>
          <w:szCs w:val="24"/>
        </w:rPr>
        <w:t>WA)</w:t>
      </w:r>
      <w:r w:rsidR="00EA6000">
        <w:rPr>
          <w:rFonts w:ascii="Times New Roman" w:eastAsia="Times New Roman" w:hAnsi="Times New Roman" w:cs="Times New Roman"/>
          <w:sz w:val="24"/>
          <w:szCs w:val="24"/>
        </w:rPr>
        <w:t>(</w:t>
      </w:r>
      <w:proofErr w:type="gramEnd"/>
      <w:r w:rsidR="00EA6000">
        <w:rPr>
          <w:rFonts w:ascii="Times New Roman" w:eastAsia="Times New Roman" w:hAnsi="Times New Roman" w:cs="Times New Roman"/>
          <w:sz w:val="24"/>
          <w:szCs w:val="24"/>
        </w:rPr>
        <w:t>18)</w:t>
      </w:r>
      <w:r w:rsidRPr="00DC7107">
        <w:rPr>
          <w:rFonts w:ascii="Times New Roman" w:eastAsia="Times New Roman" w:hAnsi="Times New Roman" w:cs="Times New Roman"/>
          <w:sz w:val="24"/>
          <w:szCs w:val="24"/>
        </w:rPr>
        <w:t xml:space="preserve">.  </w:t>
      </w:r>
    </w:p>
    <w:p w14:paraId="0000000A" w14:textId="4C015902" w:rsidR="00AD28FF" w:rsidRPr="005024B7" w:rsidRDefault="006A1EDD">
      <w:pPr>
        <w:spacing w:after="0" w:line="360" w:lineRule="auto"/>
        <w:rPr>
          <w:rFonts w:ascii="Times New Roman" w:eastAsia="Times New Roman" w:hAnsi="Times New Roman" w:cs="Times New Roman"/>
          <w:sz w:val="24"/>
          <w:szCs w:val="24"/>
        </w:rPr>
      </w:pPr>
      <w:bookmarkStart w:id="3" w:name="_heading=h.1fob9te" w:colFirst="0" w:colLast="0"/>
      <w:bookmarkEnd w:id="3"/>
      <w:r w:rsidRPr="005024B7">
        <w:rPr>
          <w:rFonts w:ascii="Times New Roman" w:eastAsia="Times New Roman" w:hAnsi="Times New Roman" w:cs="Times New Roman"/>
          <w:b/>
          <w:sz w:val="24"/>
          <w:szCs w:val="24"/>
        </w:rPr>
        <w:t xml:space="preserve">RNA-sequencing Library Construction. </w:t>
      </w:r>
      <w:r w:rsidRPr="005024B7">
        <w:rPr>
          <w:rFonts w:ascii="Times New Roman" w:eastAsia="Times New Roman" w:hAnsi="Times New Roman" w:cs="Times New Roman"/>
          <w:sz w:val="24"/>
          <w:szCs w:val="24"/>
        </w:rPr>
        <w:t>Total</w:t>
      </w:r>
      <w:r w:rsidRPr="005024B7">
        <w:rPr>
          <w:rFonts w:ascii="Times New Roman" w:eastAsia="Times New Roman" w:hAnsi="Times New Roman" w:cs="Times New Roman"/>
          <w:b/>
          <w:sz w:val="24"/>
          <w:szCs w:val="24"/>
        </w:rPr>
        <w:t xml:space="preserve"> </w:t>
      </w:r>
      <w:r w:rsidRPr="005024B7">
        <w:rPr>
          <w:rFonts w:ascii="Times New Roman" w:eastAsia="Times New Roman" w:hAnsi="Times New Roman" w:cs="Times New Roman"/>
          <w:sz w:val="24"/>
          <w:szCs w:val="24"/>
        </w:rPr>
        <w:t xml:space="preserve">RNA from diagnostic primary peripheral blood or bone marrow samples was extracted and purified using the </w:t>
      </w:r>
      <w:proofErr w:type="spellStart"/>
      <w:r w:rsidRPr="005024B7">
        <w:rPr>
          <w:rFonts w:ascii="Times New Roman" w:eastAsia="Times New Roman" w:hAnsi="Times New Roman" w:cs="Times New Roman"/>
          <w:sz w:val="24"/>
          <w:szCs w:val="24"/>
        </w:rPr>
        <w:t>QIAcube</w:t>
      </w:r>
      <w:proofErr w:type="spellEnd"/>
      <w:r w:rsidRPr="005024B7">
        <w:rPr>
          <w:rFonts w:ascii="Times New Roman" w:eastAsia="Times New Roman" w:hAnsi="Times New Roman" w:cs="Times New Roman"/>
          <w:sz w:val="24"/>
          <w:szCs w:val="24"/>
        </w:rPr>
        <w:t xml:space="preserve"> automated system with </w:t>
      </w:r>
      <w:proofErr w:type="spellStart"/>
      <w:r w:rsidRPr="005024B7">
        <w:rPr>
          <w:rFonts w:ascii="Times New Roman" w:eastAsia="Times New Roman" w:hAnsi="Times New Roman" w:cs="Times New Roman"/>
          <w:sz w:val="24"/>
          <w:szCs w:val="24"/>
        </w:rPr>
        <w:t>AllPrep</w:t>
      </w:r>
      <w:proofErr w:type="spellEnd"/>
      <w:r w:rsidRPr="005024B7">
        <w:rPr>
          <w:rFonts w:ascii="Times New Roman" w:eastAsia="Times New Roman" w:hAnsi="Times New Roman" w:cs="Times New Roman"/>
          <w:sz w:val="24"/>
          <w:szCs w:val="24"/>
        </w:rPr>
        <w:t xml:space="preserve"> DNA/RNA/miRNA Universal Kits (QIAGEN, Valencia, CA</w:t>
      </w:r>
      <w:r w:rsidR="00B31F92">
        <w:rPr>
          <w:rFonts w:ascii="Times New Roman" w:eastAsia="Times New Roman" w:hAnsi="Times New Roman" w:cs="Times New Roman"/>
          <w:sz w:val="24"/>
          <w:szCs w:val="24"/>
        </w:rPr>
        <w:t xml:space="preserve">, </w:t>
      </w:r>
      <w:r w:rsidR="00B31F92">
        <w:rPr>
          <w:rFonts w:ascii="Times New Roman" w:hAnsi="Times New Roman" w:cs="Times New Roman"/>
          <w:sz w:val="24"/>
          <w:szCs w:val="24"/>
        </w:rPr>
        <w:t>#</w:t>
      </w:r>
      <w:r w:rsidR="00B31F92" w:rsidRPr="003371A1">
        <w:rPr>
          <w:rFonts w:ascii="Times New Roman" w:hAnsi="Times New Roman" w:cs="Times New Roman"/>
          <w:sz w:val="24"/>
          <w:szCs w:val="24"/>
        </w:rPr>
        <w:t>80224</w:t>
      </w:r>
      <w:r w:rsidRPr="005024B7">
        <w:rPr>
          <w:rFonts w:ascii="Times New Roman" w:eastAsia="Times New Roman" w:hAnsi="Times New Roman" w:cs="Times New Roman"/>
          <w:sz w:val="24"/>
          <w:szCs w:val="24"/>
        </w:rPr>
        <w:t xml:space="preserve">). The mRNA libraries were prepared for </w:t>
      </w:r>
      <w:bookmarkStart w:id="4" w:name="_Hlk17899231"/>
      <w:r w:rsidRPr="005024B7">
        <w:rPr>
          <w:rFonts w:ascii="Times New Roman" w:eastAsia="Times New Roman" w:hAnsi="Times New Roman" w:cs="Times New Roman"/>
          <w:sz w:val="24"/>
          <w:szCs w:val="24"/>
        </w:rPr>
        <w:t>75bp</w:t>
      </w:r>
      <w:bookmarkEnd w:id="4"/>
      <w:r w:rsidRPr="005024B7">
        <w:rPr>
          <w:rFonts w:ascii="Times New Roman" w:eastAsia="Times New Roman" w:hAnsi="Times New Roman" w:cs="Times New Roman"/>
          <w:sz w:val="24"/>
          <w:szCs w:val="24"/>
        </w:rPr>
        <w:t xml:space="preserve"> strand-specific, paired-end sequencing using the ribodepletion 2.0 protocol by the British Columbia Genome Sciences Center (BCGSC, Vancouver, BC). Libraries were sequenced on the Illumina </w:t>
      </w:r>
      <w:proofErr w:type="spellStart"/>
      <w:r w:rsidRPr="005024B7">
        <w:rPr>
          <w:rFonts w:ascii="Times New Roman" w:eastAsia="Times New Roman" w:hAnsi="Times New Roman" w:cs="Times New Roman"/>
          <w:sz w:val="24"/>
          <w:szCs w:val="24"/>
        </w:rPr>
        <w:t>HiSeq</w:t>
      </w:r>
      <w:proofErr w:type="spellEnd"/>
      <w:r w:rsidRPr="005024B7">
        <w:rPr>
          <w:rFonts w:ascii="Times New Roman" w:eastAsia="Times New Roman" w:hAnsi="Times New Roman" w:cs="Times New Roman"/>
          <w:sz w:val="24"/>
          <w:szCs w:val="24"/>
        </w:rPr>
        <w:t xml:space="preserve"> 2000/2500 and aligned to Hg19 (GRCh37-lite) reference genome using BWA v0.5.7 with default parameters, except the addition of "-s" option, and duplicated reads were marked with Picard Tools. Gene level coverage analysis was performed using the BCGSC pipeline v1.1, and composite gene models were generated using </w:t>
      </w:r>
      <w:proofErr w:type="spellStart"/>
      <w:r w:rsidRPr="005024B7">
        <w:rPr>
          <w:rFonts w:ascii="Times New Roman" w:eastAsia="Times New Roman" w:hAnsi="Times New Roman" w:cs="Times New Roman"/>
          <w:sz w:val="24"/>
          <w:szCs w:val="24"/>
        </w:rPr>
        <w:t>Ensembl</w:t>
      </w:r>
      <w:proofErr w:type="spellEnd"/>
      <w:r w:rsidRPr="005024B7">
        <w:rPr>
          <w:rFonts w:ascii="Times New Roman" w:eastAsia="Times New Roman" w:hAnsi="Times New Roman" w:cs="Times New Roman"/>
          <w:sz w:val="24"/>
          <w:szCs w:val="24"/>
        </w:rPr>
        <w:t xml:space="preserve"> v69 annotations. Gene counts were quantified as the sum of the fraction of each sequence read inside all exons in the merged gene or transcript model. </w:t>
      </w:r>
    </w:p>
    <w:p w14:paraId="0000000B" w14:textId="77777777" w:rsidR="00AD28FF" w:rsidRPr="005024B7" w:rsidRDefault="006A1EDD">
      <w:pPr>
        <w:spacing w:after="0" w:line="360" w:lineRule="auto"/>
        <w:ind w:firstLine="720"/>
        <w:rPr>
          <w:rFonts w:ascii="Times New Roman" w:eastAsia="Times New Roman" w:hAnsi="Times New Roman" w:cs="Times New Roman"/>
          <w:sz w:val="24"/>
          <w:szCs w:val="24"/>
        </w:rPr>
      </w:pPr>
      <w:r w:rsidRPr="005024B7">
        <w:rPr>
          <w:rFonts w:ascii="Times New Roman" w:eastAsia="Times New Roman" w:hAnsi="Times New Roman" w:cs="Times New Roman"/>
          <w:sz w:val="24"/>
          <w:szCs w:val="24"/>
        </w:rPr>
        <w:lastRenderedPageBreak/>
        <w:t xml:space="preserve">The microRNA libraries were produced using the miRNA 3.0 protocol by the British Columbia Genome Sciences Center (BCGSC). Libraries were size-selected to enrich the miRNA-containing fraction and adapter contaminants were removed. Size-selected libraries were sequenced on the Illumina </w:t>
      </w:r>
      <w:proofErr w:type="spellStart"/>
      <w:r w:rsidRPr="005024B7">
        <w:rPr>
          <w:rFonts w:ascii="Times New Roman" w:eastAsia="Times New Roman" w:hAnsi="Times New Roman" w:cs="Times New Roman"/>
          <w:sz w:val="24"/>
          <w:szCs w:val="24"/>
        </w:rPr>
        <w:t>HiSeq</w:t>
      </w:r>
      <w:proofErr w:type="spellEnd"/>
      <w:r w:rsidRPr="005024B7">
        <w:rPr>
          <w:rFonts w:ascii="Times New Roman" w:eastAsia="Times New Roman" w:hAnsi="Times New Roman" w:cs="Times New Roman"/>
          <w:sz w:val="24"/>
          <w:szCs w:val="24"/>
        </w:rPr>
        <w:t xml:space="preserve"> 2000 with 31-bp reads. Sequence reads were trimmed to remove adapter sequences; any trimmed reads shorter than 15bp were discarded. The trimmed reads were aligned to Hg19 (GRCh37-lite) using BWA v0.5.7 and duplicated reads were marked with Picard Tools. Only perfect alignments with no mismatches were retained for mature miRNA quantification. Reads were annotated using </w:t>
      </w:r>
      <w:proofErr w:type="spellStart"/>
      <w:r w:rsidRPr="005024B7">
        <w:rPr>
          <w:rFonts w:ascii="Times New Roman" w:eastAsia="Times New Roman" w:hAnsi="Times New Roman" w:cs="Times New Roman"/>
          <w:sz w:val="24"/>
          <w:szCs w:val="24"/>
        </w:rPr>
        <w:t>miRBase</w:t>
      </w:r>
      <w:proofErr w:type="spellEnd"/>
      <w:r w:rsidRPr="005024B7">
        <w:rPr>
          <w:rFonts w:ascii="Times New Roman" w:eastAsia="Times New Roman" w:hAnsi="Times New Roman" w:cs="Times New Roman"/>
          <w:sz w:val="24"/>
          <w:szCs w:val="24"/>
        </w:rPr>
        <w:t xml:space="preserve"> v20 and normalized to million miRNA-aligned reads (RPM).  </w:t>
      </w:r>
    </w:p>
    <w:p w14:paraId="0000000D" w14:textId="5D47CDEE" w:rsidR="00AD28FF" w:rsidRPr="005024B7" w:rsidRDefault="006A1EDD">
      <w:pPr>
        <w:spacing w:after="0" w:line="360" w:lineRule="auto"/>
        <w:jc w:val="both"/>
        <w:rPr>
          <w:rFonts w:ascii="Times New Roman" w:eastAsia="Times New Roman" w:hAnsi="Times New Roman" w:cs="Times New Roman"/>
          <w:sz w:val="24"/>
          <w:szCs w:val="24"/>
        </w:rPr>
      </w:pPr>
      <w:bookmarkStart w:id="5" w:name="_heading=h.3znysh7" w:colFirst="0" w:colLast="0"/>
      <w:bookmarkEnd w:id="5"/>
      <w:r w:rsidRPr="005024B7">
        <w:rPr>
          <w:rFonts w:ascii="Times New Roman" w:eastAsia="Times New Roman" w:hAnsi="Times New Roman" w:cs="Times New Roman"/>
          <w:b/>
          <w:sz w:val="24"/>
          <w:szCs w:val="24"/>
        </w:rPr>
        <w:t xml:space="preserve">Screening of </w:t>
      </w:r>
      <w:r w:rsidRPr="005024B7">
        <w:rPr>
          <w:rFonts w:ascii="Times New Roman" w:eastAsia="Times New Roman" w:hAnsi="Times New Roman" w:cs="Times New Roman"/>
          <w:b/>
          <w:i/>
          <w:sz w:val="24"/>
          <w:szCs w:val="24"/>
        </w:rPr>
        <w:t>CBFA2T3-GLIS2</w:t>
      </w:r>
      <w:r w:rsidR="007300DD">
        <w:rPr>
          <w:rFonts w:ascii="Times New Roman" w:eastAsia="Times New Roman" w:hAnsi="Times New Roman" w:cs="Times New Roman"/>
          <w:b/>
          <w:i/>
          <w:sz w:val="24"/>
          <w:szCs w:val="24"/>
        </w:rPr>
        <w:t xml:space="preserve"> </w:t>
      </w:r>
      <w:r w:rsidR="007300DD" w:rsidRPr="007300DD">
        <w:rPr>
          <w:rFonts w:ascii="Times New Roman" w:eastAsia="Times New Roman" w:hAnsi="Times New Roman" w:cs="Times New Roman"/>
          <w:b/>
          <w:sz w:val="24"/>
          <w:szCs w:val="24"/>
        </w:rPr>
        <w:t>Fusion</w:t>
      </w:r>
      <w:r w:rsidRPr="005024B7">
        <w:rPr>
          <w:rFonts w:ascii="Times New Roman" w:eastAsia="Times New Roman" w:hAnsi="Times New Roman" w:cs="Times New Roman"/>
          <w:b/>
          <w:sz w:val="24"/>
          <w:szCs w:val="24"/>
        </w:rPr>
        <w:t xml:space="preserve">. </w:t>
      </w:r>
      <w:r w:rsidRPr="005024B7">
        <w:rPr>
          <w:rFonts w:ascii="Times New Roman" w:eastAsia="Times New Roman" w:hAnsi="Times New Roman" w:cs="Times New Roman"/>
          <w:sz w:val="24"/>
          <w:szCs w:val="24"/>
        </w:rPr>
        <w:t xml:space="preserve">The </w:t>
      </w:r>
      <w:r w:rsidRPr="005024B7">
        <w:rPr>
          <w:rFonts w:ascii="Times New Roman" w:eastAsia="Times New Roman" w:hAnsi="Times New Roman" w:cs="Times New Roman"/>
          <w:i/>
          <w:sz w:val="24"/>
          <w:szCs w:val="24"/>
        </w:rPr>
        <w:t>CBFA2T3-GLIS2</w:t>
      </w:r>
      <w:r w:rsidRPr="005024B7">
        <w:rPr>
          <w:rFonts w:ascii="Times New Roman" w:eastAsia="Times New Roman" w:hAnsi="Times New Roman" w:cs="Times New Roman"/>
          <w:sz w:val="24"/>
          <w:szCs w:val="24"/>
        </w:rPr>
        <w:t xml:space="preserve"> fusion transcript was detected by either A) Fragment length analysis, or B) fusion detection algorithms, STAR-fusion v1.1.0 and </w:t>
      </w:r>
      <w:proofErr w:type="spellStart"/>
      <w:r w:rsidRPr="005024B7">
        <w:rPr>
          <w:rFonts w:ascii="Times New Roman" w:eastAsia="Times New Roman" w:hAnsi="Times New Roman" w:cs="Times New Roman"/>
          <w:sz w:val="24"/>
          <w:szCs w:val="24"/>
        </w:rPr>
        <w:t>TransAbyss</w:t>
      </w:r>
      <w:proofErr w:type="spellEnd"/>
      <w:r w:rsidRPr="005024B7">
        <w:rPr>
          <w:rFonts w:ascii="Times New Roman" w:eastAsia="Times New Roman" w:hAnsi="Times New Roman" w:cs="Times New Roman"/>
          <w:sz w:val="24"/>
          <w:szCs w:val="24"/>
        </w:rPr>
        <w:t xml:space="preserve"> v1.4.10 (</w:t>
      </w:r>
      <w:r w:rsidR="007C5AFF">
        <w:rPr>
          <w:rFonts w:ascii="Times New Roman" w:eastAsia="Times New Roman" w:hAnsi="Times New Roman" w:cs="Times New Roman"/>
          <w:sz w:val="24"/>
          <w:szCs w:val="24"/>
        </w:rPr>
        <w:t>22</w:t>
      </w:r>
      <w:r w:rsidRPr="005024B7">
        <w:rPr>
          <w:rFonts w:ascii="Times New Roman" w:eastAsia="Times New Roman" w:hAnsi="Times New Roman" w:cs="Times New Roman"/>
          <w:sz w:val="24"/>
          <w:szCs w:val="24"/>
        </w:rPr>
        <w:t>,</w:t>
      </w:r>
      <w:r w:rsidR="007C5AFF">
        <w:rPr>
          <w:rFonts w:ascii="Times New Roman" w:eastAsia="Times New Roman" w:hAnsi="Times New Roman" w:cs="Times New Roman"/>
          <w:sz w:val="24"/>
          <w:szCs w:val="24"/>
        </w:rPr>
        <w:t>23</w:t>
      </w:r>
      <w:r w:rsidRPr="005024B7">
        <w:rPr>
          <w:rFonts w:ascii="Times New Roman" w:eastAsia="Times New Roman" w:hAnsi="Times New Roman" w:cs="Times New Roman"/>
          <w:sz w:val="24"/>
          <w:szCs w:val="24"/>
        </w:rPr>
        <w:t xml:space="preserve">). </w:t>
      </w:r>
    </w:p>
    <w:p w14:paraId="14F4D2EC" w14:textId="77777777" w:rsidR="003B0F67" w:rsidRDefault="006A1EDD" w:rsidP="003B0F67">
      <w:pPr>
        <w:spacing w:after="0" w:line="360" w:lineRule="auto"/>
        <w:ind w:firstLine="720"/>
        <w:jc w:val="both"/>
        <w:rPr>
          <w:rFonts w:ascii="Times New Roman" w:eastAsia="Times New Roman" w:hAnsi="Times New Roman" w:cs="Times New Roman"/>
          <w:sz w:val="24"/>
          <w:szCs w:val="24"/>
        </w:rPr>
      </w:pPr>
      <w:r w:rsidRPr="005024B7">
        <w:rPr>
          <w:rFonts w:ascii="Times New Roman" w:eastAsia="Times New Roman" w:hAnsi="Times New Roman" w:cs="Times New Roman"/>
          <w:sz w:val="24"/>
          <w:szCs w:val="24"/>
        </w:rPr>
        <w:t xml:space="preserve">For fragment length analysis, RNA was extracted as above and reverse transcription was performed on total RNA followed by PCR using a fluorescently labeled forward primer on cDNA of the </w:t>
      </w:r>
      <w:r w:rsidRPr="005024B7">
        <w:rPr>
          <w:rFonts w:ascii="Times New Roman" w:eastAsia="Times New Roman" w:hAnsi="Times New Roman" w:cs="Times New Roman"/>
          <w:i/>
          <w:sz w:val="24"/>
          <w:szCs w:val="24"/>
        </w:rPr>
        <w:t>CBFA2T3-GLIS2</w:t>
      </w:r>
      <w:r w:rsidRPr="005024B7">
        <w:rPr>
          <w:rFonts w:ascii="Times New Roman" w:eastAsia="Times New Roman" w:hAnsi="Times New Roman" w:cs="Times New Roman"/>
          <w:sz w:val="24"/>
          <w:szCs w:val="24"/>
        </w:rPr>
        <w:t xml:space="preserve"> fusion transcript using the following primers: forward 5-[6-</w:t>
      </w:r>
      <w:proofErr w:type="gramStart"/>
      <w:r w:rsidRPr="005024B7">
        <w:rPr>
          <w:rFonts w:ascii="Times New Roman" w:eastAsia="Times New Roman" w:hAnsi="Times New Roman" w:cs="Times New Roman"/>
          <w:sz w:val="24"/>
          <w:szCs w:val="24"/>
        </w:rPr>
        <w:t>FAM]CGAAGGGCCTCAGCTAGACGTG</w:t>
      </w:r>
      <w:proofErr w:type="gramEnd"/>
      <w:r w:rsidRPr="005024B7">
        <w:rPr>
          <w:rFonts w:ascii="Times New Roman" w:eastAsia="Times New Roman" w:hAnsi="Times New Roman" w:cs="Times New Roman"/>
          <w:sz w:val="24"/>
          <w:szCs w:val="24"/>
        </w:rPr>
        <w:t xml:space="preserve">-3  and reverse 5-CTCGGGCTTGACATGGTAAT-3. The denaturing, annealing, and extension steps were performed at 94°C for 30 s, 62.5°C for 45 s, and 72°C for 45 s, respectively, for 40 cycles with an initial 3-min denaturation step at 94°C and a final 5-min extension step at 72°C. The house-keeping gene BCR was used to evaluate the quality of cDNA. Tandem amplification of BCR was performed for all specimens. Fragment length analysis of the PCR product was accomplished using the Applied Biosystems 3730xl DNA Analyzer. </w:t>
      </w:r>
    </w:p>
    <w:p w14:paraId="00000010" w14:textId="76BF1AB4" w:rsidR="00AD28FF" w:rsidRDefault="003B0F67" w:rsidP="003B0F67">
      <w:pPr>
        <w:spacing w:after="0" w:line="360" w:lineRule="auto"/>
        <w:ind w:firstLine="720"/>
        <w:jc w:val="both"/>
        <w:rPr>
          <w:rFonts w:ascii="Times New Roman" w:eastAsia="Times New Roman" w:hAnsi="Times New Roman" w:cs="Times New Roman"/>
          <w:sz w:val="24"/>
          <w:szCs w:val="24"/>
        </w:rPr>
      </w:pPr>
      <w:r w:rsidRPr="003B0F67">
        <w:rPr>
          <w:rFonts w:ascii="Times New Roman" w:eastAsia="Times New Roman" w:hAnsi="Times New Roman" w:cs="Times New Roman"/>
          <w:sz w:val="24"/>
          <w:szCs w:val="24"/>
        </w:rPr>
        <w:t xml:space="preserve">For samples with RNA-sequencing data, STAR-fusion and </w:t>
      </w:r>
      <w:proofErr w:type="spellStart"/>
      <w:r w:rsidRPr="003B0F67">
        <w:rPr>
          <w:rFonts w:ascii="Times New Roman" w:eastAsia="Times New Roman" w:hAnsi="Times New Roman" w:cs="Times New Roman"/>
          <w:sz w:val="24"/>
          <w:szCs w:val="24"/>
        </w:rPr>
        <w:t>TransAbyss</w:t>
      </w:r>
      <w:proofErr w:type="spellEnd"/>
      <w:r w:rsidRPr="003B0F67">
        <w:rPr>
          <w:rFonts w:ascii="Times New Roman" w:eastAsia="Times New Roman" w:hAnsi="Times New Roman" w:cs="Times New Roman"/>
          <w:sz w:val="24"/>
          <w:szCs w:val="24"/>
        </w:rPr>
        <w:t xml:space="preserve"> fusion detection software was employed. STAR-fusion was run using default parameters with the </w:t>
      </w:r>
      <w:r w:rsidR="00591C1E">
        <w:rPr>
          <w:rFonts w:ascii="Times New Roman" w:eastAsia="Times New Roman" w:hAnsi="Times New Roman" w:cs="Times New Roman"/>
          <w:sz w:val="24"/>
          <w:szCs w:val="24"/>
        </w:rPr>
        <w:t xml:space="preserve">pre-made </w:t>
      </w:r>
      <w:r w:rsidRPr="003B0F67">
        <w:rPr>
          <w:rFonts w:ascii="Times New Roman" w:eastAsia="Times New Roman" w:hAnsi="Times New Roman" w:cs="Times New Roman"/>
          <w:sz w:val="24"/>
          <w:szCs w:val="24"/>
        </w:rPr>
        <w:t>GRCh37 resource library</w:t>
      </w:r>
      <w:r w:rsidR="00591C1E">
        <w:rPr>
          <w:rFonts w:ascii="Times New Roman" w:eastAsia="Times New Roman" w:hAnsi="Times New Roman" w:cs="Times New Roman"/>
          <w:sz w:val="24"/>
          <w:szCs w:val="24"/>
        </w:rPr>
        <w:t xml:space="preserve"> with </w:t>
      </w:r>
      <w:proofErr w:type="spellStart"/>
      <w:r w:rsidR="00591C1E">
        <w:rPr>
          <w:rFonts w:ascii="Times New Roman" w:eastAsia="Times New Roman" w:hAnsi="Times New Roman" w:cs="Times New Roman"/>
          <w:sz w:val="24"/>
          <w:szCs w:val="24"/>
        </w:rPr>
        <w:t>Gencode</w:t>
      </w:r>
      <w:proofErr w:type="spellEnd"/>
      <w:r w:rsidR="00591C1E">
        <w:rPr>
          <w:rFonts w:ascii="Times New Roman" w:eastAsia="Times New Roman" w:hAnsi="Times New Roman" w:cs="Times New Roman"/>
          <w:sz w:val="24"/>
          <w:szCs w:val="24"/>
        </w:rPr>
        <w:t xml:space="preserve"> v</w:t>
      </w:r>
      <w:r w:rsidR="00871C5F">
        <w:rPr>
          <w:rFonts w:ascii="Times New Roman" w:eastAsia="Times New Roman" w:hAnsi="Times New Roman" w:cs="Times New Roman"/>
          <w:sz w:val="24"/>
          <w:szCs w:val="24"/>
        </w:rPr>
        <w:t xml:space="preserve">ersion </w:t>
      </w:r>
      <w:r w:rsidR="00591C1E">
        <w:rPr>
          <w:rFonts w:ascii="Times New Roman" w:eastAsia="Times New Roman" w:hAnsi="Times New Roman" w:cs="Times New Roman"/>
          <w:sz w:val="24"/>
          <w:szCs w:val="24"/>
        </w:rPr>
        <w:t xml:space="preserve">19 </w:t>
      </w:r>
      <w:r w:rsidR="00871C5F">
        <w:rPr>
          <w:rFonts w:ascii="Times New Roman" w:eastAsia="Times New Roman" w:hAnsi="Times New Roman" w:cs="Times New Roman"/>
          <w:sz w:val="24"/>
          <w:szCs w:val="24"/>
        </w:rPr>
        <w:t xml:space="preserve">annotations </w:t>
      </w:r>
      <w:r w:rsidR="00473A36">
        <w:rPr>
          <w:rFonts w:ascii="Times New Roman" w:eastAsia="Times New Roman" w:hAnsi="Times New Roman" w:cs="Times New Roman"/>
          <w:sz w:val="24"/>
          <w:szCs w:val="24"/>
        </w:rPr>
        <w:t>(</w:t>
      </w:r>
      <w:hyperlink r:id="rId7" w:history="1">
        <w:r w:rsidR="00E51966" w:rsidRPr="005516C7">
          <w:rPr>
            <w:rStyle w:val="Hyperlink"/>
            <w:rFonts w:ascii="Times New Roman" w:eastAsia="Times New Roman" w:hAnsi="Times New Roman" w:cs="Times New Roman"/>
            <w:sz w:val="24"/>
            <w:szCs w:val="24"/>
          </w:rPr>
          <w:t>https://data.broadinstitute.org/Trinity/CTAT_RESOURCE_LIB/</w:t>
        </w:r>
      </w:hyperlink>
      <w:r w:rsidR="00473A36">
        <w:rPr>
          <w:rFonts w:ascii="Times New Roman" w:eastAsia="Times New Roman" w:hAnsi="Times New Roman" w:cs="Times New Roman"/>
          <w:sz w:val="24"/>
          <w:szCs w:val="24"/>
        </w:rPr>
        <w:t>)</w:t>
      </w:r>
      <w:r w:rsidR="00E51966">
        <w:rPr>
          <w:rFonts w:ascii="Times New Roman" w:eastAsia="Times New Roman" w:hAnsi="Times New Roman" w:cs="Times New Roman"/>
          <w:sz w:val="24"/>
          <w:szCs w:val="24"/>
        </w:rPr>
        <w:t xml:space="preserve"> </w:t>
      </w:r>
      <w:r w:rsidRPr="003B0F67">
        <w:rPr>
          <w:rFonts w:ascii="Times New Roman" w:eastAsia="Times New Roman" w:hAnsi="Times New Roman" w:cs="Times New Roman"/>
          <w:sz w:val="24"/>
          <w:szCs w:val="24"/>
        </w:rPr>
        <w:t xml:space="preserve">(22). </w:t>
      </w:r>
      <w:proofErr w:type="spellStart"/>
      <w:r w:rsidRPr="003B0F67">
        <w:rPr>
          <w:rFonts w:ascii="Times New Roman" w:eastAsia="Times New Roman" w:hAnsi="Times New Roman" w:cs="Times New Roman"/>
          <w:sz w:val="24"/>
          <w:szCs w:val="24"/>
        </w:rPr>
        <w:t>TransAbyss</w:t>
      </w:r>
      <w:proofErr w:type="spellEnd"/>
      <w:r w:rsidRPr="003B0F67">
        <w:rPr>
          <w:rFonts w:ascii="Times New Roman" w:eastAsia="Times New Roman" w:hAnsi="Times New Roman" w:cs="Times New Roman"/>
          <w:sz w:val="24"/>
          <w:szCs w:val="24"/>
        </w:rPr>
        <w:t xml:space="preserve"> required fusions to have breakpoint reads ≥ 1, flanking pairs ≥ 2 counts, and spanning reads ≥ 2 counts</w:t>
      </w:r>
      <w:r w:rsidR="00A60AF4">
        <w:rPr>
          <w:rFonts w:ascii="Times New Roman" w:eastAsia="Times New Roman" w:hAnsi="Times New Roman" w:cs="Times New Roman"/>
          <w:sz w:val="24"/>
          <w:szCs w:val="24"/>
        </w:rPr>
        <w:t xml:space="preserve"> (23)</w:t>
      </w:r>
      <w:r w:rsidRPr="003B0F67">
        <w:rPr>
          <w:rFonts w:ascii="Times New Roman" w:eastAsia="Times New Roman" w:hAnsi="Times New Roman" w:cs="Times New Roman"/>
          <w:sz w:val="24"/>
          <w:szCs w:val="24"/>
        </w:rPr>
        <w:t>.  Fusions detected computationally were verified using RT-PCR, with primers listed above. For one case, the forward primer 5’-GCAGAAGAGTGGAAGCACCT-3’ was used for verification due to a non-typical breakpoint. Fusion gene expression was quantified and visualized on IGV using Fusion Inspector v.1.2.0 (Broad Institute, Cambridge, MA)</w:t>
      </w:r>
      <w:r w:rsidR="009468A9">
        <w:rPr>
          <w:rFonts w:ascii="Times New Roman" w:eastAsia="Times New Roman" w:hAnsi="Times New Roman" w:cs="Times New Roman"/>
          <w:sz w:val="24"/>
          <w:szCs w:val="24"/>
        </w:rPr>
        <w:t xml:space="preserve"> </w:t>
      </w:r>
      <w:bookmarkStart w:id="6" w:name="_GoBack"/>
      <w:bookmarkEnd w:id="6"/>
      <w:r w:rsidR="002C161A">
        <w:rPr>
          <w:rFonts w:ascii="Times New Roman" w:eastAsia="Times New Roman" w:hAnsi="Times New Roman" w:cs="Times New Roman"/>
          <w:sz w:val="24"/>
          <w:szCs w:val="24"/>
        </w:rPr>
        <w:t>(22)</w:t>
      </w:r>
      <w:r w:rsidRPr="003B0F67">
        <w:rPr>
          <w:rFonts w:ascii="Times New Roman" w:eastAsia="Times New Roman" w:hAnsi="Times New Roman" w:cs="Times New Roman"/>
          <w:sz w:val="24"/>
          <w:szCs w:val="24"/>
        </w:rPr>
        <w:t xml:space="preserve">. The median spanning fusion </w:t>
      </w:r>
      <w:r w:rsidRPr="003B0F67">
        <w:rPr>
          <w:rFonts w:ascii="Times New Roman" w:eastAsia="Times New Roman" w:hAnsi="Times New Roman" w:cs="Times New Roman"/>
          <w:sz w:val="24"/>
          <w:szCs w:val="24"/>
        </w:rPr>
        <w:lastRenderedPageBreak/>
        <w:t xml:space="preserve">fragment count was 46.5 reads (range: 3.0 - 195.0), and median junction supporting count was 51 reads (range: 6.0 - 190.0). Abundance of the fusion fragments per million mapped reads (FFPM) was 1.0 FFPM (range: 0.2 - 5.1).  </w:t>
      </w:r>
    </w:p>
    <w:p w14:paraId="00000011" w14:textId="77777777" w:rsidR="00AD28FF" w:rsidRPr="005024B7" w:rsidRDefault="006A1EDD">
      <w:pPr>
        <w:spacing w:after="0" w:line="360" w:lineRule="auto"/>
        <w:ind w:firstLine="720"/>
        <w:jc w:val="both"/>
        <w:rPr>
          <w:rFonts w:ascii="Times New Roman" w:eastAsia="Times New Roman" w:hAnsi="Times New Roman" w:cs="Times New Roman"/>
          <w:sz w:val="24"/>
          <w:szCs w:val="24"/>
        </w:rPr>
      </w:pPr>
      <w:r w:rsidRPr="005024B7">
        <w:rPr>
          <w:rFonts w:ascii="Times New Roman" w:eastAsia="Times New Roman" w:hAnsi="Times New Roman" w:cs="Times New Roman"/>
          <w:b/>
          <w:sz w:val="24"/>
          <w:szCs w:val="24"/>
        </w:rPr>
        <w:t xml:space="preserve">Differential Expression, Hierarchical Clustering, Gene-Set Enrichment Analysis, and miRNA-mRNA Interactions. </w:t>
      </w:r>
      <w:r w:rsidRPr="005024B7">
        <w:rPr>
          <w:rFonts w:ascii="Times New Roman" w:eastAsia="Times New Roman" w:hAnsi="Times New Roman" w:cs="Times New Roman"/>
          <w:sz w:val="24"/>
          <w:szCs w:val="24"/>
        </w:rPr>
        <w:t xml:space="preserve">Differential expression analysis was performed using mRNA-sequencing or miRNA-sequencing data from 1,049 diagnostic AML patients and 62 healthy normal marrows. Differentially expressed genes and miRNAs between </w:t>
      </w:r>
      <w:r w:rsidRPr="005024B7">
        <w:rPr>
          <w:rFonts w:ascii="Times New Roman" w:eastAsia="Times New Roman" w:hAnsi="Times New Roman" w:cs="Times New Roman"/>
          <w:i/>
          <w:sz w:val="24"/>
          <w:szCs w:val="24"/>
        </w:rPr>
        <w:t>CBFA2T3-GLIS2</w:t>
      </w:r>
      <w:r w:rsidRPr="005024B7">
        <w:rPr>
          <w:rFonts w:ascii="Times New Roman" w:eastAsia="Times New Roman" w:hAnsi="Times New Roman" w:cs="Times New Roman"/>
          <w:sz w:val="24"/>
          <w:szCs w:val="24"/>
        </w:rPr>
        <w:t xml:space="preserve"> positive and negative patients were identified using the </w:t>
      </w:r>
      <w:proofErr w:type="spellStart"/>
      <w:r w:rsidRPr="005024B7">
        <w:rPr>
          <w:rFonts w:ascii="Times New Roman" w:eastAsia="Times New Roman" w:hAnsi="Times New Roman" w:cs="Times New Roman"/>
          <w:sz w:val="24"/>
          <w:szCs w:val="24"/>
        </w:rPr>
        <w:t>Limma</w:t>
      </w:r>
      <w:proofErr w:type="spellEnd"/>
      <w:r w:rsidRPr="005024B7">
        <w:rPr>
          <w:rFonts w:ascii="Times New Roman" w:eastAsia="Times New Roman" w:hAnsi="Times New Roman" w:cs="Times New Roman"/>
          <w:sz w:val="24"/>
          <w:szCs w:val="24"/>
        </w:rPr>
        <w:t xml:space="preserve"> v.3.36.1 R package with trimmed mean of M values (TMM) normalized gene counts.  Genes with absolute log2 fold change &gt; 1 and </w:t>
      </w:r>
      <w:proofErr w:type="spellStart"/>
      <w:r w:rsidRPr="005024B7">
        <w:rPr>
          <w:rFonts w:ascii="Times New Roman" w:eastAsia="Times New Roman" w:hAnsi="Times New Roman" w:cs="Times New Roman"/>
          <w:sz w:val="24"/>
          <w:szCs w:val="24"/>
        </w:rPr>
        <w:t>Benjamini</w:t>
      </w:r>
      <w:proofErr w:type="spellEnd"/>
      <w:r w:rsidRPr="005024B7">
        <w:rPr>
          <w:rFonts w:ascii="Times New Roman" w:eastAsia="Times New Roman" w:hAnsi="Times New Roman" w:cs="Times New Roman"/>
          <w:sz w:val="24"/>
          <w:szCs w:val="24"/>
        </w:rPr>
        <w:t xml:space="preserve">–Hochberg adjusted p-values &lt; 0.05 (false discovery rate, FDR) were retained for further analysis. </w:t>
      </w:r>
    </w:p>
    <w:p w14:paraId="00000012" w14:textId="77777777" w:rsidR="00AD28FF" w:rsidRPr="005024B7" w:rsidRDefault="006A1EDD">
      <w:pPr>
        <w:spacing w:after="0" w:line="360" w:lineRule="auto"/>
        <w:ind w:firstLine="720"/>
        <w:jc w:val="both"/>
        <w:rPr>
          <w:rFonts w:ascii="Times New Roman" w:eastAsia="Times New Roman" w:hAnsi="Times New Roman" w:cs="Times New Roman"/>
          <w:sz w:val="24"/>
          <w:szCs w:val="24"/>
        </w:rPr>
      </w:pPr>
      <w:r w:rsidRPr="005024B7">
        <w:rPr>
          <w:rFonts w:ascii="Times New Roman" w:eastAsia="Times New Roman" w:hAnsi="Times New Roman" w:cs="Times New Roman"/>
          <w:sz w:val="24"/>
          <w:szCs w:val="24"/>
        </w:rPr>
        <w:t xml:space="preserve">For cluster analysis, the read counts were TMM normalized and converted to log2 scale with a count of 1 added to avoid taking the log of zero. Unsupervised hierarchical clustering was performed using Euclidean distance matrices with the </w:t>
      </w:r>
      <w:proofErr w:type="gramStart"/>
      <w:r w:rsidRPr="005024B7">
        <w:rPr>
          <w:rFonts w:ascii="Times New Roman" w:eastAsia="Times New Roman" w:hAnsi="Times New Roman" w:cs="Times New Roman"/>
          <w:sz w:val="24"/>
          <w:szCs w:val="24"/>
        </w:rPr>
        <w:t>ward.D</w:t>
      </w:r>
      <w:proofErr w:type="gramEnd"/>
      <w:r w:rsidRPr="005024B7">
        <w:rPr>
          <w:rFonts w:ascii="Times New Roman" w:eastAsia="Times New Roman" w:hAnsi="Times New Roman" w:cs="Times New Roman"/>
          <w:sz w:val="24"/>
          <w:szCs w:val="24"/>
        </w:rPr>
        <w:t xml:space="preserve">2 linkage algorithm. Classical multidimensional scaling was performed with mean fluorescent intensity (MFI) values from flow cytometry data using the vegan v2.5-4 R package; MFI values were log2 transformed MFI with an added count of 1 prior to analysis. </w:t>
      </w:r>
    </w:p>
    <w:p w14:paraId="00000013" w14:textId="0F92358F" w:rsidR="00AD28FF" w:rsidRPr="005024B7" w:rsidRDefault="006A1EDD">
      <w:pPr>
        <w:spacing w:after="0" w:line="360" w:lineRule="auto"/>
        <w:ind w:firstLine="720"/>
        <w:jc w:val="both"/>
        <w:rPr>
          <w:rFonts w:ascii="Times New Roman" w:eastAsia="Times New Roman" w:hAnsi="Times New Roman" w:cs="Times New Roman"/>
          <w:sz w:val="24"/>
          <w:szCs w:val="24"/>
        </w:rPr>
      </w:pPr>
      <w:r w:rsidRPr="005024B7">
        <w:rPr>
          <w:rFonts w:ascii="Times New Roman" w:eastAsia="Times New Roman" w:hAnsi="Times New Roman" w:cs="Times New Roman"/>
          <w:sz w:val="24"/>
          <w:szCs w:val="24"/>
        </w:rPr>
        <w:t>Gene-set enrichment analysis was completed with log2 TMM normalized counts with an added count of 1 as input. Gene-set enrichment was performed using the ‘unpaired’ comparison in the GAGE v2.30.0 R package</w:t>
      </w:r>
      <w:r w:rsidR="00F5671E">
        <w:rPr>
          <w:rFonts w:ascii="Times New Roman" w:eastAsia="Times New Roman" w:hAnsi="Times New Roman" w:cs="Times New Roman"/>
          <w:sz w:val="24"/>
          <w:szCs w:val="24"/>
        </w:rPr>
        <w:t xml:space="preserve"> (</w:t>
      </w:r>
      <w:r w:rsidR="00C95C2F">
        <w:rPr>
          <w:rFonts w:ascii="Times New Roman" w:eastAsia="Times New Roman" w:hAnsi="Times New Roman" w:cs="Times New Roman"/>
          <w:sz w:val="24"/>
          <w:szCs w:val="24"/>
        </w:rPr>
        <w:t>2</w:t>
      </w:r>
      <w:r w:rsidR="00F75B97">
        <w:rPr>
          <w:rFonts w:ascii="Times New Roman" w:eastAsia="Times New Roman" w:hAnsi="Times New Roman" w:cs="Times New Roman"/>
          <w:sz w:val="24"/>
          <w:szCs w:val="24"/>
        </w:rPr>
        <w:t>4</w:t>
      </w:r>
      <w:r w:rsidR="00F5671E">
        <w:rPr>
          <w:rFonts w:ascii="Times New Roman" w:eastAsia="Times New Roman" w:hAnsi="Times New Roman" w:cs="Times New Roman"/>
          <w:sz w:val="24"/>
          <w:szCs w:val="24"/>
        </w:rPr>
        <w:t>)</w:t>
      </w:r>
      <w:r w:rsidRPr="005024B7">
        <w:rPr>
          <w:rFonts w:ascii="Times New Roman" w:eastAsia="Times New Roman" w:hAnsi="Times New Roman" w:cs="Times New Roman"/>
          <w:sz w:val="24"/>
          <w:szCs w:val="24"/>
        </w:rPr>
        <w:t>, which tests for differential expression of gene-sets by contrasting all possible combinations of fusion-positive to fusion-negative samples. Gene-sets from the Molecular Signatures Database (</w:t>
      </w:r>
      <w:proofErr w:type="spellStart"/>
      <w:r w:rsidRPr="005024B7">
        <w:rPr>
          <w:rFonts w:ascii="Times New Roman" w:eastAsia="Times New Roman" w:hAnsi="Times New Roman" w:cs="Times New Roman"/>
          <w:sz w:val="24"/>
          <w:szCs w:val="24"/>
        </w:rPr>
        <w:t>MSigDB</w:t>
      </w:r>
      <w:proofErr w:type="spellEnd"/>
      <w:r w:rsidRPr="005024B7">
        <w:rPr>
          <w:rFonts w:ascii="Times New Roman" w:eastAsia="Times New Roman" w:hAnsi="Times New Roman" w:cs="Times New Roman"/>
          <w:sz w:val="24"/>
          <w:szCs w:val="24"/>
        </w:rPr>
        <w:t>) and the KEGG pathway database were used and non-redundant gene-sets were extracted for further analysis and identification of core genes that contribute to the pathway enrichment using the GAGE package.</w:t>
      </w:r>
    </w:p>
    <w:p w14:paraId="00000014" w14:textId="77777777" w:rsidR="00AD28FF" w:rsidRPr="005024B7" w:rsidRDefault="006A1EDD">
      <w:pPr>
        <w:spacing w:after="0" w:line="360" w:lineRule="auto"/>
        <w:ind w:firstLine="720"/>
        <w:jc w:val="both"/>
        <w:rPr>
          <w:rFonts w:ascii="Times New Roman" w:eastAsia="Times New Roman" w:hAnsi="Times New Roman" w:cs="Times New Roman"/>
          <w:sz w:val="24"/>
          <w:szCs w:val="24"/>
        </w:rPr>
      </w:pPr>
      <w:r w:rsidRPr="005024B7">
        <w:rPr>
          <w:rFonts w:ascii="Times New Roman" w:eastAsia="Times New Roman" w:hAnsi="Times New Roman" w:cs="Times New Roman"/>
          <w:sz w:val="24"/>
          <w:szCs w:val="24"/>
        </w:rPr>
        <w:t xml:space="preserve">Regulatory interactions between miRNA-mRNA were investigated by selecting pairs of differentially expressed miRNAs and genes with significant anti-correlation using Spearman’s </w:t>
      </w:r>
      <w:r w:rsidRPr="005024B7">
        <w:rPr>
          <w:rFonts w:ascii="Times New Roman" w:eastAsia="Times New Roman" w:hAnsi="Times New Roman" w:cs="Times New Roman"/>
          <w:i/>
          <w:sz w:val="24"/>
          <w:szCs w:val="24"/>
        </w:rPr>
        <w:t>rho</w:t>
      </w:r>
      <w:r w:rsidRPr="005024B7">
        <w:rPr>
          <w:rFonts w:ascii="Times New Roman" w:eastAsia="Times New Roman" w:hAnsi="Times New Roman" w:cs="Times New Roman"/>
          <w:sz w:val="24"/>
          <w:szCs w:val="24"/>
        </w:rPr>
        <w:t xml:space="preserve"> using log2+1 transformed TMM normalized counts. Significance of anti-correlations were adjusted for multiple hypothesis testing using the </w:t>
      </w:r>
      <w:proofErr w:type="spellStart"/>
      <w:r w:rsidRPr="005024B7">
        <w:rPr>
          <w:rFonts w:ascii="Times New Roman" w:eastAsia="Times New Roman" w:hAnsi="Times New Roman" w:cs="Times New Roman"/>
          <w:sz w:val="24"/>
          <w:szCs w:val="24"/>
        </w:rPr>
        <w:t>Benjamini</w:t>
      </w:r>
      <w:proofErr w:type="spellEnd"/>
      <w:r w:rsidRPr="005024B7">
        <w:rPr>
          <w:rFonts w:ascii="Times New Roman" w:eastAsia="Times New Roman" w:hAnsi="Times New Roman" w:cs="Times New Roman"/>
          <w:sz w:val="24"/>
          <w:szCs w:val="24"/>
        </w:rPr>
        <w:t xml:space="preserve">–Hochberg method.  The anti-correlated miRNA-miRNA pairs were then investigated for predicted and validated interactions by querying the databases: </w:t>
      </w:r>
      <w:r w:rsidRPr="005024B7">
        <w:rPr>
          <w:rFonts w:ascii="Times New Roman" w:eastAsia="Times New Roman" w:hAnsi="Times New Roman" w:cs="Times New Roman"/>
          <w:color w:val="333333"/>
          <w:sz w:val="24"/>
          <w:szCs w:val="24"/>
          <w:highlight w:val="white"/>
        </w:rPr>
        <w:t xml:space="preserve">DIANA </w:t>
      </w:r>
      <w:proofErr w:type="spellStart"/>
      <w:r w:rsidRPr="005024B7">
        <w:rPr>
          <w:rFonts w:ascii="Times New Roman" w:eastAsia="Times New Roman" w:hAnsi="Times New Roman" w:cs="Times New Roman"/>
          <w:color w:val="333333"/>
          <w:sz w:val="24"/>
          <w:szCs w:val="24"/>
          <w:highlight w:val="white"/>
        </w:rPr>
        <w:t>microT</w:t>
      </w:r>
      <w:proofErr w:type="spellEnd"/>
      <w:r w:rsidRPr="005024B7">
        <w:rPr>
          <w:rFonts w:ascii="Times New Roman" w:eastAsia="Times New Roman" w:hAnsi="Times New Roman" w:cs="Times New Roman"/>
          <w:color w:val="333333"/>
          <w:sz w:val="24"/>
          <w:szCs w:val="24"/>
          <w:highlight w:val="white"/>
        </w:rPr>
        <w:t xml:space="preserve"> CDS, </w:t>
      </w:r>
      <w:proofErr w:type="spellStart"/>
      <w:r w:rsidRPr="005024B7">
        <w:rPr>
          <w:rFonts w:ascii="Times New Roman" w:eastAsia="Times New Roman" w:hAnsi="Times New Roman" w:cs="Times New Roman"/>
          <w:color w:val="333333"/>
          <w:sz w:val="24"/>
          <w:szCs w:val="24"/>
          <w:highlight w:val="white"/>
        </w:rPr>
        <w:t>EIMMo</w:t>
      </w:r>
      <w:proofErr w:type="spellEnd"/>
      <w:r w:rsidRPr="005024B7">
        <w:rPr>
          <w:rFonts w:ascii="Times New Roman" w:eastAsia="Times New Roman" w:hAnsi="Times New Roman" w:cs="Times New Roman"/>
          <w:color w:val="333333"/>
          <w:sz w:val="24"/>
          <w:szCs w:val="24"/>
          <w:highlight w:val="white"/>
        </w:rPr>
        <w:t xml:space="preserve">, Microcosm, </w:t>
      </w:r>
      <w:proofErr w:type="spellStart"/>
      <w:r w:rsidRPr="005024B7">
        <w:rPr>
          <w:rFonts w:ascii="Times New Roman" w:eastAsia="Times New Roman" w:hAnsi="Times New Roman" w:cs="Times New Roman"/>
          <w:color w:val="333333"/>
          <w:sz w:val="24"/>
          <w:szCs w:val="24"/>
          <w:highlight w:val="white"/>
        </w:rPr>
        <w:t>miRDB</w:t>
      </w:r>
      <w:proofErr w:type="spellEnd"/>
      <w:r w:rsidRPr="005024B7">
        <w:rPr>
          <w:rFonts w:ascii="Times New Roman" w:eastAsia="Times New Roman" w:hAnsi="Times New Roman" w:cs="Times New Roman"/>
          <w:color w:val="333333"/>
          <w:sz w:val="24"/>
          <w:szCs w:val="24"/>
          <w:highlight w:val="white"/>
        </w:rPr>
        <w:t xml:space="preserve">, </w:t>
      </w:r>
      <w:proofErr w:type="spellStart"/>
      <w:r w:rsidRPr="005024B7">
        <w:rPr>
          <w:rFonts w:ascii="Times New Roman" w:eastAsia="Times New Roman" w:hAnsi="Times New Roman" w:cs="Times New Roman"/>
          <w:color w:val="333333"/>
          <w:sz w:val="24"/>
          <w:szCs w:val="24"/>
          <w:highlight w:val="white"/>
        </w:rPr>
        <w:t>miRanda</w:t>
      </w:r>
      <w:proofErr w:type="spellEnd"/>
      <w:r w:rsidRPr="005024B7">
        <w:rPr>
          <w:rFonts w:ascii="Times New Roman" w:eastAsia="Times New Roman" w:hAnsi="Times New Roman" w:cs="Times New Roman"/>
          <w:color w:val="333333"/>
          <w:sz w:val="24"/>
          <w:szCs w:val="24"/>
          <w:highlight w:val="white"/>
        </w:rPr>
        <w:t xml:space="preserve">, PITA, rna22, </w:t>
      </w:r>
      <w:proofErr w:type="spellStart"/>
      <w:r w:rsidRPr="005024B7">
        <w:rPr>
          <w:rFonts w:ascii="Times New Roman" w:eastAsia="Times New Roman" w:hAnsi="Times New Roman" w:cs="Times New Roman"/>
          <w:color w:val="333333"/>
          <w:sz w:val="24"/>
          <w:szCs w:val="24"/>
          <w:highlight w:val="white"/>
        </w:rPr>
        <w:t>TargetScan</w:t>
      </w:r>
      <w:proofErr w:type="spellEnd"/>
      <w:r w:rsidRPr="005024B7">
        <w:rPr>
          <w:rFonts w:ascii="Times New Roman" w:eastAsia="Times New Roman" w:hAnsi="Times New Roman" w:cs="Times New Roman"/>
          <w:color w:val="333333"/>
          <w:sz w:val="24"/>
          <w:szCs w:val="24"/>
          <w:highlight w:val="white"/>
        </w:rPr>
        <w:t xml:space="preserve">, </w:t>
      </w:r>
      <w:proofErr w:type="spellStart"/>
      <w:r w:rsidRPr="005024B7">
        <w:rPr>
          <w:rFonts w:ascii="Times New Roman" w:eastAsia="Times New Roman" w:hAnsi="Times New Roman" w:cs="Times New Roman"/>
          <w:color w:val="333333"/>
          <w:sz w:val="24"/>
          <w:szCs w:val="24"/>
          <w:highlight w:val="white"/>
        </w:rPr>
        <w:t>miRecords</w:t>
      </w:r>
      <w:proofErr w:type="spellEnd"/>
      <w:r w:rsidRPr="005024B7">
        <w:rPr>
          <w:rFonts w:ascii="Times New Roman" w:eastAsia="Times New Roman" w:hAnsi="Times New Roman" w:cs="Times New Roman"/>
          <w:color w:val="333333"/>
          <w:sz w:val="24"/>
          <w:szCs w:val="24"/>
          <w:highlight w:val="white"/>
        </w:rPr>
        <w:t xml:space="preserve">, </w:t>
      </w:r>
      <w:proofErr w:type="spellStart"/>
      <w:r w:rsidRPr="005024B7">
        <w:rPr>
          <w:rFonts w:ascii="Times New Roman" w:eastAsia="Times New Roman" w:hAnsi="Times New Roman" w:cs="Times New Roman"/>
          <w:color w:val="333333"/>
          <w:sz w:val="24"/>
          <w:szCs w:val="24"/>
          <w:highlight w:val="white"/>
        </w:rPr>
        <w:t>miRTarBase</w:t>
      </w:r>
      <w:proofErr w:type="spellEnd"/>
      <w:r w:rsidRPr="005024B7">
        <w:rPr>
          <w:rFonts w:ascii="Times New Roman" w:eastAsia="Times New Roman" w:hAnsi="Times New Roman" w:cs="Times New Roman"/>
          <w:color w:val="333333"/>
          <w:sz w:val="24"/>
          <w:szCs w:val="24"/>
          <w:highlight w:val="white"/>
        </w:rPr>
        <w:t xml:space="preserve">, </w:t>
      </w:r>
      <w:proofErr w:type="spellStart"/>
      <w:r w:rsidRPr="005024B7">
        <w:rPr>
          <w:rFonts w:ascii="Times New Roman" w:eastAsia="Times New Roman" w:hAnsi="Times New Roman" w:cs="Times New Roman"/>
          <w:color w:val="333333"/>
          <w:sz w:val="24"/>
          <w:szCs w:val="24"/>
          <w:highlight w:val="white"/>
        </w:rPr>
        <w:t>PicTar</w:t>
      </w:r>
      <w:proofErr w:type="spellEnd"/>
      <w:r w:rsidRPr="005024B7">
        <w:rPr>
          <w:rFonts w:ascii="Times New Roman" w:eastAsia="Times New Roman" w:hAnsi="Times New Roman" w:cs="Times New Roman"/>
          <w:color w:val="333333"/>
          <w:sz w:val="24"/>
          <w:szCs w:val="24"/>
          <w:highlight w:val="white"/>
        </w:rPr>
        <w:t xml:space="preserve">, and </w:t>
      </w:r>
      <w:proofErr w:type="spellStart"/>
      <w:r w:rsidRPr="005024B7">
        <w:rPr>
          <w:rFonts w:ascii="Times New Roman" w:eastAsia="Times New Roman" w:hAnsi="Times New Roman" w:cs="Times New Roman"/>
          <w:color w:val="333333"/>
          <w:sz w:val="24"/>
          <w:szCs w:val="24"/>
          <w:highlight w:val="white"/>
        </w:rPr>
        <w:t>TarBase</w:t>
      </w:r>
      <w:proofErr w:type="spellEnd"/>
      <w:r w:rsidRPr="005024B7">
        <w:rPr>
          <w:rFonts w:ascii="Times New Roman" w:eastAsia="Times New Roman" w:hAnsi="Times New Roman" w:cs="Times New Roman"/>
          <w:color w:val="333333"/>
          <w:sz w:val="24"/>
          <w:szCs w:val="24"/>
          <w:highlight w:val="white"/>
        </w:rPr>
        <w:t xml:space="preserve"> using the </w:t>
      </w:r>
      <w:proofErr w:type="spellStart"/>
      <w:r w:rsidRPr="005024B7">
        <w:rPr>
          <w:rFonts w:ascii="Times New Roman" w:eastAsia="Times New Roman" w:hAnsi="Times New Roman" w:cs="Times New Roman"/>
          <w:color w:val="333333"/>
          <w:sz w:val="24"/>
          <w:szCs w:val="24"/>
          <w:highlight w:val="white"/>
        </w:rPr>
        <w:t>anamiR</w:t>
      </w:r>
      <w:proofErr w:type="spellEnd"/>
      <w:r w:rsidRPr="005024B7">
        <w:rPr>
          <w:rFonts w:ascii="Times New Roman" w:eastAsia="Times New Roman" w:hAnsi="Times New Roman" w:cs="Times New Roman"/>
          <w:color w:val="333333"/>
          <w:sz w:val="24"/>
          <w:szCs w:val="24"/>
          <w:highlight w:val="white"/>
        </w:rPr>
        <w:t xml:space="preserve"> v1.10.0 and </w:t>
      </w:r>
      <w:proofErr w:type="spellStart"/>
      <w:r w:rsidRPr="005024B7">
        <w:rPr>
          <w:rFonts w:ascii="Times New Roman" w:eastAsia="Times New Roman" w:hAnsi="Times New Roman" w:cs="Times New Roman"/>
          <w:color w:val="333333"/>
          <w:sz w:val="24"/>
          <w:szCs w:val="24"/>
          <w:highlight w:val="white"/>
        </w:rPr>
        <w:lastRenderedPageBreak/>
        <w:t>multiMiR</w:t>
      </w:r>
      <w:proofErr w:type="spellEnd"/>
      <w:r w:rsidRPr="005024B7">
        <w:rPr>
          <w:rFonts w:ascii="Times New Roman" w:eastAsia="Times New Roman" w:hAnsi="Times New Roman" w:cs="Times New Roman"/>
          <w:color w:val="333333"/>
          <w:sz w:val="24"/>
          <w:szCs w:val="24"/>
          <w:highlight w:val="white"/>
        </w:rPr>
        <w:t xml:space="preserve"> v1.4.0 R packages, followed by gene ontology (GO) term enrichment for target genes using the </w:t>
      </w:r>
      <w:proofErr w:type="spellStart"/>
      <w:r w:rsidRPr="005024B7">
        <w:rPr>
          <w:rFonts w:ascii="Times New Roman" w:eastAsia="Times New Roman" w:hAnsi="Times New Roman" w:cs="Times New Roman"/>
          <w:color w:val="333333"/>
          <w:sz w:val="24"/>
          <w:szCs w:val="24"/>
          <w:highlight w:val="white"/>
        </w:rPr>
        <w:t>goseq</w:t>
      </w:r>
      <w:proofErr w:type="spellEnd"/>
      <w:r w:rsidRPr="005024B7">
        <w:rPr>
          <w:rFonts w:ascii="Times New Roman" w:eastAsia="Times New Roman" w:hAnsi="Times New Roman" w:cs="Times New Roman"/>
          <w:color w:val="333333"/>
          <w:sz w:val="24"/>
          <w:szCs w:val="24"/>
          <w:highlight w:val="white"/>
        </w:rPr>
        <w:t xml:space="preserve"> v1.32.0 package. </w:t>
      </w:r>
    </w:p>
    <w:p w14:paraId="00000016" w14:textId="2C737353" w:rsidR="00AD28FF" w:rsidRPr="005024B7" w:rsidRDefault="00334705">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miRNA </w:t>
      </w:r>
      <w:r w:rsidR="006A1EDD" w:rsidRPr="005024B7">
        <w:rPr>
          <w:rFonts w:ascii="Times New Roman" w:eastAsia="Times New Roman" w:hAnsi="Times New Roman" w:cs="Times New Roman"/>
          <w:b/>
          <w:sz w:val="24"/>
          <w:szCs w:val="24"/>
        </w:rPr>
        <w:t xml:space="preserve">Knockdown, Proliferation Assays, and QPCR. </w:t>
      </w:r>
      <w:r w:rsidR="006A1EDD" w:rsidRPr="005024B7">
        <w:rPr>
          <w:rFonts w:ascii="Times New Roman" w:eastAsia="Times New Roman" w:hAnsi="Times New Roman" w:cs="Times New Roman"/>
          <w:sz w:val="24"/>
          <w:szCs w:val="24"/>
        </w:rPr>
        <w:t xml:space="preserve"> The patient derived MO7E cell line, which natively possesses the </w:t>
      </w:r>
      <w:r w:rsidR="006A1EDD" w:rsidRPr="005024B7">
        <w:rPr>
          <w:rFonts w:ascii="Times New Roman" w:eastAsia="Times New Roman" w:hAnsi="Times New Roman" w:cs="Times New Roman"/>
          <w:i/>
          <w:sz w:val="24"/>
          <w:szCs w:val="24"/>
        </w:rPr>
        <w:t>CBFA2T3-GLIS2</w:t>
      </w:r>
      <w:r w:rsidR="006A1EDD" w:rsidRPr="005024B7">
        <w:rPr>
          <w:rFonts w:ascii="Times New Roman" w:eastAsia="Times New Roman" w:hAnsi="Times New Roman" w:cs="Times New Roman"/>
          <w:sz w:val="24"/>
          <w:szCs w:val="24"/>
        </w:rPr>
        <w:t xml:space="preserve"> fusion, was purchased commercially</w:t>
      </w:r>
      <w:r w:rsidR="000757FC">
        <w:rPr>
          <w:rFonts w:ascii="Times New Roman" w:eastAsia="Times New Roman" w:hAnsi="Times New Roman" w:cs="Times New Roman"/>
          <w:sz w:val="24"/>
          <w:szCs w:val="24"/>
        </w:rPr>
        <w:t xml:space="preserve"> in June 2017 </w:t>
      </w:r>
      <w:r w:rsidR="006A1EDD" w:rsidRPr="005024B7">
        <w:rPr>
          <w:rFonts w:ascii="Times New Roman" w:eastAsia="Times New Roman" w:hAnsi="Times New Roman" w:cs="Times New Roman"/>
          <w:sz w:val="24"/>
          <w:szCs w:val="24"/>
        </w:rPr>
        <w:t>(DSMZ</w:t>
      </w:r>
      <w:r w:rsidR="00835C6E">
        <w:rPr>
          <w:rFonts w:ascii="Times New Roman" w:eastAsia="Times New Roman" w:hAnsi="Times New Roman" w:cs="Times New Roman"/>
          <w:sz w:val="24"/>
          <w:szCs w:val="24"/>
        </w:rPr>
        <w:t xml:space="preserve">, </w:t>
      </w:r>
      <w:r w:rsidR="006A1EDD" w:rsidRPr="005024B7">
        <w:rPr>
          <w:rFonts w:ascii="Times New Roman" w:eastAsia="Times New Roman" w:hAnsi="Times New Roman" w:cs="Times New Roman"/>
          <w:sz w:val="24"/>
          <w:szCs w:val="24"/>
        </w:rPr>
        <w:t>Germany</w:t>
      </w:r>
      <w:r w:rsidR="00835C6E">
        <w:rPr>
          <w:rFonts w:ascii="Times New Roman" w:eastAsia="Times New Roman" w:hAnsi="Times New Roman" w:cs="Times New Roman"/>
          <w:sz w:val="24"/>
          <w:szCs w:val="24"/>
        </w:rPr>
        <w:t xml:space="preserve">, RRID: </w:t>
      </w:r>
      <w:r w:rsidR="00835C6E" w:rsidRPr="00835C6E">
        <w:rPr>
          <w:rFonts w:ascii="Times New Roman" w:eastAsia="Times New Roman" w:hAnsi="Times New Roman" w:cs="Times New Roman"/>
          <w:sz w:val="24"/>
          <w:szCs w:val="24"/>
        </w:rPr>
        <w:t>CVCL_2106</w:t>
      </w:r>
      <w:r w:rsidR="00835C6E">
        <w:rPr>
          <w:rFonts w:ascii="Times New Roman" w:eastAsia="Times New Roman" w:hAnsi="Times New Roman" w:cs="Times New Roman"/>
          <w:sz w:val="24"/>
          <w:szCs w:val="24"/>
        </w:rPr>
        <w:t>,</w:t>
      </w:r>
      <w:r w:rsidR="00835C6E" w:rsidRPr="00835C6E">
        <w:t xml:space="preserve"> </w:t>
      </w:r>
      <w:r w:rsidR="00835C6E" w:rsidRPr="00835C6E">
        <w:rPr>
          <w:rFonts w:ascii="Times New Roman" w:eastAsia="Times New Roman" w:hAnsi="Times New Roman" w:cs="Times New Roman"/>
          <w:sz w:val="24"/>
          <w:szCs w:val="24"/>
        </w:rPr>
        <w:t>Cat# ACC-104</w:t>
      </w:r>
      <w:r w:rsidR="006A1EDD" w:rsidRPr="005024B7">
        <w:rPr>
          <w:rFonts w:ascii="Times New Roman" w:eastAsia="Times New Roman" w:hAnsi="Times New Roman" w:cs="Times New Roman"/>
          <w:sz w:val="24"/>
          <w:szCs w:val="24"/>
        </w:rPr>
        <w:t xml:space="preserve">). </w:t>
      </w:r>
      <w:r w:rsidR="00535688">
        <w:rPr>
          <w:rFonts w:ascii="Times New Roman" w:eastAsia="Times New Roman" w:hAnsi="Times New Roman" w:cs="Times New Roman"/>
          <w:sz w:val="24"/>
          <w:szCs w:val="24"/>
        </w:rPr>
        <w:t>Cell line authentication was performed by DSMZ using short tandem repeat (STR) DNA typing and aliquots derived from the commercial source were cultured for 30 days prior to inhibitor exposure</w:t>
      </w:r>
      <w:r w:rsidR="00CF2998">
        <w:rPr>
          <w:rFonts w:ascii="Times New Roman" w:eastAsia="Times New Roman" w:hAnsi="Times New Roman" w:cs="Times New Roman"/>
          <w:sz w:val="24"/>
          <w:szCs w:val="24"/>
        </w:rPr>
        <w:t>.</w:t>
      </w:r>
      <w:r w:rsidR="00535688">
        <w:rPr>
          <w:rFonts w:ascii="Times New Roman" w:eastAsia="Times New Roman" w:hAnsi="Times New Roman" w:cs="Times New Roman"/>
          <w:sz w:val="24"/>
          <w:szCs w:val="24"/>
        </w:rPr>
        <w:t xml:space="preserve"> </w:t>
      </w:r>
      <w:r w:rsidR="00CF2998">
        <w:rPr>
          <w:rFonts w:ascii="Times New Roman" w:eastAsia="Times New Roman" w:hAnsi="Times New Roman" w:cs="Times New Roman"/>
          <w:sz w:val="24"/>
          <w:szCs w:val="24"/>
        </w:rPr>
        <w:t xml:space="preserve">Screening for </w:t>
      </w:r>
      <w:r w:rsidR="00CF2998" w:rsidRPr="00CF2998">
        <w:rPr>
          <w:rFonts w:ascii="Times New Roman" w:eastAsia="Times New Roman" w:hAnsi="Times New Roman" w:cs="Times New Roman"/>
          <w:i/>
          <w:sz w:val="24"/>
          <w:szCs w:val="24"/>
        </w:rPr>
        <w:t>M</w:t>
      </w:r>
      <w:r w:rsidR="00535688" w:rsidRPr="00CF2998">
        <w:rPr>
          <w:rFonts w:ascii="Times New Roman" w:eastAsia="Times New Roman" w:hAnsi="Times New Roman" w:cs="Times New Roman"/>
          <w:i/>
          <w:sz w:val="24"/>
          <w:szCs w:val="24"/>
        </w:rPr>
        <w:t>ycoplasma</w:t>
      </w:r>
      <w:r w:rsidR="00535688">
        <w:rPr>
          <w:rFonts w:ascii="Times New Roman" w:eastAsia="Times New Roman" w:hAnsi="Times New Roman" w:cs="Times New Roman"/>
          <w:sz w:val="24"/>
          <w:szCs w:val="24"/>
        </w:rPr>
        <w:t xml:space="preserve"> was not performed as cell growth and morphology appear</w:t>
      </w:r>
      <w:r w:rsidR="00F445D6">
        <w:rPr>
          <w:rFonts w:ascii="Times New Roman" w:eastAsia="Times New Roman" w:hAnsi="Times New Roman" w:cs="Times New Roman"/>
          <w:sz w:val="24"/>
          <w:szCs w:val="24"/>
        </w:rPr>
        <w:t>ed</w:t>
      </w:r>
      <w:r w:rsidR="00535688">
        <w:rPr>
          <w:rFonts w:ascii="Times New Roman" w:eastAsia="Times New Roman" w:hAnsi="Times New Roman" w:cs="Times New Roman"/>
          <w:sz w:val="24"/>
          <w:szCs w:val="24"/>
        </w:rPr>
        <w:t xml:space="preserve"> normal and time in culture was less than 6 months</w:t>
      </w:r>
      <w:r w:rsidR="001831EA">
        <w:rPr>
          <w:rFonts w:ascii="Times New Roman" w:eastAsia="Times New Roman" w:hAnsi="Times New Roman" w:cs="Times New Roman"/>
          <w:sz w:val="24"/>
          <w:szCs w:val="24"/>
        </w:rPr>
        <w:t xml:space="preserve"> from </w:t>
      </w:r>
      <w:r w:rsidR="001831EA" w:rsidRPr="001831EA">
        <w:rPr>
          <w:rFonts w:ascii="Times New Roman" w:eastAsia="Times New Roman" w:hAnsi="Times New Roman" w:cs="Times New Roman"/>
          <w:sz w:val="24"/>
          <w:szCs w:val="24"/>
        </w:rPr>
        <w:t>resuscitation</w:t>
      </w:r>
      <w:r w:rsidR="00535688">
        <w:rPr>
          <w:rFonts w:ascii="Times New Roman" w:eastAsia="Times New Roman" w:hAnsi="Times New Roman" w:cs="Times New Roman"/>
          <w:sz w:val="24"/>
          <w:szCs w:val="24"/>
        </w:rPr>
        <w:t xml:space="preserve">. </w:t>
      </w:r>
      <w:r w:rsidR="000757FC">
        <w:rPr>
          <w:rFonts w:ascii="Times New Roman" w:eastAsia="Times New Roman" w:hAnsi="Times New Roman" w:cs="Times New Roman"/>
          <w:sz w:val="24"/>
          <w:szCs w:val="24"/>
        </w:rPr>
        <w:t xml:space="preserve"> Cells </w:t>
      </w:r>
      <w:r w:rsidR="00894368">
        <w:rPr>
          <w:rFonts w:ascii="Times New Roman" w:eastAsia="Times New Roman" w:hAnsi="Times New Roman" w:cs="Times New Roman"/>
          <w:sz w:val="24"/>
          <w:szCs w:val="24"/>
        </w:rPr>
        <w:t xml:space="preserve">were </w:t>
      </w:r>
      <w:r w:rsidR="006A1EDD" w:rsidRPr="005024B7">
        <w:rPr>
          <w:rFonts w:ascii="Times New Roman" w:eastAsia="Times New Roman" w:hAnsi="Times New Roman" w:cs="Times New Roman"/>
          <w:sz w:val="24"/>
          <w:szCs w:val="24"/>
        </w:rPr>
        <w:t>cultured in RPMI-1640 media (Gibco, Gaithersburg, MD) with 10% FB Essence (</w:t>
      </w:r>
      <w:proofErr w:type="spellStart"/>
      <w:r w:rsidR="006A1EDD" w:rsidRPr="005024B7">
        <w:rPr>
          <w:rFonts w:ascii="Times New Roman" w:eastAsia="Times New Roman" w:hAnsi="Times New Roman" w:cs="Times New Roman"/>
          <w:sz w:val="24"/>
          <w:szCs w:val="24"/>
        </w:rPr>
        <w:t>Seradigm</w:t>
      </w:r>
      <w:proofErr w:type="spellEnd"/>
      <w:r w:rsidR="006A1EDD" w:rsidRPr="005024B7">
        <w:rPr>
          <w:rFonts w:ascii="Times New Roman" w:eastAsia="Times New Roman" w:hAnsi="Times New Roman" w:cs="Times New Roman"/>
          <w:sz w:val="24"/>
          <w:szCs w:val="24"/>
        </w:rPr>
        <w:t xml:space="preserve"> VWR, Radnor, PA) plus 10 ng/mL rhIL-3 (</w:t>
      </w:r>
      <w:proofErr w:type="spellStart"/>
      <w:r w:rsidR="006A1EDD" w:rsidRPr="005024B7">
        <w:rPr>
          <w:rFonts w:ascii="Times New Roman" w:eastAsia="Times New Roman" w:hAnsi="Times New Roman" w:cs="Times New Roman"/>
          <w:sz w:val="24"/>
          <w:szCs w:val="24"/>
        </w:rPr>
        <w:t>Peprotech</w:t>
      </w:r>
      <w:proofErr w:type="spellEnd"/>
      <w:r w:rsidR="006A1EDD" w:rsidRPr="005024B7">
        <w:rPr>
          <w:rFonts w:ascii="Times New Roman" w:eastAsia="Times New Roman" w:hAnsi="Times New Roman" w:cs="Times New Roman"/>
          <w:sz w:val="24"/>
          <w:szCs w:val="24"/>
        </w:rPr>
        <w:t>, Rocky Hill, NJ)</w:t>
      </w:r>
      <w:r w:rsidR="00894368">
        <w:rPr>
          <w:rFonts w:ascii="Times New Roman" w:eastAsia="Times New Roman" w:hAnsi="Times New Roman" w:cs="Times New Roman"/>
          <w:sz w:val="24"/>
          <w:szCs w:val="24"/>
        </w:rPr>
        <w:t xml:space="preserve">. </w:t>
      </w:r>
      <w:r w:rsidR="00535688">
        <w:rPr>
          <w:rFonts w:ascii="Times New Roman" w:eastAsia="Times New Roman" w:hAnsi="Times New Roman" w:cs="Times New Roman"/>
          <w:sz w:val="24"/>
          <w:szCs w:val="24"/>
        </w:rPr>
        <w:t>They</w:t>
      </w:r>
      <w:r w:rsidR="006A1EDD" w:rsidRPr="005024B7">
        <w:rPr>
          <w:rFonts w:ascii="Times New Roman" w:eastAsia="Times New Roman" w:hAnsi="Times New Roman" w:cs="Times New Roman"/>
          <w:sz w:val="24"/>
          <w:szCs w:val="24"/>
        </w:rPr>
        <w:t xml:space="preserve"> were exposed to </w:t>
      </w:r>
      <w:proofErr w:type="spellStart"/>
      <w:r w:rsidR="006A1EDD" w:rsidRPr="005024B7">
        <w:rPr>
          <w:rFonts w:ascii="Times New Roman" w:eastAsia="Times New Roman" w:hAnsi="Times New Roman" w:cs="Times New Roman"/>
          <w:sz w:val="24"/>
          <w:szCs w:val="24"/>
        </w:rPr>
        <w:t>miRCURY</w:t>
      </w:r>
      <w:proofErr w:type="spellEnd"/>
      <w:r w:rsidR="006A1EDD" w:rsidRPr="005024B7">
        <w:rPr>
          <w:rFonts w:ascii="Times New Roman" w:eastAsia="Times New Roman" w:hAnsi="Times New Roman" w:cs="Times New Roman"/>
          <w:sz w:val="24"/>
          <w:szCs w:val="24"/>
        </w:rPr>
        <w:t xml:space="preserve"> LNA miRNA Power inhibitors (QIAGEN, Germantown, MD, </w:t>
      </w:r>
      <w:r w:rsidR="00EE1745">
        <w:rPr>
          <w:rFonts w:ascii="Times New Roman" w:eastAsia="Times New Roman" w:hAnsi="Times New Roman" w:cs="Times New Roman"/>
          <w:sz w:val="24"/>
          <w:szCs w:val="24"/>
        </w:rPr>
        <w:t>#</w:t>
      </w:r>
      <w:r w:rsidR="006A1EDD" w:rsidRPr="005024B7">
        <w:rPr>
          <w:rFonts w:ascii="Times New Roman" w:eastAsia="Times New Roman" w:hAnsi="Times New Roman" w:cs="Times New Roman"/>
          <w:sz w:val="24"/>
          <w:szCs w:val="24"/>
        </w:rPr>
        <w:t xml:space="preserve">339132 and </w:t>
      </w:r>
      <w:r w:rsidR="00EE1745">
        <w:rPr>
          <w:rFonts w:ascii="Times New Roman" w:eastAsia="Times New Roman" w:hAnsi="Times New Roman" w:cs="Times New Roman"/>
          <w:sz w:val="24"/>
          <w:szCs w:val="24"/>
        </w:rPr>
        <w:t>#</w:t>
      </w:r>
      <w:r w:rsidR="006A1EDD" w:rsidRPr="005024B7">
        <w:rPr>
          <w:rFonts w:ascii="Times New Roman" w:eastAsia="Times New Roman" w:hAnsi="Times New Roman" w:cs="Times New Roman"/>
          <w:sz w:val="24"/>
          <w:szCs w:val="24"/>
        </w:rPr>
        <w:t xml:space="preserve">339137) directed against 1) </w:t>
      </w:r>
      <w:r w:rsidR="006A1EDD" w:rsidRPr="00C95C2F">
        <w:rPr>
          <w:rFonts w:ascii="Times New Roman" w:eastAsia="Times New Roman" w:hAnsi="Times New Roman" w:cs="Times New Roman"/>
          <w:i/>
          <w:sz w:val="24"/>
          <w:szCs w:val="24"/>
        </w:rPr>
        <w:t>hsa-miR-224-5p,</w:t>
      </w:r>
      <w:r w:rsidR="006A1EDD" w:rsidRPr="005024B7">
        <w:rPr>
          <w:rFonts w:ascii="Times New Roman" w:eastAsia="Times New Roman" w:hAnsi="Times New Roman" w:cs="Times New Roman"/>
          <w:sz w:val="24"/>
          <w:szCs w:val="24"/>
        </w:rPr>
        <w:t xml:space="preserve"> 2) </w:t>
      </w:r>
      <w:r w:rsidR="006A1EDD" w:rsidRPr="00C95C2F">
        <w:rPr>
          <w:rFonts w:ascii="Times New Roman" w:eastAsia="Times New Roman" w:hAnsi="Times New Roman" w:cs="Times New Roman"/>
          <w:i/>
          <w:sz w:val="24"/>
          <w:szCs w:val="24"/>
        </w:rPr>
        <w:t>hsa-miR-224-3p,</w:t>
      </w:r>
      <w:r w:rsidR="006A1EDD" w:rsidRPr="005024B7">
        <w:rPr>
          <w:rFonts w:ascii="Times New Roman" w:eastAsia="Times New Roman" w:hAnsi="Times New Roman" w:cs="Times New Roman"/>
          <w:sz w:val="24"/>
          <w:szCs w:val="24"/>
        </w:rPr>
        <w:t xml:space="preserve"> 3) </w:t>
      </w:r>
      <w:r w:rsidR="006A1EDD" w:rsidRPr="00C95C2F">
        <w:rPr>
          <w:rFonts w:ascii="Times New Roman" w:eastAsia="Times New Roman" w:hAnsi="Times New Roman" w:cs="Times New Roman"/>
          <w:i/>
          <w:sz w:val="24"/>
          <w:szCs w:val="24"/>
        </w:rPr>
        <w:t>hsa-miR-452-5p</w:t>
      </w:r>
      <w:r w:rsidR="006A1EDD" w:rsidRPr="005024B7">
        <w:rPr>
          <w:rFonts w:ascii="Times New Roman" w:eastAsia="Times New Roman" w:hAnsi="Times New Roman" w:cs="Times New Roman"/>
          <w:sz w:val="24"/>
          <w:szCs w:val="24"/>
        </w:rPr>
        <w:t xml:space="preserve">, or 4) </w:t>
      </w:r>
      <w:r w:rsidR="006A1EDD" w:rsidRPr="00C95C2F">
        <w:rPr>
          <w:rFonts w:ascii="Times New Roman" w:eastAsia="Times New Roman" w:hAnsi="Times New Roman" w:cs="Times New Roman"/>
          <w:i/>
          <w:sz w:val="24"/>
          <w:szCs w:val="24"/>
        </w:rPr>
        <w:t>hsa-miR-452-3p</w:t>
      </w:r>
      <w:r w:rsidR="006A1EDD" w:rsidRPr="005024B7">
        <w:rPr>
          <w:rFonts w:ascii="Times New Roman" w:eastAsia="Times New Roman" w:hAnsi="Times New Roman" w:cs="Times New Roman"/>
          <w:sz w:val="24"/>
          <w:szCs w:val="24"/>
        </w:rPr>
        <w:t xml:space="preserve">, as </w:t>
      </w:r>
      <w:r w:rsidR="006A1EDD" w:rsidRPr="006A1EDD">
        <w:rPr>
          <w:rFonts w:ascii="Times New Roman" w:eastAsia="Times New Roman" w:hAnsi="Times New Roman" w:cs="Times New Roman"/>
          <w:color w:val="000000" w:themeColor="text1"/>
          <w:sz w:val="24"/>
          <w:szCs w:val="24"/>
        </w:rPr>
        <w:t xml:space="preserve">well as negative controls (A and B) at 800 </w:t>
      </w:r>
      <w:proofErr w:type="spellStart"/>
      <w:r w:rsidR="006A1EDD" w:rsidRPr="006A1EDD">
        <w:rPr>
          <w:rFonts w:ascii="Times New Roman" w:eastAsia="Times New Roman" w:hAnsi="Times New Roman" w:cs="Times New Roman"/>
          <w:color w:val="000000" w:themeColor="text1"/>
          <w:sz w:val="24"/>
          <w:szCs w:val="24"/>
        </w:rPr>
        <w:t>nM</w:t>
      </w:r>
      <w:proofErr w:type="spellEnd"/>
      <w:r w:rsidR="006A1EDD" w:rsidRPr="006A1EDD">
        <w:rPr>
          <w:rFonts w:ascii="Times New Roman" w:eastAsia="Times New Roman" w:hAnsi="Times New Roman" w:cs="Times New Roman"/>
          <w:color w:val="000000" w:themeColor="text1"/>
          <w:sz w:val="24"/>
          <w:szCs w:val="24"/>
        </w:rPr>
        <w:t xml:space="preserve"> final concentration for 72 hours using non-assisted uptake.  </w:t>
      </w:r>
      <w:r w:rsidR="00C14EBF" w:rsidRPr="006A1EDD">
        <w:rPr>
          <w:rFonts w:ascii="Times New Roman" w:eastAsia="Times New Roman" w:hAnsi="Times New Roman" w:cs="Times New Roman"/>
          <w:color w:val="000000" w:themeColor="text1"/>
          <w:sz w:val="24"/>
          <w:szCs w:val="24"/>
        </w:rPr>
        <w:t xml:space="preserve">RNA was extracted using the </w:t>
      </w:r>
      <w:proofErr w:type="spellStart"/>
      <w:r w:rsidR="00C14EBF" w:rsidRPr="006A1EDD">
        <w:rPr>
          <w:rFonts w:ascii="Times New Roman" w:eastAsia="Times New Roman" w:hAnsi="Times New Roman" w:cs="Times New Roman"/>
          <w:color w:val="000000" w:themeColor="text1"/>
          <w:sz w:val="24"/>
          <w:szCs w:val="24"/>
        </w:rPr>
        <w:t>miRNeasy</w:t>
      </w:r>
      <w:proofErr w:type="spellEnd"/>
      <w:r w:rsidR="00C14EBF" w:rsidRPr="006A1EDD">
        <w:rPr>
          <w:rFonts w:ascii="Times New Roman" w:eastAsia="Times New Roman" w:hAnsi="Times New Roman" w:cs="Times New Roman"/>
          <w:color w:val="000000" w:themeColor="text1"/>
          <w:sz w:val="24"/>
          <w:szCs w:val="24"/>
        </w:rPr>
        <w:t xml:space="preserve"> Mini Kit (QIAGEN</w:t>
      </w:r>
      <w:r w:rsidR="00C14EBF">
        <w:rPr>
          <w:rFonts w:ascii="Times New Roman" w:eastAsia="Times New Roman" w:hAnsi="Times New Roman" w:cs="Times New Roman"/>
          <w:color w:val="000000" w:themeColor="text1"/>
          <w:sz w:val="24"/>
          <w:szCs w:val="24"/>
        </w:rPr>
        <w:t>, #</w:t>
      </w:r>
      <w:r w:rsidR="00C14EBF" w:rsidRPr="001C3A50">
        <w:rPr>
          <w:rFonts w:ascii="Times New Roman" w:eastAsia="Times New Roman" w:hAnsi="Times New Roman" w:cs="Times New Roman"/>
          <w:color w:val="000000" w:themeColor="text1"/>
          <w:sz w:val="24"/>
          <w:szCs w:val="24"/>
        </w:rPr>
        <w:t>217004</w:t>
      </w:r>
      <w:r w:rsidR="00C14EBF" w:rsidRPr="006A1EDD">
        <w:rPr>
          <w:rFonts w:ascii="Times New Roman" w:eastAsia="Times New Roman" w:hAnsi="Times New Roman" w:cs="Times New Roman"/>
          <w:color w:val="000000" w:themeColor="text1"/>
          <w:sz w:val="24"/>
          <w:szCs w:val="24"/>
        </w:rPr>
        <w:t>) and the level of knockdown</w:t>
      </w:r>
      <w:r w:rsidR="00C14EBF">
        <w:rPr>
          <w:rFonts w:ascii="Times New Roman" w:eastAsia="Times New Roman" w:hAnsi="Times New Roman" w:cs="Times New Roman"/>
          <w:color w:val="000000" w:themeColor="text1"/>
          <w:sz w:val="24"/>
          <w:szCs w:val="24"/>
        </w:rPr>
        <w:t xml:space="preserve"> for each miRNA</w:t>
      </w:r>
      <w:r w:rsidR="00C14EBF" w:rsidRPr="006A1EDD">
        <w:rPr>
          <w:rFonts w:ascii="Times New Roman" w:eastAsia="Times New Roman" w:hAnsi="Times New Roman" w:cs="Times New Roman"/>
          <w:color w:val="000000" w:themeColor="text1"/>
          <w:sz w:val="24"/>
          <w:szCs w:val="24"/>
        </w:rPr>
        <w:t xml:space="preserve"> was measured using miRNA QPCR assays purchased from Thermo Fisher (Waltham, MA</w:t>
      </w:r>
      <w:r w:rsidR="00C14EBF">
        <w:rPr>
          <w:rFonts w:ascii="Times New Roman" w:eastAsia="Times New Roman" w:hAnsi="Times New Roman" w:cs="Times New Roman"/>
          <w:color w:val="000000" w:themeColor="text1"/>
          <w:sz w:val="24"/>
          <w:szCs w:val="24"/>
        </w:rPr>
        <w:t>, #</w:t>
      </w:r>
      <w:r w:rsidR="00C14EBF" w:rsidRPr="007A21DE">
        <w:rPr>
          <w:rFonts w:ascii="Times New Roman" w:eastAsia="Times New Roman" w:hAnsi="Times New Roman" w:cs="Times New Roman"/>
          <w:color w:val="000000" w:themeColor="text1"/>
          <w:sz w:val="24"/>
          <w:szCs w:val="24"/>
        </w:rPr>
        <w:t>4398987</w:t>
      </w:r>
      <w:r w:rsidR="00C14EBF">
        <w:rPr>
          <w:rFonts w:ascii="Times New Roman" w:eastAsia="Times New Roman" w:hAnsi="Times New Roman" w:cs="Times New Roman"/>
          <w:color w:val="000000" w:themeColor="text1"/>
          <w:sz w:val="24"/>
          <w:szCs w:val="24"/>
        </w:rPr>
        <w:t>, #</w:t>
      </w:r>
      <w:r w:rsidR="00C14EBF" w:rsidRPr="006F53BB">
        <w:rPr>
          <w:rFonts w:ascii="Times New Roman" w:eastAsia="Times New Roman" w:hAnsi="Times New Roman" w:cs="Times New Roman"/>
          <w:color w:val="000000" w:themeColor="text1"/>
          <w:sz w:val="24"/>
          <w:szCs w:val="24"/>
        </w:rPr>
        <w:t>A25576</w:t>
      </w:r>
      <w:r w:rsidR="00C14EBF">
        <w:rPr>
          <w:rFonts w:ascii="Times New Roman" w:eastAsia="Times New Roman" w:hAnsi="Times New Roman" w:cs="Times New Roman"/>
          <w:color w:val="000000" w:themeColor="text1"/>
          <w:sz w:val="24"/>
          <w:szCs w:val="24"/>
        </w:rPr>
        <w:t>, #</w:t>
      </w:r>
      <w:r w:rsidR="00C14EBF" w:rsidRPr="00C14EBF">
        <w:rPr>
          <w:rFonts w:ascii="Times New Roman" w:eastAsia="Times New Roman" w:hAnsi="Times New Roman" w:cs="Times New Roman"/>
          <w:color w:val="000000" w:themeColor="text1"/>
          <w:sz w:val="24"/>
          <w:szCs w:val="24"/>
        </w:rPr>
        <w:t>4427975</w:t>
      </w:r>
      <w:r w:rsidR="00C14EBF" w:rsidRPr="006A1EDD">
        <w:rPr>
          <w:rFonts w:ascii="Times New Roman" w:eastAsia="Times New Roman" w:hAnsi="Times New Roman" w:cs="Times New Roman"/>
          <w:color w:val="000000" w:themeColor="text1"/>
          <w:sz w:val="24"/>
          <w:szCs w:val="24"/>
        </w:rPr>
        <w:t>)</w:t>
      </w:r>
      <w:r w:rsidR="00C14EBF">
        <w:rPr>
          <w:rFonts w:ascii="Times New Roman" w:eastAsia="Times New Roman" w:hAnsi="Times New Roman" w:cs="Times New Roman"/>
          <w:color w:val="000000" w:themeColor="text1"/>
          <w:sz w:val="24"/>
          <w:szCs w:val="24"/>
        </w:rPr>
        <w:t xml:space="preserve"> and </w:t>
      </w:r>
      <w:r w:rsidR="00C14EBF" w:rsidRPr="006A1EDD">
        <w:rPr>
          <w:rFonts w:ascii="Times New Roman" w:eastAsia="Times New Roman" w:hAnsi="Times New Roman" w:cs="Times New Roman"/>
          <w:color w:val="000000" w:themeColor="text1"/>
          <w:sz w:val="24"/>
          <w:szCs w:val="24"/>
        </w:rPr>
        <w:t>run on a CFX384 Touch Real Time QPCR Instrument (Bio-Rad, Hercules, CA)</w:t>
      </w:r>
      <w:r w:rsidR="00C14EBF">
        <w:rPr>
          <w:rFonts w:ascii="Times New Roman" w:eastAsia="Times New Roman" w:hAnsi="Times New Roman" w:cs="Times New Roman"/>
          <w:color w:val="000000" w:themeColor="text1"/>
          <w:sz w:val="24"/>
          <w:szCs w:val="24"/>
        </w:rPr>
        <w:t xml:space="preserve">. </w:t>
      </w:r>
      <w:r w:rsidR="00C14EBF" w:rsidRPr="009074B5">
        <w:rPr>
          <w:rFonts w:ascii="Times New Roman" w:eastAsia="Times New Roman" w:hAnsi="Times New Roman" w:cs="Times New Roman"/>
          <w:color w:val="000000" w:themeColor="text1"/>
          <w:sz w:val="24"/>
          <w:szCs w:val="24"/>
        </w:rPr>
        <w:t xml:space="preserve">All data was analyzed using a delta </w:t>
      </w:r>
      <w:proofErr w:type="spellStart"/>
      <w:r w:rsidR="00C14EBF" w:rsidRPr="009074B5">
        <w:rPr>
          <w:rFonts w:ascii="Times New Roman" w:eastAsia="Times New Roman" w:hAnsi="Times New Roman" w:cs="Times New Roman"/>
          <w:color w:val="000000" w:themeColor="text1"/>
          <w:sz w:val="24"/>
          <w:szCs w:val="24"/>
        </w:rPr>
        <w:t>delta</w:t>
      </w:r>
      <w:proofErr w:type="spellEnd"/>
      <w:r w:rsidR="00C14EBF" w:rsidRPr="009074B5">
        <w:rPr>
          <w:rFonts w:ascii="Times New Roman" w:eastAsia="Times New Roman" w:hAnsi="Times New Roman" w:cs="Times New Roman"/>
          <w:color w:val="000000" w:themeColor="text1"/>
          <w:sz w:val="24"/>
          <w:szCs w:val="24"/>
        </w:rPr>
        <w:t xml:space="preserve"> CT calculation with RNU49 used as the endogenous control and the mean of the negative control LNAs used as the reference value.</w:t>
      </w:r>
      <w:r w:rsidR="00C14EBF">
        <w:rPr>
          <w:rFonts w:ascii="Times New Roman" w:eastAsia="Times New Roman" w:hAnsi="Times New Roman" w:cs="Times New Roman"/>
          <w:sz w:val="24"/>
          <w:szCs w:val="24"/>
        </w:rPr>
        <w:t xml:space="preserve"> </w:t>
      </w:r>
      <w:r w:rsidR="006A1EDD" w:rsidRPr="006A1EDD">
        <w:rPr>
          <w:rFonts w:ascii="Times New Roman" w:eastAsia="Times New Roman" w:hAnsi="Times New Roman" w:cs="Times New Roman"/>
          <w:color w:val="000000" w:themeColor="text1"/>
          <w:sz w:val="24"/>
          <w:szCs w:val="24"/>
        </w:rPr>
        <w:t xml:space="preserve">Proliferation assays were then carried out using the </w:t>
      </w:r>
      <w:proofErr w:type="spellStart"/>
      <w:r w:rsidR="006A1EDD" w:rsidRPr="006A1EDD">
        <w:rPr>
          <w:rFonts w:ascii="Times New Roman" w:eastAsia="Times New Roman" w:hAnsi="Times New Roman" w:cs="Times New Roman"/>
          <w:color w:val="000000" w:themeColor="text1"/>
          <w:sz w:val="24"/>
          <w:szCs w:val="24"/>
        </w:rPr>
        <w:t>CellTiter</w:t>
      </w:r>
      <w:proofErr w:type="spellEnd"/>
      <w:r w:rsidR="006A1EDD" w:rsidRPr="006A1EDD">
        <w:rPr>
          <w:rFonts w:ascii="Times New Roman" w:eastAsia="Times New Roman" w:hAnsi="Times New Roman" w:cs="Times New Roman"/>
          <w:color w:val="000000" w:themeColor="text1"/>
          <w:sz w:val="24"/>
          <w:szCs w:val="24"/>
        </w:rPr>
        <w:t>-Glo Luminescent Cell Viability Assay (Promega, Madison, WI</w:t>
      </w:r>
      <w:r w:rsidR="009D258C">
        <w:rPr>
          <w:rFonts w:ascii="Times New Roman" w:eastAsia="Times New Roman" w:hAnsi="Times New Roman" w:cs="Times New Roman"/>
          <w:color w:val="000000" w:themeColor="text1"/>
          <w:sz w:val="24"/>
          <w:szCs w:val="24"/>
        </w:rPr>
        <w:t>, #</w:t>
      </w:r>
      <w:r w:rsidR="009D258C" w:rsidRPr="009D258C">
        <w:rPr>
          <w:rFonts w:ascii="Times New Roman" w:eastAsia="Times New Roman" w:hAnsi="Times New Roman" w:cs="Times New Roman"/>
          <w:color w:val="000000" w:themeColor="text1"/>
          <w:sz w:val="24"/>
          <w:szCs w:val="24"/>
        </w:rPr>
        <w:t>G7570</w:t>
      </w:r>
      <w:r w:rsidR="006A1EDD" w:rsidRPr="006A1EDD">
        <w:rPr>
          <w:rFonts w:ascii="Times New Roman" w:eastAsia="Times New Roman" w:hAnsi="Times New Roman" w:cs="Times New Roman"/>
          <w:color w:val="000000" w:themeColor="text1"/>
          <w:sz w:val="24"/>
          <w:szCs w:val="24"/>
        </w:rPr>
        <w:t xml:space="preserve">).  Briefly, cells were plated in triplicate at 20,000 cells/well in 96-well plates in growth media with cytokine and LNA inhibitors.  The luminescent values were obtained at 0, 24, 48, 72, and 96 hours using a Bio-Tek Synergy 2 plate reader (Winooski, VT).  The proliferation rate for each sample was calculated by dividing each time point value by the mean of the time 0 value. Differences in proliferation rates were assessed using a paired Student’s t-Test.  </w:t>
      </w:r>
    </w:p>
    <w:p w14:paraId="00000017" w14:textId="77777777" w:rsidR="00AD28FF" w:rsidRPr="005024B7" w:rsidRDefault="00AD28FF">
      <w:pPr>
        <w:spacing w:line="360" w:lineRule="auto"/>
        <w:rPr>
          <w:rFonts w:ascii="Times New Roman" w:eastAsia="Times New Roman" w:hAnsi="Times New Roman" w:cs="Times New Roman"/>
          <w:b/>
          <w:sz w:val="24"/>
          <w:szCs w:val="24"/>
        </w:rPr>
      </w:pPr>
    </w:p>
    <w:sectPr w:rsidR="00AD28FF" w:rsidRPr="005024B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FF9429" w14:textId="77777777" w:rsidR="00250E50" w:rsidRDefault="006A1EDD">
      <w:pPr>
        <w:spacing w:after="0" w:line="240" w:lineRule="auto"/>
      </w:pPr>
      <w:r>
        <w:separator/>
      </w:r>
    </w:p>
  </w:endnote>
  <w:endnote w:type="continuationSeparator" w:id="0">
    <w:p w14:paraId="7458FD37" w14:textId="77777777" w:rsidR="00250E50" w:rsidRDefault="006A1E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18" w14:textId="0A539320" w:rsidR="00AD28FF" w:rsidRDefault="006A1EDD">
    <w:pPr>
      <w:pBdr>
        <w:top w:val="nil"/>
        <w:left w:val="nil"/>
        <w:bottom w:val="nil"/>
        <w:right w:val="nil"/>
        <w:between w:val="nil"/>
      </w:pBdr>
      <w:tabs>
        <w:tab w:val="center" w:pos="4680"/>
        <w:tab w:val="right" w:pos="9360"/>
      </w:tabs>
      <w:spacing w:after="0" w:line="240" w:lineRule="auto"/>
      <w:jc w:val="right"/>
      <w:rPr>
        <w:color w:val="000000"/>
      </w:rPr>
    </w:pPr>
    <w:r>
      <w:rPr>
        <w:color w:val="000000"/>
      </w:rPr>
      <w:t xml:space="preserve">Page </w:t>
    </w:r>
    <w:r>
      <w:rPr>
        <w:b/>
        <w:color w:val="000000"/>
        <w:sz w:val="24"/>
        <w:szCs w:val="24"/>
      </w:rPr>
      <w:fldChar w:fldCharType="begin"/>
    </w:r>
    <w:r>
      <w:rPr>
        <w:b/>
        <w:color w:val="000000"/>
        <w:sz w:val="24"/>
        <w:szCs w:val="24"/>
      </w:rPr>
      <w:instrText>PAGE</w:instrText>
    </w:r>
    <w:r>
      <w:rPr>
        <w:b/>
        <w:color w:val="000000"/>
        <w:sz w:val="24"/>
        <w:szCs w:val="24"/>
      </w:rPr>
      <w:fldChar w:fldCharType="separate"/>
    </w:r>
    <w:r w:rsidR="005024B7">
      <w:rPr>
        <w:b/>
        <w:noProof/>
        <w:color w:val="000000"/>
        <w:sz w:val="24"/>
        <w:szCs w:val="24"/>
      </w:rPr>
      <w:t>1</w:t>
    </w:r>
    <w:r>
      <w:rPr>
        <w:b/>
        <w:color w:val="000000"/>
        <w:sz w:val="24"/>
        <w:szCs w:val="24"/>
      </w:rPr>
      <w:fldChar w:fldCharType="end"/>
    </w:r>
    <w:r>
      <w:rPr>
        <w:color w:val="000000"/>
      </w:rPr>
      <w:t xml:space="preserve"> of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sidR="005024B7">
      <w:rPr>
        <w:b/>
        <w:noProof/>
        <w:color w:val="000000"/>
        <w:sz w:val="24"/>
        <w:szCs w:val="24"/>
      </w:rPr>
      <w:t>1</w:t>
    </w:r>
    <w:r>
      <w:rPr>
        <w:b/>
        <w:color w:val="000000"/>
        <w:sz w:val="24"/>
        <w:szCs w:val="24"/>
      </w:rPr>
      <w:fldChar w:fldCharType="end"/>
    </w:r>
  </w:p>
  <w:p w14:paraId="00000019" w14:textId="77777777" w:rsidR="00AD28FF" w:rsidRDefault="00AD28FF">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7C8E8A" w14:textId="77777777" w:rsidR="00250E50" w:rsidRDefault="006A1EDD">
      <w:pPr>
        <w:spacing w:after="0" w:line="240" w:lineRule="auto"/>
      </w:pPr>
      <w:r>
        <w:separator/>
      </w:r>
    </w:p>
  </w:footnote>
  <w:footnote w:type="continuationSeparator" w:id="0">
    <w:p w14:paraId="1A3160B6" w14:textId="77777777" w:rsidR="00250E50" w:rsidRDefault="006A1ED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28FF"/>
    <w:rsid w:val="00011AF4"/>
    <w:rsid w:val="00021ED8"/>
    <w:rsid w:val="000757FC"/>
    <w:rsid w:val="001831EA"/>
    <w:rsid w:val="001C3A50"/>
    <w:rsid w:val="00231FA8"/>
    <w:rsid w:val="00250E50"/>
    <w:rsid w:val="002C161A"/>
    <w:rsid w:val="002C49DF"/>
    <w:rsid w:val="00334705"/>
    <w:rsid w:val="00380710"/>
    <w:rsid w:val="003B0F67"/>
    <w:rsid w:val="003E6C9E"/>
    <w:rsid w:val="0044157B"/>
    <w:rsid w:val="00450466"/>
    <w:rsid w:val="00473A36"/>
    <w:rsid w:val="004C33CA"/>
    <w:rsid w:val="005024B7"/>
    <w:rsid w:val="00511641"/>
    <w:rsid w:val="00535688"/>
    <w:rsid w:val="00555048"/>
    <w:rsid w:val="00591C1E"/>
    <w:rsid w:val="0061592B"/>
    <w:rsid w:val="00657C34"/>
    <w:rsid w:val="006A1EDD"/>
    <w:rsid w:val="006F53BB"/>
    <w:rsid w:val="00715FE9"/>
    <w:rsid w:val="007300DD"/>
    <w:rsid w:val="007769ED"/>
    <w:rsid w:val="00794CE2"/>
    <w:rsid w:val="007A21DE"/>
    <w:rsid w:val="007C5AFF"/>
    <w:rsid w:val="00800FC7"/>
    <w:rsid w:val="00835C6E"/>
    <w:rsid w:val="008502B6"/>
    <w:rsid w:val="0085232F"/>
    <w:rsid w:val="00871C5F"/>
    <w:rsid w:val="00894368"/>
    <w:rsid w:val="008A3A43"/>
    <w:rsid w:val="008D753A"/>
    <w:rsid w:val="009074B5"/>
    <w:rsid w:val="009468A9"/>
    <w:rsid w:val="0099619C"/>
    <w:rsid w:val="009C60D2"/>
    <w:rsid w:val="009D258C"/>
    <w:rsid w:val="009F3F85"/>
    <w:rsid w:val="00A00295"/>
    <w:rsid w:val="00A14C8C"/>
    <w:rsid w:val="00A60AF4"/>
    <w:rsid w:val="00A67F50"/>
    <w:rsid w:val="00A72937"/>
    <w:rsid w:val="00AD28FF"/>
    <w:rsid w:val="00B31F92"/>
    <w:rsid w:val="00B369E0"/>
    <w:rsid w:val="00BA4152"/>
    <w:rsid w:val="00C14EBF"/>
    <w:rsid w:val="00C327AC"/>
    <w:rsid w:val="00C352D2"/>
    <w:rsid w:val="00C40C60"/>
    <w:rsid w:val="00C95C2F"/>
    <w:rsid w:val="00CF2998"/>
    <w:rsid w:val="00D978CE"/>
    <w:rsid w:val="00DB5382"/>
    <w:rsid w:val="00DC7107"/>
    <w:rsid w:val="00E049F8"/>
    <w:rsid w:val="00E51966"/>
    <w:rsid w:val="00EA6000"/>
    <w:rsid w:val="00ED7393"/>
    <w:rsid w:val="00EE1745"/>
    <w:rsid w:val="00F32D8D"/>
    <w:rsid w:val="00F43D32"/>
    <w:rsid w:val="00F445D6"/>
    <w:rsid w:val="00F44C84"/>
    <w:rsid w:val="00F5671E"/>
    <w:rsid w:val="00F75B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F6D04"/>
  <w15:docId w15:val="{FAAAC7FA-2BEE-48E5-9764-EA93333F6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837F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7FDF"/>
  </w:style>
  <w:style w:type="paragraph" w:styleId="Footer">
    <w:name w:val="footer"/>
    <w:basedOn w:val="Normal"/>
    <w:link w:val="FooterChar"/>
    <w:uiPriority w:val="99"/>
    <w:unhideWhenUsed/>
    <w:rsid w:val="00837F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7FDF"/>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E51966"/>
    <w:rPr>
      <w:color w:val="0563C1" w:themeColor="hyperlink"/>
      <w:u w:val="single"/>
    </w:rPr>
  </w:style>
  <w:style w:type="character" w:styleId="UnresolvedMention">
    <w:name w:val="Unresolved Mention"/>
    <w:basedOn w:val="DefaultParagraphFont"/>
    <w:uiPriority w:val="99"/>
    <w:semiHidden/>
    <w:unhideWhenUsed/>
    <w:rsid w:val="00E519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3864320">
      <w:bodyDiv w:val="1"/>
      <w:marLeft w:val="0"/>
      <w:marRight w:val="0"/>
      <w:marTop w:val="0"/>
      <w:marBottom w:val="0"/>
      <w:divBdr>
        <w:top w:val="none" w:sz="0" w:space="0" w:color="auto"/>
        <w:left w:val="none" w:sz="0" w:space="0" w:color="auto"/>
        <w:bottom w:val="none" w:sz="0" w:space="0" w:color="auto"/>
        <w:right w:val="none" w:sz="0" w:space="0" w:color="auto"/>
      </w:divBdr>
    </w:div>
    <w:div w:id="1595279269">
      <w:bodyDiv w:val="1"/>
      <w:marLeft w:val="0"/>
      <w:marRight w:val="0"/>
      <w:marTop w:val="0"/>
      <w:marBottom w:val="0"/>
      <w:divBdr>
        <w:top w:val="none" w:sz="0" w:space="0" w:color="auto"/>
        <w:left w:val="none" w:sz="0" w:space="0" w:color="auto"/>
        <w:bottom w:val="none" w:sz="0" w:space="0" w:color="auto"/>
        <w:right w:val="none" w:sz="0" w:space="0" w:color="auto"/>
      </w:divBdr>
    </w:div>
    <w:div w:id="21157813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data.broadinstitute.org/Trinity/CTAT_RESOURCE_LIB/"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TTUNeKQziuLWmPl4/X0eR8l4Q==">AMUW2mX2nB0oXPYAUus80wP6AO9r1x2Mh9i689pei/0WuQo7oTLTiYxpY2/ZXcF9k8pzq8w69YSp8b8lkMz408rqaJCbnyU1kuBU1zRFOblGFwekwfJah8f86eJve0d3/aAM9YDD3waQG+tVIgpeh0Zc7uJiTcG/CtM3OsUb2rckY+etjzB8lwwoH0Yo0ZsBvFIsE9g/YfpJdBMRro/7EquS8TaVcF6w3qvHAnqx+4hWn8BuDs9aXRU=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6679</TotalTime>
  <Pages>5</Pages>
  <Words>1857</Words>
  <Characters>10589</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Jenny L</dc:creator>
  <cp:lastModifiedBy>Smith, Jenny L</cp:lastModifiedBy>
  <cp:revision>65</cp:revision>
  <dcterms:created xsi:type="dcterms:W3CDTF">2019-05-16T18:51:00Z</dcterms:created>
  <dcterms:modified xsi:type="dcterms:W3CDTF">2019-10-09T21:07:00Z</dcterms:modified>
</cp:coreProperties>
</file>