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3479B" w14:textId="77777777" w:rsidR="00E1642B" w:rsidRPr="00210630" w:rsidRDefault="00E1642B" w:rsidP="00E1642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210630">
        <w:rPr>
          <w:rFonts w:ascii="Times New Roman" w:hAnsi="Times New Roman" w:cs="Times New Roman"/>
          <w:b/>
          <w:sz w:val="24"/>
        </w:rPr>
        <w:t>Supplementary Appendix</w:t>
      </w:r>
    </w:p>
    <w:p w14:paraId="5733479C" w14:textId="77777777" w:rsidR="00E1642B" w:rsidRPr="00210630" w:rsidRDefault="00E1642B" w:rsidP="00E1642B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</w:p>
    <w:p w14:paraId="5733479D" w14:textId="77777777" w:rsidR="00E1642B" w:rsidRPr="00210630" w:rsidRDefault="00E1642B" w:rsidP="00E1642B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 w:rsidRPr="00210630">
        <w:rPr>
          <w:rFonts w:ascii="Times New Roman" w:hAnsi="Times New Roman" w:cs="Times New Roman"/>
          <w:b/>
          <w:i/>
          <w:sz w:val="22"/>
        </w:rPr>
        <w:t>Selection of genes included in the multigene assay</w:t>
      </w:r>
    </w:p>
    <w:p w14:paraId="5733479E" w14:textId="531B02BE" w:rsidR="00E1642B" w:rsidRPr="00210630" w:rsidRDefault="00893352" w:rsidP="00E1642B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  <w:r w:rsidRPr="00210630">
        <w:rPr>
          <w:rFonts w:ascii="Times New Roman" w:hAnsi="Times New Roman" w:cs="Times New Roman"/>
          <w:sz w:val="22"/>
        </w:rPr>
        <w:t>G</w:t>
      </w:r>
      <w:r w:rsidR="00E1642B" w:rsidRPr="00210630">
        <w:rPr>
          <w:rFonts w:ascii="Times New Roman" w:hAnsi="Times New Roman" w:cs="Times New Roman"/>
          <w:sz w:val="22"/>
        </w:rPr>
        <w:t>enes were selected using gene expression data from microarray data of 1,754 estrogen receptor (ER)-positive and lymph node (LN)-negative breast cancer samples in seven Gene Expression Omnibus (GEO) datasets including GSE20</w:t>
      </w:r>
      <w:bookmarkStart w:id="0" w:name="_GoBack"/>
      <w:bookmarkEnd w:id="0"/>
      <w:r w:rsidR="00E1642B" w:rsidRPr="00210630">
        <w:rPr>
          <w:rFonts w:ascii="Times New Roman" w:hAnsi="Times New Roman" w:cs="Times New Roman"/>
          <w:sz w:val="22"/>
        </w:rPr>
        <w:t xml:space="preserve">34, GSE2990, GSE3494, GSE4922, GSE6532, GSE7390,  and GSE12093 </w:t>
      </w:r>
      <w:r w:rsidR="00E1642B" w:rsidRPr="00210630">
        <w:rPr>
          <w:rFonts w:ascii="Times New Roman" w:hAnsi="Times New Roman" w:cs="Times New Roman"/>
          <w:sz w:val="22"/>
        </w:rPr>
        <w:fldChar w:fldCharType="begin">
          <w:fldData xml:space="preserve">PEVuZE5vdGU+PENpdGU+PEF1dGhvcj5HecO2cmZmeTwvQXV0aG9yPjxZZWFyPjIwMTA8L1llYXI+
PFJlY051bT43NTwvUmVjTnVtPjxEaXNwbGF5VGV4dD4oMSk8L0Rpc3BsYXlUZXh0PjxyZWNvcmQ+
PHJlYy1udW1iZXI+NzU8L3JlYy1udW1iZXI+PGZvcmVpZ24ta2V5cz48a2V5IGFwcD0iRU4iIGRi
LWlkPSJhZDJ0MGZ4YW4wZjIwM2V0OXhrdmRkdmc5NWFwd2FldnowdGEiIHRpbWVzdGFtcD0iMTU4
NDAyNTIzMSI+NzU8L2tleT48L2ZvcmVpZ24ta2V5cz48cmVmLXR5cGUgbmFtZT0iSm91cm5hbCBB
cnRpY2xlIj4xNzwvcmVmLXR5cGU+PGNvbnRyaWJ1dG9ycz48YXV0aG9ycz48YXV0aG9yPkd5w7Zy
ZmZ5LCBCYWxhenM8L2F1dGhvcj48YXV0aG9yPkxhbmN6a3ksIEFuZHJhczwvYXV0aG9yPjxhdXRo
b3I+RWtsdW5kLCBBcm9uIEMuPC9hdXRob3I+PGF1dGhvcj5EZW5rZXJ0LCBDYXJzdGVuPC9hdXRo
b3I+PGF1dGhvcj5CdWRjemllcywgSmFuPC9hdXRob3I+PGF1dGhvcj5MaSwgUWl5dWFuPC9hdXRo
b3I+PGF1dGhvcj5TemFsbGFzaSwgWm9sdGFuPC9hdXRob3I+PC9hdXRob3JzPjwvY29udHJpYnV0
b3JzPjx0aXRsZXM+PHRpdGxlPkFuIG9ubGluZSBzdXJ2aXZhbCBhbmFseXNpcyB0b29sIHRvIHJh
cGlkbHkgYXNzZXNzIHRoZSBlZmZlY3Qgb2YgMjIsMjc3IGdlbmVzIG9uIGJyZWFzdCBjYW5jZXIg
cHJvZ25vc2lzIHVzaW5nIG1pY3JvYXJyYXkgZGF0YSBvZiAxLDgwOSBwYXRpZW50czwvdGl0bGU+
PHNlY29uZGFyeS10aXRsZT5CcmVhc3QgY2FuY2VyIHJlc2VhcmNoIGFuZCB0cmVhdG1lbnQ8L3Nl
Y29uZGFyeS10aXRsZT48YWx0LXRpdGxlPkJyZWFzdCBDYW5jZXIgUmVzIFRyZWF0PC9hbHQtdGl0
bGU+PC90aXRsZXM+PHBlcmlvZGljYWw+PGZ1bGwtdGl0bGU+QnJlYXN0IGNhbmNlciByZXNlYXJj
aCBhbmQgdHJlYXRtZW50PC9mdWxsLXRpdGxlPjxhYmJyLTE+QnJlYXN0IENhbmNlciBSZXMgVHJl
YXQ8L2FiYnItMT48L3BlcmlvZGljYWw+PGFsdC1wZXJpb2RpY2FsPjxmdWxsLXRpdGxlPkJyZWFz
dCBjYW5jZXIgcmVzZWFyY2ggYW5kIHRyZWF0bWVudDwvZnVsbC10aXRsZT48YWJici0xPkJyZWFz
dCBDYW5jZXIgUmVzIFRyZWF0PC9hYmJyLTE+PC9hbHQtcGVyaW9kaWNhbD48cGFnZXM+NzI1LTcz
MTwvcGFnZXM+PHZvbHVtZT4xMjM8L3ZvbHVtZT48bnVtYmVyPjM8L251bWJlcj48ZWRpdGlvbj4y
MDA5LzEyLzE4PC9lZGl0aW9uPjxrZXl3b3Jkcz48a2V5d29yZD5BZHVsdDwva2V5d29yZD48a2V5
d29yZD5BZ2VkPC9rZXl3b3JkPjxrZXl3b3JkPkJpb21hcmtlcnMsIFR1bW9yL2FuYWx5c2lzLypn
ZW5ldGljczwva2V5d29yZD48a2V5d29yZD5CcmVhc3QgTmVvcGxhc21zL2NoZW1pc3RyeS8qZ2Vu
ZXRpY3MvKm1vcnRhbGl0eS9wYXRob2xvZ3kvdGhlcmFweTwva2V5d29yZD48a2V5d29yZD5Db21w
dXRlciBHcmFwaGljczwva2V5d29yZD48a2V5d29yZD5EaXNlYXNlLUZyZWUgU3Vydml2YWw8L2tl
eXdvcmQ+PGtleXdvcmQ+RmVtYWxlPC9rZXl3b3JkPjxrZXl3b3JkPkdlbmUgRXhwcmVzc2lvbiBQ
cm9maWxpbmcvKm1ldGhvZHM8L2tleXdvcmQ+PGtleXdvcmQ+KkdlbmUgRXhwcmVzc2lvbiBSZWd1
bGF0aW9uLCBOZW9wbGFzdGljPC9rZXl3b3JkPjxrZXl3b3JkPipHZW5ldGljIE1hcmtlcnM8L2tl
eXdvcmQ+PGtleXdvcmQ+SHVtYW5zPC9rZXl3b3JkPjxrZXl3b3JkPkludGVybmV0PC9rZXl3b3Jk
PjxrZXl3b3JkPkthcGxhbi1NZWllciBFc3RpbWF0ZTwva2V5d29yZD48a2V5d29yZD5MeW1waGF0
aWMgTWV0YXN0YXNpczwva2V5d29yZD48a2V5d29yZD5NaWRkbGUgQWdlZDwva2V5d29yZD48a2V5
d29yZD5OZW9wbGFzbSBTdGFnaW5nPC9rZXl3b3JkPjxrZXl3b3JkPipPbGlnb251Y2xlb3RpZGUg
QXJyYXkgU2VxdWVuY2UgQW5hbHlzaXM8L2tleXdvcmQ+PGtleXdvcmQ+Kk9ubGluZSBTeXN0ZW1z
PC9rZXl3b3JkPjxrZXl3b3JkPlByZWRpY3RpdmUgVmFsdWUgb2YgVGVzdHM8L2tleXdvcmQ+PGtl
eXdvcmQ+UHJvZ25vc2lzPC9rZXl3b3JkPjxrZXl3b3JkPlJlY2VwdG9ycywgRXN0cm9nZW4vYW5h
bHlzaXM8L2tleXdvcmQ+PGtleXdvcmQ+UmVwcm9kdWNpYmlsaXR5IG9mIFJlc3VsdHM8L2tleXdv
cmQ+PGtleXdvcmQ+VGltZSBGYWN0b3JzPC9rZXl3b3JkPjwva2V5d29yZHM+PGRhdGVzPjx5ZWFy
PjIwMTA8L3llYXI+PC9kYXRlcz48cHViLWxvY2F0aW9uPk5ldGhlcmxhbmRzPC9wdWItbG9jYXRp
b24+PGlzYm4+MTU3My03MjE3PC9pc2JuPjxhY2Nlc3Npb24tbnVtPjIwMDIwMTk3PC9hY2Nlc3Np
b24tbnVtPjx1cmxzPjxyZWxhdGVkLXVybHM+PHVybD5odHRwczovL3B1Ym1lZC5uY2JpLm5sbS5u
aWguZ292LzIwMDIwMTk3PC91cmw+PC9yZWxhdGVkLXVybHM+PC91cmxzPjxlbGVjdHJvbmljLXJl
c291cmNlLW51bT4xMC4xMDA3L3MxMDU0OS0wMDktMDY3NC05PC9lbGVjdHJvbmljLXJlc291cmNl
LW51bT48cmVtb3RlLWRhdGFiYXNlLW5hbWU+UHViTWVkPC9yZW1vdGUtZGF0YWJhc2UtbmFtZT48
bGFuZ3VhZ2U+ZW5nPC9sYW5ndWFnZT48L3JlY29yZD48L0NpdGU+PC9FbmROb3RlPgB=
</w:fldData>
        </w:fldChar>
      </w:r>
      <w:r w:rsidR="00E1642B" w:rsidRPr="00210630">
        <w:rPr>
          <w:rFonts w:ascii="Times New Roman" w:hAnsi="Times New Roman" w:cs="Times New Roman"/>
          <w:sz w:val="22"/>
        </w:rPr>
        <w:instrText xml:space="preserve"> ADDIN EN.CITE </w:instrText>
      </w:r>
      <w:r w:rsidR="00E1642B" w:rsidRPr="00210630">
        <w:rPr>
          <w:rFonts w:ascii="Times New Roman" w:hAnsi="Times New Roman" w:cs="Times New Roman"/>
          <w:sz w:val="22"/>
        </w:rPr>
        <w:fldChar w:fldCharType="begin">
          <w:fldData xml:space="preserve">PEVuZE5vdGU+PENpdGU+PEF1dGhvcj5HecO2cmZmeTwvQXV0aG9yPjxZZWFyPjIwMTA8L1llYXI+
PFJlY051bT43NTwvUmVjTnVtPjxEaXNwbGF5VGV4dD4oMSk8L0Rpc3BsYXlUZXh0PjxyZWNvcmQ+
PHJlYy1udW1iZXI+NzU8L3JlYy1udW1iZXI+PGZvcmVpZ24ta2V5cz48a2V5IGFwcD0iRU4iIGRi
LWlkPSJhZDJ0MGZ4YW4wZjIwM2V0OXhrdmRkdmc5NWFwd2FldnowdGEiIHRpbWVzdGFtcD0iMTU4
NDAyNTIzMSI+NzU8L2tleT48L2ZvcmVpZ24ta2V5cz48cmVmLXR5cGUgbmFtZT0iSm91cm5hbCBB
cnRpY2xlIj4xNzwvcmVmLXR5cGU+PGNvbnRyaWJ1dG9ycz48YXV0aG9ycz48YXV0aG9yPkd5w7Zy
ZmZ5LCBCYWxhenM8L2F1dGhvcj48YXV0aG9yPkxhbmN6a3ksIEFuZHJhczwvYXV0aG9yPjxhdXRo
b3I+RWtsdW5kLCBBcm9uIEMuPC9hdXRob3I+PGF1dGhvcj5EZW5rZXJ0LCBDYXJzdGVuPC9hdXRo
b3I+PGF1dGhvcj5CdWRjemllcywgSmFuPC9hdXRob3I+PGF1dGhvcj5MaSwgUWl5dWFuPC9hdXRo
b3I+PGF1dGhvcj5TemFsbGFzaSwgWm9sdGFuPC9hdXRob3I+PC9hdXRob3JzPjwvY29udHJpYnV0
b3JzPjx0aXRsZXM+PHRpdGxlPkFuIG9ubGluZSBzdXJ2aXZhbCBhbmFseXNpcyB0b29sIHRvIHJh
cGlkbHkgYXNzZXNzIHRoZSBlZmZlY3Qgb2YgMjIsMjc3IGdlbmVzIG9uIGJyZWFzdCBjYW5jZXIg
cHJvZ25vc2lzIHVzaW5nIG1pY3JvYXJyYXkgZGF0YSBvZiAxLDgwOSBwYXRpZW50czwvdGl0bGU+
PHNlY29uZGFyeS10aXRsZT5CcmVhc3QgY2FuY2VyIHJlc2VhcmNoIGFuZCB0cmVhdG1lbnQ8L3Nl
Y29uZGFyeS10aXRsZT48YWx0LXRpdGxlPkJyZWFzdCBDYW5jZXIgUmVzIFRyZWF0PC9hbHQtdGl0
bGU+PC90aXRsZXM+PHBlcmlvZGljYWw+PGZ1bGwtdGl0bGU+QnJlYXN0IGNhbmNlciByZXNlYXJj
aCBhbmQgdHJlYXRtZW50PC9mdWxsLXRpdGxlPjxhYmJyLTE+QnJlYXN0IENhbmNlciBSZXMgVHJl
YXQ8L2FiYnItMT48L3BlcmlvZGljYWw+PGFsdC1wZXJpb2RpY2FsPjxmdWxsLXRpdGxlPkJyZWFz
dCBjYW5jZXIgcmVzZWFyY2ggYW5kIHRyZWF0bWVudDwvZnVsbC10aXRsZT48YWJici0xPkJyZWFz
dCBDYW5jZXIgUmVzIFRyZWF0PC9hYmJyLTE+PC9hbHQtcGVyaW9kaWNhbD48cGFnZXM+NzI1LTcz
MTwvcGFnZXM+PHZvbHVtZT4xMjM8L3ZvbHVtZT48bnVtYmVyPjM8L251bWJlcj48ZWRpdGlvbj4y
MDA5LzEyLzE4PC9lZGl0aW9uPjxrZXl3b3Jkcz48a2V5d29yZD5BZHVsdDwva2V5d29yZD48a2V5
d29yZD5BZ2VkPC9rZXl3b3JkPjxrZXl3b3JkPkJpb21hcmtlcnMsIFR1bW9yL2FuYWx5c2lzLypn
ZW5ldGljczwva2V5d29yZD48a2V5d29yZD5CcmVhc3QgTmVvcGxhc21zL2NoZW1pc3RyeS8qZ2Vu
ZXRpY3MvKm1vcnRhbGl0eS9wYXRob2xvZ3kvdGhlcmFweTwva2V5d29yZD48a2V5d29yZD5Db21w
dXRlciBHcmFwaGljczwva2V5d29yZD48a2V5d29yZD5EaXNlYXNlLUZyZWUgU3Vydml2YWw8L2tl
eXdvcmQ+PGtleXdvcmQ+RmVtYWxlPC9rZXl3b3JkPjxrZXl3b3JkPkdlbmUgRXhwcmVzc2lvbiBQ
cm9maWxpbmcvKm1ldGhvZHM8L2tleXdvcmQ+PGtleXdvcmQ+KkdlbmUgRXhwcmVzc2lvbiBSZWd1
bGF0aW9uLCBOZW9wbGFzdGljPC9rZXl3b3JkPjxrZXl3b3JkPipHZW5ldGljIE1hcmtlcnM8L2tl
eXdvcmQ+PGtleXdvcmQ+SHVtYW5zPC9rZXl3b3JkPjxrZXl3b3JkPkludGVybmV0PC9rZXl3b3Jk
PjxrZXl3b3JkPkthcGxhbi1NZWllciBFc3RpbWF0ZTwva2V5d29yZD48a2V5d29yZD5MeW1waGF0
aWMgTWV0YXN0YXNpczwva2V5d29yZD48a2V5d29yZD5NaWRkbGUgQWdlZDwva2V5d29yZD48a2V5
d29yZD5OZW9wbGFzbSBTdGFnaW5nPC9rZXl3b3JkPjxrZXl3b3JkPipPbGlnb251Y2xlb3RpZGUg
QXJyYXkgU2VxdWVuY2UgQW5hbHlzaXM8L2tleXdvcmQ+PGtleXdvcmQ+Kk9ubGluZSBTeXN0ZW1z
PC9rZXl3b3JkPjxrZXl3b3JkPlByZWRpY3RpdmUgVmFsdWUgb2YgVGVzdHM8L2tleXdvcmQ+PGtl
eXdvcmQ+UHJvZ25vc2lzPC9rZXl3b3JkPjxrZXl3b3JkPlJlY2VwdG9ycywgRXN0cm9nZW4vYW5h
bHlzaXM8L2tleXdvcmQ+PGtleXdvcmQ+UmVwcm9kdWNpYmlsaXR5IG9mIFJlc3VsdHM8L2tleXdv
cmQ+PGtleXdvcmQ+VGltZSBGYWN0b3JzPC9rZXl3b3JkPjwva2V5d29yZHM+PGRhdGVzPjx5ZWFy
PjIwMTA8L3llYXI+PC9kYXRlcz48cHViLWxvY2F0aW9uPk5ldGhlcmxhbmRzPC9wdWItbG9jYXRp
b24+PGlzYm4+MTU3My03MjE3PC9pc2JuPjxhY2Nlc3Npb24tbnVtPjIwMDIwMTk3PC9hY2Nlc3Np
b24tbnVtPjx1cmxzPjxyZWxhdGVkLXVybHM+PHVybD5odHRwczovL3B1Ym1lZC5uY2JpLm5sbS5u
aWguZ292LzIwMDIwMTk3PC91cmw+PC9yZWxhdGVkLXVybHM+PC91cmxzPjxlbGVjdHJvbmljLXJl
c291cmNlLW51bT4xMC4xMDA3L3MxMDU0OS0wMDktMDY3NC05PC9lbGVjdHJvbmljLXJlc291cmNl
LW51bT48cmVtb3RlLWRhdGFiYXNlLW5hbWU+UHViTWVkPC9yZW1vdGUtZGF0YWJhc2UtbmFtZT48
bGFuZ3VhZ2U+ZW5nPC9sYW5ndWFnZT48L3JlY29yZD48L0NpdGU+PC9FbmROb3RlPgB=
</w:fldData>
        </w:fldChar>
      </w:r>
      <w:r w:rsidR="00E1642B" w:rsidRPr="00210630">
        <w:rPr>
          <w:rFonts w:ascii="Times New Roman" w:hAnsi="Times New Roman" w:cs="Times New Roman"/>
          <w:sz w:val="22"/>
        </w:rPr>
        <w:instrText xml:space="preserve"> ADDIN EN.CITE.DATA </w:instrText>
      </w:r>
      <w:r w:rsidR="00E1642B" w:rsidRPr="00210630">
        <w:rPr>
          <w:rFonts w:ascii="Times New Roman" w:hAnsi="Times New Roman" w:cs="Times New Roman"/>
          <w:sz w:val="22"/>
        </w:rPr>
      </w:r>
      <w:r w:rsidR="00E1642B" w:rsidRPr="00210630">
        <w:rPr>
          <w:rFonts w:ascii="Times New Roman" w:hAnsi="Times New Roman" w:cs="Times New Roman"/>
          <w:sz w:val="22"/>
        </w:rPr>
        <w:fldChar w:fldCharType="end"/>
      </w:r>
      <w:r w:rsidR="00E1642B" w:rsidRPr="00210630">
        <w:rPr>
          <w:rFonts w:ascii="Times New Roman" w:hAnsi="Times New Roman" w:cs="Times New Roman"/>
          <w:sz w:val="22"/>
        </w:rPr>
      </w:r>
      <w:r w:rsidR="00E1642B" w:rsidRPr="00210630">
        <w:rPr>
          <w:rFonts w:ascii="Times New Roman" w:hAnsi="Times New Roman" w:cs="Times New Roman"/>
          <w:sz w:val="22"/>
        </w:rPr>
        <w:fldChar w:fldCharType="separate"/>
      </w:r>
      <w:r w:rsidR="00E1642B" w:rsidRPr="00210630">
        <w:rPr>
          <w:rFonts w:ascii="Times New Roman" w:hAnsi="Times New Roman" w:cs="Times New Roman"/>
          <w:sz w:val="22"/>
        </w:rPr>
        <w:t>(1)</w:t>
      </w:r>
      <w:r w:rsidR="00E1642B" w:rsidRPr="00210630">
        <w:rPr>
          <w:rFonts w:ascii="Times New Roman" w:hAnsi="Times New Roman" w:cs="Times New Roman"/>
          <w:sz w:val="22"/>
        </w:rPr>
        <w:fldChar w:fldCharType="end"/>
      </w:r>
      <w:r w:rsidR="00E1642B" w:rsidRPr="00210630">
        <w:rPr>
          <w:rFonts w:ascii="Times New Roman" w:hAnsi="Times New Roman" w:cs="Times New Roman"/>
          <w:sz w:val="22"/>
        </w:rPr>
        <w:t xml:space="preserve">, and RNA-seq data of 1,025 ER-positive breast cancer samples in The Cancer Genome Atlas (TCGA) </w:t>
      </w:r>
      <w:r w:rsidR="00E1642B" w:rsidRPr="00210630">
        <w:rPr>
          <w:rFonts w:ascii="Times New Roman" w:hAnsi="Times New Roman" w:cs="Times New Roman"/>
          <w:sz w:val="22"/>
        </w:rPr>
        <w:fldChar w:fldCharType="begin">
          <w:fldData xml:space="preserve">PEVuZE5vdGU+PENpdGU+PEF1dGhvcj5DYW5jZXIgR2Vub21lIEF0bGFzPC9BdXRob3I+PFllYXI+
MjAxMjwvWWVhcj48UmVjTnVtPjcwPC9SZWNOdW0+PERpc3BsYXlUZXh0PigyKTwvRGlzcGxheVRl
eHQ+PHJlY29yZD48cmVjLW51bWJlcj43MDwvcmVjLW51bWJlcj48Zm9yZWlnbi1rZXlzPjxrZXkg
YXBwPSJFTiIgZGItaWQ9ImFkMnQwZnhhbjBmMjAzZXQ5eGt2ZGR2Zzk1YXB3YWV2ejB0YSIgdGlt
ZXN0YW1wPSIxNTgzOTAyNjk2Ij43MDwva2V5PjwvZm9yZWlnbi1rZXlzPjxyZWYtdHlwZSBuYW1l
PSJKb3VybmFsIEFydGljbGUiPjE3PC9yZWYtdHlwZT48Y29udHJpYnV0b3JzPjxhdXRob3JzPjxh
dXRob3I+Q2FuY2VyIEdlbm9tZSBBdGxhcywgTmV0d29yazwvYXV0aG9yPjwvYXV0aG9ycz48L2Nv
bnRyaWJ1dG9ycz48dGl0bGVzPjx0aXRsZT5Db21wcmVoZW5zaXZlIG1vbGVjdWxhciBwb3J0cmFp
dHMgb2YgaHVtYW4gYnJlYXN0IHR1bW91cnM8L3RpdGxlPjxzZWNvbmRhcnktdGl0bGU+TmF0dXJl
PC9zZWNvbmRhcnktdGl0bGU+PGFsdC10aXRsZT5OYXR1cmU8L2FsdC10aXRsZT48L3RpdGxlcz48
cGVyaW9kaWNhbD48ZnVsbC10aXRsZT5OYXR1cmU8L2Z1bGwtdGl0bGU+PGFiYnItMT5OYXR1cmU8
L2FiYnItMT48L3BlcmlvZGljYWw+PGFsdC1wZXJpb2RpY2FsPjxmdWxsLXRpdGxlPk5hdHVyZTwv
ZnVsbC10aXRsZT48YWJici0xPk5hdHVyZTwvYWJici0xPjwvYWx0LXBlcmlvZGljYWw+PHBhZ2Vz
PjYxLTcwPC9wYWdlcz48dm9sdW1lPjQ5MDwvdm9sdW1lPjxudW1iZXI+NzQxODwvbnVtYmVyPjxl
ZGl0aW9uPjIwMTIvMDkvMjM8L2VkaXRpb24+PGtleXdvcmRzPjxrZXl3b3JkPkJyZWFzdCBOZW9w
bGFzbXMvY2xhc3NpZmljYXRpb24vKmdlbmV0aWNzL21ldGFib2xpc20vKnBhdGhvbG9neTwva2V5
d29yZD48a2V5d29yZD5DbGFzcyBJIFBob3NwaGF0aWR5bGlub3NpdG9sIDMtS2luYXNlczwva2V5
d29yZD48a2V5d29yZD5ETkEgQ29weSBOdW1iZXIgVmFyaWF0aW9ucy9nZW5ldGljczwva2V5d29y
ZD48a2V5d29yZD5ETkEgTWV0aHlsYXRpb248L2tleXdvcmQ+PGtleXdvcmQ+RE5BIE11dGF0aW9u
YWwgQW5hbHlzaXM8L2tleXdvcmQ+PGtleXdvcmQ+RXhvbWUvZ2VuZXRpY3M8L2tleXdvcmQ+PGtl
eXdvcmQ+RmVtYWxlPC9rZXl3b3JkPjxrZXl3b3JkPkdBVEEzIFRyYW5zY3JpcHRpb24gRmFjdG9y
L2dlbmV0aWNzPC9rZXl3b3JkPjxrZXl3b3JkPkdlbmUgRXhwcmVzc2lvbiBQcm9maWxpbmc8L2tl
eXdvcmQ+PGtleXdvcmQ+R2VuZSBFeHByZXNzaW9uIFJlZ3VsYXRpb24sIE5lb3BsYXN0aWM8L2tl
eXdvcmQ+PGtleXdvcmQ+R2VuZXMsIEJSQ0ExPC9rZXl3b3JkPjxrZXl3b3JkPkdlbmVzLCBOZW9w
bGFzbS8qZ2VuZXRpY3M8L2tleXdvcmQ+PGtleXdvcmQ+R2VuZXMsIGVyYkItMi9nZW5ldGljczwv
a2V5d29yZD48a2V5d29yZD5HZW5lcywgcDUzL2dlbmV0aWNzPC9rZXl3b3JkPjxrZXl3b3JkPipH
ZW5ldGljIEhldGVyb2dlbmVpdHk8L2tleXdvcmQ+PGtleXdvcmQ+R2Vub21lLCBIdW1hbi9nZW5l
dGljczwva2V5d29yZD48a2V5d29yZD5HZW5vbWljczwva2V5d29yZD48a2V5d29yZD5IdW1hbnM8
L2tleXdvcmQ+PGtleXdvcmQ+TUFQIEtpbmFzZSBLaW5hc2UgS2luYXNlIDEvZ2VuZXRpY3M8L2tl
eXdvcmQ+PGtleXdvcmQ+TWljcm9STkFzL2dlbmV0aWNzPC9rZXl3b3JkPjxrZXl3b3JkPk11dGF0
aW9uLypnZW5ldGljczwva2V5d29yZD48a2V5d29yZD5PbGlnb251Y2xlb3RpZGUgQXJyYXkgU2Vx
dWVuY2UgQW5hbHlzaXM8L2tleXdvcmQ+PGtleXdvcmQ+T3ZhcmlhbiBOZW9wbGFzbXMvZ2VuZXRp
Y3MvcGF0aG9sb2d5PC9rZXl3b3JkPjxrZXl3b3JkPlBob3NwaGF0aWR5bGlub3NpdG9sIDMtS2lu
YXNlcy9nZW5ldGljczwva2V5d29yZD48a2V5d29yZD5Qcm90ZWluIEFycmF5IEFuYWx5c2lzPC9r
ZXl3b3JkPjxrZXl3b3JkPlByb3Rlb21pY3M8L2tleXdvcmQ+PGtleXdvcmQ+Uk5BLCBNZXNzZW5n
ZXIvZ2VuZXRpY3M8L2tleXdvcmQ+PGtleXdvcmQ+Uk5BLCBOZW9wbGFzbS9nZW5ldGljczwva2V5
d29yZD48a2V5d29yZD5SZWNlcHRvcnMsIEVzdHJvZ2VuL21ldGFib2xpc208L2tleXdvcmQ+PGtl
eXdvcmQ+UmV0aW5vYmxhc3RvbWEgUHJvdGVpbi9nZW5ldGljcy9tZXRhYm9saXNtPC9rZXl3b3Jk
Pjwva2V5d29yZHM+PGRhdGVzPjx5ZWFyPjIwMTI8L3llYXI+PC9kYXRlcz48aXNibj4xNDc2LTQ2
ODcmI3hEOzAwMjgtMDgzNjwvaXNibj48YWNjZXNzaW9uLW51bT4yMzAwMDg5NzwvYWNjZXNzaW9u
LW51bT48dXJscz48cmVsYXRlZC11cmxzPjx1cmw+aHR0cHM6Ly9wdWJtZWQubmNiaS5ubG0ubmlo
Lmdvdi8yMzAwMDg5NzwvdXJsPjx1cmw+aHR0cHM6Ly93d3cubmNiaS5ubG0ubmloLmdvdi9wbWMv
YXJ0aWNsZXMvUE1DMzQ2NTUzMi88L3VybD48L3JlbGF0ZWQtdXJscz48L3VybHM+PGVsZWN0cm9u
aWMtcmVzb3VyY2UtbnVtPjEwLjEwMzgvbmF0dXJlMTE0MTI8L2VsZWN0cm9uaWMtcmVzb3VyY2Ut
bnVtPjxyZW1vdGUtZGF0YWJhc2UtbmFtZT5QdWJNZWQ8L3JlbW90ZS1kYXRhYmFzZS1uYW1lPjxs
YW5ndWFnZT5lbmc8L2xhbmd1YWdlPjwvcmVjb3JkPjwvQ2l0ZT48L0VuZE5vdGU+AG==
</w:fldData>
        </w:fldChar>
      </w:r>
      <w:r w:rsidR="00E1642B" w:rsidRPr="00210630">
        <w:rPr>
          <w:rFonts w:ascii="Times New Roman" w:hAnsi="Times New Roman" w:cs="Times New Roman"/>
          <w:sz w:val="22"/>
        </w:rPr>
        <w:instrText xml:space="preserve"> ADDIN EN.CITE </w:instrText>
      </w:r>
      <w:r w:rsidR="00E1642B" w:rsidRPr="00210630">
        <w:rPr>
          <w:rFonts w:ascii="Times New Roman" w:hAnsi="Times New Roman" w:cs="Times New Roman"/>
          <w:sz w:val="22"/>
        </w:rPr>
        <w:fldChar w:fldCharType="begin">
          <w:fldData xml:space="preserve">PEVuZE5vdGU+PENpdGU+PEF1dGhvcj5DYW5jZXIgR2Vub21lIEF0bGFzPC9BdXRob3I+PFllYXI+
MjAxMjwvWWVhcj48UmVjTnVtPjcwPC9SZWNOdW0+PERpc3BsYXlUZXh0PigyKTwvRGlzcGxheVRl
eHQ+PHJlY29yZD48cmVjLW51bWJlcj43MDwvcmVjLW51bWJlcj48Zm9yZWlnbi1rZXlzPjxrZXkg
YXBwPSJFTiIgZGItaWQ9ImFkMnQwZnhhbjBmMjAzZXQ5eGt2ZGR2Zzk1YXB3YWV2ejB0YSIgdGlt
ZXN0YW1wPSIxNTgzOTAyNjk2Ij43MDwva2V5PjwvZm9yZWlnbi1rZXlzPjxyZWYtdHlwZSBuYW1l
PSJKb3VybmFsIEFydGljbGUiPjE3PC9yZWYtdHlwZT48Y29udHJpYnV0b3JzPjxhdXRob3JzPjxh
dXRob3I+Q2FuY2VyIEdlbm9tZSBBdGxhcywgTmV0d29yazwvYXV0aG9yPjwvYXV0aG9ycz48L2Nv
bnRyaWJ1dG9ycz48dGl0bGVzPjx0aXRsZT5Db21wcmVoZW5zaXZlIG1vbGVjdWxhciBwb3J0cmFp
dHMgb2YgaHVtYW4gYnJlYXN0IHR1bW91cnM8L3RpdGxlPjxzZWNvbmRhcnktdGl0bGU+TmF0dXJl
PC9zZWNvbmRhcnktdGl0bGU+PGFsdC10aXRsZT5OYXR1cmU8L2FsdC10aXRsZT48L3RpdGxlcz48
cGVyaW9kaWNhbD48ZnVsbC10aXRsZT5OYXR1cmU8L2Z1bGwtdGl0bGU+PGFiYnItMT5OYXR1cmU8
L2FiYnItMT48L3BlcmlvZGljYWw+PGFsdC1wZXJpb2RpY2FsPjxmdWxsLXRpdGxlPk5hdHVyZTwv
ZnVsbC10aXRsZT48YWJici0xPk5hdHVyZTwvYWJici0xPjwvYWx0LXBlcmlvZGljYWw+PHBhZ2Vz
PjYxLTcwPC9wYWdlcz48dm9sdW1lPjQ5MDwvdm9sdW1lPjxudW1iZXI+NzQxODwvbnVtYmVyPjxl
ZGl0aW9uPjIwMTIvMDkvMjM8L2VkaXRpb24+PGtleXdvcmRzPjxrZXl3b3JkPkJyZWFzdCBOZW9w
bGFzbXMvY2xhc3NpZmljYXRpb24vKmdlbmV0aWNzL21ldGFib2xpc20vKnBhdGhvbG9neTwva2V5
d29yZD48a2V5d29yZD5DbGFzcyBJIFBob3NwaGF0aWR5bGlub3NpdG9sIDMtS2luYXNlczwva2V5
d29yZD48a2V5d29yZD5ETkEgQ29weSBOdW1iZXIgVmFyaWF0aW9ucy9nZW5ldGljczwva2V5d29y
ZD48a2V5d29yZD5ETkEgTWV0aHlsYXRpb248L2tleXdvcmQ+PGtleXdvcmQ+RE5BIE11dGF0aW9u
YWwgQW5hbHlzaXM8L2tleXdvcmQ+PGtleXdvcmQ+RXhvbWUvZ2VuZXRpY3M8L2tleXdvcmQ+PGtl
eXdvcmQ+RmVtYWxlPC9rZXl3b3JkPjxrZXl3b3JkPkdBVEEzIFRyYW5zY3JpcHRpb24gRmFjdG9y
L2dlbmV0aWNzPC9rZXl3b3JkPjxrZXl3b3JkPkdlbmUgRXhwcmVzc2lvbiBQcm9maWxpbmc8L2tl
eXdvcmQ+PGtleXdvcmQ+R2VuZSBFeHByZXNzaW9uIFJlZ3VsYXRpb24sIE5lb3BsYXN0aWM8L2tl
eXdvcmQ+PGtleXdvcmQ+R2VuZXMsIEJSQ0ExPC9rZXl3b3JkPjxrZXl3b3JkPkdlbmVzLCBOZW9w
bGFzbS8qZ2VuZXRpY3M8L2tleXdvcmQ+PGtleXdvcmQ+R2VuZXMsIGVyYkItMi9nZW5ldGljczwv
a2V5d29yZD48a2V5d29yZD5HZW5lcywgcDUzL2dlbmV0aWNzPC9rZXl3b3JkPjxrZXl3b3JkPipH
ZW5ldGljIEhldGVyb2dlbmVpdHk8L2tleXdvcmQ+PGtleXdvcmQ+R2Vub21lLCBIdW1hbi9nZW5l
dGljczwva2V5d29yZD48a2V5d29yZD5HZW5vbWljczwva2V5d29yZD48a2V5d29yZD5IdW1hbnM8
L2tleXdvcmQ+PGtleXdvcmQ+TUFQIEtpbmFzZSBLaW5hc2UgS2luYXNlIDEvZ2VuZXRpY3M8L2tl
eXdvcmQ+PGtleXdvcmQ+TWljcm9STkFzL2dlbmV0aWNzPC9rZXl3b3JkPjxrZXl3b3JkPk11dGF0
aW9uLypnZW5ldGljczwva2V5d29yZD48a2V5d29yZD5PbGlnb251Y2xlb3RpZGUgQXJyYXkgU2Vx
dWVuY2UgQW5hbHlzaXM8L2tleXdvcmQ+PGtleXdvcmQ+T3ZhcmlhbiBOZW9wbGFzbXMvZ2VuZXRp
Y3MvcGF0aG9sb2d5PC9rZXl3b3JkPjxrZXl3b3JkPlBob3NwaGF0aWR5bGlub3NpdG9sIDMtS2lu
YXNlcy9nZW5ldGljczwva2V5d29yZD48a2V5d29yZD5Qcm90ZWluIEFycmF5IEFuYWx5c2lzPC9r
ZXl3b3JkPjxrZXl3b3JkPlByb3Rlb21pY3M8L2tleXdvcmQ+PGtleXdvcmQ+Uk5BLCBNZXNzZW5n
ZXIvZ2VuZXRpY3M8L2tleXdvcmQ+PGtleXdvcmQ+Uk5BLCBOZW9wbGFzbS9nZW5ldGljczwva2V5
d29yZD48a2V5d29yZD5SZWNlcHRvcnMsIEVzdHJvZ2VuL21ldGFib2xpc208L2tleXdvcmQ+PGtl
eXdvcmQ+UmV0aW5vYmxhc3RvbWEgUHJvdGVpbi9nZW5ldGljcy9tZXRhYm9saXNtPC9rZXl3b3Jk
Pjwva2V5d29yZHM+PGRhdGVzPjx5ZWFyPjIwMTI8L3llYXI+PC9kYXRlcz48aXNibj4xNDc2LTQ2
ODcmI3hEOzAwMjgtMDgzNjwvaXNibj48YWNjZXNzaW9uLW51bT4yMzAwMDg5NzwvYWNjZXNzaW9u
LW51bT48dXJscz48cmVsYXRlZC11cmxzPjx1cmw+aHR0cHM6Ly9wdWJtZWQubmNiaS5ubG0ubmlo
Lmdvdi8yMzAwMDg5NzwvdXJsPjx1cmw+aHR0cHM6Ly93d3cubmNiaS5ubG0ubmloLmdvdi9wbWMv
YXJ0aWNsZXMvUE1DMzQ2NTUzMi88L3VybD48L3JlbGF0ZWQtdXJscz48L3VybHM+PGVsZWN0cm9u
aWMtcmVzb3VyY2UtbnVtPjEwLjEwMzgvbmF0dXJlMTE0MTI8L2VsZWN0cm9uaWMtcmVzb3VyY2Ut
bnVtPjxyZW1vdGUtZGF0YWJhc2UtbmFtZT5QdWJNZWQ8L3JlbW90ZS1kYXRhYmFzZS1uYW1lPjxs
YW5ndWFnZT5lbmc8L2xhbmd1YWdlPjwvcmVjb3JkPjwvQ2l0ZT48L0VuZE5vdGU+AG==
</w:fldData>
        </w:fldChar>
      </w:r>
      <w:r w:rsidR="00E1642B" w:rsidRPr="00210630">
        <w:rPr>
          <w:rFonts w:ascii="Times New Roman" w:hAnsi="Times New Roman" w:cs="Times New Roman"/>
          <w:sz w:val="22"/>
        </w:rPr>
        <w:instrText xml:space="preserve"> ADDIN EN.CITE.DATA </w:instrText>
      </w:r>
      <w:r w:rsidR="00E1642B" w:rsidRPr="00210630">
        <w:rPr>
          <w:rFonts w:ascii="Times New Roman" w:hAnsi="Times New Roman" w:cs="Times New Roman"/>
          <w:sz w:val="22"/>
        </w:rPr>
      </w:r>
      <w:r w:rsidR="00E1642B" w:rsidRPr="00210630">
        <w:rPr>
          <w:rFonts w:ascii="Times New Roman" w:hAnsi="Times New Roman" w:cs="Times New Roman"/>
          <w:sz w:val="22"/>
        </w:rPr>
        <w:fldChar w:fldCharType="end"/>
      </w:r>
      <w:r w:rsidR="00E1642B" w:rsidRPr="00210630">
        <w:rPr>
          <w:rFonts w:ascii="Times New Roman" w:hAnsi="Times New Roman" w:cs="Times New Roman"/>
          <w:sz w:val="22"/>
        </w:rPr>
      </w:r>
      <w:r w:rsidR="00E1642B" w:rsidRPr="00210630">
        <w:rPr>
          <w:rFonts w:ascii="Times New Roman" w:hAnsi="Times New Roman" w:cs="Times New Roman"/>
          <w:sz w:val="22"/>
        </w:rPr>
        <w:fldChar w:fldCharType="separate"/>
      </w:r>
      <w:r w:rsidR="00E1642B" w:rsidRPr="00210630">
        <w:rPr>
          <w:rFonts w:ascii="Times New Roman" w:hAnsi="Times New Roman" w:cs="Times New Roman"/>
          <w:sz w:val="22"/>
        </w:rPr>
        <w:t>(2)</w:t>
      </w:r>
      <w:r w:rsidR="00E1642B" w:rsidRPr="00210630">
        <w:rPr>
          <w:rFonts w:ascii="Times New Roman" w:hAnsi="Times New Roman" w:cs="Times New Roman"/>
          <w:sz w:val="22"/>
        </w:rPr>
        <w:fldChar w:fldCharType="end"/>
      </w:r>
      <w:r w:rsidR="00E1642B" w:rsidRPr="00210630">
        <w:rPr>
          <w:rFonts w:ascii="Times New Roman" w:hAnsi="Times New Roman" w:cs="Times New Roman"/>
          <w:sz w:val="22"/>
        </w:rPr>
        <w:t xml:space="preserve"> and a previous study </w:t>
      </w:r>
      <w:r w:rsidRPr="00210630">
        <w:rPr>
          <w:rFonts w:ascii="Times New Roman" w:hAnsi="Times New Roman" w:cs="Times New Roman"/>
          <w:sz w:val="22"/>
        </w:rPr>
        <w:t xml:space="preserve">conducted </w:t>
      </w:r>
      <w:r w:rsidR="00E1642B" w:rsidRPr="00210630">
        <w:rPr>
          <w:rFonts w:ascii="Times New Roman" w:hAnsi="Times New Roman" w:cs="Times New Roman"/>
          <w:sz w:val="22"/>
        </w:rPr>
        <w:t xml:space="preserve">at Seoul National University Hospital (SNUH) </w:t>
      </w:r>
      <w:r w:rsidR="00E1642B" w:rsidRPr="00210630">
        <w:rPr>
          <w:rFonts w:ascii="Times New Roman" w:hAnsi="Times New Roman" w:cs="Times New Roman"/>
          <w:sz w:val="22"/>
        </w:rPr>
        <w:fldChar w:fldCharType="begin"/>
      </w:r>
      <w:r w:rsidR="00E1642B" w:rsidRPr="00210630">
        <w:rPr>
          <w:rFonts w:ascii="Times New Roman" w:hAnsi="Times New Roman" w:cs="Times New Roman"/>
          <w:sz w:val="22"/>
        </w:rPr>
        <w:instrText xml:space="preserve"> ADDIN EN.CITE &lt;EndNote&gt;&lt;Cite&gt;&lt;Author&gt;Lee&lt;/Author&gt;&lt;Year&gt;2016&lt;/Year&gt;&lt;RecNum&gt;71&lt;/RecNum&gt;&lt;DisplayText&gt;(3)&lt;/DisplayText&gt;&lt;record&gt;&lt;rec-number&gt;71&lt;/rec-number&gt;&lt;foreign-keys&gt;&lt;key app="EN" db-id="ad2t0fxan0f203et9xkvddvg95apwaevz0ta" timestamp="1583902761"&gt;71&lt;/key&gt;&lt;/foreign-keys&gt;&lt;ref-type name="Journal Article"&gt;17&lt;/ref-type&gt;&lt;contributors&gt;&lt;authors&gt;&lt;author&gt;Lee, Ji-Hyun&lt;/author&gt;&lt;author&gt;Zhao, Xing-Ming&lt;/author&gt;&lt;author&gt;Yoon, Ina&lt;/author&gt;&lt;author&gt;Lee, Jin Young&lt;/author&gt;&lt;author&gt;Kwon, Nam Hoon&lt;/author&gt;&lt;author&gt;Wang, Yin-Ying&lt;/author&gt;&lt;author&gt;Lee, Kyung-Min&lt;/author&gt;&lt;author&gt;Lee, Min-Joo&lt;/author&gt;&lt;author&gt;Kim, Jisun&lt;/author&gt;&lt;author&gt;Moon, Hyeong-Gon&lt;/author&gt;&lt;author&gt;In, Yongho&lt;/author&gt;&lt;author&gt;Hao, Jin-Kao&lt;/author&gt;&lt;author&gt;Park, Kyung-Mii&lt;/author&gt;&lt;author&gt;Noh, Dong-Young&lt;/author&gt;&lt;author&gt;Han, Wonshik&lt;/author&gt;&lt;author&gt;Kim, Sunghoon&lt;/author&gt;&lt;/authors&gt;&lt;/contributors&gt;&lt;titles&gt;&lt;title&gt;Integrative analysis of mutational and transcriptional profiles reveals driver mutations of metastatic breast cancers&lt;/title&gt;&lt;secondary-title&gt;Cell discovery&lt;/secondary-title&gt;&lt;alt-title&gt;Cell Discov&lt;/alt-title&gt;&lt;/titles&gt;&lt;periodical&gt;&lt;full-title&gt;Cell discovery&lt;/full-title&gt;&lt;abbr-1&gt;Cell Discov&lt;/abbr-1&gt;&lt;/periodical&gt;&lt;alt-periodical&gt;&lt;full-title&gt;Cell discovery&lt;/full-title&gt;&lt;abbr-1&gt;Cell Discov&lt;/abbr-1&gt;&lt;/alt-periodical&gt;&lt;pages&gt;16025-16025&lt;/pages&gt;&lt;volume&gt;2&lt;/volume&gt;&lt;keywords&gt;&lt;keyword&gt;RNA sequencing&lt;/keyword&gt;&lt;keyword&gt;driver mutations&lt;/keyword&gt;&lt;keyword&gt;exome sequencing&lt;/keyword&gt;&lt;keyword&gt;integrative analysis&lt;/keyword&gt;&lt;keyword&gt;metastatic breast cancer&lt;/keyword&gt;&lt;/keywords&gt;&lt;dates&gt;&lt;year&gt;2016&lt;/year&gt;&lt;/dates&gt;&lt;publisher&gt;Nature Publishing Group&lt;/publisher&gt;&lt;isbn&gt;2056-5968&lt;/isbn&gt;&lt;accession-num&gt;27625789&lt;/accession-num&gt;&lt;urls&gt;&lt;related-urls&gt;&lt;url&gt;https://pubmed.ncbi.nlm.nih.gov/27625789&lt;/url&gt;&lt;url&gt;https://www.ncbi.nlm.nih.gov/pmc/articles/PMC5004232/&lt;/url&gt;&lt;/related-urls&gt;&lt;/urls&gt;&lt;electronic-resource-num&gt;10.1038/celldisc.2016.25&lt;/electronic-resource-num&gt;&lt;remote-database-name&gt;PubMed&lt;/remote-database-name&gt;&lt;language&gt;eng&lt;/language&gt;&lt;/record&gt;&lt;/Cite&gt;&lt;/EndNote&gt;</w:instrText>
      </w:r>
      <w:r w:rsidR="00E1642B" w:rsidRPr="00210630">
        <w:rPr>
          <w:rFonts w:ascii="Times New Roman" w:hAnsi="Times New Roman" w:cs="Times New Roman"/>
          <w:sz w:val="22"/>
        </w:rPr>
        <w:fldChar w:fldCharType="separate"/>
      </w:r>
      <w:r w:rsidR="00E1642B" w:rsidRPr="00210630">
        <w:rPr>
          <w:rFonts w:ascii="Times New Roman" w:hAnsi="Times New Roman" w:cs="Times New Roman"/>
          <w:sz w:val="22"/>
        </w:rPr>
        <w:t>(3)</w:t>
      </w:r>
      <w:r w:rsidR="00E1642B" w:rsidRPr="00210630">
        <w:rPr>
          <w:rFonts w:ascii="Times New Roman" w:hAnsi="Times New Roman" w:cs="Times New Roman"/>
          <w:sz w:val="22"/>
        </w:rPr>
        <w:fldChar w:fldCharType="end"/>
      </w:r>
      <w:r w:rsidR="00E1642B" w:rsidRPr="00210630">
        <w:rPr>
          <w:rFonts w:ascii="Times New Roman" w:hAnsi="Times New Roman" w:cs="Times New Roman"/>
          <w:sz w:val="22"/>
        </w:rPr>
        <w:t xml:space="preserve">. Affymetrix GPL 96 was the platform used for the microarray data. </w:t>
      </w:r>
    </w:p>
    <w:p w14:paraId="5733479F" w14:textId="4CE35A64" w:rsidR="00B10471" w:rsidRPr="00210630" w:rsidRDefault="00BB4800" w:rsidP="00E1642B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  <w:r w:rsidRPr="00210630">
        <w:rPr>
          <w:rFonts w:ascii="Times New Roman" w:hAnsi="Times New Roman" w:cs="Times New Roman"/>
          <w:sz w:val="22"/>
        </w:rPr>
        <w:t xml:space="preserve">Microarray data were </w:t>
      </w:r>
      <w:r w:rsidR="00020BD9" w:rsidRPr="00210630">
        <w:rPr>
          <w:rFonts w:ascii="Times New Roman" w:hAnsi="Times New Roman" w:cs="Times New Roman"/>
          <w:sz w:val="22"/>
        </w:rPr>
        <w:t xml:space="preserve">first used to derive </w:t>
      </w:r>
      <w:r w:rsidR="00E1642B" w:rsidRPr="00210630">
        <w:rPr>
          <w:rFonts w:ascii="Times New Roman" w:hAnsi="Times New Roman" w:cs="Times New Roman"/>
          <w:sz w:val="22"/>
        </w:rPr>
        <w:t>the 21-gene recurrence score (RS)</w:t>
      </w:r>
      <w:r w:rsidRPr="00210630">
        <w:rPr>
          <w:rFonts w:ascii="Times New Roman" w:hAnsi="Times New Roman" w:cs="Times New Roman"/>
          <w:sz w:val="22"/>
        </w:rPr>
        <w:t xml:space="preserve">, as previously described </w:t>
      </w:r>
      <w:r w:rsidR="00E1642B" w:rsidRPr="00210630">
        <w:rPr>
          <w:rFonts w:ascii="Times New Roman" w:hAnsi="Times New Roman" w:cs="Times New Roman"/>
          <w:sz w:val="22"/>
        </w:rPr>
        <w:fldChar w:fldCharType="begin">
          <w:fldData xml:space="preserve">PEVuZE5vdGU+PENpdGU+PEF1dGhvcj5QYWlrPC9BdXRob3I+PFllYXI+MjAwNDwvWWVhcj48UmVj
TnVtPjYwPC9SZWNOdW0+PERpc3BsYXlUZXh0Pig0KTwvRGlzcGxheVRleHQ+PHJlY29yZD48cmVj
LW51bWJlcj42MDwvcmVjLW51bWJlcj48Zm9yZWlnbi1rZXlzPjxrZXkgYXBwPSJFTiIgZGItaWQ9
ImFkMnQwZnhhbjBmMjAzZXQ5eGt2ZGR2Zzk1YXB3YWV2ejB0YSIgdGltZXN0YW1wPSIxNTgzODQ2
MTI1Ij42MDwva2V5PjwvZm9yZWlnbi1rZXlzPjxyZWYtdHlwZSBuYW1lPSJKb3VybmFsIEFydGlj
bGUiPjE3PC9yZWYtdHlwZT48Y29udHJpYnV0b3JzPjxhdXRob3JzPjxhdXRob3I+UGFpaywgU29v
bm15dW5nPC9hdXRob3I+PGF1dGhvcj5TaGFrLCBTdGV2ZW48L2F1dGhvcj48YXV0aG9yPlRhbmcs
IEdvbmc8L2F1dGhvcj48YXV0aG9yPktpbSwgQ2h1bmd5ZXVsPC9hdXRob3I+PGF1dGhvcj5CYWtl
ciwgSm9mZnJlPC9hdXRob3I+PGF1dGhvcj5Dcm9uaW4sIE1hdXJlZW48L2F1dGhvcj48YXV0aG9y
PkJhZWhuZXIsIEZyZWRlcmljayBMLjwvYXV0aG9yPjxhdXRob3I+V2Fsa2VyLCBNaWNoYWVsIEcu
PC9hdXRob3I+PGF1dGhvcj5XYXRzb24sIERyZXc8L2F1dGhvcj48YXV0aG9yPlBhcmssIFRhZXN1
bmc8L2F1dGhvcj48YXV0aG9yPkhpbGxlciwgV2lsbGlhbTwvYXV0aG9yPjxhdXRob3I+RmlzaGVy
LCBFZHdpbiBSLjwvYXV0aG9yPjxhdXRob3I+V2lja2VyaGFtLCBELiBMYXdyZW5jZTwvYXV0aG9y
PjxhdXRob3I+QnJ5YW50LCBKb2huPC9hdXRob3I+PGF1dGhvcj5Xb2xtYXJrLCBOb3JtYW48L2F1
dGhvcj48L2F1dGhvcnM+PC9jb250cmlidXRvcnM+PHRpdGxlcz48dGl0bGU+QSBtdWx0aWdlbmUg
YXNzYXkgdG8gcHJlZGljdCByZWN1cnJlbmNlIG9mIHRhbW94aWZlbi10cmVhdGVkLCBub2RlLW5l
Z2F0aXZlIGJyZWFzdCBjYW5jZXI8L3RpdGxlPjxzZWNvbmRhcnktdGl0bGU+VGhlIE5ldyBFbmds
YW5kIGpvdXJuYWwgb2YgbWVkaWNpbmU8L3NlY29uZGFyeS10aXRsZT48YWx0LXRpdGxlPk4gRW5n
bCBKIE1lZDwvYWx0LXRpdGxlPjwvdGl0bGVzPjxhbHQtcGVyaW9kaWNhbD48ZnVsbC10aXRsZT5O
IEVuZ2wgSiBNZWQ8L2Z1bGwtdGl0bGU+PC9hbHQtcGVyaW9kaWNhbD48cGFnZXM+MjgxNy0yODI2
PC9wYWdlcz48dm9sdW1lPjM1MTwvdm9sdW1lPjxudW1iZXI+Mjc8L251bWJlcj48ZWRpdGlvbj4y
MDA0LzEyLzEwPC9lZGl0aW9uPjxrZXl3b3Jkcz48a2V5d29yZD5BbGdvcml0aG1zPC9rZXl3b3Jk
PjxrZXl3b3JkPkFudGluZW9wbGFzdGljIEFnZW50cywgSG9ybW9uYWwvKnRoZXJhcGV1dGljIHVz
ZTwva2V5d29yZD48a2V5d29yZD5CaW9tYXJrZXJzLCBUdW1vci8qYW5hbHlzaXM8L2tleXdvcmQ+
PGtleXdvcmQ+QnJlYXN0IE5lb3BsYXNtcy9kcnVnIHRoZXJhcHkvKmdlbmV0aWNzL3BhdGhvbG9n
eTwva2V5d29yZD48a2V5d29yZD5ETkEsIE5lb3BsYXNtL2FuYWx5c2lzLyptZXRhYm9saXNtPC9r
ZXl3b3JkPjxrZXl3b3JkPkVzdHJvZ2VuIEFudGFnb25pc3RzL3RoZXJhcGV1dGljIHVzZTwva2V5
d29yZD48a2V5d29yZD5GZW1hbGU8L2tleXdvcmQ+PGtleXdvcmQ+Rm9sbG93LVVwIFN0dWRpZXM8
L2tleXdvcmQ+PGtleXdvcmQ+KkdlbmUgRXhwcmVzc2lvbjwva2V5d29yZD48a2V5d29yZD5HZW5l
cywgZXJiQi0yPC9rZXl3b3JkPjxrZXl3b3JkPkh1bWFuczwva2V5d29yZD48a2V5d29yZD5MeW1w
aGF0aWMgTWV0YXN0YXNpczwva2V5d29yZD48a2V5d29yZD5NaWRkbGUgQWdlZDwva2V5d29yZD48
a2V5d29yZD5NdWx0aXZhcmlhdGUgQW5hbHlzaXM8L2tleXdvcmQ+PGtleXdvcmQ+TmVvcGxhc20g
TWV0YXN0YXNpczwva2V5d29yZD48a2V5d29yZD5Qcm9nbm9zaXM8L2tleXdvcmQ+PGtleXdvcmQ+
UHJvcG9ydGlvbmFsIEhhemFyZHMgTW9kZWxzPC9rZXl3b3JkPjxrZXl3b3JkPlJlY2VwdG9ycywg
RXN0cm9nZW48L2tleXdvcmQ+PGtleXdvcmQ+UmVjZXB0b3JzLCBQcm9nZXN0ZXJvbmU8L2tleXdv
cmQ+PGtleXdvcmQ+UmVjdXJyZW5jZTwva2V5d29yZD48a2V5d29yZD5SZXZlcnNlIFRyYW5zY3Jp
cHRhc2UgUG9seW1lcmFzZSBDaGFpbiBSZWFjdGlvbjwva2V5d29yZD48a2V5d29yZD5SaXNrPC9r
ZXl3b3JkPjxrZXl3b3JkPlN1cnZpdmFsIEFuYWx5c2lzPC9rZXl3b3JkPjxrZXl3b3JkPlRhbW94
aWZlbi8qdGhlcmFwZXV0aWMgdXNlPC9rZXl3b3JkPjwva2V5d29yZHM+PGRhdGVzPjx5ZWFyPjIw
MDQ8L3llYXI+PC9kYXRlcz48cHViLWxvY2F0aW9uPlVuaXRlZCBTdGF0ZXM8L3B1Yi1sb2NhdGlv
bj48aXNibj4xNTMzLTQ0MDY8L2lzYm4+PGFjY2Vzc2lvbi1udW0+MTU1OTEzMzU8L2FjY2Vzc2lv
bi1udW0+PHVybHM+PHJlbGF0ZWQtdXJscz48dXJsPmh0dHBzOi8vcHVibWVkLm5jYmkubmxtLm5p
aC5nb3YvMTU1OTEzMzU8L3VybD48L3JlbGF0ZWQtdXJscz48L3VybHM+PGVsZWN0cm9uaWMtcmVz
b3VyY2UtbnVtPjEwLjEwNTYvTkVKTW9hMDQxNTg4PC9lbGVjdHJvbmljLXJlc291cmNlLW51bT48
cmVtb3RlLWRhdGFiYXNlLW5hbWU+UHViTWVkPC9yZW1vdGUtZGF0YWJhc2UtbmFtZT48bGFuZ3Vh
Z2U+ZW5nPC9sYW5ndWFnZT48L3JlY29yZD48L0NpdGU+PC9FbmROb3RlPn==
</w:fldData>
        </w:fldChar>
      </w:r>
      <w:r w:rsidR="00E1642B" w:rsidRPr="00210630">
        <w:rPr>
          <w:rFonts w:ascii="Times New Roman" w:hAnsi="Times New Roman" w:cs="Times New Roman"/>
          <w:sz w:val="22"/>
        </w:rPr>
        <w:instrText xml:space="preserve"> ADDIN EN.CITE </w:instrText>
      </w:r>
      <w:r w:rsidR="00E1642B" w:rsidRPr="00210630">
        <w:rPr>
          <w:rFonts w:ascii="Times New Roman" w:hAnsi="Times New Roman" w:cs="Times New Roman"/>
          <w:sz w:val="22"/>
        </w:rPr>
        <w:fldChar w:fldCharType="begin">
          <w:fldData xml:space="preserve">PEVuZE5vdGU+PENpdGU+PEF1dGhvcj5QYWlrPC9BdXRob3I+PFllYXI+MjAwNDwvWWVhcj48UmVj
TnVtPjYwPC9SZWNOdW0+PERpc3BsYXlUZXh0Pig0KTwvRGlzcGxheVRleHQ+PHJlY29yZD48cmVj
LW51bWJlcj42MDwvcmVjLW51bWJlcj48Zm9yZWlnbi1rZXlzPjxrZXkgYXBwPSJFTiIgZGItaWQ9
ImFkMnQwZnhhbjBmMjAzZXQ5eGt2ZGR2Zzk1YXB3YWV2ejB0YSIgdGltZXN0YW1wPSIxNTgzODQ2
MTI1Ij42MDwva2V5PjwvZm9yZWlnbi1rZXlzPjxyZWYtdHlwZSBuYW1lPSJKb3VybmFsIEFydGlj
bGUiPjE3PC9yZWYtdHlwZT48Y29udHJpYnV0b3JzPjxhdXRob3JzPjxhdXRob3I+UGFpaywgU29v
bm15dW5nPC9hdXRob3I+PGF1dGhvcj5TaGFrLCBTdGV2ZW48L2F1dGhvcj48YXV0aG9yPlRhbmcs
IEdvbmc8L2F1dGhvcj48YXV0aG9yPktpbSwgQ2h1bmd5ZXVsPC9hdXRob3I+PGF1dGhvcj5CYWtl
ciwgSm9mZnJlPC9hdXRob3I+PGF1dGhvcj5Dcm9uaW4sIE1hdXJlZW48L2F1dGhvcj48YXV0aG9y
PkJhZWhuZXIsIEZyZWRlcmljayBMLjwvYXV0aG9yPjxhdXRob3I+V2Fsa2VyLCBNaWNoYWVsIEcu
PC9hdXRob3I+PGF1dGhvcj5XYXRzb24sIERyZXc8L2F1dGhvcj48YXV0aG9yPlBhcmssIFRhZXN1
bmc8L2F1dGhvcj48YXV0aG9yPkhpbGxlciwgV2lsbGlhbTwvYXV0aG9yPjxhdXRob3I+RmlzaGVy
LCBFZHdpbiBSLjwvYXV0aG9yPjxhdXRob3I+V2lja2VyaGFtLCBELiBMYXdyZW5jZTwvYXV0aG9y
PjxhdXRob3I+QnJ5YW50LCBKb2huPC9hdXRob3I+PGF1dGhvcj5Xb2xtYXJrLCBOb3JtYW48L2F1
dGhvcj48L2F1dGhvcnM+PC9jb250cmlidXRvcnM+PHRpdGxlcz48dGl0bGU+QSBtdWx0aWdlbmUg
YXNzYXkgdG8gcHJlZGljdCByZWN1cnJlbmNlIG9mIHRhbW94aWZlbi10cmVhdGVkLCBub2RlLW5l
Z2F0aXZlIGJyZWFzdCBjYW5jZXI8L3RpdGxlPjxzZWNvbmRhcnktdGl0bGU+VGhlIE5ldyBFbmds
YW5kIGpvdXJuYWwgb2YgbWVkaWNpbmU8L3NlY29uZGFyeS10aXRsZT48YWx0LXRpdGxlPk4gRW5n
bCBKIE1lZDwvYWx0LXRpdGxlPjwvdGl0bGVzPjxhbHQtcGVyaW9kaWNhbD48ZnVsbC10aXRsZT5O
IEVuZ2wgSiBNZWQ8L2Z1bGwtdGl0bGU+PC9hbHQtcGVyaW9kaWNhbD48cGFnZXM+MjgxNy0yODI2
PC9wYWdlcz48dm9sdW1lPjM1MTwvdm9sdW1lPjxudW1iZXI+Mjc8L251bWJlcj48ZWRpdGlvbj4y
MDA0LzEyLzEwPC9lZGl0aW9uPjxrZXl3b3Jkcz48a2V5d29yZD5BbGdvcml0aG1zPC9rZXl3b3Jk
PjxrZXl3b3JkPkFudGluZW9wbGFzdGljIEFnZW50cywgSG9ybW9uYWwvKnRoZXJhcGV1dGljIHVz
ZTwva2V5d29yZD48a2V5d29yZD5CaW9tYXJrZXJzLCBUdW1vci8qYW5hbHlzaXM8L2tleXdvcmQ+
PGtleXdvcmQ+QnJlYXN0IE5lb3BsYXNtcy9kcnVnIHRoZXJhcHkvKmdlbmV0aWNzL3BhdGhvbG9n
eTwva2V5d29yZD48a2V5d29yZD5ETkEsIE5lb3BsYXNtL2FuYWx5c2lzLyptZXRhYm9saXNtPC9r
ZXl3b3JkPjxrZXl3b3JkPkVzdHJvZ2VuIEFudGFnb25pc3RzL3RoZXJhcGV1dGljIHVzZTwva2V5
d29yZD48a2V5d29yZD5GZW1hbGU8L2tleXdvcmQ+PGtleXdvcmQ+Rm9sbG93LVVwIFN0dWRpZXM8
L2tleXdvcmQ+PGtleXdvcmQ+KkdlbmUgRXhwcmVzc2lvbjwva2V5d29yZD48a2V5d29yZD5HZW5l
cywgZXJiQi0yPC9rZXl3b3JkPjxrZXl3b3JkPkh1bWFuczwva2V5d29yZD48a2V5d29yZD5MeW1w
aGF0aWMgTWV0YXN0YXNpczwva2V5d29yZD48a2V5d29yZD5NaWRkbGUgQWdlZDwva2V5d29yZD48
a2V5d29yZD5NdWx0aXZhcmlhdGUgQW5hbHlzaXM8L2tleXdvcmQ+PGtleXdvcmQ+TmVvcGxhc20g
TWV0YXN0YXNpczwva2V5d29yZD48a2V5d29yZD5Qcm9nbm9zaXM8L2tleXdvcmQ+PGtleXdvcmQ+
UHJvcG9ydGlvbmFsIEhhemFyZHMgTW9kZWxzPC9rZXl3b3JkPjxrZXl3b3JkPlJlY2VwdG9ycywg
RXN0cm9nZW48L2tleXdvcmQ+PGtleXdvcmQ+UmVjZXB0b3JzLCBQcm9nZXN0ZXJvbmU8L2tleXdv
cmQ+PGtleXdvcmQ+UmVjdXJyZW5jZTwva2V5d29yZD48a2V5d29yZD5SZXZlcnNlIFRyYW5zY3Jp
cHRhc2UgUG9seW1lcmFzZSBDaGFpbiBSZWFjdGlvbjwva2V5d29yZD48a2V5d29yZD5SaXNrPC9r
ZXl3b3JkPjxrZXl3b3JkPlN1cnZpdmFsIEFuYWx5c2lzPC9rZXl3b3JkPjxrZXl3b3JkPlRhbW94
aWZlbi8qdGhlcmFwZXV0aWMgdXNlPC9rZXl3b3JkPjwva2V5d29yZHM+PGRhdGVzPjx5ZWFyPjIw
MDQ8L3llYXI+PC9kYXRlcz48cHViLWxvY2F0aW9uPlVuaXRlZCBTdGF0ZXM8L3B1Yi1sb2NhdGlv
bj48aXNibj4xNTMzLTQ0MDY8L2lzYm4+PGFjY2Vzc2lvbi1udW0+MTU1OTEzMzU8L2FjY2Vzc2lv
bi1udW0+PHVybHM+PHJlbGF0ZWQtdXJscz48dXJsPmh0dHBzOi8vcHVibWVkLm5jYmkubmxtLm5p
aC5nb3YvMTU1OTEzMzU8L3VybD48L3JlbGF0ZWQtdXJscz48L3VybHM+PGVsZWN0cm9uaWMtcmVz
b3VyY2UtbnVtPjEwLjEwNTYvTkVKTW9hMDQxNTg4PC9lbGVjdHJvbmljLXJlc291cmNlLW51bT48
cmVtb3RlLWRhdGFiYXNlLW5hbWU+UHViTWVkPC9yZW1vdGUtZGF0YWJhc2UtbmFtZT48bGFuZ3Vh
Z2U+ZW5nPC9sYW5ndWFnZT48L3JlY29yZD48L0NpdGU+PC9FbmROb3RlPn==
</w:fldData>
        </w:fldChar>
      </w:r>
      <w:r w:rsidR="00E1642B" w:rsidRPr="00210630">
        <w:rPr>
          <w:rFonts w:ascii="Times New Roman" w:hAnsi="Times New Roman" w:cs="Times New Roman"/>
          <w:sz w:val="22"/>
        </w:rPr>
        <w:instrText xml:space="preserve"> ADDIN EN.CITE.DATA </w:instrText>
      </w:r>
      <w:r w:rsidR="00E1642B" w:rsidRPr="00210630">
        <w:rPr>
          <w:rFonts w:ascii="Times New Roman" w:hAnsi="Times New Roman" w:cs="Times New Roman"/>
          <w:sz w:val="22"/>
        </w:rPr>
      </w:r>
      <w:r w:rsidR="00E1642B" w:rsidRPr="00210630">
        <w:rPr>
          <w:rFonts w:ascii="Times New Roman" w:hAnsi="Times New Roman" w:cs="Times New Roman"/>
          <w:sz w:val="22"/>
        </w:rPr>
        <w:fldChar w:fldCharType="end"/>
      </w:r>
      <w:r w:rsidR="00E1642B" w:rsidRPr="00210630">
        <w:rPr>
          <w:rFonts w:ascii="Times New Roman" w:hAnsi="Times New Roman" w:cs="Times New Roman"/>
          <w:sz w:val="22"/>
        </w:rPr>
      </w:r>
      <w:r w:rsidR="00E1642B" w:rsidRPr="00210630">
        <w:rPr>
          <w:rFonts w:ascii="Times New Roman" w:hAnsi="Times New Roman" w:cs="Times New Roman"/>
          <w:sz w:val="22"/>
        </w:rPr>
        <w:fldChar w:fldCharType="separate"/>
      </w:r>
      <w:r w:rsidR="00E1642B" w:rsidRPr="00210630">
        <w:rPr>
          <w:rFonts w:ascii="Times New Roman" w:hAnsi="Times New Roman" w:cs="Times New Roman"/>
          <w:sz w:val="22"/>
        </w:rPr>
        <w:t>(4)</w:t>
      </w:r>
      <w:r w:rsidR="00E1642B" w:rsidRPr="00210630">
        <w:rPr>
          <w:rFonts w:ascii="Times New Roman" w:hAnsi="Times New Roman" w:cs="Times New Roman"/>
          <w:sz w:val="22"/>
        </w:rPr>
        <w:fldChar w:fldCharType="end"/>
      </w:r>
      <w:r w:rsidR="00E1642B" w:rsidRPr="00210630">
        <w:rPr>
          <w:rFonts w:ascii="Times New Roman" w:hAnsi="Times New Roman" w:cs="Times New Roman"/>
          <w:sz w:val="22"/>
        </w:rPr>
        <w:t>.</w:t>
      </w:r>
      <w:r w:rsidR="00020BD9" w:rsidRPr="00210630">
        <w:rPr>
          <w:rFonts w:ascii="Times New Roman" w:hAnsi="Times New Roman" w:cs="Times New Roman"/>
          <w:sz w:val="22"/>
        </w:rPr>
        <w:t xml:space="preserve"> </w:t>
      </w:r>
      <w:r w:rsidRPr="00210630">
        <w:rPr>
          <w:rFonts w:ascii="Times New Roman" w:hAnsi="Times New Roman" w:cs="Times New Roman"/>
          <w:sz w:val="22"/>
        </w:rPr>
        <w:t xml:space="preserve">In total, </w:t>
      </w:r>
      <w:r w:rsidR="00020BD9" w:rsidRPr="00210630">
        <w:rPr>
          <w:rFonts w:ascii="Times New Roman" w:hAnsi="Times New Roman" w:cs="Times New Roman"/>
          <w:sz w:val="22"/>
        </w:rPr>
        <w:t xml:space="preserve">135 genes </w:t>
      </w:r>
      <w:r w:rsidRPr="00210630">
        <w:rPr>
          <w:rFonts w:ascii="Times New Roman" w:hAnsi="Times New Roman" w:cs="Times New Roman"/>
          <w:sz w:val="22"/>
        </w:rPr>
        <w:t xml:space="preserve">with a </w:t>
      </w:r>
      <w:r w:rsidR="00020BD9" w:rsidRPr="00210630">
        <w:rPr>
          <w:rFonts w:ascii="Times New Roman" w:hAnsi="Times New Roman" w:cs="Times New Roman"/>
          <w:sz w:val="22"/>
        </w:rPr>
        <w:t>mean Pearson</w:t>
      </w:r>
      <w:r w:rsidRPr="00210630">
        <w:rPr>
          <w:rFonts w:ascii="Times New Roman" w:hAnsi="Times New Roman" w:cs="Times New Roman"/>
          <w:sz w:val="22"/>
        </w:rPr>
        <w:t>’s</w:t>
      </w:r>
      <w:r w:rsidR="00020BD9" w:rsidRPr="00210630">
        <w:rPr>
          <w:rFonts w:ascii="Times New Roman" w:hAnsi="Times New Roman" w:cs="Times New Roman"/>
          <w:sz w:val="22"/>
        </w:rPr>
        <w:t xml:space="preserve"> correlation </w:t>
      </w:r>
      <w:r w:rsidRPr="00210630">
        <w:rPr>
          <w:rFonts w:ascii="Times New Roman" w:hAnsi="Times New Roman" w:cs="Times New Roman"/>
          <w:sz w:val="22"/>
        </w:rPr>
        <w:t xml:space="preserve">coefficient </w:t>
      </w:r>
      <w:r w:rsidR="00020BD9" w:rsidRPr="00210630">
        <w:rPr>
          <w:rFonts w:ascii="Times New Roman" w:hAnsi="Times New Roman" w:cs="Times New Roman"/>
          <w:sz w:val="22"/>
        </w:rPr>
        <w:t xml:space="preserve">of </w:t>
      </w:r>
      <w:r w:rsidRPr="00210630">
        <w:rPr>
          <w:rFonts w:ascii="Times New Roman" w:hAnsi="Times New Roman" w:cs="Times New Roman"/>
          <w:sz w:val="22"/>
        </w:rPr>
        <w:t>&gt;</w:t>
      </w:r>
      <w:r w:rsidR="00CA3261" w:rsidRPr="00210630">
        <w:rPr>
          <w:rFonts w:ascii="Times New Roman" w:hAnsi="Times New Roman" w:cs="Times New Roman"/>
          <w:sz w:val="22"/>
        </w:rPr>
        <w:t xml:space="preserve"> </w:t>
      </w:r>
      <w:r w:rsidRPr="00210630">
        <w:rPr>
          <w:rFonts w:ascii="Times New Roman" w:hAnsi="Times New Roman" w:cs="Times New Roman"/>
          <w:sz w:val="22"/>
        </w:rPr>
        <w:t xml:space="preserve">0.5 </w:t>
      </w:r>
      <w:r w:rsidR="0092540B" w:rsidRPr="00210630">
        <w:rPr>
          <w:rFonts w:ascii="Times New Roman" w:hAnsi="Times New Roman" w:cs="Times New Roman"/>
          <w:sz w:val="22"/>
        </w:rPr>
        <w:t xml:space="preserve">with the calculated RS </w:t>
      </w:r>
      <w:r w:rsidRPr="00210630">
        <w:rPr>
          <w:rFonts w:ascii="Times New Roman" w:hAnsi="Times New Roman" w:cs="Times New Roman"/>
          <w:sz w:val="22"/>
        </w:rPr>
        <w:t xml:space="preserve">among </w:t>
      </w:r>
      <w:r w:rsidR="0092540B" w:rsidRPr="00210630">
        <w:rPr>
          <w:rFonts w:ascii="Times New Roman" w:hAnsi="Times New Roman" w:cs="Times New Roman"/>
          <w:sz w:val="22"/>
        </w:rPr>
        <w:t>individual samples</w:t>
      </w:r>
      <w:r w:rsidR="00020BD9" w:rsidRPr="00210630">
        <w:rPr>
          <w:rFonts w:ascii="Times New Roman" w:hAnsi="Times New Roman" w:cs="Times New Roman"/>
          <w:sz w:val="22"/>
        </w:rPr>
        <w:t xml:space="preserve"> among seven GEO datasets were selected. </w:t>
      </w:r>
      <w:r w:rsidR="0092540B" w:rsidRPr="00210630">
        <w:rPr>
          <w:rFonts w:ascii="Times New Roman" w:hAnsi="Times New Roman" w:cs="Times New Roman"/>
          <w:sz w:val="22"/>
        </w:rPr>
        <w:t xml:space="preserve">For </w:t>
      </w:r>
      <w:r w:rsidR="00020BD9" w:rsidRPr="00210630">
        <w:rPr>
          <w:rFonts w:ascii="Times New Roman" w:hAnsi="Times New Roman" w:cs="Times New Roman"/>
          <w:sz w:val="22"/>
        </w:rPr>
        <w:t>the RNA-seq data, log</w:t>
      </w:r>
      <w:r w:rsidR="00020BD9" w:rsidRPr="00210630">
        <w:rPr>
          <w:rFonts w:ascii="Times New Roman" w:hAnsi="Times New Roman" w:cs="Times New Roman"/>
          <w:sz w:val="22"/>
          <w:vertAlign w:val="subscript"/>
        </w:rPr>
        <w:t>2</w:t>
      </w:r>
      <w:r w:rsidR="00020BD9" w:rsidRPr="00210630">
        <w:rPr>
          <w:rFonts w:ascii="Times New Roman" w:hAnsi="Times New Roman" w:cs="Times New Roman"/>
          <w:sz w:val="22"/>
        </w:rPr>
        <w:t xml:space="preserve"> transformation was performed and </w:t>
      </w:r>
      <w:r w:rsidR="00B10471" w:rsidRPr="00210630">
        <w:rPr>
          <w:rFonts w:ascii="Times New Roman" w:hAnsi="Times New Roman" w:cs="Times New Roman"/>
          <w:sz w:val="22"/>
        </w:rPr>
        <w:t xml:space="preserve">values of </w:t>
      </w:r>
      <w:r w:rsidR="00020BD9" w:rsidRPr="00210630">
        <w:rPr>
          <w:rFonts w:ascii="Times New Roman" w:hAnsi="Times New Roman" w:cs="Times New Roman"/>
          <w:sz w:val="22"/>
        </w:rPr>
        <w:t>0 to 15</w:t>
      </w:r>
      <w:r w:rsidR="00CB40DD" w:rsidRPr="00210630">
        <w:rPr>
          <w:rFonts w:ascii="Times New Roman" w:hAnsi="Times New Roman" w:cs="Times New Roman"/>
          <w:sz w:val="22"/>
        </w:rPr>
        <w:t xml:space="preserve"> were rescaled</w:t>
      </w:r>
      <w:r w:rsidR="00020BD9" w:rsidRPr="00210630">
        <w:rPr>
          <w:rFonts w:ascii="Times New Roman" w:hAnsi="Times New Roman" w:cs="Times New Roman"/>
          <w:sz w:val="22"/>
        </w:rPr>
        <w:t xml:space="preserve">. </w:t>
      </w:r>
      <w:r w:rsidR="00181173" w:rsidRPr="00210630">
        <w:rPr>
          <w:rFonts w:ascii="Times New Roman" w:hAnsi="Times New Roman" w:cs="Times New Roman"/>
          <w:sz w:val="22"/>
        </w:rPr>
        <w:t xml:space="preserve">Similarly, </w:t>
      </w:r>
      <w:r w:rsidR="00B10471" w:rsidRPr="00210630">
        <w:rPr>
          <w:rFonts w:ascii="Times New Roman" w:hAnsi="Times New Roman" w:cs="Times New Roman"/>
          <w:sz w:val="22"/>
        </w:rPr>
        <w:t xml:space="preserve">97 genes </w:t>
      </w:r>
      <w:r w:rsidR="00CB40DD" w:rsidRPr="00210630">
        <w:rPr>
          <w:rFonts w:ascii="Times New Roman" w:hAnsi="Times New Roman" w:cs="Times New Roman"/>
          <w:sz w:val="22"/>
        </w:rPr>
        <w:t xml:space="preserve">with a </w:t>
      </w:r>
      <w:r w:rsidR="00B10471" w:rsidRPr="00210630">
        <w:rPr>
          <w:rFonts w:ascii="Times New Roman" w:hAnsi="Times New Roman" w:cs="Times New Roman"/>
          <w:sz w:val="22"/>
        </w:rPr>
        <w:t>mean Pearson</w:t>
      </w:r>
      <w:r w:rsidR="00CB40DD" w:rsidRPr="00210630">
        <w:rPr>
          <w:rFonts w:ascii="Times New Roman" w:hAnsi="Times New Roman" w:cs="Times New Roman"/>
          <w:sz w:val="22"/>
        </w:rPr>
        <w:t>’s</w:t>
      </w:r>
      <w:r w:rsidR="00B10471" w:rsidRPr="00210630">
        <w:rPr>
          <w:rFonts w:ascii="Times New Roman" w:hAnsi="Times New Roman" w:cs="Times New Roman"/>
          <w:sz w:val="22"/>
        </w:rPr>
        <w:t xml:space="preserve"> correlation </w:t>
      </w:r>
      <w:r w:rsidR="00CB40DD" w:rsidRPr="00210630">
        <w:rPr>
          <w:rFonts w:ascii="Times New Roman" w:hAnsi="Times New Roman" w:cs="Times New Roman"/>
          <w:sz w:val="22"/>
        </w:rPr>
        <w:t xml:space="preserve">coefficient </w:t>
      </w:r>
      <w:r w:rsidR="00B10471" w:rsidRPr="00210630">
        <w:rPr>
          <w:rFonts w:ascii="Times New Roman" w:hAnsi="Times New Roman" w:cs="Times New Roman"/>
          <w:sz w:val="22"/>
        </w:rPr>
        <w:t xml:space="preserve">of </w:t>
      </w:r>
      <w:r w:rsidR="00CB40DD" w:rsidRPr="00210630">
        <w:rPr>
          <w:rFonts w:ascii="Times New Roman" w:hAnsi="Times New Roman" w:cs="Times New Roman"/>
          <w:sz w:val="22"/>
        </w:rPr>
        <w:t>&gt;</w:t>
      </w:r>
      <w:r w:rsidR="00CA3261" w:rsidRPr="00210630">
        <w:rPr>
          <w:rFonts w:ascii="Times New Roman" w:hAnsi="Times New Roman" w:cs="Times New Roman"/>
          <w:sz w:val="22"/>
        </w:rPr>
        <w:t xml:space="preserve"> </w:t>
      </w:r>
      <w:r w:rsidR="00CB40DD" w:rsidRPr="00210630">
        <w:rPr>
          <w:rFonts w:ascii="Times New Roman" w:hAnsi="Times New Roman" w:cs="Times New Roman"/>
          <w:sz w:val="22"/>
        </w:rPr>
        <w:t xml:space="preserve">0.5 </w:t>
      </w:r>
      <w:r w:rsidR="0092540B" w:rsidRPr="00210630">
        <w:rPr>
          <w:rFonts w:ascii="Times New Roman" w:hAnsi="Times New Roman" w:cs="Times New Roman"/>
          <w:sz w:val="22"/>
        </w:rPr>
        <w:t>with the calculated RS</w:t>
      </w:r>
      <w:r w:rsidR="00B10471" w:rsidRPr="00210630">
        <w:rPr>
          <w:rFonts w:ascii="Times New Roman" w:hAnsi="Times New Roman" w:cs="Times New Roman"/>
          <w:sz w:val="22"/>
        </w:rPr>
        <w:t xml:space="preserve"> in TCGA and SNUH datasets were selected, all of which were included in the 135 genes from the microarray datasets. Next, fourteen of the 16 </w:t>
      </w:r>
      <w:r w:rsidR="00892C59" w:rsidRPr="00210630">
        <w:rPr>
          <w:rFonts w:ascii="Times New Roman" w:hAnsi="Times New Roman" w:cs="Times New Roman"/>
          <w:sz w:val="22"/>
        </w:rPr>
        <w:t>non-reference</w:t>
      </w:r>
      <w:r w:rsidR="00B10471" w:rsidRPr="00210630">
        <w:rPr>
          <w:rFonts w:ascii="Times New Roman" w:hAnsi="Times New Roman" w:cs="Times New Roman"/>
          <w:sz w:val="22"/>
        </w:rPr>
        <w:t xml:space="preserve"> genes </w:t>
      </w:r>
      <w:r w:rsidR="00CB40DD" w:rsidRPr="00210630">
        <w:rPr>
          <w:rFonts w:ascii="Times New Roman" w:hAnsi="Times New Roman" w:cs="Times New Roman"/>
          <w:sz w:val="22"/>
        </w:rPr>
        <w:t xml:space="preserve">constituting </w:t>
      </w:r>
      <w:r w:rsidR="00B10471" w:rsidRPr="00210630">
        <w:rPr>
          <w:rFonts w:ascii="Times New Roman" w:hAnsi="Times New Roman" w:cs="Times New Roman"/>
          <w:sz w:val="22"/>
        </w:rPr>
        <w:t xml:space="preserve">the 21-gene assay that are not included in the set of 135 genes were added </w:t>
      </w:r>
      <w:r w:rsidR="00B10471" w:rsidRPr="00210630">
        <w:rPr>
          <w:rFonts w:ascii="Times New Roman" w:hAnsi="Times New Roman" w:cs="Times New Roman"/>
          <w:sz w:val="22"/>
        </w:rPr>
        <w:fldChar w:fldCharType="begin"/>
      </w:r>
      <w:r w:rsidR="00B10471" w:rsidRPr="00210630">
        <w:rPr>
          <w:rFonts w:ascii="Times New Roman" w:hAnsi="Times New Roman" w:cs="Times New Roman"/>
          <w:sz w:val="22"/>
        </w:rPr>
        <w:instrText xml:space="preserve"> ADDIN EN.CITE &lt;EndNote&gt;&lt;Cite&gt;&lt;Author&gt;Kim&lt;/Author&gt;&lt;Year&gt;2019&lt;/Year&gt;&lt;RecNum&gt;76&lt;/RecNum&gt;&lt;DisplayText&gt;(5)&lt;/DisplayText&gt;&lt;record&gt;&lt;rec-number&gt;76&lt;/rec-number&gt;&lt;foreign-keys&gt;&lt;key app="EN" db-id="ad2t0fxan0f203et9xkvddvg95apwaevz0ta" timestamp="1584025530"&gt;76&lt;/key&gt;&lt;/foreign-keys&gt;&lt;ref-type name="Journal Article"&gt;17&lt;/ref-type&gt;&lt;contributors&gt;&lt;authors&gt;&lt;author&gt;Kim, Jinkyoung&lt;/author&gt;&lt;author&gt;Kim, Aeree&lt;/author&gt;&lt;author&gt;Kim, Chungyeul&lt;/author&gt;&lt;/authors&gt;&lt;/contributors&gt;&lt;titles&gt;&lt;title&gt;Examination of the Biomark assay as an alternative to Oncotype DX for defining chemotherapy benefit&lt;/title&gt;&lt;secondary-title&gt;Oncology letters&lt;/secondary-title&gt;&lt;alt-title&gt;Oncol Lett&lt;/alt-title&gt;&lt;/titles&gt;&lt;periodical&gt;&lt;full-title&gt;Oncology letters&lt;/full-title&gt;&lt;abbr-1&gt;Oncol Lett&lt;/abbr-1&gt;&lt;/periodical&gt;&lt;alt-periodical&gt;&lt;full-title&gt;Oncology letters&lt;/full-title&gt;&lt;abbr-1&gt;Oncol Lett&lt;/abbr-1&gt;&lt;/alt-periodical&gt;&lt;pages&gt;1812-1818&lt;/pages&gt;&lt;volume&gt;17&lt;/volume&gt;&lt;number&gt;2&lt;/number&gt;&lt;edition&gt;2018/11/30&lt;/edition&gt;&lt;keywords&gt;&lt;keyword&gt;Biomark assay&lt;/keyword&gt;&lt;keyword&gt;Oncotype DX&lt;/keyword&gt;&lt;keyword&gt;breast cancer&lt;/keyword&gt;&lt;keyword&gt;chemotherapy&lt;/keyword&gt;&lt;keyword&gt;estrogen receptor&lt;/keyword&gt;&lt;/keywords&gt;&lt;dates&gt;&lt;year&gt;2019&lt;/year&gt;&lt;/dates&gt;&lt;publisher&gt;D.A. Spandidos&lt;/publisher&gt;&lt;isbn&gt;1792-1074&amp;#xD;1792-1082&lt;/isbn&gt;&lt;accession-num&gt;30675242&lt;/accession-num&gt;&lt;urls&gt;&lt;related-urls&gt;&lt;url&gt;https://pubmed.ncbi.nlm.nih.gov/30675242&lt;/url&gt;&lt;url&gt;https://www.ncbi.nlm.nih.gov/pmc/articles/PMC6341800/&lt;/url&gt;&lt;/related-urls&gt;&lt;/urls&gt;&lt;electronic-resource-num&gt;10.3892/ol.2018.9784&lt;/electronic-resource-num&gt;&lt;remote-database-name&gt;PubMed&lt;/remote-database-name&gt;&lt;language&gt;eng&lt;/language&gt;&lt;/record&gt;&lt;/Cite&gt;&lt;/EndNote&gt;</w:instrText>
      </w:r>
      <w:r w:rsidR="00B10471" w:rsidRPr="00210630">
        <w:rPr>
          <w:rFonts w:ascii="Times New Roman" w:hAnsi="Times New Roman" w:cs="Times New Roman"/>
          <w:sz w:val="22"/>
        </w:rPr>
        <w:fldChar w:fldCharType="separate"/>
      </w:r>
      <w:r w:rsidR="00B10471" w:rsidRPr="00210630">
        <w:rPr>
          <w:rFonts w:ascii="Times New Roman" w:hAnsi="Times New Roman" w:cs="Times New Roman"/>
          <w:sz w:val="22"/>
        </w:rPr>
        <w:t>(5)</w:t>
      </w:r>
      <w:r w:rsidR="00B10471" w:rsidRPr="00210630">
        <w:rPr>
          <w:rFonts w:ascii="Times New Roman" w:hAnsi="Times New Roman" w:cs="Times New Roman"/>
          <w:sz w:val="22"/>
        </w:rPr>
        <w:fldChar w:fldCharType="end"/>
      </w:r>
      <w:r w:rsidR="00B10471" w:rsidRPr="00210630">
        <w:rPr>
          <w:rFonts w:ascii="Times New Roman" w:hAnsi="Times New Roman" w:cs="Times New Roman"/>
          <w:sz w:val="22"/>
        </w:rPr>
        <w:t>.</w:t>
      </w:r>
    </w:p>
    <w:p w14:paraId="573347A0" w14:textId="310BFC69" w:rsidR="00781871" w:rsidRPr="00210630" w:rsidRDefault="00B10471" w:rsidP="00E1642B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  <w:r w:rsidRPr="00210630">
        <w:rPr>
          <w:rFonts w:ascii="Times New Roman" w:hAnsi="Times New Roman" w:cs="Times New Roman"/>
          <w:sz w:val="22"/>
        </w:rPr>
        <w:t xml:space="preserve">Reference genes were selected from the RNA-seq data in TCGA. </w:t>
      </w:r>
      <w:r w:rsidR="00781871" w:rsidRPr="00210630">
        <w:rPr>
          <w:rFonts w:ascii="Times New Roman" w:hAnsi="Times New Roman" w:cs="Times New Roman"/>
          <w:sz w:val="22"/>
        </w:rPr>
        <w:t xml:space="preserve">The distant recurrence rate of the samples </w:t>
      </w:r>
      <w:r w:rsidR="005639F5" w:rsidRPr="00210630">
        <w:rPr>
          <w:rFonts w:ascii="Times New Roman" w:hAnsi="Times New Roman" w:cs="Times New Roman"/>
          <w:sz w:val="22"/>
        </w:rPr>
        <w:t xml:space="preserve">was </w:t>
      </w:r>
      <w:r w:rsidR="00781871" w:rsidRPr="00210630">
        <w:rPr>
          <w:rFonts w:ascii="Times New Roman" w:hAnsi="Times New Roman" w:cs="Times New Roman"/>
          <w:sz w:val="22"/>
        </w:rPr>
        <w:t xml:space="preserve">considered </w:t>
      </w:r>
      <w:r w:rsidR="005639F5" w:rsidRPr="00210630">
        <w:rPr>
          <w:rFonts w:ascii="Times New Roman" w:hAnsi="Times New Roman" w:cs="Times New Roman"/>
          <w:sz w:val="22"/>
        </w:rPr>
        <w:t xml:space="preserve">for </w:t>
      </w:r>
      <w:r w:rsidR="00781871" w:rsidRPr="00210630">
        <w:rPr>
          <w:rFonts w:ascii="Times New Roman" w:hAnsi="Times New Roman" w:cs="Times New Roman"/>
          <w:sz w:val="22"/>
        </w:rPr>
        <w:t xml:space="preserve">deriving the coefficient of variation for three groups of high-, intermediate-, and low-expression genes among 19,317 genes in RNA-seq data of 785 samples. Top 10 genes with </w:t>
      </w:r>
      <w:r w:rsidR="005639F5" w:rsidRPr="00210630">
        <w:rPr>
          <w:rFonts w:ascii="Times New Roman" w:hAnsi="Times New Roman" w:cs="Times New Roman"/>
          <w:sz w:val="22"/>
        </w:rPr>
        <w:t xml:space="preserve">the </w:t>
      </w:r>
      <w:r w:rsidR="00781871" w:rsidRPr="00210630">
        <w:rPr>
          <w:rFonts w:ascii="Times New Roman" w:hAnsi="Times New Roman" w:cs="Times New Roman"/>
          <w:sz w:val="22"/>
        </w:rPr>
        <w:t xml:space="preserve">lowest </w:t>
      </w:r>
      <w:r w:rsidR="005639F5" w:rsidRPr="00210630">
        <w:rPr>
          <w:rFonts w:ascii="Times New Roman" w:hAnsi="Times New Roman" w:cs="Times New Roman"/>
          <w:sz w:val="22"/>
        </w:rPr>
        <w:t xml:space="preserve">variations </w:t>
      </w:r>
      <w:r w:rsidR="00781871" w:rsidRPr="00210630">
        <w:rPr>
          <w:rFonts w:ascii="Times New Roman" w:hAnsi="Times New Roman" w:cs="Times New Roman"/>
          <w:sz w:val="22"/>
        </w:rPr>
        <w:t xml:space="preserve">in each group were selected to </w:t>
      </w:r>
      <w:r w:rsidR="005639F5" w:rsidRPr="00210630">
        <w:rPr>
          <w:rFonts w:ascii="Times New Roman" w:hAnsi="Times New Roman" w:cs="Times New Roman"/>
          <w:sz w:val="22"/>
        </w:rPr>
        <w:t xml:space="preserve">comprise </w:t>
      </w:r>
      <w:r w:rsidR="00781871" w:rsidRPr="00210630">
        <w:rPr>
          <w:rFonts w:ascii="Times New Roman" w:hAnsi="Times New Roman" w:cs="Times New Roman"/>
          <w:sz w:val="22"/>
        </w:rPr>
        <w:t>30 reference genes</w:t>
      </w:r>
      <w:r w:rsidR="005639F5" w:rsidRPr="00210630">
        <w:rPr>
          <w:rFonts w:ascii="Times New Roman" w:hAnsi="Times New Roman" w:cs="Times New Roman"/>
          <w:sz w:val="22"/>
        </w:rPr>
        <w:t xml:space="preserve"> in total</w:t>
      </w:r>
      <w:r w:rsidR="00781871" w:rsidRPr="00210630">
        <w:rPr>
          <w:rFonts w:ascii="Times New Roman" w:hAnsi="Times New Roman" w:cs="Times New Roman"/>
          <w:sz w:val="22"/>
        </w:rPr>
        <w:t xml:space="preserve">. Finally, a panel of 179 genes was designed for analysis. </w:t>
      </w:r>
    </w:p>
    <w:p w14:paraId="573347A1" w14:textId="77777777" w:rsidR="0045506F" w:rsidRPr="00210630" w:rsidRDefault="0045506F" w:rsidP="00E1642B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</w:p>
    <w:p w14:paraId="573347A2" w14:textId="33DF0669" w:rsidR="0045506F" w:rsidRPr="00210630" w:rsidRDefault="0045506F" w:rsidP="0045506F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 w:rsidRPr="00210630">
        <w:rPr>
          <w:rFonts w:ascii="Times New Roman" w:hAnsi="Times New Roman" w:cs="Times New Roman"/>
          <w:b/>
          <w:i/>
          <w:sz w:val="22"/>
        </w:rPr>
        <w:t>Sample preparation and targeted RNA</w:t>
      </w:r>
      <w:r w:rsidR="0061496D" w:rsidRPr="00210630">
        <w:rPr>
          <w:rFonts w:ascii="Times New Roman" w:hAnsi="Times New Roman" w:cs="Times New Roman"/>
          <w:b/>
          <w:i/>
          <w:sz w:val="22"/>
        </w:rPr>
        <w:t>-seq</w:t>
      </w:r>
    </w:p>
    <w:p w14:paraId="573347A3" w14:textId="177C23E4" w:rsidR="0045506F" w:rsidRPr="00210630" w:rsidRDefault="0045506F" w:rsidP="00902118">
      <w:pPr>
        <w:pStyle w:val="Default"/>
        <w:spacing w:line="480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210630">
        <w:rPr>
          <w:rFonts w:ascii="Times New Roman" w:hAnsi="Times New Roman" w:cs="Times New Roman"/>
          <w:sz w:val="22"/>
          <w:szCs w:val="22"/>
        </w:rPr>
        <w:lastRenderedPageBreak/>
        <w:t>Formalin</w:t>
      </w:r>
      <w:r w:rsidRPr="00210630">
        <w:rPr>
          <w:rFonts w:ascii="Times New Roman" w:hAnsi="Times New Roman" w:cs="Times New Roman"/>
          <w:sz w:val="22"/>
          <w:szCs w:val="22"/>
        </w:rPr>
        <w:noBreakHyphen/>
        <w:t>fixed paraffin</w:t>
      </w:r>
      <w:r w:rsidRPr="00210630">
        <w:rPr>
          <w:rFonts w:ascii="Times New Roman" w:hAnsi="Times New Roman" w:cs="Times New Roman"/>
          <w:sz w:val="22"/>
          <w:szCs w:val="22"/>
        </w:rPr>
        <w:noBreakHyphen/>
        <w:t>embedded (FFPE) specimens from patients with early</w:t>
      </w:r>
      <w:r w:rsidRPr="00210630">
        <w:rPr>
          <w:rFonts w:ascii="Times New Roman" w:hAnsi="Times New Roman" w:cs="Times New Roman"/>
          <w:sz w:val="22"/>
          <w:szCs w:val="22"/>
        </w:rPr>
        <w:noBreakHyphen/>
        <w:t>stage estrogen receptor (ER)</w:t>
      </w:r>
      <w:r w:rsidRPr="00210630">
        <w:rPr>
          <w:rFonts w:ascii="Times New Roman" w:hAnsi="Times New Roman" w:cs="Times New Roman"/>
          <w:sz w:val="22"/>
          <w:szCs w:val="22"/>
        </w:rPr>
        <w:noBreakHyphen/>
        <w:t>positive</w:t>
      </w:r>
      <w:r w:rsidRPr="00210630">
        <w:rPr>
          <w:rFonts w:ascii="Times New Roman" w:hAnsi="Times New Roman" w:cs="Times New Roman"/>
          <w:sz w:val="22"/>
        </w:rPr>
        <w:t xml:space="preserve">, </w:t>
      </w:r>
      <w:r w:rsidRPr="00210630">
        <w:rPr>
          <w:rFonts w:ascii="Times New Roman" w:hAnsi="Times New Roman" w:cs="Times New Roman"/>
          <w:sz w:val="22"/>
          <w:szCs w:val="22"/>
        </w:rPr>
        <w:t>human epidermal growth factor receptor 2 (HER2)-negative, lymph node</w:t>
      </w:r>
      <w:r w:rsidRPr="00210630">
        <w:rPr>
          <w:rFonts w:ascii="Times New Roman" w:hAnsi="Times New Roman" w:cs="Times New Roman"/>
          <w:sz w:val="22"/>
          <w:szCs w:val="22"/>
        </w:rPr>
        <w:noBreakHyphen/>
        <w:t>negative breast cancer were used for RNA extraction. The FFPE blocks and paired hematoxylin and eosin (H&amp;E)</w:t>
      </w:r>
      <w:r w:rsidR="0061496D" w:rsidRPr="00210630">
        <w:rPr>
          <w:rFonts w:ascii="Times New Roman" w:hAnsi="Times New Roman" w:cs="Times New Roman"/>
          <w:sz w:val="22"/>
          <w:szCs w:val="22"/>
        </w:rPr>
        <w:t>-</w:t>
      </w:r>
      <w:r w:rsidRPr="00210630">
        <w:rPr>
          <w:rFonts w:ascii="Times New Roman" w:hAnsi="Times New Roman" w:cs="Times New Roman"/>
          <w:sz w:val="22"/>
          <w:szCs w:val="22"/>
        </w:rPr>
        <w:t xml:space="preserve">stained slides were obtained from the Department of Pathology </w:t>
      </w:r>
      <w:r w:rsidRPr="00210630">
        <w:rPr>
          <w:rFonts w:ascii="Times New Roman" w:eastAsia="맑은 고딕" w:hAnsi="Times New Roman" w:cs="Times New Roman"/>
          <w:sz w:val="22"/>
          <w:szCs w:val="22"/>
        </w:rPr>
        <w:t>of each hospital.</w:t>
      </w:r>
      <w:r w:rsidRPr="00210630">
        <w:rPr>
          <w:rFonts w:ascii="Times New Roman" w:hAnsi="Times New Roman" w:cs="Times New Roman"/>
          <w:sz w:val="22"/>
          <w:szCs w:val="22"/>
        </w:rPr>
        <w:t xml:space="preserve"> The pathologists observed the H&amp;E</w:t>
      </w:r>
      <w:r w:rsidR="0061496D" w:rsidRPr="00210630">
        <w:rPr>
          <w:rFonts w:ascii="Times New Roman" w:hAnsi="Times New Roman" w:cs="Times New Roman"/>
          <w:sz w:val="22"/>
          <w:szCs w:val="22"/>
        </w:rPr>
        <w:t>-</w:t>
      </w:r>
      <w:r w:rsidRPr="00210630">
        <w:rPr>
          <w:rFonts w:ascii="Times New Roman" w:hAnsi="Times New Roman" w:cs="Times New Roman"/>
          <w:sz w:val="22"/>
          <w:szCs w:val="22"/>
        </w:rPr>
        <w:t xml:space="preserve">stained slides and marked the invasive tumor portions on it. </w:t>
      </w:r>
      <w:r w:rsidR="00BE61E1" w:rsidRPr="00210630">
        <w:rPr>
          <w:rFonts w:ascii="Times New Roman" w:hAnsi="Times New Roman" w:cs="Times New Roman"/>
          <w:sz w:val="22"/>
          <w:szCs w:val="22"/>
        </w:rPr>
        <w:t xml:space="preserve">In total, </w:t>
      </w:r>
      <w:r w:rsidRPr="00210630">
        <w:rPr>
          <w:rFonts w:ascii="Times New Roman" w:hAnsi="Times New Roman" w:cs="Times New Roman"/>
          <w:sz w:val="22"/>
          <w:szCs w:val="22"/>
        </w:rPr>
        <w:t>10 (10</w:t>
      </w:r>
      <w:r w:rsidRPr="00210630">
        <w:rPr>
          <w:rFonts w:ascii="Times New Roman" w:hAnsi="Times New Roman" w:cs="Times New Roman"/>
          <w:sz w:val="22"/>
          <w:szCs w:val="22"/>
        </w:rPr>
        <w:noBreakHyphen/>
        <w:t>μm</w:t>
      </w:r>
      <w:r w:rsidR="00BE61E1" w:rsidRPr="00210630">
        <w:rPr>
          <w:rFonts w:ascii="Times New Roman" w:hAnsi="Times New Roman" w:cs="Times New Roman"/>
          <w:sz w:val="22"/>
          <w:szCs w:val="22"/>
        </w:rPr>
        <w:t>-</w:t>
      </w:r>
      <w:r w:rsidRPr="00210630">
        <w:rPr>
          <w:rFonts w:ascii="Times New Roman" w:hAnsi="Times New Roman" w:cs="Times New Roman"/>
          <w:sz w:val="22"/>
          <w:szCs w:val="22"/>
        </w:rPr>
        <w:t xml:space="preserve">thick) sections with </w:t>
      </w:r>
      <w:r w:rsidRPr="00210630">
        <w:rPr>
          <w:rFonts w:ascii="Times New Roman" w:hAnsi="Times New Roman" w:cs="Times New Roman"/>
          <w:sz w:val="22"/>
        </w:rPr>
        <w:t>at least 30% tumor fraction</w:t>
      </w:r>
      <w:r w:rsidRPr="00210630">
        <w:rPr>
          <w:rFonts w:ascii="Times New Roman" w:hAnsi="Times New Roman" w:cs="Times New Roman"/>
          <w:sz w:val="22"/>
          <w:szCs w:val="22"/>
        </w:rPr>
        <w:t xml:space="preserve"> were deparaffinized </w:t>
      </w:r>
      <w:r w:rsidR="00BE61E1" w:rsidRPr="00210630">
        <w:rPr>
          <w:rFonts w:ascii="Times New Roman" w:hAnsi="Times New Roman" w:cs="Times New Roman"/>
          <w:sz w:val="22"/>
          <w:szCs w:val="22"/>
        </w:rPr>
        <w:t xml:space="preserve">with </w:t>
      </w:r>
      <w:r w:rsidRPr="00210630">
        <w:rPr>
          <w:rFonts w:ascii="Times New Roman" w:hAnsi="Times New Roman" w:cs="Times New Roman"/>
          <w:sz w:val="22"/>
          <w:szCs w:val="22"/>
        </w:rPr>
        <w:t xml:space="preserve">xylene </w:t>
      </w:r>
      <w:r w:rsidR="00BE61E1" w:rsidRPr="00210630">
        <w:rPr>
          <w:rFonts w:ascii="Times New Roman" w:hAnsi="Times New Roman" w:cs="Times New Roman"/>
          <w:sz w:val="22"/>
          <w:szCs w:val="22"/>
        </w:rPr>
        <w:t xml:space="preserve">with a </w:t>
      </w:r>
      <w:r w:rsidRPr="00210630">
        <w:rPr>
          <w:rFonts w:ascii="Times New Roman" w:hAnsi="Times New Roman" w:cs="Times New Roman"/>
          <w:sz w:val="22"/>
          <w:szCs w:val="22"/>
        </w:rPr>
        <w:t>heating block, followed by ethanol washing, and total RNA was subsequently isolated using the RNeasy</w:t>
      </w:r>
      <w:r w:rsidRPr="00210630">
        <w:rPr>
          <w:rFonts w:ascii="Times New Roman" w:hAnsi="Times New Roman" w:cs="Times New Roman"/>
          <w:sz w:val="22"/>
          <w:szCs w:val="22"/>
          <w:vertAlign w:val="superscript"/>
        </w:rPr>
        <w:sym w:font="Symbol" w:char="F0D2"/>
      </w:r>
      <w:r w:rsidRPr="00210630">
        <w:rPr>
          <w:rFonts w:ascii="Times New Roman" w:hAnsi="Times New Roman" w:cs="Times New Roman"/>
          <w:sz w:val="22"/>
          <w:szCs w:val="22"/>
        </w:rPr>
        <w:t xml:space="preserve"> FFPE kit (QIAGEN GmbH, Hilden, Germany) </w:t>
      </w:r>
      <w:r w:rsidR="00BE61E1" w:rsidRPr="00210630">
        <w:rPr>
          <w:rFonts w:ascii="Times New Roman" w:hAnsi="Times New Roman" w:cs="Times New Roman"/>
          <w:sz w:val="22"/>
          <w:szCs w:val="22"/>
        </w:rPr>
        <w:t xml:space="preserve">in accordance with the </w:t>
      </w:r>
      <w:r w:rsidRPr="00210630">
        <w:rPr>
          <w:rFonts w:ascii="Times New Roman" w:hAnsi="Times New Roman" w:cs="Times New Roman"/>
          <w:sz w:val="22"/>
          <w:szCs w:val="22"/>
        </w:rPr>
        <w:t>manu</w:t>
      </w:r>
      <w:r w:rsidRPr="00210630">
        <w:rPr>
          <w:rFonts w:ascii="Times New Roman" w:hAnsi="Times New Roman" w:cs="Times New Roman"/>
          <w:sz w:val="22"/>
          <w:szCs w:val="22"/>
        </w:rPr>
        <w:softHyphen/>
        <w:t xml:space="preserve">facturer's protocol, with DNase I treatment. </w:t>
      </w:r>
      <w:r w:rsidR="00BE61E1" w:rsidRPr="00210630">
        <w:rPr>
          <w:rFonts w:ascii="Times New Roman" w:hAnsi="Times New Roman" w:cs="Times New Roman"/>
          <w:sz w:val="22"/>
          <w:szCs w:val="22"/>
        </w:rPr>
        <w:t xml:space="preserve">The quantity, </w:t>
      </w:r>
      <w:r w:rsidRPr="00210630">
        <w:rPr>
          <w:rFonts w:ascii="Times New Roman" w:hAnsi="Times New Roman" w:cs="Times New Roman"/>
          <w:sz w:val="22"/>
          <w:szCs w:val="22"/>
        </w:rPr>
        <w:t>purity</w:t>
      </w:r>
      <w:r w:rsidR="00BE61E1" w:rsidRPr="00210630">
        <w:rPr>
          <w:rFonts w:ascii="Times New Roman" w:hAnsi="Times New Roman" w:cs="Times New Roman"/>
          <w:sz w:val="22"/>
          <w:szCs w:val="22"/>
        </w:rPr>
        <w:t>,</w:t>
      </w:r>
      <w:r w:rsidRPr="00210630">
        <w:rPr>
          <w:rFonts w:ascii="Times New Roman" w:hAnsi="Times New Roman" w:cs="Times New Roman"/>
          <w:sz w:val="22"/>
          <w:szCs w:val="22"/>
        </w:rPr>
        <w:t xml:space="preserve"> and integrity of RNA were determined with the Qubit RNA HS Assay kit on Qubit</w:t>
      </w:r>
      <w:r w:rsidRPr="00210630">
        <w:rPr>
          <w:rFonts w:ascii="Times New Roman" w:hAnsi="Times New Roman" w:cs="Times New Roman"/>
          <w:sz w:val="22"/>
          <w:szCs w:val="22"/>
          <w:vertAlign w:val="superscript"/>
        </w:rPr>
        <w:t>TM</w:t>
      </w:r>
      <w:r w:rsidRPr="00210630">
        <w:rPr>
          <w:rFonts w:ascii="Times New Roman" w:hAnsi="Times New Roman" w:cs="Times New Roman"/>
          <w:sz w:val="22"/>
          <w:szCs w:val="22"/>
        </w:rPr>
        <w:t xml:space="preserve"> 4 Fluorometer, NanoDrop 2000 spectrophotometer (</w:t>
      </w:r>
      <w:r w:rsidR="00946919" w:rsidRPr="00210630">
        <w:rPr>
          <w:rFonts w:ascii="Times New Roman" w:hAnsi="Times New Roman" w:cs="Times New Roman"/>
          <w:sz w:val="22"/>
        </w:rPr>
        <w:t>Thermo Fisher Scientific, Waltham, MA, USA</w:t>
      </w:r>
      <w:r w:rsidRPr="00210630">
        <w:rPr>
          <w:rFonts w:ascii="Times New Roman" w:hAnsi="Times New Roman" w:cs="Times New Roman"/>
          <w:sz w:val="22"/>
        </w:rPr>
        <w:t xml:space="preserve">) </w:t>
      </w:r>
      <w:r w:rsidRPr="00210630">
        <w:rPr>
          <w:rFonts w:ascii="Times New Roman" w:hAnsi="Times New Roman" w:cs="Times New Roman"/>
          <w:sz w:val="22"/>
          <w:szCs w:val="22"/>
        </w:rPr>
        <w:t>and RNA ScreenTape/Sample Buffer on 4200 TapeStation</w:t>
      </w:r>
      <w:r w:rsidRPr="00210630">
        <w:rPr>
          <w:rFonts w:ascii="Times New Roman" w:hAnsi="Times New Roman" w:cs="Times New Roman"/>
          <w:sz w:val="22"/>
        </w:rPr>
        <w:t xml:space="preserve"> (</w:t>
      </w:r>
      <w:r w:rsidR="00946919" w:rsidRPr="00210630">
        <w:rPr>
          <w:rFonts w:ascii="Times New Roman" w:hAnsi="Times New Roman" w:cs="Times New Roman"/>
          <w:sz w:val="22"/>
        </w:rPr>
        <w:t>Agilent Technologies, Santa Clara, CA, USA</w:t>
      </w:r>
      <w:r w:rsidRPr="00210630">
        <w:rPr>
          <w:rFonts w:ascii="Times New Roman" w:hAnsi="Times New Roman" w:cs="Times New Roman"/>
          <w:sz w:val="22"/>
        </w:rPr>
        <w:t xml:space="preserve">), respectively. To improve </w:t>
      </w:r>
      <w:r w:rsidR="00C51A1B" w:rsidRPr="00210630">
        <w:rPr>
          <w:rFonts w:ascii="Times New Roman" w:hAnsi="Times New Roman" w:cs="Times New Roman"/>
          <w:sz w:val="22"/>
        </w:rPr>
        <w:t xml:space="preserve">the </w:t>
      </w:r>
      <w:r w:rsidRPr="00210630">
        <w:rPr>
          <w:rFonts w:ascii="Times New Roman" w:hAnsi="Times New Roman" w:cs="Times New Roman"/>
          <w:sz w:val="22"/>
        </w:rPr>
        <w:t xml:space="preserve">sequencing performance, </w:t>
      </w:r>
      <w:r w:rsidR="00C51A1B" w:rsidRPr="00210630">
        <w:rPr>
          <w:rFonts w:ascii="Times New Roman" w:hAnsi="Times New Roman" w:cs="Times New Roman"/>
          <w:sz w:val="22"/>
        </w:rPr>
        <w:t>≥</w:t>
      </w:r>
      <w:r w:rsidR="00CA3261" w:rsidRPr="00210630">
        <w:rPr>
          <w:rFonts w:ascii="Times New Roman" w:hAnsi="Times New Roman" w:cs="Times New Roman"/>
          <w:sz w:val="22"/>
        </w:rPr>
        <w:t xml:space="preserve"> </w:t>
      </w:r>
      <w:r w:rsidRPr="00210630">
        <w:rPr>
          <w:rFonts w:ascii="Times New Roman" w:hAnsi="Times New Roman" w:cs="Times New Roman"/>
          <w:sz w:val="22"/>
        </w:rPr>
        <w:t xml:space="preserve">90% </w:t>
      </w:r>
      <w:r w:rsidRPr="00210630">
        <w:rPr>
          <w:rFonts w:ascii="Times New Roman" w:hAnsi="Times New Roman" w:cs="Times New Roman"/>
          <w:sz w:val="22"/>
          <w:szCs w:val="22"/>
        </w:rPr>
        <w:t xml:space="preserve">ribosomal RNAs (rRNA) were </w:t>
      </w:r>
      <w:r w:rsidRPr="00210630">
        <w:rPr>
          <w:rFonts w:ascii="Times New Roman" w:hAnsi="Times New Roman" w:cs="Times New Roman"/>
          <w:color w:val="auto"/>
          <w:sz w:val="22"/>
          <w:szCs w:val="22"/>
        </w:rPr>
        <w:t xml:space="preserve">depleted </w:t>
      </w:r>
      <w:r w:rsidR="006F1DCA" w:rsidRPr="00210630">
        <w:rPr>
          <w:rFonts w:ascii="Times New Roman" w:hAnsi="Times New Roman" w:cs="Times New Roman"/>
          <w:color w:val="auto"/>
          <w:sz w:val="22"/>
          <w:szCs w:val="22"/>
        </w:rPr>
        <w:t xml:space="preserve">along </w:t>
      </w:r>
      <w:r w:rsidRPr="00210630">
        <w:rPr>
          <w:rFonts w:ascii="Times New Roman" w:hAnsi="Times New Roman" w:cs="Times New Roman"/>
          <w:color w:val="auto"/>
          <w:sz w:val="22"/>
          <w:szCs w:val="22"/>
        </w:rPr>
        <w:t xml:space="preserve">with </w:t>
      </w:r>
      <w:r w:rsidR="00C51A1B" w:rsidRPr="00210630">
        <w:rPr>
          <w:rFonts w:ascii="Times New Roman" w:hAnsi="Times New Roman" w:cs="Times New Roman"/>
          <w:color w:val="auto"/>
          <w:sz w:val="22"/>
          <w:szCs w:val="22"/>
        </w:rPr>
        <w:t>≥</w:t>
      </w:r>
      <w:r w:rsidR="00CA3261" w:rsidRPr="002106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10630">
        <w:rPr>
          <w:rFonts w:ascii="Times New Roman" w:eastAsia="맑은 고딕" w:hAnsi="Times New Roman" w:cs="Times New Roman"/>
          <w:color w:val="auto"/>
          <w:sz w:val="22"/>
          <w:szCs w:val="22"/>
        </w:rPr>
        <w:t xml:space="preserve">1 </w:t>
      </w:r>
      <w:r w:rsidRPr="00210630">
        <w:rPr>
          <w:rFonts w:ascii="Times New Roman" w:eastAsia="맑은 고딕" w:hAnsi="Times New Roman" w:cs="Times New Roman"/>
          <w:color w:val="auto"/>
          <w:sz w:val="22"/>
          <w:szCs w:val="22"/>
        </w:rPr>
        <w:sym w:font="Symbol" w:char="F06D"/>
      </w:r>
      <w:r w:rsidRPr="00210630">
        <w:rPr>
          <w:rFonts w:ascii="Times New Roman" w:eastAsia="맑은 고딕" w:hAnsi="Times New Roman" w:cs="Times New Roman"/>
          <w:color w:val="auto"/>
          <w:sz w:val="22"/>
          <w:szCs w:val="22"/>
        </w:rPr>
        <w:t>g of total RNA</w:t>
      </w:r>
      <w:r w:rsidRPr="002106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10630">
        <w:rPr>
          <w:rFonts w:ascii="Times New Roman" w:eastAsia="맑은 고딕" w:hAnsi="Times New Roman" w:cs="Times New Roman"/>
          <w:color w:val="auto"/>
          <w:sz w:val="22"/>
          <w:szCs w:val="22"/>
        </w:rPr>
        <w:t xml:space="preserve">prior to </w:t>
      </w:r>
      <w:r w:rsidRPr="00210630">
        <w:rPr>
          <w:rFonts w:ascii="Times New Roman" w:hAnsi="Times New Roman" w:cs="Times New Roman"/>
          <w:color w:val="auto"/>
          <w:sz w:val="22"/>
          <w:szCs w:val="22"/>
        </w:rPr>
        <w:t xml:space="preserve">library construction, and </w:t>
      </w:r>
      <w:r w:rsidR="00C326A8" w:rsidRPr="00210630">
        <w:rPr>
          <w:rFonts w:ascii="Times New Roman" w:hAnsi="Times New Roman" w:cs="Times New Roman"/>
          <w:color w:val="auto"/>
          <w:sz w:val="22"/>
          <w:szCs w:val="22"/>
        </w:rPr>
        <w:t>cDNA</w:t>
      </w:r>
      <w:r w:rsidRPr="00210630">
        <w:rPr>
          <w:rFonts w:ascii="Times New Roman" w:hAnsi="Times New Roman" w:cs="Times New Roman"/>
          <w:color w:val="auto"/>
          <w:sz w:val="22"/>
          <w:szCs w:val="22"/>
        </w:rPr>
        <w:t xml:space="preserve"> libraries were generated using the KAPA Stranded RNA-Seq Kit with RiboErase (HMR) (</w:t>
      </w:r>
      <w:r w:rsidR="00946919" w:rsidRPr="00210630">
        <w:rPr>
          <w:rFonts w:ascii="Times New Roman" w:hAnsi="Times New Roman" w:cs="Times New Roman"/>
          <w:sz w:val="22"/>
        </w:rPr>
        <w:t>Kapa Biosystems, Wilmington, MA, USA</w:t>
      </w:r>
      <w:r w:rsidRPr="00210630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210630">
        <w:rPr>
          <w:rFonts w:ascii="Times New Roman" w:eastAsia="맑은 고딕" w:hAnsi="Times New Roman" w:cs="Times New Roman"/>
          <w:color w:val="auto"/>
          <w:sz w:val="22"/>
          <w:szCs w:val="22"/>
        </w:rPr>
        <w:t xml:space="preserve">via the following steps: fragmentation for 1 </w:t>
      </w:r>
      <w:r w:rsidR="0048489D" w:rsidRPr="00210630">
        <w:rPr>
          <w:rFonts w:ascii="Times New Roman" w:eastAsia="맑은 고딕" w:hAnsi="Times New Roman" w:cs="Times New Roman"/>
          <w:color w:val="auto"/>
          <w:sz w:val="22"/>
          <w:szCs w:val="22"/>
        </w:rPr>
        <w:t xml:space="preserve">min </w:t>
      </w:r>
      <w:r w:rsidRPr="00210630">
        <w:rPr>
          <w:rFonts w:ascii="Times New Roman" w:eastAsia="맑은 고딕" w:hAnsi="Times New Roman" w:cs="Times New Roman"/>
          <w:color w:val="auto"/>
          <w:sz w:val="22"/>
          <w:szCs w:val="22"/>
        </w:rPr>
        <w:t>at 65</w:t>
      </w:r>
      <w:r w:rsidRPr="00210630">
        <w:rPr>
          <w:rFonts w:ascii="Times New Roman" w:hAnsi="Times New Roman" w:cs="Times New Roman"/>
          <w:color w:val="auto"/>
          <w:sz w:val="22"/>
          <w:szCs w:val="22"/>
        </w:rPr>
        <w:t>˚C</w:t>
      </w:r>
      <w:r w:rsidRPr="00210630">
        <w:rPr>
          <w:rFonts w:ascii="Times New Roman" w:eastAsia="맑은 고딕" w:hAnsi="Times New Roman" w:cs="Times New Roman"/>
          <w:color w:val="auto"/>
          <w:sz w:val="22"/>
          <w:szCs w:val="22"/>
        </w:rPr>
        <w:t>, 1st and 2nd strand cDNA synthesis, A-tailing, Adapter ligation</w:t>
      </w:r>
      <w:r w:rsidR="0048489D" w:rsidRPr="00210630">
        <w:rPr>
          <w:rFonts w:ascii="Times New Roman" w:eastAsia="맑은 고딕" w:hAnsi="Times New Roman" w:cs="Times New Roman"/>
          <w:color w:val="auto"/>
          <w:sz w:val="22"/>
          <w:szCs w:val="22"/>
        </w:rPr>
        <w:t>,</w:t>
      </w:r>
      <w:r w:rsidRPr="00210630">
        <w:rPr>
          <w:rFonts w:ascii="Times New Roman" w:eastAsia="맑은 고딕" w:hAnsi="Times New Roman" w:cs="Times New Roman"/>
          <w:color w:val="auto"/>
          <w:sz w:val="22"/>
          <w:szCs w:val="22"/>
        </w:rPr>
        <w:t xml:space="preserve"> and dual-indexed library amplification. The eluted libraries were quantified with </w:t>
      </w:r>
      <w:r w:rsidR="0048489D" w:rsidRPr="00210630">
        <w:rPr>
          <w:rFonts w:ascii="Times New Roman" w:eastAsia="맑은 고딕" w:hAnsi="Times New Roman" w:cs="Times New Roman"/>
          <w:color w:val="auto"/>
          <w:sz w:val="22"/>
          <w:szCs w:val="22"/>
        </w:rPr>
        <w:t xml:space="preserve">the </w:t>
      </w:r>
      <w:r w:rsidRPr="00210630">
        <w:rPr>
          <w:rFonts w:ascii="Times New Roman" w:eastAsia="맑은 고딕" w:hAnsi="Times New Roman" w:cs="Times New Roman"/>
          <w:color w:val="auto"/>
          <w:sz w:val="22"/>
          <w:szCs w:val="22"/>
        </w:rPr>
        <w:t xml:space="preserve">Qubit dsDNA HS Assay kit </w:t>
      </w:r>
      <w:r w:rsidRPr="00210630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946919" w:rsidRPr="00210630">
        <w:rPr>
          <w:rFonts w:ascii="Times New Roman" w:hAnsi="Times New Roman" w:cs="Times New Roman"/>
          <w:sz w:val="22"/>
        </w:rPr>
        <w:t>Thermo Fisher Scientific, Waltham, MA, USA</w:t>
      </w:r>
      <w:r w:rsidRPr="00210630">
        <w:rPr>
          <w:rFonts w:ascii="Times New Roman" w:hAnsi="Times New Roman" w:cs="Times New Roman"/>
          <w:color w:val="auto"/>
          <w:sz w:val="22"/>
          <w:szCs w:val="22"/>
        </w:rPr>
        <w:t xml:space="preserve">) and </w:t>
      </w:r>
      <w:r w:rsidR="00405C48" w:rsidRPr="00210630">
        <w:rPr>
          <w:rFonts w:ascii="Times New Roman" w:hAnsi="Times New Roman" w:cs="Times New Roman"/>
          <w:color w:val="auto"/>
          <w:sz w:val="22"/>
          <w:szCs w:val="22"/>
        </w:rPr>
        <w:t xml:space="preserve">the library size was evaluated using </w:t>
      </w:r>
      <w:r w:rsidRPr="00210630">
        <w:rPr>
          <w:rFonts w:ascii="Times New Roman" w:hAnsi="Times New Roman" w:cs="Times New Roman"/>
          <w:color w:val="auto"/>
          <w:sz w:val="22"/>
          <w:szCs w:val="22"/>
        </w:rPr>
        <w:t xml:space="preserve">D1000 ScreenTape/Reagents </w:t>
      </w:r>
      <w:r w:rsidRPr="00210630">
        <w:rPr>
          <w:rFonts w:ascii="Times New Roman" w:hAnsi="Times New Roman" w:cs="Times New Roman"/>
          <w:color w:val="auto"/>
          <w:sz w:val="22"/>
        </w:rPr>
        <w:t>(</w:t>
      </w:r>
      <w:r w:rsidR="00946919" w:rsidRPr="00210630">
        <w:rPr>
          <w:rFonts w:ascii="Times New Roman" w:hAnsi="Times New Roman" w:cs="Times New Roman"/>
          <w:sz w:val="22"/>
        </w:rPr>
        <w:t>Agilent Technologies, Santa Clara, CA, USA</w:t>
      </w:r>
      <w:r w:rsidRPr="00210630">
        <w:rPr>
          <w:rFonts w:ascii="Times New Roman" w:hAnsi="Times New Roman" w:cs="Times New Roman"/>
          <w:sz w:val="22"/>
        </w:rPr>
        <w:t>) for further processing.</w:t>
      </w:r>
      <w:r w:rsidRPr="0021063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210630">
        <w:rPr>
          <w:rFonts w:ascii="Times New Roman" w:eastAsiaTheme="minorEastAsia" w:hAnsi="Times New Roman" w:cs="Times New Roman"/>
          <w:sz w:val="22"/>
        </w:rPr>
        <w:t xml:space="preserve">Successful cDNA synthesis and </w:t>
      </w:r>
      <w:r w:rsidRPr="00210630">
        <w:rPr>
          <w:rFonts w:ascii="Times New Roman" w:eastAsiaTheme="minorEastAsia" w:hAnsi="Times New Roman" w:cs="Times New Roman"/>
          <w:sz w:val="22"/>
          <w:szCs w:val="22"/>
        </w:rPr>
        <w:t xml:space="preserve">amplification </w:t>
      </w:r>
      <w:r w:rsidR="00405C48" w:rsidRPr="00210630">
        <w:rPr>
          <w:rFonts w:ascii="Times New Roman" w:eastAsiaTheme="minorEastAsia" w:hAnsi="Times New Roman" w:cs="Times New Roman"/>
          <w:sz w:val="22"/>
          <w:szCs w:val="22"/>
        </w:rPr>
        <w:t xml:space="preserve">displayed a </w:t>
      </w:r>
      <w:r w:rsidRPr="00210630">
        <w:rPr>
          <w:rFonts w:ascii="Times New Roman" w:eastAsiaTheme="minorEastAsia" w:hAnsi="Times New Roman" w:cs="Times New Roman"/>
          <w:sz w:val="22"/>
          <w:szCs w:val="22"/>
        </w:rPr>
        <w:t xml:space="preserve">distinct peak </w:t>
      </w:r>
      <w:r w:rsidR="00405C48" w:rsidRPr="00210630">
        <w:rPr>
          <w:rFonts w:ascii="Times New Roman" w:eastAsiaTheme="minorEastAsia" w:hAnsi="Times New Roman" w:cs="Times New Roman"/>
          <w:sz w:val="22"/>
          <w:szCs w:val="22"/>
        </w:rPr>
        <w:t xml:space="preserve">ranging </w:t>
      </w:r>
      <w:r w:rsidRPr="00210630">
        <w:rPr>
          <w:rFonts w:ascii="Times New Roman" w:eastAsiaTheme="minorEastAsia" w:hAnsi="Times New Roman" w:cs="Times New Roman"/>
          <w:sz w:val="22"/>
          <w:szCs w:val="22"/>
        </w:rPr>
        <w:t>200</w:t>
      </w:r>
      <w:r w:rsidR="00405C48" w:rsidRPr="00210630">
        <w:rPr>
          <w:rFonts w:ascii="Times New Roman" w:eastAsiaTheme="minorEastAsia" w:hAnsi="Times New Roman" w:cs="Times New Roman"/>
          <w:sz w:val="22"/>
          <w:szCs w:val="22"/>
        </w:rPr>
        <w:t>–</w:t>
      </w:r>
      <w:r w:rsidRPr="00210630">
        <w:rPr>
          <w:rFonts w:ascii="Times New Roman" w:eastAsiaTheme="minorEastAsia" w:hAnsi="Times New Roman" w:cs="Times New Roman"/>
          <w:sz w:val="22"/>
          <w:szCs w:val="22"/>
        </w:rPr>
        <w:t xml:space="preserve">700 bp, with an average size </w:t>
      </w:r>
      <w:r w:rsidR="00405C48" w:rsidRPr="00210630">
        <w:rPr>
          <w:rFonts w:ascii="Times New Roman" w:eastAsiaTheme="minorEastAsia" w:hAnsi="Times New Roman" w:cs="Times New Roman"/>
          <w:sz w:val="22"/>
          <w:szCs w:val="22"/>
        </w:rPr>
        <w:t xml:space="preserve">of </w:t>
      </w:r>
      <w:r w:rsidRPr="00210630">
        <w:rPr>
          <w:rFonts w:ascii="Times New Roman" w:eastAsiaTheme="minorEastAsia" w:hAnsi="Times New Roman" w:cs="Times New Roman"/>
          <w:sz w:val="22"/>
          <w:szCs w:val="22"/>
        </w:rPr>
        <w:t>300</w:t>
      </w:r>
      <w:r w:rsidR="00405C48" w:rsidRPr="00210630">
        <w:rPr>
          <w:rFonts w:ascii="Times New Roman" w:eastAsiaTheme="minorEastAsia" w:hAnsi="Times New Roman" w:cs="Times New Roman"/>
          <w:sz w:val="22"/>
          <w:szCs w:val="22"/>
        </w:rPr>
        <w:t>–</w:t>
      </w:r>
      <w:r w:rsidRPr="00210630">
        <w:rPr>
          <w:rFonts w:ascii="Times New Roman" w:eastAsiaTheme="minorEastAsia" w:hAnsi="Times New Roman" w:cs="Times New Roman"/>
          <w:sz w:val="22"/>
          <w:szCs w:val="22"/>
        </w:rPr>
        <w:t xml:space="preserve">400 bp. </w:t>
      </w:r>
    </w:p>
    <w:p w14:paraId="573347A4" w14:textId="360F88B1" w:rsidR="00902118" w:rsidRPr="00210630" w:rsidRDefault="0045506F" w:rsidP="00654B37">
      <w:pPr>
        <w:spacing w:line="480" w:lineRule="auto"/>
        <w:rPr>
          <w:rFonts w:ascii="Times New Roman" w:hAnsi="Times New Roman" w:cs="Times New Roman"/>
          <w:sz w:val="22"/>
        </w:rPr>
      </w:pPr>
      <w:r w:rsidRPr="00210630">
        <w:rPr>
          <w:rFonts w:ascii="Times New Roman" w:hAnsi="Times New Roman" w:cs="Times New Roman"/>
          <w:sz w:val="22"/>
        </w:rPr>
        <w:t xml:space="preserve">Hybridization of each library and biotynilated-179 RNA oligonucleotide probes was carried out using Target Capture Solution Box 1 and 3 (Celemics Inc. Seoul, South Korea) </w:t>
      </w:r>
      <w:r w:rsidR="00615371" w:rsidRPr="00210630">
        <w:rPr>
          <w:rFonts w:ascii="Times New Roman" w:hAnsi="Times New Roman" w:cs="Times New Roman"/>
          <w:sz w:val="22"/>
        </w:rPr>
        <w:t xml:space="preserve">in accordance with the </w:t>
      </w:r>
      <w:r w:rsidRPr="00210630">
        <w:rPr>
          <w:rFonts w:ascii="Times New Roman" w:hAnsi="Times New Roman" w:cs="Times New Roman"/>
          <w:color w:val="000000"/>
          <w:sz w:val="22"/>
        </w:rPr>
        <w:t>manufacturer's protocols</w:t>
      </w:r>
      <w:r w:rsidRPr="00210630">
        <w:rPr>
          <w:rFonts w:ascii="Times New Roman" w:hAnsi="Times New Roman" w:cs="Times New Roman"/>
          <w:sz w:val="22"/>
        </w:rPr>
        <w:t xml:space="preserve">. Target capture probes </w:t>
      </w:r>
      <w:r w:rsidR="00615371" w:rsidRPr="00210630">
        <w:rPr>
          <w:rFonts w:ascii="Times New Roman" w:hAnsi="Times New Roman" w:cs="Times New Roman"/>
          <w:sz w:val="22"/>
        </w:rPr>
        <w:t xml:space="preserve">encompassing all </w:t>
      </w:r>
      <w:r w:rsidRPr="00210630">
        <w:rPr>
          <w:rFonts w:ascii="Times New Roman" w:hAnsi="Times New Roman" w:cs="Times New Roman"/>
          <w:sz w:val="22"/>
        </w:rPr>
        <w:t>coding exon regions were also generated by Celemics Inc. (Seoul, South Korea). Target captu</w:t>
      </w:r>
      <w:r w:rsidRPr="00210630">
        <w:rPr>
          <w:rFonts w:ascii="Times New Roman" w:eastAsia="맑은 고딕" w:hAnsi="Times New Roman" w:cs="Times New Roman"/>
          <w:sz w:val="22"/>
        </w:rPr>
        <w:t xml:space="preserve">red libraries were selected </w:t>
      </w:r>
      <w:r w:rsidR="00615371" w:rsidRPr="00210630">
        <w:rPr>
          <w:rFonts w:ascii="Times New Roman" w:eastAsia="맑은 고딕" w:hAnsi="Times New Roman" w:cs="Times New Roman"/>
          <w:sz w:val="22"/>
        </w:rPr>
        <w:t xml:space="preserve">using </w:t>
      </w:r>
      <w:r w:rsidRPr="00210630">
        <w:rPr>
          <w:rFonts w:ascii="Times New Roman" w:eastAsia="맑은 고딕" w:hAnsi="Times New Roman" w:cs="Times New Roman"/>
          <w:sz w:val="22"/>
        </w:rPr>
        <w:t xml:space="preserve">streptavidin-coated magnetic beads </w:t>
      </w:r>
      <w:r w:rsidRPr="00210630">
        <w:rPr>
          <w:rFonts w:ascii="Times New Roman" w:hAnsi="Times New Roman" w:cs="Times New Roman"/>
          <w:sz w:val="22"/>
        </w:rPr>
        <w:t>(Celemics Inc. Seoul, South Korea) using Target Capture Solution Box 2 (Celemics Inc. Seoul, South Korea)</w:t>
      </w:r>
      <w:r w:rsidR="00615371" w:rsidRPr="00210630">
        <w:rPr>
          <w:rFonts w:ascii="Times New Roman" w:hAnsi="Times New Roman" w:cs="Times New Roman"/>
          <w:sz w:val="22"/>
        </w:rPr>
        <w:t>.</w:t>
      </w:r>
      <w:r w:rsidRPr="00210630">
        <w:rPr>
          <w:rFonts w:ascii="Times New Roman" w:hAnsi="Times New Roman" w:cs="Times New Roman"/>
          <w:sz w:val="22"/>
        </w:rPr>
        <w:t xml:space="preserve"> </w:t>
      </w:r>
      <w:r w:rsidR="00352516" w:rsidRPr="00210630">
        <w:rPr>
          <w:rFonts w:ascii="Times New Roman" w:hAnsi="Times New Roman" w:cs="Times New Roman"/>
          <w:sz w:val="22"/>
        </w:rPr>
        <w:t xml:space="preserve">On-bead captured libraries were amplified via PCR </w:t>
      </w:r>
      <w:r w:rsidRPr="00210630">
        <w:rPr>
          <w:rFonts w:ascii="Times New Roman" w:hAnsi="Times New Roman" w:cs="Times New Roman"/>
          <w:sz w:val="22"/>
        </w:rPr>
        <w:t xml:space="preserve">using the KAPA HiFi HotStart ReadyMix (2X) and primer mix to the linked Illumina adapters </w:t>
      </w:r>
      <w:r w:rsidRPr="00210630">
        <w:rPr>
          <w:rFonts w:ascii="Times New Roman" w:hAnsi="Times New Roman" w:cs="Times New Roman"/>
          <w:sz w:val="22"/>
        </w:rPr>
        <w:lastRenderedPageBreak/>
        <w:t>(KAPABIOSYSTEMS) and subsequently</w:t>
      </w:r>
      <w:r w:rsidR="00352516" w:rsidRPr="00210630">
        <w:rPr>
          <w:rFonts w:ascii="Times New Roman" w:hAnsi="Times New Roman" w:cs="Times New Roman"/>
          <w:sz w:val="22"/>
        </w:rPr>
        <w:t>,</w:t>
      </w:r>
      <w:r w:rsidRPr="00210630">
        <w:rPr>
          <w:rFonts w:ascii="Times New Roman" w:hAnsi="Times New Roman" w:cs="Times New Roman"/>
          <w:sz w:val="22"/>
        </w:rPr>
        <w:t xml:space="preserve"> the amplified captured DNA libraries were finally purified using clean-up beads (Celemics Inc. Seoul, South Korea). For library validation for the sequencing run, each captured library was carefully quantified, and </w:t>
      </w:r>
      <w:r w:rsidR="00D933F1" w:rsidRPr="00210630">
        <w:rPr>
          <w:rFonts w:ascii="Times New Roman" w:hAnsi="Times New Roman" w:cs="Times New Roman"/>
          <w:sz w:val="22"/>
        </w:rPr>
        <w:t xml:space="preserve">the average library size was determined to be </w:t>
      </w:r>
      <w:r w:rsidRPr="00210630">
        <w:rPr>
          <w:rFonts w:ascii="Times New Roman" w:hAnsi="Times New Roman" w:cs="Times New Roman"/>
          <w:sz w:val="22"/>
        </w:rPr>
        <w:t>300</w:t>
      </w:r>
      <w:r w:rsidR="00D933F1" w:rsidRPr="00210630">
        <w:rPr>
          <w:rFonts w:ascii="Times New Roman" w:hAnsi="Times New Roman" w:cs="Times New Roman"/>
          <w:sz w:val="22"/>
        </w:rPr>
        <w:t>–</w:t>
      </w:r>
      <w:r w:rsidRPr="00210630">
        <w:rPr>
          <w:rFonts w:ascii="Times New Roman" w:hAnsi="Times New Roman" w:cs="Times New Roman"/>
          <w:sz w:val="22"/>
        </w:rPr>
        <w:t xml:space="preserve">400 bp </w:t>
      </w:r>
      <w:r w:rsidR="00D933F1" w:rsidRPr="00210630">
        <w:rPr>
          <w:rFonts w:ascii="Times New Roman" w:hAnsi="Times New Roman" w:cs="Times New Roman"/>
          <w:sz w:val="22"/>
        </w:rPr>
        <w:t xml:space="preserve">via the </w:t>
      </w:r>
      <w:r w:rsidRPr="00210630">
        <w:rPr>
          <w:rFonts w:ascii="Times New Roman" w:hAnsi="Times New Roman" w:cs="Times New Roman"/>
          <w:sz w:val="22"/>
        </w:rPr>
        <w:t xml:space="preserve">4200 TapeStation instrument before all target captured samples were pooled. </w:t>
      </w:r>
      <w:r w:rsidR="00D933F1" w:rsidRPr="00210630">
        <w:rPr>
          <w:rFonts w:ascii="Times New Roman" w:hAnsi="Times New Roman" w:cs="Times New Roman"/>
          <w:sz w:val="22"/>
        </w:rPr>
        <w:t xml:space="preserve">It is important to </w:t>
      </w:r>
      <w:r w:rsidRPr="00210630">
        <w:rPr>
          <w:rFonts w:ascii="Times New Roman" w:hAnsi="Times New Roman" w:cs="Times New Roman"/>
          <w:sz w:val="22"/>
        </w:rPr>
        <w:t xml:space="preserve">maintain </w:t>
      </w:r>
      <w:r w:rsidR="00D933F1" w:rsidRPr="00210630">
        <w:rPr>
          <w:rFonts w:ascii="Times New Roman" w:hAnsi="Times New Roman" w:cs="Times New Roman"/>
          <w:sz w:val="22"/>
        </w:rPr>
        <w:t xml:space="preserve">a </w:t>
      </w:r>
      <w:r w:rsidRPr="00210630">
        <w:rPr>
          <w:rFonts w:ascii="Times New Roman" w:hAnsi="Times New Roman" w:cs="Times New Roman"/>
          <w:sz w:val="22"/>
        </w:rPr>
        <w:t xml:space="preserve">unique index for each sample </w:t>
      </w:r>
      <w:r w:rsidR="00D933F1" w:rsidRPr="00210630">
        <w:rPr>
          <w:rFonts w:ascii="Times New Roman" w:hAnsi="Times New Roman" w:cs="Times New Roman"/>
          <w:sz w:val="22"/>
        </w:rPr>
        <w:t>during library preparation</w:t>
      </w:r>
      <w:r w:rsidRPr="00210630">
        <w:rPr>
          <w:rFonts w:ascii="Times New Roman" w:hAnsi="Times New Roman" w:cs="Times New Roman"/>
          <w:sz w:val="22"/>
        </w:rPr>
        <w:t xml:space="preserve">. </w:t>
      </w:r>
      <w:r w:rsidR="00DE56D4" w:rsidRPr="00210630">
        <w:rPr>
          <w:rFonts w:ascii="Times New Roman" w:hAnsi="Times New Roman" w:cs="Times New Roman"/>
          <w:sz w:val="22"/>
        </w:rPr>
        <w:t>Individual sample indices should not overlap</w:t>
      </w:r>
      <w:r w:rsidRPr="00210630">
        <w:rPr>
          <w:rFonts w:ascii="Times New Roman" w:hAnsi="Times New Roman" w:cs="Times New Roman"/>
          <w:sz w:val="22"/>
        </w:rPr>
        <w:t xml:space="preserve">. </w:t>
      </w:r>
      <w:r w:rsidR="00D710CC" w:rsidRPr="00210630">
        <w:rPr>
          <w:rFonts w:ascii="Times New Roman" w:hAnsi="Times New Roman" w:cs="Times New Roman"/>
          <w:sz w:val="22"/>
        </w:rPr>
        <w:t xml:space="preserve">Upon accurate determination of the </w:t>
      </w:r>
      <w:r w:rsidRPr="00210630">
        <w:rPr>
          <w:rFonts w:ascii="Times New Roman" w:hAnsi="Times New Roman" w:cs="Times New Roman"/>
          <w:sz w:val="22"/>
        </w:rPr>
        <w:t xml:space="preserve">target size and the amount of data needed and the concentration of each sample, libraries were pooled to fit the amount of data output. Pooled libraries were diluted to a final concentration of 4 nM and denatured </w:t>
      </w:r>
      <w:r w:rsidR="00D710CC" w:rsidRPr="00210630">
        <w:rPr>
          <w:rFonts w:ascii="Times New Roman" w:hAnsi="Times New Roman" w:cs="Times New Roman"/>
          <w:sz w:val="22"/>
        </w:rPr>
        <w:t xml:space="preserve">in accordance with the </w:t>
      </w:r>
      <w:r w:rsidRPr="00210630">
        <w:rPr>
          <w:rFonts w:ascii="Times New Roman" w:hAnsi="Times New Roman" w:cs="Times New Roman"/>
          <w:sz w:val="22"/>
        </w:rPr>
        <w:t xml:space="preserve">Illumina NextSeq System user guide. Paired-end targeted RNA-sequencing was performed using Mid Output Reagent Cartridge v2 and Mid Output Flow Cell Cartridge v2 on </w:t>
      </w:r>
      <w:r w:rsidRPr="00210630">
        <w:rPr>
          <w:rFonts w:ascii="Times New Roman" w:eastAsia="맑은 고딕" w:hAnsi="Times New Roman" w:cs="Times New Roman"/>
          <w:sz w:val="22"/>
        </w:rPr>
        <w:t>Illumina NextSeq</w:t>
      </w:r>
      <w:r w:rsidRPr="00210630">
        <w:rPr>
          <w:rFonts w:ascii="Times New Roman" w:eastAsia="맑은 고딕" w:hAnsi="Times New Roman" w:cs="Times New Roman"/>
          <w:sz w:val="22"/>
          <w:vertAlign w:val="superscript"/>
        </w:rPr>
        <w:t>TM</w:t>
      </w:r>
      <w:r w:rsidRPr="00210630">
        <w:rPr>
          <w:rFonts w:ascii="Times New Roman" w:eastAsia="맑은 고딕" w:hAnsi="Times New Roman" w:cs="Times New Roman"/>
          <w:sz w:val="22"/>
        </w:rPr>
        <w:t xml:space="preserve"> 500 platform (</w:t>
      </w:r>
      <w:r w:rsidR="00946919" w:rsidRPr="00210630">
        <w:rPr>
          <w:rFonts w:ascii="Times New Roman" w:eastAsia="맑은 고딕" w:hAnsi="Times New Roman" w:cs="Times New Roman"/>
          <w:sz w:val="22"/>
        </w:rPr>
        <w:t>Illumina, San Diego, CA, USA</w:t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). Upon completion of the sequencing run, raw FASTQ files were analyzed for further study and </w:t>
      </w:r>
      <w:r w:rsidR="00D710CC" w:rsidRPr="00210630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the </w:t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t>run performance</w:t>
      </w:r>
      <w:r w:rsidR="00D710CC" w:rsidRPr="00210630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 was assessed</w:t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. The raw reads were trimmed using Trimmomatic (version 0.33) </w:t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begin">
          <w:fldData xml:space="preserve">PEVuZE5vdGU+PENpdGU+PEF1dGhvcj5Cb2xnZXI8L0F1dGhvcj48WWVhcj4yMDE0PC9ZZWFyPjxS
ZWNOdW0+ODU8L1JlY051bT48RGlzcGxheVRleHQ+KDYpPC9EaXNwbGF5VGV4dD48cmVjb3JkPjxy
ZWMtbnVtYmVyPjg1PC9yZWMtbnVtYmVyPjxmb3JlaWduLWtleXM+PGtleSBhcHA9IkVOIiBkYi1p
ZD0iYWQydDBmeGFuMGYyMDNldDl4a3ZkZHZnOTVhcHdhZXZ6MHRhIiB0aW1lc3RhbXA9IjE1ODYy
NjgwMjkiPjg1PC9rZXk+PC9mb3JlaWduLWtleXM+PHJlZi10eXBlIG5hbWU9IkpvdXJuYWwgQXJ0
aWNsZSI+MTc8L3JlZi10eXBlPjxjb250cmlidXRvcnM+PGF1dGhvcnM+PGF1dGhvcj5Cb2xnZXIs
IEEuIE0uPC9hdXRob3I+PGF1dGhvcj5Mb2hzZSwgTS48L2F1dGhvcj48YXV0aG9yPlVzYWRlbCwg
Qi48L2F1dGhvcj48L2F1dGhvcnM+PC9jb250cmlidXRvcnM+PGF1dGgtYWRkcmVzcz5EZXBhcnRt
ZW50IE1ldGFib2xpYyBOZXR3b3JrcywgTWF4IFBsYW5jayBJbnN0aXR1dGUgb2YgTW9sZWN1bGFy
IFBsYW50IFBoeXNpb2xvZ3ksIEFtIE3DvGhsZW5iZXJnIDEsIDE0NDc2IEdvbG0sSW5zdGl0dXQg
ZsO8ciBCaW9sb2dpZSBJLCBSV1RIIEFhY2hlbiwgV29ycmluZ2VyIFdlZyAzLCA1MjA3NCBBYWNo
ZW4gYW5kIEluc3RpdHV0ZSBvZiBCaW8tIGFuZCBHZW9zY2llbmNlczogUGxhbnQgU2NpZW5jZXMs
IEZvcnNjaHVuZ3N6ZW50cnVtIErDvGxpY2gsIExlby1CcmFuZHQtU3RyYcOfZSwgNTI0MjUgSsO8
bGljaCwgR2VybWFueURlcGFydG1lbnQgTWV0YWJvbGljIE5ldHdvcmtzLCBNYXggUGxhbmNrIElu
c3RpdHV0ZSBvZiBNb2xlY3VsYXIgUGxhbnQgUGh5c2lvbG9neSwgQW0gTcO8aGxlbmJlcmcgMSwg
MTQ0NzYgR29sbSxJbnN0aXR1dCBmw7xyIEJpb2xvZ2llIEksIFJXVEggQWFjaGVuLCBXb3JyaW5n
ZXIgV2VnIDMsIDUyMDc0IEFhY2hlbiBhbmQgSW5zdGl0dXRlIG9mIEJpby0gYW5kIEdlb3NjaWVu
Y2VzOiBQbGFudCBTY2llbmNlcywgRm9yc2NodW5nc3plbnRydW0gSsO8bGljaCwgTGVvLUJyYW5k
dC1TdHJhw59lLCA1MjQyNSBKw7xsaWNoLCBHZXJtYW55LiYjeEQ7RGVwYXJ0bWVudCBNZXRhYm9s
aWMgTmV0d29ya3MsIE1heCBQbGFuY2sgSW5zdGl0dXRlIG9mIE1vbGVjdWxhciBQbGFudCBQaHlz
aW9sb2d5LCBBbSBNw7xobGVuYmVyZyAxLCAxNDQ3NiBHb2xtLEluc3RpdHV0IGbDvHIgQmlvbG9n
aWUgSSwgUldUSCBBYWNoZW4sIFdvcnJpbmdlciBXZWcgMywgNTIwNzQgQWFjaGVuIGFuZCBJbnN0
aXR1dGUgb2YgQmlvLSBhbmQgR2Vvc2NpZW5jZXM6IFBsYW50IFNjaWVuY2VzLCBGb3JzY2h1bmdz
emVudHJ1bSBKw7xsaWNoLCBMZW8tQnJhbmR0LVN0cmHDn2UsIDUyNDI1IErDvGxpY2gsIEdlcm1h
bnkuPC9hdXRoLWFkZHJlc3M+PHRpdGxlcz48dGl0bGU+VHJpbW1vbWF0aWM6IGEgZmxleGlibGUg
dHJpbW1lciBmb3IgSWxsdW1pbmEgc2VxdWVuY2UgZGF0YTwvdGl0bGU+PHNlY29uZGFyeS10aXRs
ZT5CaW9pbmZvcm1hdGljczwvc2Vjb25kYXJ5LXRpdGxlPjwvdGl0bGVzPjxwZXJpb2RpY2FsPjxm
dWxsLXRpdGxlPkJpb2luZm9ybWF0aWNzIChPeGZvcmQsIEVuZ2xhbmQpPC9mdWxsLXRpdGxlPjxh
YmJyLTE+QmlvaW5mb3JtYXRpY3M8L2FiYnItMT48L3BlcmlvZGljYWw+PHBhZ2VzPjIxMTQtMjA8
L3BhZ2VzPjx2b2x1bWU+MzA8L3ZvbHVtZT48bnVtYmVyPjE1PC9udW1iZXI+PGVkaXRpb24+MjAx
NC8wNC8wNDwvZWRpdGlvbj48a2V5d29yZHM+PGtleXdvcmQ+Q29tcHV0YXRpb25hbCBCaW9sb2d5
PC9rZXl3b3JkPjxrZXl3b3JkPkRhdGFiYXNlcywgR2VuZXRpYzwva2V5d29yZD48a2V5d29yZD5I
aWdoLVRocm91Z2hwdXQgTnVjbGVvdGlkZSBTZXF1ZW5jaW5nLyptZXRob2RzPC9rZXl3b3JkPjxr
ZXl3b3JkPipTb2Z0d2FyZTwva2V5d29yZD48L2tleXdvcmRzPjxkYXRlcz48eWVhcj4yMDE0PC95
ZWFyPjxwdWItZGF0ZXM+PGRhdGU+QXVnIDE8L2RhdGU+PC9wdWItZGF0ZXM+PC9kYXRlcz48aXNi
bj4xMzY3LTQ4MDMgKFByaW50KSYjeEQ7MTM2Ny00ODAzPC9pc2JuPjxhY2Nlc3Npb24tbnVtPjI0
Njk1NDA0PC9hY2Nlc3Npb24tbnVtPjx1cmxzPjwvdXJscz48Y3VzdG9tMj5QTUM0MTAzNTkwPC9j
dXN0b20yPjxlbGVjdHJvbmljLXJlc291cmNlLW51bT4xMC4xMDkzL2Jpb2luZm9ybWF0aWNzL2J0
dTE3MDwvZWxlY3Ryb25pYy1yZXNvdXJjZS1udW0+PHJlbW90ZS1kYXRhYmFzZS1wcm92aWRlcj5O
TE08L3JlbW90ZS1kYXRhYmFzZS1wcm92aWRlcj48bGFuZ3VhZ2U+ZW5nPC9sYW5ndWFnZT48L3Jl
Y29yZD48L0NpdGU+PC9FbmROb3RlPn==
</w:fldData>
        </w:fldChar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instrText xml:space="preserve"> ADDIN EN.CITE </w:instrText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begin">
          <w:fldData xml:space="preserve">PEVuZE5vdGU+PENpdGU+PEF1dGhvcj5Cb2xnZXI8L0F1dGhvcj48WWVhcj4yMDE0PC9ZZWFyPjxS
ZWNOdW0+ODU8L1JlY051bT48RGlzcGxheVRleHQ+KDYpPC9EaXNwbGF5VGV4dD48cmVjb3JkPjxy
ZWMtbnVtYmVyPjg1PC9yZWMtbnVtYmVyPjxmb3JlaWduLWtleXM+PGtleSBhcHA9IkVOIiBkYi1p
ZD0iYWQydDBmeGFuMGYyMDNldDl4a3ZkZHZnOTVhcHdhZXZ6MHRhIiB0aW1lc3RhbXA9IjE1ODYy
NjgwMjkiPjg1PC9rZXk+PC9mb3JlaWduLWtleXM+PHJlZi10eXBlIG5hbWU9IkpvdXJuYWwgQXJ0
aWNsZSI+MTc8L3JlZi10eXBlPjxjb250cmlidXRvcnM+PGF1dGhvcnM+PGF1dGhvcj5Cb2xnZXIs
IEEuIE0uPC9hdXRob3I+PGF1dGhvcj5Mb2hzZSwgTS48L2F1dGhvcj48YXV0aG9yPlVzYWRlbCwg
Qi48L2F1dGhvcj48L2F1dGhvcnM+PC9jb250cmlidXRvcnM+PGF1dGgtYWRkcmVzcz5EZXBhcnRt
ZW50IE1ldGFib2xpYyBOZXR3b3JrcywgTWF4IFBsYW5jayBJbnN0aXR1dGUgb2YgTW9sZWN1bGFy
IFBsYW50IFBoeXNpb2xvZ3ksIEFtIE3DvGhsZW5iZXJnIDEsIDE0NDc2IEdvbG0sSW5zdGl0dXQg
ZsO8ciBCaW9sb2dpZSBJLCBSV1RIIEFhY2hlbiwgV29ycmluZ2VyIFdlZyAzLCA1MjA3NCBBYWNo
ZW4gYW5kIEluc3RpdHV0ZSBvZiBCaW8tIGFuZCBHZW9zY2llbmNlczogUGxhbnQgU2NpZW5jZXMs
IEZvcnNjaHVuZ3N6ZW50cnVtIErDvGxpY2gsIExlby1CcmFuZHQtU3RyYcOfZSwgNTI0MjUgSsO8
bGljaCwgR2VybWFueURlcGFydG1lbnQgTWV0YWJvbGljIE5ldHdvcmtzLCBNYXggUGxhbmNrIElu
c3RpdHV0ZSBvZiBNb2xlY3VsYXIgUGxhbnQgUGh5c2lvbG9neSwgQW0gTcO8aGxlbmJlcmcgMSwg
MTQ0NzYgR29sbSxJbnN0aXR1dCBmw7xyIEJpb2xvZ2llIEksIFJXVEggQWFjaGVuLCBXb3JyaW5n
ZXIgV2VnIDMsIDUyMDc0IEFhY2hlbiBhbmQgSW5zdGl0dXRlIG9mIEJpby0gYW5kIEdlb3NjaWVu
Y2VzOiBQbGFudCBTY2llbmNlcywgRm9yc2NodW5nc3plbnRydW0gSsO8bGljaCwgTGVvLUJyYW5k
dC1TdHJhw59lLCA1MjQyNSBKw7xsaWNoLCBHZXJtYW55LiYjeEQ7RGVwYXJ0bWVudCBNZXRhYm9s
aWMgTmV0d29ya3MsIE1heCBQbGFuY2sgSW5zdGl0dXRlIG9mIE1vbGVjdWxhciBQbGFudCBQaHlz
aW9sb2d5LCBBbSBNw7xobGVuYmVyZyAxLCAxNDQ3NiBHb2xtLEluc3RpdHV0IGbDvHIgQmlvbG9n
aWUgSSwgUldUSCBBYWNoZW4sIFdvcnJpbmdlciBXZWcgMywgNTIwNzQgQWFjaGVuIGFuZCBJbnN0
aXR1dGUgb2YgQmlvLSBhbmQgR2Vvc2NpZW5jZXM6IFBsYW50IFNjaWVuY2VzLCBGb3JzY2h1bmdz
emVudHJ1bSBKw7xsaWNoLCBMZW8tQnJhbmR0LVN0cmHDn2UsIDUyNDI1IErDvGxpY2gsIEdlcm1h
bnkuPC9hdXRoLWFkZHJlc3M+PHRpdGxlcz48dGl0bGU+VHJpbW1vbWF0aWM6IGEgZmxleGlibGUg
dHJpbW1lciBmb3IgSWxsdW1pbmEgc2VxdWVuY2UgZGF0YTwvdGl0bGU+PHNlY29uZGFyeS10aXRs
ZT5CaW9pbmZvcm1hdGljczwvc2Vjb25kYXJ5LXRpdGxlPjwvdGl0bGVzPjxwZXJpb2RpY2FsPjxm
dWxsLXRpdGxlPkJpb2luZm9ybWF0aWNzIChPeGZvcmQsIEVuZ2xhbmQpPC9mdWxsLXRpdGxlPjxh
YmJyLTE+QmlvaW5mb3JtYXRpY3M8L2FiYnItMT48L3BlcmlvZGljYWw+PHBhZ2VzPjIxMTQtMjA8
L3BhZ2VzPjx2b2x1bWU+MzA8L3ZvbHVtZT48bnVtYmVyPjE1PC9udW1iZXI+PGVkaXRpb24+MjAx
NC8wNC8wNDwvZWRpdGlvbj48a2V5d29yZHM+PGtleXdvcmQ+Q29tcHV0YXRpb25hbCBCaW9sb2d5
PC9rZXl3b3JkPjxrZXl3b3JkPkRhdGFiYXNlcywgR2VuZXRpYzwva2V5d29yZD48a2V5d29yZD5I
aWdoLVRocm91Z2hwdXQgTnVjbGVvdGlkZSBTZXF1ZW5jaW5nLyptZXRob2RzPC9rZXl3b3JkPjxr
ZXl3b3JkPipTb2Z0d2FyZTwva2V5d29yZD48L2tleXdvcmRzPjxkYXRlcz48eWVhcj4yMDE0PC95
ZWFyPjxwdWItZGF0ZXM+PGRhdGU+QXVnIDE8L2RhdGU+PC9wdWItZGF0ZXM+PC9kYXRlcz48aXNi
bj4xMzY3LTQ4MDMgKFByaW50KSYjeEQ7MTM2Ny00ODAzPC9pc2JuPjxhY2Nlc3Npb24tbnVtPjI0
Njk1NDA0PC9hY2Nlc3Npb24tbnVtPjx1cmxzPjwvdXJscz48Y3VzdG9tMj5QTUM0MTAzNTkwPC9j
dXN0b20yPjxlbGVjdHJvbmljLXJlc291cmNlLW51bT4xMC4xMDkzL2Jpb2luZm9ybWF0aWNzL2J0
dTE3MDwvZWxlY3Ryb25pYy1yZXNvdXJjZS1udW0+PHJlbW90ZS1kYXRhYmFzZS1wcm92aWRlcj5O
TE08L3JlbW90ZS1kYXRhYmFzZS1wcm92aWRlcj48bGFuZ3VhZ2U+ZW5nPC9sYW5ndWFnZT48L3Jl
Y29yZD48L0NpdGU+PC9FbmROb3RlPn==
</w:fldData>
        </w:fldChar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instrText xml:space="preserve"> ADDIN EN.CITE.DATA </w:instrText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end"/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separate"/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t>(6)</w:t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end"/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 to </w:t>
      </w:r>
      <w:r w:rsidR="00D710CC" w:rsidRPr="00210630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eliminate </w:t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Illumina adapter sequences. Thereafter, the trimmed reads were aligned to the human genome reference (hg19) with the STAR (version 2.5.2a, default parameters) </w:t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begin"/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instrText xml:space="preserve"> ADDIN EN.CITE &lt;EndNote&gt;&lt;Cite&gt;&lt;Author&gt;Dobin&lt;/Author&gt;&lt;Year&gt;2013&lt;/Year&gt;&lt;RecNum&gt;86&lt;/RecNum&gt;&lt;DisplayText&gt;(7)&lt;/DisplayText&gt;&lt;record&gt;&lt;rec-number&gt;86&lt;/rec-number&gt;&lt;foreign-keys&gt;&lt;key app="EN" db-id="ad2t0fxan0f203et9xkvddvg95apwaevz0ta" timestamp="1586268084"&gt;86&lt;/key&gt;&lt;/foreign-keys&gt;&lt;ref-type name="Journal Article"&gt;17&lt;/ref-type&gt;&lt;contributors&gt;&lt;authors&gt;&lt;author&gt;Dobin, A.&lt;/author&gt;&lt;author&gt;Davis, C. A.&lt;/author&gt;&lt;author&gt;Schlesinger, F.&lt;/author&gt;&lt;author&gt;Drenkow, J.&lt;/author&gt;&lt;author&gt;Zaleski, C.&lt;/author&gt;&lt;author&gt;Jha, S.&lt;/author&gt;&lt;author&gt;Batut, P.&lt;/author&gt;&lt;author&gt;Chaisson, M.&lt;/author&gt;&lt;author&gt;Gingeras, T. R.&lt;/author&gt;&lt;/authors&gt;&lt;/contributors&gt;&lt;auth-address&gt;Cold Spring Harbor Laboratory, Cold Spring Harbor, NY, USA. dobin@cshl.edu&lt;/auth-address&gt;&lt;titles&gt;&lt;title&gt;STAR: ultrafast universal RNA-seq aligner&lt;/title&gt;&lt;secondary-title&gt;Bioinformatics&lt;/secondary-title&gt;&lt;/titles&gt;&lt;periodical&gt;&lt;full-title&gt;Bioinformatics (Oxford, England)&lt;/full-title&gt;&lt;abbr-1&gt;Bioinformatics&lt;/abbr-1&gt;&lt;/periodical&gt;&lt;pages&gt;15-21&lt;/pages&gt;&lt;volume&gt;29&lt;/volume&gt;&lt;number&gt;1&lt;/number&gt;&lt;edition&gt;2012/10/30&lt;/edition&gt;&lt;keywords&gt;&lt;keyword&gt;Algorithms&lt;/keyword&gt;&lt;keyword&gt;Cluster Analysis&lt;/keyword&gt;&lt;keyword&gt;Gene Expression Profiling&lt;/keyword&gt;&lt;keyword&gt;Genome, Human&lt;/keyword&gt;&lt;keyword&gt;Humans&lt;/keyword&gt;&lt;keyword&gt;RNA Splicing&lt;/keyword&gt;&lt;keyword&gt;Sequence Alignment/*methods&lt;/keyword&gt;&lt;keyword&gt;Sequence Analysis, RNA/methods&lt;/keyword&gt;&lt;keyword&gt;*Software&lt;/keyword&gt;&lt;/keywords&gt;&lt;dates&gt;&lt;year&gt;2013&lt;/year&gt;&lt;pub-dates&gt;&lt;date&gt;Jan 1&lt;/date&gt;&lt;/pub-dates&gt;&lt;/dates&gt;&lt;isbn&gt;1367-4803 (Print)&amp;#xD;1367-4803&lt;/isbn&gt;&lt;accession-num&gt;23104886&lt;/accession-num&gt;&lt;urls&gt;&lt;/urls&gt;&lt;custom2&gt;PMC3530905&lt;/custom2&gt;&lt;electronic-resource-num&gt;10.1093/bioinformatics/bts635&lt;/electronic-resource-num&gt;&lt;remote-database-provider&gt;NLM&lt;/remote-database-provider&gt;&lt;language&gt;eng&lt;/language&gt;&lt;/record&gt;&lt;/Cite&gt;&lt;/EndNote&gt;</w:instrText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separate"/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t>(7)</w:t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end"/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, and read count quantifications were estimated </w:t>
      </w:r>
      <w:r w:rsidR="00774286" w:rsidRPr="00210630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using </w:t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HTSeq-Count (version 0.11.0) </w:t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begin"/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instrText xml:space="preserve"> ADDIN EN.CITE &lt;EndNote&gt;&lt;Cite&gt;&lt;Author&gt;Anders&lt;/Author&gt;&lt;Year&gt;2015&lt;/Year&gt;&lt;RecNum&gt;87&lt;/RecNum&gt;&lt;DisplayText&gt;(8)&lt;/DisplayText&gt;&lt;record&gt;&lt;rec-number&gt;87&lt;/rec-number&gt;&lt;foreign-keys&gt;&lt;key app="EN" db-id="ad2t0fxan0f203et9xkvddvg95apwaevz0ta" timestamp="1586268143"&gt;87&lt;/key&gt;&lt;/foreign-keys&gt;&lt;ref-type name="Journal Article"&gt;17&lt;/ref-type&gt;&lt;contributors&gt;&lt;authors&gt;&lt;author&gt;Anders, S.&lt;/author&gt;&lt;author&gt;Pyl, P. T.&lt;/author&gt;&lt;author&gt;Huber, W.&lt;/author&gt;&lt;/authors&gt;&lt;/contributors&gt;&lt;auth-address&gt;Genome Biology Unit, European Molecular Biology Laboratory, 69111 Heidelberg, Germany.&lt;/auth-address&gt;&lt;titles&gt;&lt;title&gt;HTSeq--a Python framework to work with high-throughput sequencing data&lt;/title&gt;&lt;secondary-title&gt;Bioinformatics&lt;/secondary-title&gt;&lt;/titles&gt;&lt;periodical&gt;&lt;full-title&gt;Bioinformatics (Oxford, England)&lt;/full-title&gt;&lt;abbr-1&gt;Bioinformatics&lt;/abbr-1&gt;&lt;/periodical&gt;&lt;pages&gt;166-9&lt;/pages&gt;&lt;volume&gt;31&lt;/volume&gt;&lt;number&gt;2&lt;/number&gt;&lt;edition&gt;2014/09/28&lt;/edition&gt;&lt;keywords&gt;&lt;keyword&gt;*Gene Expression Regulation&lt;/keyword&gt;&lt;keyword&gt;*Genome, Human&lt;/keyword&gt;&lt;keyword&gt;Genomics/*methods&lt;/keyword&gt;&lt;keyword&gt;High-Throughput Nucleotide Sequencing/*methods&lt;/keyword&gt;&lt;keyword&gt;Humans&lt;/keyword&gt;&lt;keyword&gt;*Software&lt;/keyword&gt;&lt;/keywords&gt;&lt;dates&gt;&lt;year&gt;2015&lt;/year&gt;&lt;pub-dates&gt;&lt;date&gt;Jan 15&lt;/date&gt;&lt;/pub-dates&gt;&lt;/dates&gt;&lt;isbn&gt;1367-4803 (Print)&amp;#xD;1367-4803&lt;/isbn&gt;&lt;accession-num&gt;25260700&lt;/accession-num&gt;&lt;urls&gt;&lt;/urls&gt;&lt;custom2&gt;PMC4287950&lt;/custom2&gt;&lt;electronic-resource-num&gt;10.1093/bioinformatics/btu638&lt;/electronic-resource-num&gt;&lt;remote-database-provider&gt;NLM&lt;/remote-database-provider&gt;&lt;language&gt;eng&lt;/language&gt;&lt;/record&gt;&lt;/Cite&gt;&lt;/EndNote&gt;</w:instrText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separate"/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t>(8)</w:t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fldChar w:fldCharType="end"/>
      </w:r>
      <w:r w:rsidRPr="00210630">
        <w:rPr>
          <w:rFonts w:ascii="Times New Roman" w:eastAsia="Times" w:hAnsi="Times New Roman" w:cs="Times New Roman"/>
          <w:color w:val="000000"/>
          <w:kern w:val="0"/>
          <w:sz w:val="22"/>
        </w:rPr>
        <w:t>.</w:t>
      </w:r>
      <w:r w:rsidR="00902118" w:rsidRPr="00210630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 </w:t>
      </w:r>
      <w:r w:rsidR="00654B37" w:rsidRPr="00210630">
        <w:rPr>
          <w:rFonts w:ascii="Times New Roman" w:eastAsia="Times" w:hAnsi="Times New Roman" w:cs="Times New Roman"/>
          <w:color w:val="000000"/>
          <w:kern w:val="0"/>
          <w:sz w:val="22"/>
        </w:rPr>
        <w:t>After read trimming, an average number of 2,445,983 reads per sample was obtained, and 93.91% were uniquely mapped to the reference genome. The mean sequencing depth and on-target ratio over</w:t>
      </w:r>
      <w:r w:rsidR="00022196" w:rsidRPr="00210630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 the target regions were 354.65</w:t>
      </w:r>
      <w:r w:rsidR="00022196" w:rsidRPr="00210630">
        <w:rPr>
          <w:rFonts w:ascii="Cambria Math" w:eastAsia="Times" w:hAnsi="Cambria Math" w:cs="Times New Roman"/>
          <w:color w:val="000000"/>
          <w:kern w:val="0"/>
          <w:sz w:val="22"/>
        </w:rPr>
        <w:t>×</w:t>
      </w:r>
      <w:r w:rsidR="00654B37" w:rsidRPr="00210630">
        <w:rPr>
          <w:rFonts w:ascii="Times New Roman" w:eastAsia="Times" w:hAnsi="Times New Roman" w:cs="Times New Roman"/>
          <w:color w:val="000000"/>
          <w:kern w:val="0"/>
          <w:sz w:val="22"/>
        </w:rPr>
        <w:t xml:space="preserve"> and 86.95%, respectively.</w:t>
      </w:r>
    </w:p>
    <w:p w14:paraId="573347A5" w14:textId="77777777" w:rsidR="0045506F" w:rsidRPr="00210630" w:rsidRDefault="0045506F" w:rsidP="00E1642B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</w:p>
    <w:p w14:paraId="573347A6" w14:textId="77777777" w:rsidR="00602E49" w:rsidRPr="00210630" w:rsidRDefault="00602E49" w:rsidP="00602E49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 w:rsidRPr="00210630">
        <w:rPr>
          <w:rFonts w:ascii="Times New Roman" w:hAnsi="Times New Roman" w:cs="Times New Roman"/>
          <w:b/>
          <w:i/>
          <w:sz w:val="22"/>
        </w:rPr>
        <w:t>The conserved-exon panel (CEP) framework:</w:t>
      </w:r>
    </w:p>
    <w:p w14:paraId="573347A7" w14:textId="292D7D14" w:rsidR="00602E49" w:rsidRPr="00210630" w:rsidRDefault="00496601" w:rsidP="00602E49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2"/>
        </w:rPr>
      </w:pPr>
      <w:r w:rsidRPr="00210630">
        <w:rPr>
          <w:rFonts w:ascii="Times New Roman" w:hAnsi="Times New Roman" w:cs="Times New Roman"/>
          <w:sz w:val="22"/>
        </w:rPr>
        <w:t>E</w:t>
      </w:r>
      <w:r w:rsidR="00602E49" w:rsidRPr="00210630">
        <w:rPr>
          <w:rFonts w:ascii="Times New Roman" w:hAnsi="Times New Roman" w:cs="Times New Roman"/>
          <w:sz w:val="22"/>
        </w:rPr>
        <w:t xml:space="preserve">ach RNA-seq data </w:t>
      </w:r>
      <w:r w:rsidRPr="00210630">
        <w:rPr>
          <w:rFonts w:ascii="Times New Roman" w:hAnsi="Times New Roman" w:cs="Times New Roman"/>
          <w:sz w:val="22"/>
        </w:rPr>
        <w:t xml:space="preserve">were processed to enumerate </w:t>
      </w:r>
      <w:r w:rsidR="00602E49" w:rsidRPr="00210630">
        <w:rPr>
          <w:rFonts w:ascii="Times New Roman" w:hAnsi="Times New Roman" w:cs="Times New Roman"/>
          <w:sz w:val="22"/>
        </w:rPr>
        <w:t xml:space="preserve">reads mapped into the CEP regions, where the CEP refers to the exonic regions included in more than a majority of the splicing isoforms expressed at the corresponding genetic loci (Figure 1). </w:t>
      </w:r>
      <w:r w:rsidRPr="00210630">
        <w:rPr>
          <w:rFonts w:ascii="Times New Roman" w:hAnsi="Times New Roman" w:cs="Times New Roman"/>
          <w:sz w:val="22"/>
        </w:rPr>
        <w:t xml:space="preserve">This approach aimed to exclude </w:t>
      </w:r>
      <w:r w:rsidR="00602E49" w:rsidRPr="00210630">
        <w:rPr>
          <w:rFonts w:ascii="Times New Roman" w:hAnsi="Times New Roman" w:cs="Times New Roman"/>
          <w:sz w:val="22"/>
        </w:rPr>
        <w:t xml:space="preserve">the minor exons </w:t>
      </w:r>
      <w:r w:rsidRPr="00210630">
        <w:rPr>
          <w:rFonts w:ascii="Times New Roman" w:hAnsi="Times New Roman" w:cs="Times New Roman"/>
          <w:sz w:val="22"/>
        </w:rPr>
        <w:t xml:space="preserve">potentially causing </w:t>
      </w:r>
      <w:r w:rsidR="00602E49" w:rsidRPr="00210630">
        <w:rPr>
          <w:rFonts w:ascii="Times New Roman" w:hAnsi="Times New Roman" w:cs="Times New Roman"/>
          <w:sz w:val="22"/>
        </w:rPr>
        <w:t>biases in samples with different isoform usages.</w:t>
      </w:r>
    </w:p>
    <w:p w14:paraId="573347A8" w14:textId="3FD4E776" w:rsidR="00602E49" w:rsidRPr="00210630" w:rsidRDefault="009E6BB6" w:rsidP="00602E49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2"/>
        </w:rPr>
      </w:pPr>
      <w:r w:rsidRPr="00210630">
        <w:rPr>
          <w:rFonts w:ascii="Times New Roman" w:hAnsi="Times New Roman" w:cs="Times New Roman"/>
          <w:sz w:val="22"/>
        </w:rPr>
        <w:t xml:space="preserve">Considering the </w:t>
      </w:r>
      <w:r w:rsidR="00602E49" w:rsidRPr="00210630">
        <w:rPr>
          <w:rFonts w:ascii="Times New Roman" w:hAnsi="Times New Roman" w:cs="Times New Roman"/>
          <w:sz w:val="22"/>
        </w:rPr>
        <w:t xml:space="preserve">number of reads in CEP regions as </w:t>
      </w:r>
      <w:r w:rsidR="009373D7" w:rsidRPr="00210630">
        <w:rPr>
          <w:rFonts w:ascii="Times New Roman" w:hAnsi="Times New Roman" w:cs="Times New Roman"/>
          <w:sz w:val="22"/>
        </w:rPr>
        <w:t xml:space="preserve">the </w:t>
      </w:r>
      <w:r w:rsidR="00602E49" w:rsidRPr="00210630">
        <w:rPr>
          <w:rFonts w:ascii="Times New Roman" w:hAnsi="Times New Roman" w:cs="Times New Roman"/>
          <w:sz w:val="22"/>
        </w:rPr>
        <w:t xml:space="preserve">expression levels for each gene, scaling factors for each sample were </w:t>
      </w:r>
      <w:r w:rsidR="009373D7" w:rsidRPr="00210630">
        <w:rPr>
          <w:rFonts w:ascii="Times New Roman" w:hAnsi="Times New Roman" w:cs="Times New Roman"/>
          <w:sz w:val="22"/>
        </w:rPr>
        <w:t>determined using the</w:t>
      </w:r>
      <w:r w:rsidR="0014507D" w:rsidRPr="00210630">
        <w:rPr>
          <w:rFonts w:ascii="Times New Roman" w:hAnsi="Times New Roman" w:cs="Times New Roman"/>
          <w:sz w:val="22"/>
        </w:rPr>
        <w:t xml:space="preserve"> trimmed mean of M-values (</w:t>
      </w:r>
      <w:r w:rsidR="009373D7" w:rsidRPr="00210630">
        <w:rPr>
          <w:rFonts w:ascii="Times New Roman" w:hAnsi="Times New Roman" w:cs="Times New Roman"/>
          <w:sz w:val="22"/>
        </w:rPr>
        <w:t>TMM</w:t>
      </w:r>
      <w:r w:rsidR="0014507D" w:rsidRPr="00210630">
        <w:rPr>
          <w:rFonts w:ascii="Times New Roman" w:hAnsi="Times New Roman" w:cs="Times New Roman"/>
          <w:sz w:val="22"/>
        </w:rPr>
        <w:t>)</w:t>
      </w:r>
      <w:r w:rsidR="009373D7" w:rsidRPr="00210630">
        <w:rPr>
          <w:rFonts w:ascii="Times New Roman" w:hAnsi="Times New Roman" w:cs="Times New Roman"/>
          <w:sz w:val="22"/>
        </w:rPr>
        <w:t xml:space="preserve"> method</w:t>
      </w:r>
      <w:r w:rsidR="00602E49" w:rsidRPr="00210630">
        <w:rPr>
          <w:rFonts w:ascii="Times New Roman" w:hAnsi="Times New Roman" w:cs="Times New Roman"/>
          <w:sz w:val="22"/>
        </w:rPr>
        <w:t xml:space="preserve">. </w:t>
      </w:r>
      <w:r w:rsidR="009373D7" w:rsidRPr="00210630">
        <w:rPr>
          <w:rFonts w:ascii="Times New Roman" w:hAnsi="Times New Roman" w:cs="Times New Roman"/>
          <w:sz w:val="22"/>
        </w:rPr>
        <w:lastRenderedPageBreak/>
        <w:t xml:space="preserve">Thereafter, </w:t>
      </w:r>
      <w:r w:rsidR="00602E49" w:rsidRPr="00210630">
        <w:rPr>
          <w:rFonts w:ascii="Times New Roman" w:hAnsi="Times New Roman" w:cs="Times New Roman"/>
          <w:sz w:val="22"/>
        </w:rPr>
        <w:t xml:space="preserve">normalized expression levels for each gene were </w:t>
      </w:r>
      <w:r w:rsidR="00BD493A" w:rsidRPr="00210630">
        <w:rPr>
          <w:rFonts w:ascii="Times New Roman" w:hAnsi="Times New Roman" w:cs="Times New Roman"/>
          <w:sz w:val="22"/>
        </w:rPr>
        <w:t xml:space="preserve">determined </w:t>
      </w:r>
      <w:r w:rsidR="00602E49" w:rsidRPr="00210630">
        <w:rPr>
          <w:rFonts w:ascii="Times New Roman" w:hAnsi="Times New Roman" w:cs="Times New Roman"/>
          <w:sz w:val="22"/>
        </w:rPr>
        <w:t xml:space="preserve">by multiplying the corresponding scaling factors. </w:t>
      </w:r>
      <w:r w:rsidR="00BD493A" w:rsidRPr="00210630">
        <w:rPr>
          <w:rFonts w:ascii="Times New Roman" w:hAnsi="Times New Roman" w:cs="Times New Roman"/>
          <w:sz w:val="22"/>
        </w:rPr>
        <w:t xml:space="preserve">Consequently, </w:t>
      </w:r>
      <w:r w:rsidR="00602E49" w:rsidRPr="00210630">
        <w:rPr>
          <w:rFonts w:ascii="Times New Roman" w:hAnsi="Times New Roman" w:cs="Times New Roman"/>
          <w:sz w:val="22"/>
        </w:rPr>
        <w:t xml:space="preserve">a sample </w:t>
      </w:r>
      <w:r w:rsidR="00881A2C" w:rsidRPr="00210630">
        <w:rPr>
          <w:rFonts w:ascii="Times New Roman" w:hAnsi="Times New Roman" w:cs="Times New Roman"/>
          <w:sz w:val="22"/>
        </w:rPr>
        <w:t xml:space="preserve">was generated through a </w:t>
      </w:r>
      <w:r w:rsidR="00602E49" w:rsidRPr="00210630">
        <w:rPr>
          <w:rFonts w:ascii="Times New Roman" w:hAnsi="Times New Roman" w:cs="Times New Roman"/>
          <w:sz w:val="22"/>
        </w:rPr>
        <w:t>gene matrix of normalized gene expression levels.</w:t>
      </w:r>
    </w:p>
    <w:p w14:paraId="573347A9" w14:textId="77777777" w:rsidR="00602E49" w:rsidRPr="00210630" w:rsidRDefault="00602E49" w:rsidP="00602E49">
      <w:pPr>
        <w:keepNext/>
        <w:spacing w:line="480" w:lineRule="auto"/>
        <w:jc w:val="center"/>
        <w:rPr>
          <w:sz w:val="22"/>
        </w:rPr>
      </w:pPr>
      <w:r w:rsidRPr="00210630">
        <w:rPr>
          <w:noProof/>
          <w:sz w:val="22"/>
        </w:rPr>
        <w:drawing>
          <wp:inline distT="0" distB="0" distL="0" distR="0" wp14:anchorId="573347B6" wp14:editId="573347B7">
            <wp:extent cx="5731510" cy="1798955"/>
            <wp:effectExtent l="0" t="0" r="2540" b="0"/>
            <wp:docPr id="17" name="_x289688368" descr="EMB00002f482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_x289688368" descr="EMB00002f4825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347AA" w14:textId="77777777" w:rsidR="00781871" w:rsidRPr="00210630" w:rsidRDefault="00602E49" w:rsidP="00602E49">
      <w:pPr>
        <w:pStyle w:val="a4"/>
        <w:jc w:val="center"/>
        <w:rPr>
          <w:rFonts w:ascii="Times" w:hAnsi="Times" w:cs="Times New Roman"/>
          <w:sz w:val="22"/>
          <w:szCs w:val="22"/>
        </w:rPr>
      </w:pPr>
      <w:r w:rsidRPr="00210630">
        <w:rPr>
          <w:rFonts w:ascii="Times" w:hAnsi="Times"/>
          <w:sz w:val="22"/>
          <w:szCs w:val="22"/>
        </w:rPr>
        <w:t>Figure 1. Conserved Exon Panel (CEP) approach</w:t>
      </w:r>
    </w:p>
    <w:p w14:paraId="573347AB" w14:textId="77777777" w:rsidR="00602E49" w:rsidRPr="00210630" w:rsidRDefault="00602E49" w:rsidP="000D096A">
      <w:pPr>
        <w:spacing w:line="480" w:lineRule="auto"/>
      </w:pPr>
    </w:p>
    <w:p w14:paraId="6CEBE3F8" w14:textId="00BB4B98" w:rsidR="00841726" w:rsidRPr="00210630" w:rsidRDefault="00E36699" w:rsidP="00841726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 w:rsidRPr="00210630">
        <w:rPr>
          <w:rFonts w:ascii="Times New Roman" w:hAnsi="Times New Roman" w:cs="Times New Roman"/>
          <w:b/>
          <w:i/>
          <w:sz w:val="22"/>
        </w:rPr>
        <w:t>RS prediction model construction using cross-validation</w:t>
      </w:r>
    </w:p>
    <w:p w14:paraId="743E28A5" w14:textId="035D4BEE" w:rsidR="00B55D47" w:rsidRPr="00210630" w:rsidRDefault="00E36699" w:rsidP="00B55D47">
      <w:pPr>
        <w:spacing w:line="480" w:lineRule="auto"/>
        <w:rPr>
          <w:rFonts w:ascii="Times New Roman" w:hAnsi="Times New Roman" w:cs="Times New Roman"/>
          <w:sz w:val="22"/>
        </w:rPr>
      </w:pPr>
      <w:r w:rsidRPr="00210630">
        <w:rPr>
          <w:rFonts w:ascii="Times New Roman" w:hAnsi="Times New Roman" w:cs="Times New Roman"/>
          <w:sz w:val="22"/>
        </w:rPr>
        <w:tab/>
        <w:t>Cross-validation</w:t>
      </w:r>
      <w:r w:rsidR="0014507D" w:rsidRPr="00210630">
        <w:rPr>
          <w:rFonts w:ascii="Times New Roman" w:hAnsi="Times New Roman" w:cs="Times New Roman"/>
          <w:sz w:val="22"/>
        </w:rPr>
        <w:t xml:space="preserve"> (CV) is a method frequently </w:t>
      </w:r>
      <w:r w:rsidR="00F441AD" w:rsidRPr="00210630">
        <w:rPr>
          <w:rFonts w:ascii="Times New Roman" w:hAnsi="Times New Roman" w:cs="Times New Roman"/>
          <w:sz w:val="22"/>
        </w:rPr>
        <w:t xml:space="preserve">used to select genes and to discover hyper-parameters for optimization of models. We used the same 250 samples in the training set to perform a </w:t>
      </w:r>
      <w:r w:rsidR="00696503" w:rsidRPr="00210630">
        <w:rPr>
          <w:rFonts w:ascii="Times New Roman" w:hAnsi="Times New Roman" w:cs="Times New Roman"/>
          <w:sz w:val="22"/>
        </w:rPr>
        <w:t>five</w:t>
      </w:r>
      <w:r w:rsidR="00F441AD" w:rsidRPr="00210630">
        <w:rPr>
          <w:rFonts w:ascii="Times New Roman" w:hAnsi="Times New Roman" w:cs="Times New Roman"/>
          <w:sz w:val="22"/>
        </w:rPr>
        <w:t xml:space="preserve">-fold CV to develop </w:t>
      </w:r>
      <w:r w:rsidR="00A870CB" w:rsidRPr="00210630">
        <w:rPr>
          <w:rFonts w:ascii="Times New Roman" w:hAnsi="Times New Roman" w:cs="Times New Roman"/>
          <w:sz w:val="22"/>
        </w:rPr>
        <w:t>a</w:t>
      </w:r>
      <w:r w:rsidR="00F441AD" w:rsidRPr="00210630">
        <w:rPr>
          <w:rFonts w:ascii="Times New Roman" w:hAnsi="Times New Roman" w:cs="Times New Roman"/>
          <w:sz w:val="22"/>
        </w:rPr>
        <w:t xml:space="preserve"> CV model. </w:t>
      </w:r>
      <w:r w:rsidR="00B55D47" w:rsidRPr="00210630">
        <w:rPr>
          <w:rFonts w:ascii="Times New Roman" w:hAnsi="Times New Roman" w:cs="Times New Roman"/>
          <w:sz w:val="22"/>
        </w:rPr>
        <w:t xml:space="preserve">We first confirmed that there was no over-fitting in the original model by performing the </w:t>
      </w:r>
      <w:r w:rsidR="00696503" w:rsidRPr="00210630">
        <w:rPr>
          <w:rFonts w:ascii="Times New Roman" w:hAnsi="Times New Roman" w:cs="Times New Roman"/>
          <w:sz w:val="22"/>
        </w:rPr>
        <w:t>five</w:t>
      </w:r>
      <w:r w:rsidR="00B55D47" w:rsidRPr="00210630">
        <w:rPr>
          <w:rFonts w:ascii="Times New Roman" w:hAnsi="Times New Roman" w:cs="Times New Roman"/>
          <w:sz w:val="22"/>
        </w:rPr>
        <w:t>-fold CV.</w:t>
      </w:r>
      <w:r w:rsidR="00F441AD" w:rsidRPr="00210630">
        <w:rPr>
          <w:rFonts w:ascii="Times New Roman" w:hAnsi="Times New Roman" w:cs="Times New Roman"/>
          <w:sz w:val="22"/>
        </w:rPr>
        <w:t xml:space="preserve"> Among 21 genes with coefficients in the original model, 19 genes were included in the</w:t>
      </w:r>
      <w:r w:rsidR="00696503" w:rsidRPr="00210630">
        <w:rPr>
          <w:rFonts w:ascii="Times New Roman" w:hAnsi="Times New Roman" w:cs="Times New Roman"/>
          <w:sz w:val="22"/>
        </w:rPr>
        <w:t xml:space="preserve"> </w:t>
      </w:r>
      <w:r w:rsidR="00F441AD" w:rsidRPr="00210630">
        <w:rPr>
          <w:rFonts w:ascii="Times New Roman" w:hAnsi="Times New Roman" w:cs="Times New Roman"/>
          <w:sz w:val="22"/>
        </w:rPr>
        <w:t xml:space="preserve">CV model. </w:t>
      </w:r>
      <w:r w:rsidR="009B0006" w:rsidRPr="00210630">
        <w:rPr>
          <w:rFonts w:ascii="Times New Roman" w:hAnsi="Times New Roman" w:cs="Times New Roman"/>
          <w:sz w:val="22"/>
        </w:rPr>
        <w:t xml:space="preserve">The two genes not included in the </w:t>
      </w:r>
      <w:r w:rsidR="00696503" w:rsidRPr="00210630">
        <w:rPr>
          <w:rFonts w:ascii="Times New Roman" w:hAnsi="Times New Roman" w:cs="Times New Roman"/>
          <w:sz w:val="22"/>
        </w:rPr>
        <w:t>C</w:t>
      </w:r>
      <w:r w:rsidR="009B0006" w:rsidRPr="00210630">
        <w:rPr>
          <w:rFonts w:ascii="Times New Roman" w:hAnsi="Times New Roman" w:cs="Times New Roman"/>
          <w:sz w:val="22"/>
        </w:rPr>
        <w:t>V model were KIF14 and RRM2 with very small coefficient values of 0.0430 and 0.0391, respectively. The NGS-PS derived from the original model and the</w:t>
      </w:r>
      <w:r w:rsidR="00696503" w:rsidRPr="00210630">
        <w:rPr>
          <w:rFonts w:ascii="Times New Roman" w:hAnsi="Times New Roman" w:cs="Times New Roman"/>
          <w:sz w:val="22"/>
        </w:rPr>
        <w:t xml:space="preserve"> </w:t>
      </w:r>
      <w:r w:rsidR="009B0006" w:rsidRPr="00210630">
        <w:rPr>
          <w:rFonts w:ascii="Times New Roman" w:hAnsi="Times New Roman" w:cs="Times New Roman"/>
          <w:sz w:val="22"/>
        </w:rPr>
        <w:t>CV model showed a</w:t>
      </w:r>
      <w:r w:rsidR="002A2D53" w:rsidRPr="00210630">
        <w:rPr>
          <w:rFonts w:ascii="Times New Roman" w:hAnsi="Times New Roman" w:cs="Times New Roman"/>
          <w:sz w:val="22"/>
        </w:rPr>
        <w:t xml:space="preserve"> high</w:t>
      </w:r>
      <w:r w:rsidR="009B0006" w:rsidRPr="00210630">
        <w:rPr>
          <w:rFonts w:ascii="Times New Roman" w:hAnsi="Times New Roman" w:cs="Times New Roman"/>
          <w:sz w:val="22"/>
        </w:rPr>
        <w:t xml:space="preserve"> correlation </w:t>
      </w:r>
      <w:r w:rsidR="00B55D47" w:rsidRPr="00210630">
        <w:rPr>
          <w:rFonts w:ascii="Times New Roman" w:hAnsi="Times New Roman" w:cs="Times New Roman"/>
          <w:sz w:val="22"/>
        </w:rPr>
        <w:t>of</w:t>
      </w:r>
      <w:r w:rsidR="009B0006" w:rsidRPr="00210630">
        <w:rPr>
          <w:rFonts w:ascii="Times New Roman" w:hAnsi="Times New Roman" w:cs="Times New Roman"/>
          <w:sz w:val="22"/>
        </w:rPr>
        <w:t xml:space="preserve"> r = 0.96</w:t>
      </w:r>
      <w:r w:rsidR="00696503" w:rsidRPr="00210630">
        <w:rPr>
          <w:rFonts w:ascii="Times New Roman" w:hAnsi="Times New Roman" w:cs="Times New Roman"/>
          <w:sz w:val="22"/>
        </w:rPr>
        <w:t xml:space="preserve"> (Figure 2).</w:t>
      </w:r>
      <w:r w:rsidR="009B0006" w:rsidRPr="00210630">
        <w:rPr>
          <w:rFonts w:ascii="Times New Roman" w:hAnsi="Times New Roman" w:cs="Times New Roman"/>
          <w:sz w:val="22"/>
        </w:rPr>
        <w:t xml:space="preserve"> </w:t>
      </w:r>
      <w:r w:rsidR="00696503" w:rsidRPr="00210630">
        <w:rPr>
          <w:rFonts w:ascii="Times New Roman" w:hAnsi="Times New Roman" w:cs="Times New Roman"/>
          <w:sz w:val="22"/>
        </w:rPr>
        <w:t xml:space="preserve">In the verification set of 93 independent samples, </w:t>
      </w:r>
      <w:r w:rsidR="009B0006" w:rsidRPr="00210630">
        <w:rPr>
          <w:rFonts w:ascii="Times New Roman" w:hAnsi="Times New Roman" w:cs="Times New Roman"/>
          <w:sz w:val="22"/>
        </w:rPr>
        <w:t>Pearson</w:t>
      </w:r>
      <w:r w:rsidR="00807DB8" w:rsidRPr="00210630">
        <w:rPr>
          <w:rFonts w:ascii="Times New Roman" w:hAnsi="Times New Roman" w:cs="Times New Roman"/>
          <w:sz w:val="22"/>
        </w:rPr>
        <w:t>’s</w:t>
      </w:r>
      <w:r w:rsidR="009B0006" w:rsidRPr="00210630">
        <w:rPr>
          <w:rFonts w:ascii="Times New Roman" w:hAnsi="Times New Roman" w:cs="Times New Roman"/>
          <w:sz w:val="22"/>
        </w:rPr>
        <w:t xml:space="preserve"> correlation coefficient </w:t>
      </w:r>
      <w:r w:rsidR="00B55D47" w:rsidRPr="00210630">
        <w:rPr>
          <w:rFonts w:ascii="Times New Roman" w:hAnsi="Times New Roman" w:cs="Times New Roman"/>
          <w:sz w:val="22"/>
        </w:rPr>
        <w:t xml:space="preserve">between RS and </w:t>
      </w:r>
      <w:r w:rsidR="009B0006" w:rsidRPr="00210630">
        <w:rPr>
          <w:rFonts w:ascii="Times New Roman" w:hAnsi="Times New Roman" w:cs="Times New Roman"/>
          <w:sz w:val="22"/>
        </w:rPr>
        <w:t>the original and CV model</w:t>
      </w:r>
      <w:r w:rsidR="00B55D47" w:rsidRPr="00210630">
        <w:rPr>
          <w:rFonts w:ascii="Times New Roman" w:hAnsi="Times New Roman" w:cs="Times New Roman"/>
          <w:sz w:val="22"/>
        </w:rPr>
        <w:t>s</w:t>
      </w:r>
      <w:r w:rsidR="009B0006" w:rsidRPr="00210630">
        <w:rPr>
          <w:rFonts w:ascii="Times New Roman" w:hAnsi="Times New Roman" w:cs="Times New Roman"/>
          <w:sz w:val="22"/>
        </w:rPr>
        <w:t xml:space="preserve"> were 0.84 and 0.88, respectively, with no statistical difference</w:t>
      </w:r>
      <w:r w:rsidR="00696503" w:rsidRPr="00210630">
        <w:rPr>
          <w:rFonts w:ascii="Times New Roman" w:hAnsi="Times New Roman" w:cs="Times New Roman"/>
          <w:sz w:val="22"/>
        </w:rPr>
        <w:t xml:space="preserve"> (Figure 3)</w:t>
      </w:r>
      <w:r w:rsidR="009B0006" w:rsidRPr="00210630">
        <w:rPr>
          <w:rFonts w:ascii="Times New Roman" w:hAnsi="Times New Roman" w:cs="Times New Roman"/>
          <w:sz w:val="22"/>
        </w:rPr>
        <w:t xml:space="preserve">. On setting the dichotomization cut-off as &gt; 25 (high) vs </w:t>
      </w:r>
      <w:r w:rsidR="009B0006" w:rsidRPr="00210630">
        <w:rPr>
          <w:rFonts w:ascii="Times New Roman" w:eastAsia="맑은 고딕" w:hAnsi="Times New Roman" w:cs="Times New Roman"/>
          <w:sz w:val="22"/>
        </w:rPr>
        <w:t xml:space="preserve">≤ </w:t>
      </w:r>
      <w:r w:rsidR="009B0006" w:rsidRPr="00210630">
        <w:rPr>
          <w:rFonts w:ascii="Times New Roman" w:hAnsi="Times New Roman" w:cs="Times New Roman"/>
          <w:sz w:val="22"/>
        </w:rPr>
        <w:t xml:space="preserve">25 (low) for both NGS-PS and RS, the original </w:t>
      </w:r>
      <w:r w:rsidR="00B55D47" w:rsidRPr="00210630">
        <w:rPr>
          <w:rFonts w:ascii="Times New Roman" w:hAnsi="Times New Roman" w:cs="Times New Roman"/>
          <w:sz w:val="22"/>
        </w:rPr>
        <w:t xml:space="preserve">model and the CV model showed a risk category </w:t>
      </w:r>
      <w:r w:rsidR="009B0006" w:rsidRPr="00210630">
        <w:rPr>
          <w:rFonts w:ascii="Times New Roman" w:hAnsi="Times New Roman" w:cs="Times New Roman"/>
          <w:sz w:val="22"/>
        </w:rPr>
        <w:t>concurrence</w:t>
      </w:r>
      <w:r w:rsidR="00B55D47" w:rsidRPr="00210630">
        <w:rPr>
          <w:rFonts w:ascii="Times New Roman" w:hAnsi="Times New Roman" w:cs="Times New Roman"/>
          <w:sz w:val="22"/>
        </w:rPr>
        <w:t xml:space="preserve"> to RS </w:t>
      </w:r>
      <w:r w:rsidR="009B0006" w:rsidRPr="00210630">
        <w:rPr>
          <w:rFonts w:ascii="Times New Roman" w:hAnsi="Times New Roman" w:cs="Times New Roman"/>
          <w:sz w:val="22"/>
        </w:rPr>
        <w:t>in 91.4% (85/93)</w:t>
      </w:r>
      <w:r w:rsidR="00B55D47" w:rsidRPr="00210630">
        <w:rPr>
          <w:rFonts w:ascii="Times New Roman" w:hAnsi="Times New Roman" w:cs="Times New Roman"/>
          <w:sz w:val="22"/>
        </w:rPr>
        <w:t xml:space="preserve"> and 90.3% (84/93) </w:t>
      </w:r>
      <w:r w:rsidR="009B0006" w:rsidRPr="00210630">
        <w:rPr>
          <w:rFonts w:ascii="Times New Roman" w:hAnsi="Times New Roman" w:cs="Times New Roman"/>
          <w:sz w:val="22"/>
        </w:rPr>
        <w:t>of samples</w:t>
      </w:r>
      <w:r w:rsidR="00696503" w:rsidRPr="00210630">
        <w:rPr>
          <w:rFonts w:ascii="Times New Roman" w:hAnsi="Times New Roman" w:cs="Times New Roman"/>
          <w:sz w:val="22"/>
        </w:rPr>
        <w:t>, respectively</w:t>
      </w:r>
      <w:r w:rsidR="00A870CB" w:rsidRPr="00210630">
        <w:rPr>
          <w:rFonts w:ascii="Times New Roman" w:hAnsi="Times New Roman" w:cs="Times New Roman"/>
          <w:sz w:val="22"/>
        </w:rPr>
        <w:t xml:space="preserve"> </w:t>
      </w:r>
      <w:r w:rsidR="00696503" w:rsidRPr="00210630">
        <w:rPr>
          <w:rFonts w:ascii="Times New Roman" w:hAnsi="Times New Roman" w:cs="Times New Roman"/>
          <w:sz w:val="22"/>
        </w:rPr>
        <w:t>(Figure 3</w:t>
      </w:r>
      <w:r w:rsidR="00A870CB" w:rsidRPr="00210630">
        <w:rPr>
          <w:rFonts w:ascii="Times New Roman" w:hAnsi="Times New Roman" w:cs="Times New Roman"/>
          <w:sz w:val="22"/>
        </w:rPr>
        <w:t>)</w:t>
      </w:r>
      <w:r w:rsidR="00696503" w:rsidRPr="00210630">
        <w:rPr>
          <w:rFonts w:ascii="Times New Roman" w:hAnsi="Times New Roman" w:cs="Times New Roman"/>
          <w:sz w:val="22"/>
        </w:rPr>
        <w:t>.</w:t>
      </w:r>
      <w:r w:rsidR="00B55D47" w:rsidRPr="00210630">
        <w:rPr>
          <w:rFonts w:ascii="Times New Roman" w:hAnsi="Times New Roman" w:cs="Times New Roman"/>
          <w:sz w:val="22"/>
        </w:rPr>
        <w:t xml:space="preserve"> The predictive ability of the new CV model was not superior to the original model developed with Lasso. When a model is developed using CV, some portion of the data is </w:t>
      </w:r>
      <w:r w:rsidR="00B55D47" w:rsidRPr="00210630">
        <w:rPr>
          <w:rFonts w:ascii="Times New Roman" w:hAnsi="Times New Roman" w:cs="Times New Roman"/>
          <w:sz w:val="22"/>
        </w:rPr>
        <w:lastRenderedPageBreak/>
        <w:t>contaminated when used for training, and thus we tried to guarantee the independent training and verification sets. Accordingly, we adopted the original model for the NGS-based multigene assay in this study.</w:t>
      </w:r>
      <w:r w:rsidR="00A870CB" w:rsidRPr="00210630">
        <w:rPr>
          <w:rFonts w:ascii="Times New Roman" w:hAnsi="Times New Roman" w:cs="Times New Roman"/>
          <w:sz w:val="22"/>
        </w:rPr>
        <w:t xml:space="preserve"> </w:t>
      </w:r>
    </w:p>
    <w:p w14:paraId="4B7C45F9" w14:textId="7C626C71" w:rsidR="002A2D53" w:rsidRPr="00210630" w:rsidRDefault="002A2D53" w:rsidP="00B55D47">
      <w:pPr>
        <w:spacing w:line="480" w:lineRule="auto"/>
        <w:rPr>
          <w:rFonts w:ascii="Times New Roman" w:hAnsi="Times New Roman" w:cs="Times New Roman"/>
          <w:sz w:val="22"/>
        </w:rPr>
      </w:pPr>
      <w:r w:rsidRPr="00210630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6E7373D" wp14:editId="58CB2418">
            <wp:extent cx="4064542" cy="4076700"/>
            <wp:effectExtent l="0" t="0" r="0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4989" cy="408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5EAA3" w14:textId="060011E2" w:rsidR="00696503" w:rsidRPr="00210630" w:rsidRDefault="00696503" w:rsidP="00696503">
      <w:pPr>
        <w:pStyle w:val="a4"/>
        <w:jc w:val="center"/>
        <w:rPr>
          <w:rFonts w:ascii="Times" w:hAnsi="Times"/>
          <w:sz w:val="22"/>
          <w:szCs w:val="22"/>
        </w:rPr>
      </w:pPr>
      <w:r w:rsidRPr="00210630">
        <w:rPr>
          <w:rFonts w:ascii="Times" w:hAnsi="Times"/>
          <w:sz w:val="22"/>
          <w:szCs w:val="22"/>
        </w:rPr>
        <w:t>Figure 2. Correlation between NGS-PS derived from original and five-fold CV models.</w:t>
      </w:r>
    </w:p>
    <w:p w14:paraId="552D79BA" w14:textId="77777777" w:rsidR="002A2D53" w:rsidRPr="00210630" w:rsidRDefault="002A2D53" w:rsidP="002A2D53"/>
    <w:p w14:paraId="6A9FAAC5" w14:textId="2B1E4392" w:rsidR="00841726" w:rsidRPr="00210630" w:rsidRDefault="002A2D53" w:rsidP="000D096A">
      <w:pPr>
        <w:spacing w:line="480" w:lineRule="auto"/>
        <w:rPr>
          <w:rFonts w:ascii="Times New Roman" w:hAnsi="Times New Roman" w:cs="Times New Roman"/>
          <w:sz w:val="22"/>
        </w:rPr>
      </w:pPr>
      <w:r w:rsidRPr="00210630"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 wp14:anchorId="43130D75" wp14:editId="239B31AA">
            <wp:extent cx="4248911" cy="4029075"/>
            <wp:effectExtent l="0" t="0" r="0" b="0"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1199" cy="40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94C54" w14:textId="6E93454C" w:rsidR="00696503" w:rsidRPr="00210630" w:rsidRDefault="00696503" w:rsidP="00696503">
      <w:pPr>
        <w:pStyle w:val="a4"/>
        <w:jc w:val="center"/>
        <w:rPr>
          <w:rFonts w:ascii="Times New Roman" w:hAnsi="Times New Roman" w:cs="Times New Roman"/>
          <w:sz w:val="22"/>
        </w:rPr>
      </w:pPr>
      <w:r w:rsidRPr="00210630">
        <w:rPr>
          <w:rFonts w:ascii="Times" w:hAnsi="Times"/>
          <w:sz w:val="22"/>
          <w:szCs w:val="22"/>
        </w:rPr>
        <w:t xml:space="preserve">Figure 3. </w:t>
      </w:r>
      <w:r w:rsidRPr="00210630">
        <w:rPr>
          <w:rFonts w:ascii="Times New Roman" w:hAnsi="Times New Roman" w:cs="Times New Roman"/>
          <w:sz w:val="22"/>
        </w:rPr>
        <w:t>Pearson’s correlation coefficient between RS and the original and CV models</w:t>
      </w:r>
      <w:r w:rsidR="002A2D53" w:rsidRPr="00210630">
        <w:rPr>
          <w:rFonts w:ascii="Times New Roman" w:hAnsi="Times New Roman" w:cs="Times New Roman"/>
          <w:sz w:val="22"/>
        </w:rPr>
        <w:t xml:space="preserve"> in the verification set.</w:t>
      </w:r>
    </w:p>
    <w:p w14:paraId="17E1C62C" w14:textId="77777777" w:rsidR="002A2D53" w:rsidRPr="00210630" w:rsidRDefault="002A2D53" w:rsidP="002A2D53"/>
    <w:p w14:paraId="46E059FA" w14:textId="48D2DA08" w:rsidR="000D096A" w:rsidRPr="00210630" w:rsidRDefault="000D096A" w:rsidP="000D096A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 w:rsidRPr="00210630">
        <w:rPr>
          <w:rFonts w:ascii="Times New Roman" w:hAnsi="Times New Roman" w:cs="Times New Roman"/>
          <w:b/>
          <w:i/>
          <w:sz w:val="22"/>
        </w:rPr>
        <w:t xml:space="preserve">Validity of the cut-off value assessed by two-fold cross validation. </w:t>
      </w:r>
    </w:p>
    <w:p w14:paraId="75813EE6" w14:textId="32613E37" w:rsidR="000D096A" w:rsidRPr="00210630" w:rsidRDefault="000D096A" w:rsidP="000D096A">
      <w:pPr>
        <w:spacing w:line="480" w:lineRule="auto"/>
        <w:rPr>
          <w:rFonts w:ascii="Times New Roman" w:hAnsi="Times New Roman" w:cs="Times New Roman"/>
          <w:sz w:val="22"/>
        </w:rPr>
      </w:pPr>
      <w:r w:rsidRPr="00210630">
        <w:rPr>
          <w:rFonts w:ascii="Times New Roman" w:hAnsi="Times New Roman" w:cs="Times New Roman"/>
          <w:sz w:val="22"/>
        </w:rPr>
        <w:tab/>
        <w:t>The validity of the estimated cut-off value is assessed by first randomly segregating the dataset into two subsets. An optimal cut-off value is then estimated in each group. The cut-off value determined in subset 1 is used to categorize samples in subset 2, and the cut-off value determined in subset 2 is used to categorize samples in subset 1. Finally, samples in subset 1 and subset 2 are pooled for Cox regression analysis to determine whether groups categorized as low- and high-risk show different distant metastasis-free survival (DMFS) distribution according to the cut-off value. Two-fold cross validation showed statistical difference in DMFS distribution between low- and high-risk groups categorized in each subset, confirming the validity of th</w:t>
      </w:r>
      <w:r w:rsidR="00592B22" w:rsidRPr="00210630">
        <w:rPr>
          <w:rFonts w:ascii="Times New Roman" w:hAnsi="Times New Roman" w:cs="Times New Roman"/>
          <w:sz w:val="22"/>
        </w:rPr>
        <w:t>e cut-off value in this cohort (Table 1).</w:t>
      </w:r>
    </w:p>
    <w:tbl>
      <w:tblPr>
        <w:tblStyle w:val="ab"/>
        <w:tblW w:w="0" w:type="auto"/>
        <w:jc w:val="center"/>
        <w:tblBorders>
          <w:top w:val="single" w:sz="12" w:space="0" w:color="000000"/>
          <w:left w:val="none" w:sz="0" w:space="0" w:color="auto"/>
          <w:bottom w:val="single" w:sz="12" w:space="0" w:color="000000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21"/>
        <w:gridCol w:w="2622"/>
      </w:tblGrid>
      <w:tr w:rsidR="00592B22" w:rsidRPr="00210630" w14:paraId="49886D8C" w14:textId="77777777" w:rsidTr="00592B22">
        <w:trPr>
          <w:trHeight w:val="487"/>
          <w:jc w:val="center"/>
        </w:trPr>
        <w:tc>
          <w:tcPr>
            <w:tcW w:w="8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82320" w14:textId="235EC1A1" w:rsidR="00592B22" w:rsidRPr="00210630" w:rsidRDefault="00592B22" w:rsidP="00592B22">
            <w:pPr>
              <w:wordWrap/>
              <w:adjustRightInd w:val="0"/>
              <w:jc w:val="left"/>
              <w:rPr>
                <w:b/>
              </w:rPr>
            </w:pPr>
            <w:r w:rsidRPr="00210630">
              <w:rPr>
                <w:rFonts w:hint="eastAsia"/>
                <w:b/>
              </w:rPr>
              <w:t xml:space="preserve">Table 1. </w:t>
            </w:r>
            <w:r w:rsidRPr="00210630">
              <w:rPr>
                <w:b/>
                <w:sz w:val="22"/>
              </w:rPr>
              <w:t>Two-fold cross validation of cut-off value</w:t>
            </w:r>
          </w:p>
        </w:tc>
      </w:tr>
      <w:tr w:rsidR="000D096A" w:rsidRPr="00210630" w14:paraId="4E3EB65A" w14:textId="77777777" w:rsidTr="00592B22">
        <w:trPr>
          <w:trHeight w:val="487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E97BE" w14:textId="34E2F934" w:rsidR="000D096A" w:rsidRPr="00210630" w:rsidRDefault="000D096A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210630">
              <w:rPr>
                <w:rFonts w:eastAsiaTheme="minorEastAsia"/>
              </w:rPr>
              <w:lastRenderedPageBreak/>
              <w:t>NGS-PS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01B6E" w14:textId="5939F8D8" w:rsidR="000D096A" w:rsidRPr="00210630" w:rsidRDefault="000D096A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210630">
              <w:rPr>
                <w:rFonts w:eastAsiaTheme="minorEastAsia"/>
              </w:rPr>
              <w:t>Subset 1</w:t>
            </w:r>
          </w:p>
          <w:p w14:paraId="23E928C6" w14:textId="77777777" w:rsidR="000D096A" w:rsidRPr="00210630" w:rsidRDefault="000D096A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210630">
              <w:rPr>
                <w:rFonts w:eastAsiaTheme="minorEastAsia"/>
              </w:rPr>
              <w:t>(N=207)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DF74A" w14:textId="1CF6163C" w:rsidR="000D096A" w:rsidRPr="00210630" w:rsidRDefault="000D096A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210630">
              <w:rPr>
                <w:rFonts w:eastAsiaTheme="minorEastAsia"/>
              </w:rPr>
              <w:t>Subset 2</w:t>
            </w:r>
          </w:p>
          <w:p w14:paraId="7294B709" w14:textId="77777777" w:rsidR="000D096A" w:rsidRPr="00210630" w:rsidRDefault="000D096A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210630">
              <w:rPr>
                <w:rFonts w:eastAsiaTheme="minorEastAsia"/>
              </w:rPr>
              <w:t>(N=206)</w:t>
            </w:r>
          </w:p>
        </w:tc>
      </w:tr>
      <w:tr w:rsidR="000D096A" w:rsidRPr="00210630" w14:paraId="0776925A" w14:textId="77777777" w:rsidTr="0043414F">
        <w:trPr>
          <w:trHeight w:val="3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66BB1" w14:textId="2A55D15A" w:rsidR="000D096A" w:rsidRPr="00210630" w:rsidRDefault="00592B22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210630">
              <w:rPr>
                <w:rFonts w:eastAsiaTheme="minorEastAsia"/>
              </w:rPr>
              <w:t>Mean ± S</w:t>
            </w:r>
            <w:r w:rsidR="000D096A" w:rsidRPr="00210630">
              <w:rPr>
                <w:rFonts w:eastAsiaTheme="minorEastAsia"/>
              </w:rPr>
              <w:t>D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E4CB3" w14:textId="27BFB5A5" w:rsidR="000D096A" w:rsidRPr="00210630" w:rsidRDefault="000D096A" w:rsidP="00C72418">
            <w:pPr>
              <w:jc w:val="center"/>
              <w:rPr>
                <w:rFonts w:eastAsiaTheme="minorHAnsi"/>
              </w:rPr>
            </w:pPr>
            <w:r w:rsidRPr="00210630">
              <w:rPr>
                <w:rFonts w:eastAsiaTheme="minorHAnsi"/>
              </w:rPr>
              <w:t>18.20 ± 7.79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916257" w14:textId="00A8371D" w:rsidR="000D096A" w:rsidRPr="00210630" w:rsidRDefault="000D096A" w:rsidP="00C72418">
            <w:pPr>
              <w:jc w:val="center"/>
              <w:rPr>
                <w:rFonts w:eastAsiaTheme="minorHAnsi"/>
              </w:rPr>
            </w:pPr>
            <w:r w:rsidRPr="00210630">
              <w:rPr>
                <w:rFonts w:eastAsiaTheme="minorHAnsi"/>
              </w:rPr>
              <w:t>19.54 ± 7.21</w:t>
            </w:r>
          </w:p>
        </w:tc>
      </w:tr>
      <w:tr w:rsidR="000D096A" w:rsidRPr="00210630" w14:paraId="3BB2AEDE" w14:textId="77777777" w:rsidTr="0043414F">
        <w:trPr>
          <w:trHeight w:val="36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94C27" w14:textId="694B1C7B" w:rsidR="000D096A" w:rsidRPr="00210630" w:rsidRDefault="000D096A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210630">
              <w:rPr>
                <w:rFonts w:eastAsiaTheme="minorEastAsia"/>
              </w:rPr>
              <w:t>Median (Min,Max)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5C9F" w14:textId="77777777" w:rsidR="000D096A" w:rsidRPr="00210630" w:rsidRDefault="000D096A" w:rsidP="00C72418">
            <w:pPr>
              <w:jc w:val="center"/>
              <w:rPr>
                <w:rFonts w:eastAsiaTheme="minorHAnsi"/>
              </w:rPr>
            </w:pPr>
            <w:r w:rsidRPr="00210630">
              <w:rPr>
                <w:rFonts w:eastAsiaTheme="minorHAnsi"/>
              </w:rPr>
              <w:t>15.90 (0, 55.44)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CFB55" w14:textId="77777777" w:rsidR="000D096A" w:rsidRPr="00210630" w:rsidRDefault="000D096A" w:rsidP="00C72418">
            <w:pPr>
              <w:jc w:val="center"/>
              <w:rPr>
                <w:rFonts w:eastAsiaTheme="minorHAnsi"/>
              </w:rPr>
            </w:pPr>
            <w:r w:rsidRPr="00210630">
              <w:rPr>
                <w:rFonts w:eastAsiaTheme="minorHAnsi"/>
              </w:rPr>
              <w:t>18.65 (6.93, 41.73)</w:t>
            </w:r>
          </w:p>
        </w:tc>
      </w:tr>
      <w:tr w:rsidR="000D096A" w:rsidRPr="00210630" w14:paraId="38342A73" w14:textId="77777777" w:rsidTr="0043414F">
        <w:trPr>
          <w:trHeight w:val="348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3CF6" w14:textId="0F740227" w:rsidR="000D096A" w:rsidRPr="00210630" w:rsidRDefault="000D096A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210630">
              <w:rPr>
                <w:rFonts w:eastAsia="맑은 고딕"/>
              </w:rPr>
              <w:t>Optimal cut</w:t>
            </w:r>
            <w:r w:rsidR="0015231C" w:rsidRPr="00210630">
              <w:rPr>
                <w:rFonts w:eastAsia="맑은 고딕"/>
              </w:rPr>
              <w:t>-</w:t>
            </w:r>
            <w:r w:rsidRPr="00210630">
              <w:rPr>
                <w:rFonts w:eastAsia="맑은 고딕"/>
              </w:rPr>
              <w:t>off value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79B0" w14:textId="77777777" w:rsidR="000D096A" w:rsidRPr="00210630" w:rsidRDefault="000D096A" w:rsidP="00C72418">
            <w:pPr>
              <w:jc w:val="center"/>
              <w:rPr>
                <w:rFonts w:eastAsiaTheme="minorHAnsi"/>
              </w:rPr>
            </w:pPr>
            <w:r w:rsidRPr="00210630">
              <w:rPr>
                <w:rFonts w:eastAsiaTheme="minorHAnsi"/>
              </w:rPr>
              <w:t>20.5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F4A59" w14:textId="77777777" w:rsidR="000D096A" w:rsidRPr="00210630" w:rsidRDefault="000D096A" w:rsidP="00C72418">
            <w:pPr>
              <w:jc w:val="center"/>
              <w:rPr>
                <w:rFonts w:eastAsiaTheme="minorHAnsi"/>
              </w:rPr>
            </w:pPr>
            <w:r w:rsidRPr="00210630">
              <w:rPr>
                <w:rFonts w:eastAsiaTheme="minorHAnsi"/>
              </w:rPr>
              <w:t>20</w:t>
            </w:r>
          </w:p>
        </w:tc>
      </w:tr>
      <w:tr w:rsidR="000D096A" w:rsidRPr="00210630" w14:paraId="55376C2C" w14:textId="77777777" w:rsidTr="0043414F">
        <w:trPr>
          <w:trHeight w:val="348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D49C1" w14:textId="1FA21FEF" w:rsidR="000D096A" w:rsidRPr="00210630" w:rsidRDefault="0015231C" w:rsidP="00C72418">
            <w:pPr>
              <w:wordWrap/>
              <w:adjustRightInd w:val="0"/>
              <w:jc w:val="center"/>
              <w:rPr>
                <w:rFonts w:eastAsiaTheme="minorEastAsia"/>
              </w:rPr>
            </w:pPr>
            <w:r w:rsidRPr="00210630">
              <w:rPr>
                <w:rFonts w:eastAsiaTheme="minorEastAsia" w:hint="eastAsia"/>
              </w:rPr>
              <w:t>N</w:t>
            </w:r>
            <w:r w:rsidRPr="00210630">
              <w:rPr>
                <w:rFonts w:eastAsiaTheme="minorEastAsia"/>
              </w:rPr>
              <w:t>umber of distant recurrence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1351FE" w14:textId="77777777" w:rsidR="000D096A" w:rsidRPr="00210630" w:rsidRDefault="000D096A" w:rsidP="00C72418">
            <w:pPr>
              <w:jc w:val="center"/>
              <w:rPr>
                <w:rFonts w:eastAsiaTheme="minorHAnsi"/>
              </w:rPr>
            </w:pPr>
            <w:r w:rsidRPr="00210630">
              <w:rPr>
                <w:rFonts w:eastAsiaTheme="minorHAnsi"/>
              </w:rPr>
              <w:t>37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D7828" w14:textId="77777777" w:rsidR="000D096A" w:rsidRPr="00210630" w:rsidRDefault="000D096A" w:rsidP="00C72418">
            <w:pPr>
              <w:jc w:val="center"/>
              <w:rPr>
                <w:rFonts w:eastAsiaTheme="minorHAnsi"/>
              </w:rPr>
            </w:pPr>
            <w:r w:rsidRPr="00210630">
              <w:rPr>
                <w:rFonts w:eastAsiaTheme="minorHAnsi"/>
              </w:rPr>
              <w:t>45</w:t>
            </w:r>
          </w:p>
        </w:tc>
      </w:tr>
      <w:tr w:rsidR="000D096A" w:rsidRPr="00210630" w14:paraId="29A81A1A" w14:textId="77777777" w:rsidTr="00592B22">
        <w:trPr>
          <w:trHeight w:val="348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DC56D" w14:textId="77777777" w:rsidR="000D096A" w:rsidRPr="00210630" w:rsidRDefault="000D096A" w:rsidP="00C72418">
            <w:pPr>
              <w:wordWrap/>
              <w:adjustRightInd w:val="0"/>
              <w:ind w:leftChars="-17" w:hangingChars="17" w:hanging="34"/>
              <w:jc w:val="center"/>
              <w:rPr>
                <w:rFonts w:eastAsiaTheme="minorEastAsia"/>
              </w:rPr>
            </w:pPr>
            <w:r w:rsidRPr="00210630">
              <w:rPr>
                <w:rFonts w:eastAsiaTheme="minorEastAsia"/>
              </w:rPr>
              <w:t>Log-rank (p-value)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BC096" w14:textId="77777777" w:rsidR="000D096A" w:rsidRPr="00210630" w:rsidRDefault="000D096A" w:rsidP="00C72418">
            <w:pPr>
              <w:jc w:val="center"/>
              <w:rPr>
                <w:rFonts w:eastAsiaTheme="minorHAnsi"/>
              </w:rPr>
            </w:pPr>
            <w:r w:rsidRPr="00210630">
              <w:rPr>
                <w:rFonts w:eastAsiaTheme="minorHAnsi"/>
              </w:rPr>
              <w:t>&lt;0.0001</w:t>
            </w:r>
          </w:p>
        </w:tc>
      </w:tr>
      <w:tr w:rsidR="00592B22" w:rsidRPr="00210630" w14:paraId="663CFD8C" w14:textId="77777777" w:rsidTr="00C02B89">
        <w:trPr>
          <w:trHeight w:val="348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3AE3AB" w14:textId="394D2A49" w:rsidR="00592B22" w:rsidRPr="00210630" w:rsidRDefault="00592B22" w:rsidP="00592B22">
            <w:pPr>
              <w:jc w:val="left"/>
              <w:rPr>
                <w:rFonts w:eastAsiaTheme="minorHAnsi"/>
              </w:rPr>
            </w:pPr>
            <w:r w:rsidRPr="00210630">
              <w:rPr>
                <w:rFonts w:eastAsia="맑은 고딕"/>
                <w:color w:val="000000"/>
                <w:sz w:val="22"/>
              </w:rPr>
              <w:t>NGS-PS: next-generation sequencing-Prognosis Score; SD: standard deviation.</w:t>
            </w:r>
          </w:p>
        </w:tc>
      </w:tr>
    </w:tbl>
    <w:p w14:paraId="3ECABABD" w14:textId="4ECEBBC3" w:rsidR="000D096A" w:rsidRPr="00210630" w:rsidRDefault="0043414F" w:rsidP="0043414F">
      <w:pPr>
        <w:tabs>
          <w:tab w:val="left" w:pos="6408"/>
        </w:tabs>
        <w:spacing w:line="480" w:lineRule="auto"/>
        <w:rPr>
          <w:rFonts w:ascii="Times New Roman" w:hAnsi="Times New Roman" w:cs="Times New Roman"/>
          <w:sz w:val="22"/>
        </w:rPr>
      </w:pPr>
      <w:r w:rsidRPr="00210630">
        <w:rPr>
          <w:rFonts w:ascii="Times New Roman" w:hAnsi="Times New Roman" w:cs="Times New Roman"/>
          <w:sz w:val="22"/>
        </w:rPr>
        <w:tab/>
      </w:r>
    </w:p>
    <w:p w14:paraId="67C41526" w14:textId="69271F7D" w:rsidR="00592B22" w:rsidRPr="00210630" w:rsidRDefault="00592B22" w:rsidP="00592B22">
      <w:pPr>
        <w:spacing w:line="480" w:lineRule="auto"/>
        <w:rPr>
          <w:rFonts w:ascii="Times New Roman" w:hAnsi="Times New Roman" w:cs="Times New Roman"/>
          <w:sz w:val="22"/>
        </w:rPr>
      </w:pPr>
      <w:r w:rsidRPr="00210630">
        <w:rPr>
          <w:rFonts w:ascii="Times New Roman" w:hAnsi="Times New Roman" w:cs="Times New Roman"/>
          <w:b/>
          <w:i/>
          <w:sz w:val="24"/>
        </w:rPr>
        <w:t>Multivariate Cox proportional hazards model</w:t>
      </w:r>
    </w:p>
    <w:p w14:paraId="45818270" w14:textId="61218E7A" w:rsidR="00592B22" w:rsidRPr="00210630" w:rsidRDefault="00592B22" w:rsidP="00592B22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  <w:r w:rsidRPr="00210630">
        <w:rPr>
          <w:rFonts w:ascii="Times New Roman" w:hAnsi="Times New Roman" w:cs="Times New Roman"/>
          <w:sz w:val="22"/>
        </w:rPr>
        <w:t xml:space="preserve">A multivariate Cox proportional hazards model including the NGS-PS, age, tumor size, histologic grade, and PR status was developed. Multivariate analysis revealed that NGS-PS was independently associated with distant recurrence in the model on adjusting for other variables with an HR of 5.15 (95% CI 3.01–8.80) and 4.99 (95% CI 2.60–9.58) in overall patients and in those without chemotherapy, respectively (both p &lt; 0.001) (Table </w:t>
      </w:r>
      <w:r w:rsidR="00C4284D" w:rsidRPr="00210630">
        <w:rPr>
          <w:rFonts w:ascii="Times New Roman" w:hAnsi="Times New Roman" w:cs="Times New Roman"/>
          <w:sz w:val="22"/>
        </w:rPr>
        <w:t>2</w:t>
      </w:r>
      <w:r w:rsidRPr="00210630">
        <w:rPr>
          <w:rFonts w:ascii="Times New Roman" w:hAnsi="Times New Roman" w:cs="Times New Roman"/>
          <w:sz w:val="22"/>
        </w:rPr>
        <w:t xml:space="preserve">). </w:t>
      </w:r>
    </w:p>
    <w:p w14:paraId="1F9EDD02" w14:textId="77777777" w:rsidR="00C4284D" w:rsidRPr="00210630" w:rsidRDefault="00C4284D" w:rsidP="00592B22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1779"/>
        <w:gridCol w:w="2701"/>
        <w:gridCol w:w="1933"/>
      </w:tblGrid>
      <w:tr w:rsidR="00592B22" w:rsidRPr="00210630" w14:paraId="0EBCD228" w14:textId="77777777" w:rsidTr="004437C0">
        <w:trPr>
          <w:trHeight w:val="683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hideMark/>
          </w:tcPr>
          <w:p w14:paraId="2A90C406" w14:textId="5A9EF0B2" w:rsidR="00592B22" w:rsidRPr="00210630" w:rsidRDefault="00592B22" w:rsidP="004437C0">
            <w:pPr>
              <w:spacing w:line="480" w:lineRule="auto"/>
              <w:rPr>
                <w:b/>
              </w:rPr>
            </w:pPr>
            <w:r w:rsidRPr="00210630">
              <w:rPr>
                <w:b/>
              </w:rPr>
              <w:t>Table 2. Multivariate Cox proportional analysis of age, tumor size, histologic grade, and PR status in predicting distant recurrence in validation cohort</w:t>
            </w:r>
          </w:p>
        </w:tc>
      </w:tr>
      <w:tr w:rsidR="00592B22" w:rsidRPr="00210630" w14:paraId="7F9BD1CF" w14:textId="77777777" w:rsidTr="004437C0">
        <w:trPr>
          <w:trHeight w:val="330"/>
        </w:trPr>
        <w:tc>
          <w:tcPr>
            <w:tcW w:w="2603" w:type="dxa"/>
            <w:tcBorders>
              <w:top w:val="single" w:sz="4" w:space="0" w:color="auto"/>
            </w:tcBorders>
            <w:noWrap/>
            <w:hideMark/>
          </w:tcPr>
          <w:p w14:paraId="7CD6EFF1" w14:textId="1E84B588" w:rsidR="00592B22" w:rsidRPr="00210630" w:rsidRDefault="00592B22" w:rsidP="004437C0">
            <w:pPr>
              <w:spacing w:line="480" w:lineRule="auto"/>
            </w:pPr>
            <w:r w:rsidRPr="00210630">
              <w:t>All patients (N=413)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noWrap/>
            <w:hideMark/>
          </w:tcPr>
          <w:p w14:paraId="5CBFDF38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noWrap/>
            <w:hideMark/>
          </w:tcPr>
          <w:p w14:paraId="47E34C1F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noWrap/>
            <w:hideMark/>
          </w:tcPr>
          <w:p w14:paraId="75EC26DD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</w:tr>
      <w:tr w:rsidR="00592B22" w:rsidRPr="00210630" w14:paraId="580FCD9B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17CCF733" w14:textId="77777777" w:rsidR="00592B22" w:rsidRPr="00210630" w:rsidRDefault="00592B22" w:rsidP="004437C0">
            <w:pPr>
              <w:spacing w:line="480" w:lineRule="auto"/>
            </w:pPr>
            <w:r w:rsidRPr="00210630">
              <w:t>Analysis without NGS-PS</w:t>
            </w:r>
          </w:p>
        </w:tc>
        <w:tc>
          <w:tcPr>
            <w:tcW w:w="1779" w:type="dxa"/>
            <w:noWrap/>
            <w:hideMark/>
          </w:tcPr>
          <w:p w14:paraId="2D3422E4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2701" w:type="dxa"/>
            <w:noWrap/>
            <w:hideMark/>
          </w:tcPr>
          <w:p w14:paraId="442B439E" w14:textId="77777777" w:rsidR="00592B22" w:rsidRPr="00210630" w:rsidRDefault="00592B22" w:rsidP="004437C0">
            <w:pPr>
              <w:spacing w:line="480" w:lineRule="auto"/>
            </w:pPr>
            <w:r w:rsidRPr="00210630">
              <w:t>Hazard ratio (95% CI)</w:t>
            </w:r>
          </w:p>
        </w:tc>
        <w:tc>
          <w:tcPr>
            <w:tcW w:w="1933" w:type="dxa"/>
            <w:noWrap/>
            <w:hideMark/>
          </w:tcPr>
          <w:p w14:paraId="4ACDE67B" w14:textId="77777777" w:rsidR="00592B22" w:rsidRPr="00210630" w:rsidRDefault="00592B22" w:rsidP="004437C0">
            <w:pPr>
              <w:spacing w:line="480" w:lineRule="auto"/>
            </w:pPr>
            <w:r w:rsidRPr="00210630">
              <w:t>P-value</w:t>
            </w:r>
          </w:p>
        </w:tc>
      </w:tr>
      <w:tr w:rsidR="00592B22" w:rsidRPr="00210630" w14:paraId="0FA7B121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714F93BD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14E3B119" w14:textId="77777777" w:rsidR="00592B22" w:rsidRPr="00210630" w:rsidRDefault="00592B22" w:rsidP="004437C0">
            <w:pPr>
              <w:spacing w:line="480" w:lineRule="auto"/>
            </w:pPr>
            <w:r w:rsidRPr="00210630">
              <w:t>Age</w:t>
            </w:r>
          </w:p>
        </w:tc>
        <w:tc>
          <w:tcPr>
            <w:tcW w:w="2701" w:type="dxa"/>
            <w:noWrap/>
            <w:hideMark/>
          </w:tcPr>
          <w:p w14:paraId="7E0DD43C" w14:textId="77777777" w:rsidR="00592B22" w:rsidRPr="00210630" w:rsidRDefault="00592B22" w:rsidP="004437C0">
            <w:pPr>
              <w:spacing w:line="480" w:lineRule="auto"/>
            </w:pPr>
            <w:r w:rsidRPr="00210630">
              <w:t>1.00 (0.98-1.03)</w:t>
            </w:r>
          </w:p>
        </w:tc>
        <w:tc>
          <w:tcPr>
            <w:tcW w:w="1933" w:type="dxa"/>
            <w:noWrap/>
            <w:hideMark/>
          </w:tcPr>
          <w:p w14:paraId="7393FEED" w14:textId="77777777" w:rsidR="00592B22" w:rsidRPr="00210630" w:rsidRDefault="00592B22" w:rsidP="004437C0">
            <w:pPr>
              <w:spacing w:line="480" w:lineRule="auto"/>
            </w:pPr>
            <w:r w:rsidRPr="00210630">
              <w:t>0.925</w:t>
            </w:r>
          </w:p>
        </w:tc>
      </w:tr>
      <w:tr w:rsidR="00592B22" w:rsidRPr="00210630" w14:paraId="2201D119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2F42E92D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34F820F1" w14:textId="77777777" w:rsidR="00592B22" w:rsidRPr="00210630" w:rsidRDefault="00592B22" w:rsidP="004437C0">
            <w:pPr>
              <w:spacing w:line="480" w:lineRule="auto"/>
            </w:pPr>
            <w:r w:rsidRPr="00210630">
              <w:t>Tumor size</w:t>
            </w:r>
          </w:p>
        </w:tc>
        <w:tc>
          <w:tcPr>
            <w:tcW w:w="2701" w:type="dxa"/>
            <w:noWrap/>
            <w:hideMark/>
          </w:tcPr>
          <w:p w14:paraId="2E147CDE" w14:textId="77777777" w:rsidR="00592B22" w:rsidRPr="00210630" w:rsidRDefault="00592B22" w:rsidP="004437C0">
            <w:pPr>
              <w:spacing w:line="480" w:lineRule="auto"/>
            </w:pPr>
            <w:r w:rsidRPr="00210630">
              <w:t>1.50 (1.31-1.73)</w:t>
            </w:r>
          </w:p>
        </w:tc>
        <w:tc>
          <w:tcPr>
            <w:tcW w:w="1933" w:type="dxa"/>
            <w:noWrap/>
            <w:hideMark/>
          </w:tcPr>
          <w:p w14:paraId="630716C8" w14:textId="77777777" w:rsidR="00592B22" w:rsidRPr="00210630" w:rsidRDefault="00592B22" w:rsidP="004437C0">
            <w:pPr>
              <w:spacing w:line="480" w:lineRule="auto"/>
            </w:pPr>
            <w:r w:rsidRPr="00210630">
              <w:t>&lt; 0.001</w:t>
            </w:r>
          </w:p>
        </w:tc>
      </w:tr>
      <w:tr w:rsidR="00592B22" w:rsidRPr="00210630" w14:paraId="66AB55D4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3ABF68C6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5C2352B6" w14:textId="77777777" w:rsidR="00592B22" w:rsidRPr="00210630" w:rsidRDefault="00592B22" w:rsidP="004437C0">
            <w:pPr>
              <w:spacing w:line="480" w:lineRule="auto"/>
            </w:pPr>
            <w:r w:rsidRPr="00210630">
              <w:t>Histologic grade</w:t>
            </w:r>
          </w:p>
        </w:tc>
        <w:tc>
          <w:tcPr>
            <w:tcW w:w="2701" w:type="dxa"/>
            <w:noWrap/>
            <w:hideMark/>
          </w:tcPr>
          <w:p w14:paraId="522907B4" w14:textId="77777777" w:rsidR="00592B22" w:rsidRPr="00210630" w:rsidRDefault="00592B22" w:rsidP="004437C0">
            <w:pPr>
              <w:spacing w:line="480" w:lineRule="auto"/>
            </w:pPr>
            <w:r w:rsidRPr="00210630">
              <w:t>2.64 (1.59-4.39)</w:t>
            </w:r>
          </w:p>
        </w:tc>
        <w:tc>
          <w:tcPr>
            <w:tcW w:w="1933" w:type="dxa"/>
            <w:noWrap/>
            <w:hideMark/>
          </w:tcPr>
          <w:p w14:paraId="0B195A56" w14:textId="77777777" w:rsidR="00592B22" w:rsidRPr="00210630" w:rsidRDefault="00592B22" w:rsidP="004437C0">
            <w:pPr>
              <w:spacing w:line="480" w:lineRule="auto"/>
            </w:pPr>
            <w:r w:rsidRPr="00210630">
              <w:t>&lt; 0.001</w:t>
            </w:r>
          </w:p>
        </w:tc>
      </w:tr>
      <w:tr w:rsidR="00592B22" w:rsidRPr="00210630" w14:paraId="564D2420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560895E2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226AE036" w14:textId="77777777" w:rsidR="00592B22" w:rsidRPr="00210630" w:rsidRDefault="00592B22" w:rsidP="004437C0">
            <w:pPr>
              <w:spacing w:line="480" w:lineRule="auto"/>
            </w:pPr>
            <w:r w:rsidRPr="00210630">
              <w:t>PR status</w:t>
            </w:r>
          </w:p>
        </w:tc>
        <w:tc>
          <w:tcPr>
            <w:tcW w:w="2701" w:type="dxa"/>
            <w:noWrap/>
            <w:hideMark/>
          </w:tcPr>
          <w:p w14:paraId="79283AAD" w14:textId="77777777" w:rsidR="00592B22" w:rsidRPr="00210630" w:rsidRDefault="00592B22" w:rsidP="004437C0">
            <w:pPr>
              <w:spacing w:line="480" w:lineRule="auto"/>
            </w:pPr>
            <w:r w:rsidRPr="00210630">
              <w:t>0.63 (0.34-1.18)</w:t>
            </w:r>
          </w:p>
        </w:tc>
        <w:tc>
          <w:tcPr>
            <w:tcW w:w="1933" w:type="dxa"/>
            <w:noWrap/>
            <w:hideMark/>
          </w:tcPr>
          <w:p w14:paraId="175FEE7E" w14:textId="77777777" w:rsidR="00592B22" w:rsidRPr="00210630" w:rsidRDefault="00592B22" w:rsidP="004437C0">
            <w:pPr>
              <w:spacing w:line="480" w:lineRule="auto"/>
            </w:pPr>
            <w:r w:rsidRPr="00210630">
              <w:t>0.147</w:t>
            </w:r>
          </w:p>
        </w:tc>
      </w:tr>
      <w:tr w:rsidR="00592B22" w:rsidRPr="00210630" w14:paraId="21112432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686FBCFC" w14:textId="77777777" w:rsidR="00592B22" w:rsidRPr="00210630" w:rsidRDefault="00592B22" w:rsidP="004437C0">
            <w:pPr>
              <w:spacing w:line="480" w:lineRule="auto"/>
            </w:pPr>
            <w:r w:rsidRPr="00210630">
              <w:t>Analysis with NGS-PS</w:t>
            </w:r>
          </w:p>
        </w:tc>
        <w:tc>
          <w:tcPr>
            <w:tcW w:w="1779" w:type="dxa"/>
            <w:noWrap/>
            <w:hideMark/>
          </w:tcPr>
          <w:p w14:paraId="21B1F5D3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2701" w:type="dxa"/>
            <w:noWrap/>
            <w:hideMark/>
          </w:tcPr>
          <w:p w14:paraId="4330772B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933" w:type="dxa"/>
            <w:noWrap/>
            <w:hideMark/>
          </w:tcPr>
          <w:p w14:paraId="35588C75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</w:tr>
      <w:tr w:rsidR="00592B22" w:rsidRPr="00210630" w14:paraId="2884F613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29A654C7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6D0F1C20" w14:textId="77777777" w:rsidR="00592B22" w:rsidRPr="00210630" w:rsidRDefault="00592B22" w:rsidP="004437C0">
            <w:pPr>
              <w:spacing w:line="480" w:lineRule="auto"/>
            </w:pPr>
            <w:r w:rsidRPr="00210630">
              <w:t>Age</w:t>
            </w:r>
          </w:p>
        </w:tc>
        <w:tc>
          <w:tcPr>
            <w:tcW w:w="2701" w:type="dxa"/>
            <w:noWrap/>
            <w:hideMark/>
          </w:tcPr>
          <w:p w14:paraId="77B6DC8D" w14:textId="77777777" w:rsidR="00592B22" w:rsidRPr="00210630" w:rsidRDefault="00592B22" w:rsidP="004437C0">
            <w:pPr>
              <w:spacing w:line="480" w:lineRule="auto"/>
            </w:pPr>
            <w:r w:rsidRPr="00210630">
              <w:t>1.00 (0.98-1.03)</w:t>
            </w:r>
          </w:p>
        </w:tc>
        <w:tc>
          <w:tcPr>
            <w:tcW w:w="1933" w:type="dxa"/>
            <w:noWrap/>
            <w:hideMark/>
          </w:tcPr>
          <w:p w14:paraId="3D3800D6" w14:textId="77777777" w:rsidR="00592B22" w:rsidRPr="00210630" w:rsidRDefault="00592B22" w:rsidP="004437C0">
            <w:pPr>
              <w:spacing w:line="480" w:lineRule="auto"/>
            </w:pPr>
            <w:r w:rsidRPr="00210630">
              <w:t>0.940</w:t>
            </w:r>
          </w:p>
        </w:tc>
      </w:tr>
      <w:tr w:rsidR="00592B22" w:rsidRPr="00210630" w14:paraId="099E10ED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0FE0F2B3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43CB6E8E" w14:textId="77777777" w:rsidR="00592B22" w:rsidRPr="00210630" w:rsidRDefault="00592B22" w:rsidP="004437C0">
            <w:pPr>
              <w:spacing w:line="480" w:lineRule="auto"/>
            </w:pPr>
            <w:r w:rsidRPr="00210630">
              <w:t>Tumor size</w:t>
            </w:r>
          </w:p>
        </w:tc>
        <w:tc>
          <w:tcPr>
            <w:tcW w:w="2701" w:type="dxa"/>
            <w:noWrap/>
            <w:hideMark/>
          </w:tcPr>
          <w:p w14:paraId="6E5D19E5" w14:textId="77777777" w:rsidR="00592B22" w:rsidRPr="00210630" w:rsidRDefault="00592B22" w:rsidP="004437C0">
            <w:pPr>
              <w:spacing w:line="480" w:lineRule="auto"/>
            </w:pPr>
            <w:r w:rsidRPr="00210630">
              <w:t>1.44 (1.25-1.66)</w:t>
            </w:r>
          </w:p>
        </w:tc>
        <w:tc>
          <w:tcPr>
            <w:tcW w:w="1933" w:type="dxa"/>
            <w:noWrap/>
            <w:hideMark/>
          </w:tcPr>
          <w:p w14:paraId="04B75E01" w14:textId="77777777" w:rsidR="00592B22" w:rsidRPr="00210630" w:rsidRDefault="00592B22" w:rsidP="004437C0">
            <w:pPr>
              <w:spacing w:line="480" w:lineRule="auto"/>
            </w:pPr>
            <w:r w:rsidRPr="00210630">
              <w:t>&lt; 0.001</w:t>
            </w:r>
          </w:p>
        </w:tc>
      </w:tr>
      <w:tr w:rsidR="00592B22" w:rsidRPr="00210630" w14:paraId="42B949B7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0FFC0F4B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53E376C1" w14:textId="77777777" w:rsidR="00592B22" w:rsidRPr="00210630" w:rsidRDefault="00592B22" w:rsidP="004437C0">
            <w:pPr>
              <w:spacing w:line="480" w:lineRule="auto"/>
            </w:pPr>
            <w:r w:rsidRPr="00210630">
              <w:t>Histologic grade</w:t>
            </w:r>
          </w:p>
        </w:tc>
        <w:tc>
          <w:tcPr>
            <w:tcW w:w="2701" w:type="dxa"/>
            <w:noWrap/>
            <w:hideMark/>
          </w:tcPr>
          <w:p w14:paraId="584FA107" w14:textId="77777777" w:rsidR="00592B22" w:rsidRPr="00210630" w:rsidRDefault="00592B22" w:rsidP="004437C0">
            <w:pPr>
              <w:spacing w:line="480" w:lineRule="auto"/>
            </w:pPr>
            <w:r w:rsidRPr="00210630">
              <w:t>1.72 (1.02-2.88)</w:t>
            </w:r>
          </w:p>
        </w:tc>
        <w:tc>
          <w:tcPr>
            <w:tcW w:w="1933" w:type="dxa"/>
            <w:noWrap/>
            <w:hideMark/>
          </w:tcPr>
          <w:p w14:paraId="01E17E5C" w14:textId="77777777" w:rsidR="00592B22" w:rsidRPr="00210630" w:rsidRDefault="00592B22" w:rsidP="004437C0">
            <w:pPr>
              <w:spacing w:line="480" w:lineRule="auto"/>
            </w:pPr>
            <w:r w:rsidRPr="00210630">
              <w:t>0.040</w:t>
            </w:r>
          </w:p>
        </w:tc>
      </w:tr>
      <w:tr w:rsidR="00592B22" w:rsidRPr="00210630" w14:paraId="3F31C2BF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594DD776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1A4F9C84" w14:textId="77777777" w:rsidR="00592B22" w:rsidRPr="00210630" w:rsidRDefault="00592B22" w:rsidP="004437C0">
            <w:pPr>
              <w:spacing w:line="480" w:lineRule="auto"/>
            </w:pPr>
            <w:r w:rsidRPr="00210630">
              <w:t>PR status</w:t>
            </w:r>
          </w:p>
        </w:tc>
        <w:tc>
          <w:tcPr>
            <w:tcW w:w="2701" w:type="dxa"/>
            <w:noWrap/>
            <w:hideMark/>
          </w:tcPr>
          <w:p w14:paraId="7B3434D6" w14:textId="77777777" w:rsidR="00592B22" w:rsidRPr="00210630" w:rsidRDefault="00592B22" w:rsidP="004437C0">
            <w:pPr>
              <w:spacing w:line="480" w:lineRule="auto"/>
            </w:pPr>
            <w:r w:rsidRPr="00210630">
              <w:t>1.09 (0.58-2.05)</w:t>
            </w:r>
          </w:p>
        </w:tc>
        <w:tc>
          <w:tcPr>
            <w:tcW w:w="1933" w:type="dxa"/>
            <w:noWrap/>
            <w:hideMark/>
          </w:tcPr>
          <w:p w14:paraId="1CDC017C" w14:textId="77777777" w:rsidR="00592B22" w:rsidRPr="00210630" w:rsidRDefault="00592B22" w:rsidP="004437C0">
            <w:pPr>
              <w:spacing w:line="480" w:lineRule="auto"/>
            </w:pPr>
            <w:r w:rsidRPr="00210630">
              <w:t>0.792</w:t>
            </w:r>
          </w:p>
        </w:tc>
      </w:tr>
      <w:tr w:rsidR="00592B22" w:rsidRPr="00210630" w14:paraId="1504F177" w14:textId="77777777" w:rsidTr="004437C0">
        <w:trPr>
          <w:trHeight w:val="330"/>
        </w:trPr>
        <w:tc>
          <w:tcPr>
            <w:tcW w:w="2603" w:type="dxa"/>
            <w:tcBorders>
              <w:bottom w:val="single" w:sz="4" w:space="0" w:color="auto"/>
            </w:tcBorders>
            <w:noWrap/>
            <w:hideMark/>
          </w:tcPr>
          <w:p w14:paraId="7308E4E9" w14:textId="77777777" w:rsidR="00592B22" w:rsidRPr="00210630" w:rsidRDefault="00592B22" w:rsidP="004437C0">
            <w:pPr>
              <w:spacing w:line="480" w:lineRule="auto"/>
            </w:pPr>
            <w:r w:rsidRPr="00210630">
              <w:lastRenderedPageBreak/>
              <w:t xml:space="preserve">　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noWrap/>
            <w:hideMark/>
          </w:tcPr>
          <w:p w14:paraId="3742C272" w14:textId="77777777" w:rsidR="00592B22" w:rsidRPr="00210630" w:rsidRDefault="00592B22" w:rsidP="004437C0">
            <w:pPr>
              <w:spacing w:line="480" w:lineRule="auto"/>
            </w:pPr>
            <w:r w:rsidRPr="00210630">
              <w:t>NGS-PS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noWrap/>
            <w:hideMark/>
          </w:tcPr>
          <w:p w14:paraId="172A5660" w14:textId="77777777" w:rsidR="00592B22" w:rsidRPr="00210630" w:rsidRDefault="00592B22" w:rsidP="004437C0">
            <w:pPr>
              <w:spacing w:line="480" w:lineRule="auto"/>
            </w:pPr>
            <w:r w:rsidRPr="00210630">
              <w:t>5.15 (3.01-8.80)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noWrap/>
            <w:hideMark/>
          </w:tcPr>
          <w:p w14:paraId="4E4054E0" w14:textId="77777777" w:rsidR="00592B22" w:rsidRPr="00210630" w:rsidRDefault="00592B22" w:rsidP="004437C0">
            <w:pPr>
              <w:spacing w:line="480" w:lineRule="auto"/>
            </w:pPr>
            <w:r w:rsidRPr="00210630">
              <w:t>&lt; 0.001</w:t>
            </w:r>
          </w:p>
        </w:tc>
      </w:tr>
      <w:tr w:rsidR="00592B22" w:rsidRPr="00210630" w14:paraId="6B40EFE0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79B01EC5" w14:textId="6434E637" w:rsidR="00592B22" w:rsidRPr="00210630" w:rsidRDefault="00592B22" w:rsidP="004437C0">
            <w:pPr>
              <w:spacing w:line="480" w:lineRule="auto"/>
            </w:pPr>
            <w:r w:rsidRPr="00210630">
              <w:t>No Chemotherapy (N=377)</w:t>
            </w:r>
          </w:p>
        </w:tc>
        <w:tc>
          <w:tcPr>
            <w:tcW w:w="1779" w:type="dxa"/>
            <w:noWrap/>
            <w:hideMark/>
          </w:tcPr>
          <w:p w14:paraId="749962C6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2701" w:type="dxa"/>
            <w:noWrap/>
            <w:hideMark/>
          </w:tcPr>
          <w:p w14:paraId="3B6F45D5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933" w:type="dxa"/>
            <w:noWrap/>
            <w:hideMark/>
          </w:tcPr>
          <w:p w14:paraId="36D6D89E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</w:tr>
      <w:tr w:rsidR="00592B22" w:rsidRPr="00210630" w14:paraId="65D7C8DC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353F5358" w14:textId="77777777" w:rsidR="00592B22" w:rsidRPr="00210630" w:rsidRDefault="00592B22" w:rsidP="004437C0">
            <w:pPr>
              <w:spacing w:line="480" w:lineRule="auto"/>
            </w:pPr>
            <w:r w:rsidRPr="00210630">
              <w:t>Analysis without NGS-PS</w:t>
            </w:r>
          </w:p>
        </w:tc>
        <w:tc>
          <w:tcPr>
            <w:tcW w:w="1779" w:type="dxa"/>
            <w:noWrap/>
            <w:hideMark/>
          </w:tcPr>
          <w:p w14:paraId="596D3142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2701" w:type="dxa"/>
            <w:noWrap/>
            <w:hideMark/>
          </w:tcPr>
          <w:p w14:paraId="4D078618" w14:textId="77777777" w:rsidR="00592B22" w:rsidRPr="00210630" w:rsidRDefault="00592B22" w:rsidP="004437C0">
            <w:pPr>
              <w:spacing w:line="480" w:lineRule="auto"/>
            </w:pPr>
            <w:r w:rsidRPr="00210630">
              <w:t>Hazard ratio (95% CI)</w:t>
            </w:r>
          </w:p>
        </w:tc>
        <w:tc>
          <w:tcPr>
            <w:tcW w:w="1933" w:type="dxa"/>
            <w:noWrap/>
            <w:hideMark/>
          </w:tcPr>
          <w:p w14:paraId="34B02DBF" w14:textId="77777777" w:rsidR="00592B22" w:rsidRPr="00210630" w:rsidRDefault="00592B22" w:rsidP="004437C0">
            <w:pPr>
              <w:spacing w:line="480" w:lineRule="auto"/>
            </w:pPr>
            <w:r w:rsidRPr="00210630">
              <w:t>P-value</w:t>
            </w:r>
          </w:p>
        </w:tc>
      </w:tr>
      <w:tr w:rsidR="00592B22" w:rsidRPr="00210630" w14:paraId="68098165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22417CE9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4561BA14" w14:textId="77777777" w:rsidR="00592B22" w:rsidRPr="00210630" w:rsidRDefault="00592B22" w:rsidP="004437C0">
            <w:pPr>
              <w:spacing w:line="480" w:lineRule="auto"/>
            </w:pPr>
            <w:r w:rsidRPr="00210630">
              <w:t>Age</w:t>
            </w:r>
          </w:p>
        </w:tc>
        <w:tc>
          <w:tcPr>
            <w:tcW w:w="2701" w:type="dxa"/>
            <w:noWrap/>
            <w:hideMark/>
          </w:tcPr>
          <w:p w14:paraId="512C7D63" w14:textId="77777777" w:rsidR="00592B22" w:rsidRPr="00210630" w:rsidRDefault="00592B22" w:rsidP="004437C0">
            <w:pPr>
              <w:spacing w:line="480" w:lineRule="auto"/>
            </w:pPr>
            <w:r w:rsidRPr="00210630">
              <w:t>1.04 (1.01-1.07)</w:t>
            </w:r>
          </w:p>
        </w:tc>
        <w:tc>
          <w:tcPr>
            <w:tcW w:w="1933" w:type="dxa"/>
            <w:noWrap/>
            <w:hideMark/>
          </w:tcPr>
          <w:p w14:paraId="32D31CED" w14:textId="77777777" w:rsidR="00592B22" w:rsidRPr="00210630" w:rsidRDefault="00592B22" w:rsidP="004437C0">
            <w:pPr>
              <w:spacing w:line="480" w:lineRule="auto"/>
            </w:pPr>
            <w:r w:rsidRPr="00210630">
              <w:t>0.012</w:t>
            </w:r>
          </w:p>
        </w:tc>
      </w:tr>
      <w:tr w:rsidR="00592B22" w:rsidRPr="00210630" w14:paraId="23131CDC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4FB5DC9A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0EDCE2C7" w14:textId="77777777" w:rsidR="00592B22" w:rsidRPr="00210630" w:rsidRDefault="00592B22" w:rsidP="004437C0">
            <w:pPr>
              <w:spacing w:line="480" w:lineRule="auto"/>
            </w:pPr>
            <w:r w:rsidRPr="00210630">
              <w:t>Tumor size</w:t>
            </w:r>
          </w:p>
        </w:tc>
        <w:tc>
          <w:tcPr>
            <w:tcW w:w="2701" w:type="dxa"/>
            <w:noWrap/>
            <w:hideMark/>
          </w:tcPr>
          <w:p w14:paraId="4AF4B62C" w14:textId="77777777" w:rsidR="00592B22" w:rsidRPr="00210630" w:rsidRDefault="00592B22" w:rsidP="004437C0">
            <w:pPr>
              <w:spacing w:line="480" w:lineRule="auto"/>
            </w:pPr>
            <w:r w:rsidRPr="00210630">
              <w:t>1.37 (1.01-1.86)</w:t>
            </w:r>
          </w:p>
        </w:tc>
        <w:tc>
          <w:tcPr>
            <w:tcW w:w="1933" w:type="dxa"/>
            <w:noWrap/>
            <w:hideMark/>
          </w:tcPr>
          <w:p w14:paraId="28FD9392" w14:textId="77777777" w:rsidR="00592B22" w:rsidRPr="00210630" w:rsidRDefault="00592B22" w:rsidP="004437C0">
            <w:pPr>
              <w:spacing w:line="480" w:lineRule="auto"/>
            </w:pPr>
            <w:r w:rsidRPr="00210630">
              <w:t>0.042</w:t>
            </w:r>
          </w:p>
        </w:tc>
      </w:tr>
      <w:tr w:rsidR="00592B22" w:rsidRPr="00210630" w14:paraId="181E0B94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2F46EF14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4F4E8CDC" w14:textId="77777777" w:rsidR="00592B22" w:rsidRPr="00210630" w:rsidRDefault="00592B22" w:rsidP="004437C0">
            <w:pPr>
              <w:spacing w:line="480" w:lineRule="auto"/>
            </w:pPr>
            <w:r w:rsidRPr="00210630">
              <w:t>Histologic grade</w:t>
            </w:r>
          </w:p>
        </w:tc>
        <w:tc>
          <w:tcPr>
            <w:tcW w:w="2701" w:type="dxa"/>
            <w:noWrap/>
            <w:hideMark/>
          </w:tcPr>
          <w:p w14:paraId="137EAF6A" w14:textId="77777777" w:rsidR="00592B22" w:rsidRPr="00210630" w:rsidRDefault="00592B22" w:rsidP="004437C0">
            <w:pPr>
              <w:spacing w:line="480" w:lineRule="auto"/>
            </w:pPr>
            <w:r w:rsidRPr="00210630">
              <w:t>2.23 (1.06-4.69)</w:t>
            </w:r>
          </w:p>
        </w:tc>
        <w:tc>
          <w:tcPr>
            <w:tcW w:w="1933" w:type="dxa"/>
            <w:noWrap/>
            <w:hideMark/>
          </w:tcPr>
          <w:p w14:paraId="7E1C20AA" w14:textId="77777777" w:rsidR="00592B22" w:rsidRPr="00210630" w:rsidRDefault="00592B22" w:rsidP="004437C0">
            <w:pPr>
              <w:spacing w:line="480" w:lineRule="auto"/>
            </w:pPr>
            <w:r w:rsidRPr="00210630">
              <w:t>0.035</w:t>
            </w:r>
          </w:p>
        </w:tc>
      </w:tr>
      <w:tr w:rsidR="00592B22" w:rsidRPr="00210630" w14:paraId="21702EF4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53AEDCF2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765F01E2" w14:textId="77777777" w:rsidR="00592B22" w:rsidRPr="00210630" w:rsidRDefault="00592B22" w:rsidP="004437C0">
            <w:pPr>
              <w:spacing w:line="480" w:lineRule="auto"/>
            </w:pPr>
            <w:r w:rsidRPr="00210630">
              <w:t>PR status</w:t>
            </w:r>
          </w:p>
        </w:tc>
        <w:tc>
          <w:tcPr>
            <w:tcW w:w="2701" w:type="dxa"/>
            <w:noWrap/>
            <w:hideMark/>
          </w:tcPr>
          <w:p w14:paraId="35D8305E" w14:textId="77777777" w:rsidR="00592B22" w:rsidRPr="00210630" w:rsidRDefault="00592B22" w:rsidP="004437C0">
            <w:pPr>
              <w:spacing w:line="480" w:lineRule="auto"/>
            </w:pPr>
            <w:r w:rsidRPr="00210630">
              <w:t>0.78 (0.34-1.78)</w:t>
            </w:r>
          </w:p>
        </w:tc>
        <w:tc>
          <w:tcPr>
            <w:tcW w:w="1933" w:type="dxa"/>
            <w:noWrap/>
            <w:hideMark/>
          </w:tcPr>
          <w:p w14:paraId="41C443F7" w14:textId="77777777" w:rsidR="00592B22" w:rsidRPr="00210630" w:rsidRDefault="00592B22" w:rsidP="004437C0">
            <w:pPr>
              <w:spacing w:line="480" w:lineRule="auto"/>
            </w:pPr>
            <w:r w:rsidRPr="00210630">
              <w:t>0.549</w:t>
            </w:r>
          </w:p>
        </w:tc>
      </w:tr>
      <w:tr w:rsidR="00592B22" w:rsidRPr="00210630" w14:paraId="501E3E2F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67C60069" w14:textId="77777777" w:rsidR="00592B22" w:rsidRPr="00210630" w:rsidRDefault="00592B22" w:rsidP="004437C0">
            <w:pPr>
              <w:spacing w:line="480" w:lineRule="auto"/>
            </w:pPr>
            <w:r w:rsidRPr="00210630">
              <w:t>Analysis with NGS-PS</w:t>
            </w:r>
          </w:p>
        </w:tc>
        <w:tc>
          <w:tcPr>
            <w:tcW w:w="1779" w:type="dxa"/>
            <w:noWrap/>
            <w:hideMark/>
          </w:tcPr>
          <w:p w14:paraId="320A97B5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2701" w:type="dxa"/>
            <w:noWrap/>
            <w:hideMark/>
          </w:tcPr>
          <w:p w14:paraId="5B6AD33E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933" w:type="dxa"/>
            <w:noWrap/>
            <w:hideMark/>
          </w:tcPr>
          <w:p w14:paraId="2C36DF38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</w:tr>
      <w:tr w:rsidR="00592B22" w:rsidRPr="00210630" w14:paraId="2E345D56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33447EEC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65C5E226" w14:textId="77777777" w:rsidR="00592B22" w:rsidRPr="00210630" w:rsidRDefault="00592B22" w:rsidP="004437C0">
            <w:pPr>
              <w:spacing w:line="480" w:lineRule="auto"/>
            </w:pPr>
            <w:r w:rsidRPr="00210630">
              <w:t>Age</w:t>
            </w:r>
          </w:p>
        </w:tc>
        <w:tc>
          <w:tcPr>
            <w:tcW w:w="2701" w:type="dxa"/>
            <w:noWrap/>
            <w:hideMark/>
          </w:tcPr>
          <w:p w14:paraId="7381B168" w14:textId="77777777" w:rsidR="00592B22" w:rsidRPr="00210630" w:rsidRDefault="00592B22" w:rsidP="004437C0">
            <w:pPr>
              <w:spacing w:line="480" w:lineRule="auto"/>
            </w:pPr>
            <w:r w:rsidRPr="00210630">
              <w:t>1.03 (1.00-1.06)</w:t>
            </w:r>
          </w:p>
        </w:tc>
        <w:tc>
          <w:tcPr>
            <w:tcW w:w="1933" w:type="dxa"/>
            <w:noWrap/>
            <w:hideMark/>
          </w:tcPr>
          <w:p w14:paraId="517FC84F" w14:textId="77777777" w:rsidR="00592B22" w:rsidRPr="00210630" w:rsidRDefault="00592B22" w:rsidP="004437C0">
            <w:pPr>
              <w:spacing w:line="480" w:lineRule="auto"/>
            </w:pPr>
            <w:r w:rsidRPr="00210630">
              <w:t>0.059</w:t>
            </w:r>
          </w:p>
        </w:tc>
      </w:tr>
      <w:tr w:rsidR="00592B22" w:rsidRPr="00210630" w14:paraId="6633FEC6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29ED6F88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14DC6C3B" w14:textId="77777777" w:rsidR="00592B22" w:rsidRPr="00210630" w:rsidRDefault="00592B22" w:rsidP="004437C0">
            <w:pPr>
              <w:spacing w:line="480" w:lineRule="auto"/>
            </w:pPr>
            <w:r w:rsidRPr="00210630">
              <w:t>Tumor size</w:t>
            </w:r>
          </w:p>
        </w:tc>
        <w:tc>
          <w:tcPr>
            <w:tcW w:w="2701" w:type="dxa"/>
            <w:noWrap/>
            <w:hideMark/>
          </w:tcPr>
          <w:p w14:paraId="6730D345" w14:textId="77777777" w:rsidR="00592B22" w:rsidRPr="00210630" w:rsidRDefault="00592B22" w:rsidP="004437C0">
            <w:pPr>
              <w:spacing w:line="480" w:lineRule="auto"/>
            </w:pPr>
            <w:r w:rsidRPr="00210630">
              <w:t>1.38 (0.98-1.95)</w:t>
            </w:r>
          </w:p>
        </w:tc>
        <w:tc>
          <w:tcPr>
            <w:tcW w:w="1933" w:type="dxa"/>
            <w:noWrap/>
            <w:hideMark/>
          </w:tcPr>
          <w:p w14:paraId="5725F4FA" w14:textId="77777777" w:rsidR="00592B22" w:rsidRPr="00210630" w:rsidRDefault="00592B22" w:rsidP="004437C0">
            <w:pPr>
              <w:spacing w:line="480" w:lineRule="auto"/>
            </w:pPr>
            <w:r w:rsidRPr="00210630">
              <w:t>0.068</w:t>
            </w:r>
          </w:p>
        </w:tc>
      </w:tr>
      <w:tr w:rsidR="00592B22" w:rsidRPr="00210630" w14:paraId="04EFB9B5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73C1D79B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6E7941CD" w14:textId="77777777" w:rsidR="00592B22" w:rsidRPr="00210630" w:rsidRDefault="00592B22" w:rsidP="004437C0">
            <w:pPr>
              <w:spacing w:line="480" w:lineRule="auto"/>
            </w:pPr>
            <w:r w:rsidRPr="00210630">
              <w:t>Histologic grade</w:t>
            </w:r>
          </w:p>
        </w:tc>
        <w:tc>
          <w:tcPr>
            <w:tcW w:w="2701" w:type="dxa"/>
            <w:noWrap/>
            <w:hideMark/>
          </w:tcPr>
          <w:p w14:paraId="3CDE5646" w14:textId="77777777" w:rsidR="00592B22" w:rsidRPr="00210630" w:rsidRDefault="00592B22" w:rsidP="004437C0">
            <w:pPr>
              <w:spacing w:line="480" w:lineRule="auto"/>
            </w:pPr>
            <w:r w:rsidRPr="00210630">
              <w:t>1.44 (0.68-3.07)</w:t>
            </w:r>
          </w:p>
        </w:tc>
        <w:tc>
          <w:tcPr>
            <w:tcW w:w="1933" w:type="dxa"/>
            <w:noWrap/>
            <w:hideMark/>
          </w:tcPr>
          <w:p w14:paraId="38A09E90" w14:textId="77777777" w:rsidR="00592B22" w:rsidRPr="00210630" w:rsidRDefault="00592B22" w:rsidP="004437C0">
            <w:pPr>
              <w:spacing w:line="480" w:lineRule="auto"/>
            </w:pPr>
            <w:r w:rsidRPr="00210630">
              <w:t>0.339</w:t>
            </w:r>
          </w:p>
        </w:tc>
      </w:tr>
      <w:tr w:rsidR="00592B22" w:rsidRPr="00210630" w14:paraId="53AFBF49" w14:textId="77777777" w:rsidTr="004437C0">
        <w:trPr>
          <w:trHeight w:val="330"/>
        </w:trPr>
        <w:tc>
          <w:tcPr>
            <w:tcW w:w="2603" w:type="dxa"/>
            <w:noWrap/>
            <w:hideMark/>
          </w:tcPr>
          <w:p w14:paraId="7BB3FB7D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noWrap/>
            <w:hideMark/>
          </w:tcPr>
          <w:p w14:paraId="42C3E717" w14:textId="77777777" w:rsidR="00592B22" w:rsidRPr="00210630" w:rsidRDefault="00592B22" w:rsidP="004437C0">
            <w:pPr>
              <w:spacing w:line="480" w:lineRule="auto"/>
            </w:pPr>
            <w:r w:rsidRPr="00210630">
              <w:t>PR status</w:t>
            </w:r>
          </w:p>
        </w:tc>
        <w:tc>
          <w:tcPr>
            <w:tcW w:w="2701" w:type="dxa"/>
            <w:noWrap/>
            <w:hideMark/>
          </w:tcPr>
          <w:p w14:paraId="708540C8" w14:textId="77777777" w:rsidR="00592B22" w:rsidRPr="00210630" w:rsidRDefault="00592B22" w:rsidP="004437C0">
            <w:pPr>
              <w:spacing w:line="480" w:lineRule="auto"/>
            </w:pPr>
            <w:r w:rsidRPr="00210630">
              <w:t>1.35 (0.58-3.15)</w:t>
            </w:r>
          </w:p>
        </w:tc>
        <w:tc>
          <w:tcPr>
            <w:tcW w:w="1933" w:type="dxa"/>
            <w:noWrap/>
            <w:hideMark/>
          </w:tcPr>
          <w:p w14:paraId="43133A48" w14:textId="77777777" w:rsidR="00592B22" w:rsidRPr="00210630" w:rsidRDefault="00592B22" w:rsidP="004437C0">
            <w:pPr>
              <w:spacing w:line="480" w:lineRule="auto"/>
            </w:pPr>
            <w:r w:rsidRPr="00210630">
              <w:t>0.489</w:t>
            </w:r>
          </w:p>
        </w:tc>
      </w:tr>
      <w:tr w:rsidR="00592B22" w:rsidRPr="00210630" w14:paraId="64891E7A" w14:textId="77777777" w:rsidTr="004437C0">
        <w:trPr>
          <w:trHeight w:val="330"/>
        </w:trPr>
        <w:tc>
          <w:tcPr>
            <w:tcW w:w="2603" w:type="dxa"/>
            <w:tcBorders>
              <w:bottom w:val="single" w:sz="4" w:space="0" w:color="auto"/>
            </w:tcBorders>
            <w:noWrap/>
            <w:hideMark/>
          </w:tcPr>
          <w:p w14:paraId="184A3946" w14:textId="77777777" w:rsidR="00592B22" w:rsidRPr="00210630" w:rsidRDefault="00592B22" w:rsidP="004437C0">
            <w:pPr>
              <w:spacing w:line="480" w:lineRule="auto"/>
            </w:pPr>
            <w:r w:rsidRPr="00210630">
              <w:t xml:space="preserve">　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noWrap/>
            <w:hideMark/>
          </w:tcPr>
          <w:p w14:paraId="7283FF87" w14:textId="77777777" w:rsidR="00592B22" w:rsidRPr="00210630" w:rsidRDefault="00592B22" w:rsidP="004437C0">
            <w:pPr>
              <w:spacing w:line="480" w:lineRule="auto"/>
            </w:pPr>
            <w:r w:rsidRPr="00210630">
              <w:t>NGS-PS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noWrap/>
            <w:hideMark/>
          </w:tcPr>
          <w:p w14:paraId="4CEEDAB9" w14:textId="77777777" w:rsidR="00592B22" w:rsidRPr="00210630" w:rsidRDefault="00592B22" w:rsidP="004437C0">
            <w:pPr>
              <w:spacing w:line="480" w:lineRule="auto"/>
            </w:pPr>
            <w:r w:rsidRPr="00210630">
              <w:t>4.99 (2.60-9.58)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noWrap/>
            <w:hideMark/>
          </w:tcPr>
          <w:p w14:paraId="0249CEA4" w14:textId="77777777" w:rsidR="00592B22" w:rsidRPr="00210630" w:rsidRDefault="00592B22" w:rsidP="004437C0">
            <w:pPr>
              <w:spacing w:line="480" w:lineRule="auto"/>
            </w:pPr>
            <w:r w:rsidRPr="00210630">
              <w:t>&lt; 0.001</w:t>
            </w:r>
          </w:p>
        </w:tc>
      </w:tr>
      <w:tr w:rsidR="00592B22" w:rsidRPr="00210630" w14:paraId="229BA5CB" w14:textId="77777777" w:rsidTr="004437C0">
        <w:trPr>
          <w:trHeight w:val="405"/>
        </w:trPr>
        <w:tc>
          <w:tcPr>
            <w:tcW w:w="9016" w:type="dxa"/>
            <w:gridSpan w:val="4"/>
            <w:tcBorders>
              <w:top w:val="single" w:sz="4" w:space="0" w:color="auto"/>
            </w:tcBorders>
            <w:hideMark/>
          </w:tcPr>
          <w:p w14:paraId="7B63114D" w14:textId="77777777" w:rsidR="00592B22" w:rsidRPr="00210630" w:rsidRDefault="00592B22" w:rsidP="004437C0">
            <w:pPr>
              <w:spacing w:line="480" w:lineRule="auto"/>
            </w:pPr>
            <w:r w:rsidRPr="00210630">
              <w:t>NGS-PS: Next-generation sequencing-Prognosis Score; PR: progesterone receptor</w:t>
            </w:r>
          </w:p>
        </w:tc>
      </w:tr>
    </w:tbl>
    <w:p w14:paraId="474EB4CA" w14:textId="77777777" w:rsidR="00592B22" w:rsidRPr="00210630" w:rsidRDefault="00592B22" w:rsidP="0043414F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</w:p>
    <w:p w14:paraId="317A8D0A" w14:textId="77777777" w:rsidR="00592B22" w:rsidRPr="00210630" w:rsidRDefault="00592B22" w:rsidP="0043414F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</w:p>
    <w:p w14:paraId="72CE0A2C" w14:textId="65B239F8" w:rsidR="0043414F" w:rsidRPr="00210630" w:rsidRDefault="0043414F" w:rsidP="0043414F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 w:rsidRPr="00210630">
        <w:rPr>
          <w:rFonts w:ascii="Times New Roman" w:hAnsi="Times New Roman" w:cs="Times New Roman" w:hint="eastAsia"/>
          <w:b/>
          <w:i/>
          <w:sz w:val="22"/>
        </w:rPr>
        <w:t>Comparison of integrated RS and clinical risk with NGS-PS in the training and verification sets</w:t>
      </w:r>
      <w:r w:rsidRPr="00210630">
        <w:rPr>
          <w:rFonts w:ascii="Times New Roman" w:hAnsi="Times New Roman" w:cs="Times New Roman"/>
          <w:b/>
          <w:i/>
          <w:sz w:val="22"/>
        </w:rPr>
        <w:t xml:space="preserve">. </w:t>
      </w:r>
    </w:p>
    <w:p w14:paraId="51C751D7" w14:textId="65007411" w:rsidR="00191C91" w:rsidRPr="00210630" w:rsidRDefault="0043414F" w:rsidP="00191C91">
      <w:pPr>
        <w:spacing w:line="480" w:lineRule="auto"/>
        <w:rPr>
          <w:rFonts w:ascii="Times New Roman" w:hAnsi="Times New Roman" w:cs="Times New Roman"/>
          <w:sz w:val="22"/>
        </w:rPr>
      </w:pPr>
      <w:r w:rsidRPr="00210630">
        <w:rPr>
          <w:rFonts w:ascii="Times New Roman" w:hAnsi="Times New Roman" w:cs="Times New Roman"/>
          <w:sz w:val="22"/>
        </w:rPr>
        <w:t xml:space="preserve">An exploratory analysis was performed using </w:t>
      </w:r>
      <w:r w:rsidR="00F3454B" w:rsidRPr="00210630">
        <w:rPr>
          <w:rFonts w:ascii="Times New Roman" w:hAnsi="Times New Roman" w:cs="Times New Roman"/>
          <w:sz w:val="22"/>
        </w:rPr>
        <w:t>samples</w:t>
      </w:r>
      <w:r w:rsidRPr="00210630">
        <w:rPr>
          <w:rFonts w:ascii="Times New Roman" w:hAnsi="Times New Roman" w:cs="Times New Roman"/>
          <w:sz w:val="22"/>
        </w:rPr>
        <w:t xml:space="preserve"> no metastasis in the training and verification sets. Among 280 patients with an integrated RS and clinical risk (CR), 33.6%</w:t>
      </w:r>
      <w:r w:rsidR="0027713E" w:rsidRPr="00210630">
        <w:rPr>
          <w:rFonts w:ascii="Times New Roman" w:hAnsi="Times New Roman" w:cs="Times New Roman"/>
          <w:sz w:val="22"/>
        </w:rPr>
        <w:t xml:space="preserve"> (94/280) and 76.4% (186/280)) were </w:t>
      </w:r>
      <w:r w:rsidRPr="00210630">
        <w:rPr>
          <w:rFonts w:ascii="Times New Roman" w:hAnsi="Times New Roman" w:cs="Times New Roman"/>
          <w:sz w:val="22"/>
        </w:rPr>
        <w:t xml:space="preserve">categorized </w:t>
      </w:r>
      <w:r w:rsidR="0027713E" w:rsidRPr="00210630">
        <w:rPr>
          <w:rFonts w:ascii="Times New Roman" w:hAnsi="Times New Roman" w:cs="Times New Roman"/>
          <w:sz w:val="22"/>
        </w:rPr>
        <w:t>into integrated RS &amp; CR high and low risk, respectively.</w:t>
      </w:r>
      <w:r w:rsidRPr="00210630">
        <w:rPr>
          <w:rFonts w:ascii="Times New Roman" w:hAnsi="Times New Roman" w:cs="Times New Roman"/>
          <w:sz w:val="22"/>
        </w:rPr>
        <w:t xml:space="preserve"> Amo</w:t>
      </w:r>
      <w:r w:rsidR="0027713E" w:rsidRPr="00210630">
        <w:rPr>
          <w:rFonts w:ascii="Times New Roman" w:hAnsi="Times New Roman" w:cs="Times New Roman"/>
          <w:sz w:val="22"/>
        </w:rPr>
        <w:t xml:space="preserve">ng the same 280 patients, 32.1% (90/280) and 77.9% (190/280) </w:t>
      </w:r>
      <w:r w:rsidRPr="00210630">
        <w:rPr>
          <w:rFonts w:ascii="Times New Roman" w:hAnsi="Times New Roman" w:cs="Times New Roman"/>
          <w:sz w:val="22"/>
        </w:rPr>
        <w:t>were ca</w:t>
      </w:r>
      <w:r w:rsidR="0027713E" w:rsidRPr="00210630">
        <w:rPr>
          <w:rFonts w:ascii="Times New Roman" w:hAnsi="Times New Roman" w:cs="Times New Roman"/>
          <w:sz w:val="22"/>
        </w:rPr>
        <w:t xml:space="preserve">tegorized into high and low </w:t>
      </w:r>
      <w:r w:rsidRPr="00210630">
        <w:rPr>
          <w:rFonts w:ascii="Times New Roman" w:hAnsi="Times New Roman" w:cs="Times New Roman"/>
          <w:sz w:val="22"/>
        </w:rPr>
        <w:t>risk NGS-PS group</w:t>
      </w:r>
      <w:r w:rsidR="0027713E" w:rsidRPr="00210630">
        <w:rPr>
          <w:rFonts w:ascii="Times New Roman" w:hAnsi="Times New Roman" w:cs="Times New Roman"/>
          <w:sz w:val="22"/>
        </w:rPr>
        <w:t xml:space="preserve">s, respectively. </w:t>
      </w:r>
      <w:r w:rsidR="00191C91" w:rsidRPr="00210630">
        <w:rPr>
          <w:rFonts w:ascii="Times New Roman" w:hAnsi="Times New Roman" w:cs="Times New Roman"/>
          <w:sz w:val="22"/>
        </w:rPr>
        <w:t>Comparable proportion of patients in the risk categories determined by the integrated RS &amp; PS and NGS-PS suggests that the NGS-PS would not result in a higher proportion of high risk patients compared to the integrated RS &amp; CR categorization applied today for patients who is tested with Oncotype DX.</w:t>
      </w:r>
    </w:p>
    <w:p w14:paraId="5BCFE25A" w14:textId="509A4EB9" w:rsidR="00191C91" w:rsidRPr="00210630" w:rsidRDefault="00191C91" w:rsidP="000D096A">
      <w:pPr>
        <w:spacing w:line="480" w:lineRule="auto"/>
        <w:rPr>
          <w:rFonts w:ascii="Times New Roman" w:hAnsi="Times New Roman" w:cs="Times New Roman"/>
          <w:sz w:val="22"/>
        </w:rPr>
      </w:pPr>
      <w:r w:rsidRPr="00210630">
        <w:rPr>
          <w:rFonts w:ascii="Times New Roman" w:hAnsi="Times New Roman" w:cs="Times New Roman"/>
          <w:sz w:val="22"/>
        </w:rPr>
        <w:t xml:space="preserve">A Cohen’s kappa analysis was comparing the integrated RS &amp; CR category to NGS-PS category based on cut-off value 20 showed a kappa of 0.497, indicating a moderate strength of agreement between the </w:t>
      </w:r>
      <w:r w:rsidRPr="00210630">
        <w:rPr>
          <w:rFonts w:ascii="Times New Roman" w:hAnsi="Times New Roman" w:cs="Times New Roman"/>
          <w:sz w:val="22"/>
        </w:rPr>
        <w:lastRenderedPageBreak/>
        <w:t xml:space="preserve">two risk stratification models. In addition, an ROC curve plotted using NGS-PS values classified as high vs low integrated RS &amp; CR showed an AUC of 0.857, suggesting good accuracy of NGS-PS given that the Oncotype DX and integrated RS and clinical risk is being used widely for routine practice. </w:t>
      </w:r>
    </w:p>
    <w:p w14:paraId="27E8B313" w14:textId="77777777" w:rsidR="000D096A" w:rsidRPr="00210630" w:rsidRDefault="000D096A" w:rsidP="000D096A">
      <w:pPr>
        <w:spacing w:line="480" w:lineRule="auto"/>
      </w:pPr>
    </w:p>
    <w:p w14:paraId="573347AC" w14:textId="77777777" w:rsidR="00732EB9" w:rsidRPr="00210630" w:rsidRDefault="00732EB9" w:rsidP="00732EB9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 w:rsidRPr="00210630">
        <w:rPr>
          <w:rFonts w:ascii="Times New Roman" w:hAnsi="Times New Roman" w:cs="Times New Roman"/>
          <w:b/>
          <w:i/>
          <w:sz w:val="22"/>
        </w:rPr>
        <w:t>References</w:t>
      </w:r>
    </w:p>
    <w:p w14:paraId="056647DA" w14:textId="1E380B09" w:rsidR="001B3645" w:rsidRPr="00210630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="Yu Gothic Medium" w:hAnsi="Times New Roman" w:cs="Times New Roman"/>
          <w:noProof w:val="0"/>
          <w:sz w:val="22"/>
        </w:rPr>
      </w:pPr>
      <w:r w:rsidRPr="00210630">
        <w:rPr>
          <w:rFonts w:ascii="Times New Roman" w:eastAsia="Yu Gothic Medium" w:hAnsi="Times New Roman" w:cs="Times New Roman"/>
          <w:noProof w:val="0"/>
          <w:sz w:val="22"/>
        </w:rPr>
        <w:t>1.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ab/>
        <w:t>Györffy B, Lanczky A, Eklund AC, Denkert C, Budczies J, Li Q</w:t>
      </w:r>
      <w:r w:rsidRPr="00210630">
        <w:rPr>
          <w:rFonts w:ascii="Times New Roman" w:eastAsia="Yu Gothic Medium" w:hAnsi="Times New Roman" w:cs="Times New Roman"/>
          <w:i/>
          <w:noProof w:val="0"/>
          <w:sz w:val="22"/>
        </w:rPr>
        <w:t>, et al.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 xml:space="preserve"> An online survival analysis tool to rapidly assess the effect of 22,277 genes on breast cancer prognosis using microarray data of 1,809 patients. </w:t>
      </w:r>
      <w:r w:rsidRPr="00210630">
        <w:rPr>
          <w:rFonts w:ascii="Times New Roman" w:eastAsia="Yu Gothic Medium" w:hAnsi="Times New Roman" w:cs="Times New Roman"/>
          <w:i/>
          <w:iCs/>
          <w:noProof w:val="0"/>
          <w:sz w:val="22"/>
        </w:rPr>
        <w:t>Breast Cancer Res Treat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210630">
        <w:rPr>
          <w:rFonts w:ascii="Times New Roman" w:eastAsia="Yu Gothic Medium" w:hAnsi="Times New Roman" w:cs="Times New Roman"/>
          <w:b/>
          <w:noProof w:val="0"/>
          <w:sz w:val="22"/>
        </w:rPr>
        <w:t>2010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>;123:725</w:t>
      </w:r>
      <w:r w:rsidR="00721A45" w:rsidRPr="00210630">
        <w:rPr>
          <w:rFonts w:ascii="Times New Roman" w:eastAsia="Yu Gothic Medium" w:hAnsi="Times New Roman" w:cs="Times New Roman"/>
          <w:noProof w:val="0"/>
          <w:sz w:val="22"/>
        </w:rPr>
        <w:t>–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>31</w:t>
      </w:r>
      <w:r w:rsidR="00721A45" w:rsidRPr="00210630">
        <w:rPr>
          <w:rFonts w:ascii="Times New Roman" w:eastAsia="Yu Gothic Medium" w:hAnsi="Times New Roman" w:cs="Times New Roman"/>
          <w:noProof w:val="0"/>
          <w:sz w:val="22"/>
        </w:rPr>
        <w:t>.</w:t>
      </w:r>
    </w:p>
    <w:p w14:paraId="3FDF21BB" w14:textId="56E030E4" w:rsidR="001B3645" w:rsidRPr="00210630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="Yu Gothic Medium" w:hAnsi="Times New Roman" w:cs="Times New Roman"/>
          <w:noProof w:val="0"/>
          <w:sz w:val="22"/>
        </w:rPr>
      </w:pPr>
      <w:r w:rsidRPr="00210630">
        <w:rPr>
          <w:rFonts w:ascii="Times New Roman" w:eastAsia="Yu Gothic Medium" w:hAnsi="Times New Roman" w:cs="Times New Roman"/>
          <w:noProof w:val="0"/>
          <w:sz w:val="22"/>
        </w:rPr>
        <w:t>2.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ab/>
        <w:t xml:space="preserve">Cancer Genome Atlas N. Comprehensive molecular portraits of human breast tumours. </w:t>
      </w:r>
      <w:r w:rsidRPr="00210630">
        <w:rPr>
          <w:rFonts w:ascii="Times New Roman" w:eastAsia="Yu Gothic Medium" w:hAnsi="Times New Roman" w:cs="Times New Roman"/>
          <w:i/>
          <w:iCs/>
          <w:noProof w:val="0"/>
          <w:sz w:val="22"/>
        </w:rPr>
        <w:t>Nature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210630">
        <w:rPr>
          <w:rFonts w:ascii="Times New Roman" w:eastAsia="Yu Gothic Medium" w:hAnsi="Times New Roman" w:cs="Times New Roman"/>
          <w:b/>
          <w:noProof w:val="0"/>
          <w:sz w:val="22"/>
        </w:rPr>
        <w:t>2012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>;490:61-70</w:t>
      </w:r>
      <w:r w:rsidR="00721A45" w:rsidRPr="00210630">
        <w:rPr>
          <w:rFonts w:ascii="Times New Roman" w:eastAsia="Yu Gothic Medium" w:hAnsi="Times New Roman" w:cs="Times New Roman"/>
          <w:noProof w:val="0"/>
          <w:sz w:val="22"/>
        </w:rPr>
        <w:t>.</w:t>
      </w:r>
    </w:p>
    <w:p w14:paraId="6E1DCADD" w14:textId="71C0787C" w:rsidR="001B3645" w:rsidRPr="00210630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="Yu Gothic Medium" w:hAnsi="Times New Roman" w:cs="Times New Roman"/>
          <w:noProof w:val="0"/>
          <w:sz w:val="22"/>
        </w:rPr>
      </w:pPr>
      <w:r w:rsidRPr="00210630">
        <w:rPr>
          <w:rFonts w:ascii="Times New Roman" w:eastAsia="Yu Gothic Medium" w:hAnsi="Times New Roman" w:cs="Times New Roman"/>
          <w:noProof w:val="0"/>
          <w:sz w:val="22"/>
        </w:rPr>
        <w:t>3.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ab/>
        <w:t>Lee J-H, Zhao X-M, Yoon I, Lee JY, Kwon NH, Wang Y-Y</w:t>
      </w:r>
      <w:r w:rsidRPr="00210630">
        <w:rPr>
          <w:rFonts w:ascii="Times New Roman" w:eastAsia="Yu Gothic Medium" w:hAnsi="Times New Roman" w:cs="Times New Roman"/>
          <w:i/>
          <w:noProof w:val="0"/>
          <w:sz w:val="22"/>
        </w:rPr>
        <w:t>, et al.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 xml:space="preserve"> Integrative analysis of mutational and transcriptional profiles reveals driver mutations of metastatic breast cancers. </w:t>
      </w:r>
      <w:r w:rsidRPr="00210630">
        <w:rPr>
          <w:rFonts w:ascii="Times New Roman" w:eastAsia="Yu Gothic Medium" w:hAnsi="Times New Roman" w:cs="Times New Roman"/>
          <w:i/>
          <w:iCs/>
          <w:noProof w:val="0"/>
          <w:sz w:val="22"/>
        </w:rPr>
        <w:t>Cell Discov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210630">
        <w:rPr>
          <w:rFonts w:ascii="Times New Roman" w:eastAsia="Yu Gothic Medium" w:hAnsi="Times New Roman" w:cs="Times New Roman"/>
          <w:b/>
          <w:noProof w:val="0"/>
          <w:sz w:val="22"/>
        </w:rPr>
        <w:t>2016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>;2:</w:t>
      </w:r>
      <w:r w:rsidR="008A24FE" w:rsidRPr="00210630">
        <w:rPr>
          <w:rFonts w:ascii="Times New Roman" w:eastAsia="Yu Gothic Medium" w:hAnsi="Times New Roman" w:cs="Times New Roman"/>
          <w:noProof w:val="0"/>
          <w:sz w:val="22"/>
        </w:rPr>
        <w:t>1-14.</w:t>
      </w:r>
    </w:p>
    <w:p w14:paraId="07FC6884" w14:textId="20988CE3" w:rsidR="001B3645" w:rsidRPr="00210630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="Yu Gothic Medium" w:hAnsi="Times New Roman" w:cs="Times New Roman"/>
          <w:noProof w:val="0"/>
          <w:sz w:val="22"/>
        </w:rPr>
      </w:pPr>
      <w:r w:rsidRPr="00210630">
        <w:rPr>
          <w:rFonts w:ascii="Times New Roman" w:eastAsia="Yu Gothic Medium" w:hAnsi="Times New Roman" w:cs="Times New Roman"/>
          <w:noProof w:val="0"/>
          <w:sz w:val="22"/>
        </w:rPr>
        <w:t>4.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ab/>
        <w:t>Paik S, Shak S, Tang G, Kim C, Baker J, Cronin M</w:t>
      </w:r>
      <w:r w:rsidRPr="00210630">
        <w:rPr>
          <w:rFonts w:ascii="Times New Roman" w:eastAsia="Yu Gothic Medium" w:hAnsi="Times New Roman" w:cs="Times New Roman"/>
          <w:i/>
          <w:noProof w:val="0"/>
          <w:sz w:val="22"/>
        </w:rPr>
        <w:t>, et al.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 xml:space="preserve"> A multigene assay to predict recurrence of tamoxifen-treated, node-negative breast cancer. </w:t>
      </w:r>
      <w:r w:rsidR="008A24FE" w:rsidRPr="00210630">
        <w:rPr>
          <w:rFonts w:ascii="Times New Roman" w:eastAsia="Yu Gothic Medium" w:hAnsi="Times New Roman" w:cs="Times New Roman"/>
          <w:i/>
          <w:iCs/>
          <w:noProof w:val="0"/>
          <w:sz w:val="22"/>
        </w:rPr>
        <w:t>N Engl J Med</w:t>
      </w:r>
      <w:r w:rsidR="008A24FE" w:rsidRPr="00210630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210630">
        <w:rPr>
          <w:rFonts w:ascii="Times New Roman" w:eastAsia="Yu Gothic Medium" w:hAnsi="Times New Roman" w:cs="Times New Roman"/>
          <w:b/>
          <w:noProof w:val="0"/>
          <w:sz w:val="22"/>
        </w:rPr>
        <w:t>2004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>;351:2817</w:t>
      </w:r>
      <w:r w:rsidR="008A24FE" w:rsidRPr="00210630">
        <w:rPr>
          <w:rFonts w:ascii="Times New Roman" w:eastAsia="Yu Gothic Medium" w:hAnsi="Times New Roman" w:cs="Times New Roman"/>
          <w:noProof w:val="0"/>
          <w:sz w:val="22"/>
        </w:rPr>
        <w:t>–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>26</w:t>
      </w:r>
      <w:r w:rsidR="008A24FE" w:rsidRPr="00210630">
        <w:rPr>
          <w:rFonts w:ascii="Times New Roman" w:eastAsia="Yu Gothic Medium" w:hAnsi="Times New Roman" w:cs="Times New Roman"/>
          <w:noProof w:val="0"/>
          <w:sz w:val="22"/>
        </w:rPr>
        <w:t>.</w:t>
      </w:r>
    </w:p>
    <w:p w14:paraId="7942368A" w14:textId="164FCC66" w:rsidR="001B3645" w:rsidRPr="00210630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="Yu Gothic Medium" w:hAnsi="Times New Roman" w:cs="Times New Roman"/>
          <w:noProof w:val="0"/>
          <w:sz w:val="22"/>
        </w:rPr>
      </w:pPr>
      <w:r w:rsidRPr="00210630">
        <w:rPr>
          <w:rFonts w:ascii="Times New Roman" w:eastAsia="Yu Gothic Medium" w:hAnsi="Times New Roman" w:cs="Times New Roman"/>
          <w:noProof w:val="0"/>
          <w:sz w:val="22"/>
        </w:rPr>
        <w:t>5.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ab/>
        <w:t xml:space="preserve">Kim J, Kim A, Kim C. Examination of the Biomark assay as an alternative to Oncotype DX for defining chemotherapy benefit. </w:t>
      </w:r>
      <w:r w:rsidRPr="00210630">
        <w:rPr>
          <w:rFonts w:ascii="Times New Roman" w:eastAsia="Yu Gothic Medium" w:hAnsi="Times New Roman" w:cs="Times New Roman"/>
          <w:i/>
          <w:iCs/>
          <w:noProof w:val="0"/>
          <w:sz w:val="22"/>
        </w:rPr>
        <w:t>Oncol Lett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210630">
        <w:rPr>
          <w:rFonts w:ascii="Times New Roman" w:eastAsia="Yu Gothic Medium" w:hAnsi="Times New Roman" w:cs="Times New Roman"/>
          <w:b/>
          <w:noProof w:val="0"/>
          <w:sz w:val="22"/>
        </w:rPr>
        <w:t>2019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>;17:1812-8</w:t>
      </w:r>
      <w:r w:rsidR="007C1281" w:rsidRPr="00210630">
        <w:rPr>
          <w:rFonts w:ascii="Times New Roman" w:eastAsia="Yu Gothic Medium" w:hAnsi="Times New Roman" w:cs="Times New Roman"/>
          <w:noProof w:val="0"/>
          <w:sz w:val="22"/>
        </w:rPr>
        <w:t>.</w:t>
      </w:r>
    </w:p>
    <w:p w14:paraId="7C333AE0" w14:textId="3CF436B8" w:rsidR="001B3645" w:rsidRPr="00210630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="Yu Gothic Medium" w:hAnsi="Times New Roman" w:cs="Times New Roman"/>
          <w:noProof w:val="0"/>
          <w:sz w:val="22"/>
        </w:rPr>
      </w:pPr>
      <w:r w:rsidRPr="00210630">
        <w:rPr>
          <w:rFonts w:ascii="Times New Roman" w:eastAsia="Yu Gothic Medium" w:hAnsi="Times New Roman" w:cs="Times New Roman"/>
          <w:noProof w:val="0"/>
          <w:sz w:val="22"/>
        </w:rPr>
        <w:t>6.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ab/>
        <w:t xml:space="preserve">Bolger AM, Lohse M, Usadel B. Trimmomatic: a flexible trimmer for Illumina sequence data. </w:t>
      </w:r>
      <w:r w:rsidRPr="00210630">
        <w:rPr>
          <w:rFonts w:ascii="Times New Roman" w:eastAsia="Yu Gothic Medium" w:hAnsi="Times New Roman" w:cs="Times New Roman"/>
          <w:i/>
          <w:iCs/>
          <w:noProof w:val="0"/>
          <w:sz w:val="22"/>
        </w:rPr>
        <w:t>Bioinformatics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210630">
        <w:rPr>
          <w:rFonts w:ascii="Times New Roman" w:eastAsia="Yu Gothic Medium" w:hAnsi="Times New Roman" w:cs="Times New Roman"/>
          <w:b/>
          <w:noProof w:val="0"/>
          <w:sz w:val="22"/>
        </w:rPr>
        <w:t>2014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>;30:2114-20</w:t>
      </w:r>
      <w:r w:rsidR="007C1281" w:rsidRPr="00210630">
        <w:rPr>
          <w:rFonts w:ascii="Times New Roman" w:eastAsia="Yu Gothic Medium" w:hAnsi="Times New Roman" w:cs="Times New Roman"/>
          <w:noProof w:val="0"/>
          <w:sz w:val="22"/>
        </w:rPr>
        <w:t>.</w:t>
      </w:r>
    </w:p>
    <w:p w14:paraId="54668F32" w14:textId="2EEC56AC" w:rsidR="001B3645" w:rsidRPr="00210630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="Yu Gothic Medium" w:hAnsi="Times New Roman" w:cs="Times New Roman"/>
          <w:noProof w:val="0"/>
          <w:sz w:val="22"/>
        </w:rPr>
      </w:pPr>
      <w:r w:rsidRPr="00210630">
        <w:rPr>
          <w:rFonts w:ascii="Times New Roman" w:eastAsia="Yu Gothic Medium" w:hAnsi="Times New Roman" w:cs="Times New Roman"/>
          <w:noProof w:val="0"/>
          <w:sz w:val="22"/>
        </w:rPr>
        <w:t>7.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ab/>
        <w:t>Dobin A, Davis CA, Schlesinger F, Drenkow J, Zaleski C, Jha S</w:t>
      </w:r>
      <w:r w:rsidRPr="00210630">
        <w:rPr>
          <w:rFonts w:ascii="Times New Roman" w:eastAsia="Yu Gothic Medium" w:hAnsi="Times New Roman" w:cs="Times New Roman"/>
          <w:i/>
          <w:noProof w:val="0"/>
          <w:sz w:val="22"/>
        </w:rPr>
        <w:t>, et al.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 xml:space="preserve"> STAR: ultrafast universal RNA-seq aligner. </w:t>
      </w:r>
      <w:r w:rsidRPr="00210630">
        <w:rPr>
          <w:rFonts w:ascii="Times New Roman" w:eastAsia="Yu Gothic Medium" w:hAnsi="Times New Roman" w:cs="Times New Roman"/>
          <w:i/>
          <w:iCs/>
          <w:noProof w:val="0"/>
          <w:sz w:val="22"/>
        </w:rPr>
        <w:t>Bioinformatics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210630">
        <w:rPr>
          <w:rFonts w:ascii="Times New Roman" w:eastAsia="Yu Gothic Medium" w:hAnsi="Times New Roman" w:cs="Times New Roman"/>
          <w:b/>
          <w:noProof w:val="0"/>
          <w:sz w:val="22"/>
        </w:rPr>
        <w:t>2013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>;29:15-21</w:t>
      </w:r>
      <w:r w:rsidR="007C1281" w:rsidRPr="00210630">
        <w:rPr>
          <w:rFonts w:ascii="Times New Roman" w:eastAsia="Yu Gothic Medium" w:hAnsi="Times New Roman" w:cs="Times New Roman"/>
          <w:noProof w:val="0"/>
          <w:sz w:val="22"/>
        </w:rPr>
        <w:t>.</w:t>
      </w:r>
    </w:p>
    <w:p w14:paraId="573347B5" w14:textId="54E48E9A" w:rsidR="00020413" w:rsidRPr="00654B37" w:rsidRDefault="001B3645" w:rsidP="00654B37">
      <w:pPr>
        <w:pStyle w:val="EndNoteBibliography"/>
        <w:spacing w:after="0" w:line="480" w:lineRule="auto"/>
        <w:ind w:left="720" w:hanging="720"/>
        <w:rPr>
          <w:rFonts w:ascii="Times New Roman" w:eastAsiaTheme="minorEastAsia" w:hAnsi="Times New Roman" w:cs="Times New Roman"/>
          <w:noProof w:val="0"/>
          <w:sz w:val="22"/>
        </w:rPr>
      </w:pPr>
      <w:r w:rsidRPr="00210630">
        <w:rPr>
          <w:rFonts w:ascii="Times New Roman" w:eastAsia="Yu Gothic Medium" w:hAnsi="Times New Roman" w:cs="Times New Roman"/>
          <w:noProof w:val="0"/>
          <w:sz w:val="22"/>
        </w:rPr>
        <w:t>8.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ab/>
        <w:t xml:space="preserve">Anders S, Pyl PT, Huber W. HTSeq--a Python framework to work with high-throughput sequencing data. </w:t>
      </w:r>
      <w:r w:rsidRPr="00210630">
        <w:rPr>
          <w:rFonts w:ascii="Times New Roman" w:eastAsia="Yu Gothic Medium" w:hAnsi="Times New Roman" w:cs="Times New Roman"/>
          <w:i/>
          <w:iCs/>
          <w:noProof w:val="0"/>
          <w:sz w:val="22"/>
        </w:rPr>
        <w:t>Bioinformatics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 xml:space="preserve"> </w:t>
      </w:r>
      <w:r w:rsidRPr="00210630">
        <w:rPr>
          <w:rFonts w:ascii="Times New Roman" w:eastAsia="Yu Gothic Medium" w:hAnsi="Times New Roman" w:cs="Times New Roman"/>
          <w:b/>
          <w:noProof w:val="0"/>
          <w:sz w:val="22"/>
        </w:rPr>
        <w:t>2015</w:t>
      </w:r>
      <w:r w:rsidRPr="00210630">
        <w:rPr>
          <w:rFonts w:ascii="Times New Roman" w:eastAsia="Yu Gothic Medium" w:hAnsi="Times New Roman" w:cs="Times New Roman"/>
          <w:noProof w:val="0"/>
          <w:sz w:val="22"/>
        </w:rPr>
        <w:t>;31:166-9</w:t>
      </w:r>
      <w:r w:rsidR="00E10F88" w:rsidRPr="00210630">
        <w:rPr>
          <w:rFonts w:ascii="Times New Roman" w:eastAsia="Yu Gothic Medium" w:hAnsi="Times New Roman" w:cs="Times New Roman"/>
          <w:noProof w:val="0"/>
          <w:sz w:val="22"/>
        </w:rPr>
        <w:t>.</w:t>
      </w:r>
    </w:p>
    <w:sectPr w:rsidR="00020413" w:rsidRPr="00654B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112F" w16cex:dateUtc="2020-05-27T10:47:00Z"/>
  <w16cex:commentExtensible w16cex:durableId="22791140" w16cex:dateUtc="2020-05-27T10:48:00Z"/>
  <w16cex:commentExtensible w16cex:durableId="227911B7" w16cex:dateUtc="2020-05-27T10:50:00Z"/>
  <w16cex:commentExtensible w16cex:durableId="227912FD" w16cex:dateUtc="2020-05-27T10:55:00Z"/>
  <w16cex:commentExtensible w16cex:durableId="22791537" w16cex:dateUtc="2020-05-27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2A56F0" w16cid:durableId="2279112F"/>
  <w16cid:commentId w16cid:paraId="2F28EAF2" w16cid:durableId="22791140"/>
  <w16cid:commentId w16cid:paraId="20C20CA6" w16cid:durableId="227911B7"/>
  <w16cid:commentId w16cid:paraId="4CD018A6" w16cid:durableId="227912FD"/>
  <w16cid:commentId w16cid:paraId="30A00F21" w16cid:durableId="227915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8AC7E" w14:textId="77777777" w:rsidR="00CB5DA9" w:rsidRDefault="00CB5DA9" w:rsidP="0045506F">
      <w:pPr>
        <w:spacing w:after="0" w:line="240" w:lineRule="auto"/>
      </w:pPr>
      <w:r>
        <w:separator/>
      </w:r>
    </w:p>
  </w:endnote>
  <w:endnote w:type="continuationSeparator" w:id="0">
    <w:p w14:paraId="0F238BD0" w14:textId="77777777" w:rsidR="00CB5DA9" w:rsidRDefault="00CB5DA9" w:rsidP="0045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F306F" w14:textId="77777777" w:rsidR="00CB5DA9" w:rsidRDefault="00CB5DA9" w:rsidP="0045506F">
      <w:pPr>
        <w:spacing w:after="0" w:line="240" w:lineRule="auto"/>
      </w:pPr>
      <w:r>
        <w:separator/>
      </w:r>
    </w:p>
  </w:footnote>
  <w:footnote w:type="continuationSeparator" w:id="0">
    <w:p w14:paraId="00AA6C21" w14:textId="77777777" w:rsidR="00CB5DA9" w:rsidRDefault="00CB5DA9" w:rsidP="0045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1BFE"/>
    <w:multiLevelType w:val="hybridMultilevel"/>
    <w:tmpl w:val="E02CADF2"/>
    <w:lvl w:ilvl="0" w:tplc="CD74520C">
      <w:start w:val="1"/>
      <w:numFmt w:val="decimal"/>
      <w:lvlText w:val="%1."/>
      <w:lvlJc w:val="right"/>
      <w:pPr>
        <w:ind w:left="400" w:hanging="4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2t0fxan0f203et9xkvddvg95apwaevz0ta&quot;&gt;My EndNote Library-Converted&lt;record-ids&gt;&lt;item&gt;60&lt;/item&gt;&lt;item&gt;70&lt;/item&gt;&lt;item&gt;71&lt;/item&gt;&lt;item&gt;75&lt;/item&gt;&lt;item&gt;76&lt;/item&gt;&lt;item&gt;85&lt;/item&gt;&lt;item&gt;86&lt;/item&gt;&lt;item&gt;87&lt;/item&gt;&lt;/record-ids&gt;&lt;/item&gt;&lt;/Libraries&gt;"/>
  </w:docVars>
  <w:rsids>
    <w:rsidRoot w:val="00E1642B"/>
    <w:rsid w:val="00020413"/>
    <w:rsid w:val="00020BD9"/>
    <w:rsid w:val="0002105D"/>
    <w:rsid w:val="00022196"/>
    <w:rsid w:val="000910A5"/>
    <w:rsid w:val="000C7385"/>
    <w:rsid w:val="000D096A"/>
    <w:rsid w:val="0014507D"/>
    <w:rsid w:val="0015231C"/>
    <w:rsid w:val="00181173"/>
    <w:rsid w:val="00191C91"/>
    <w:rsid w:val="001A31EF"/>
    <w:rsid w:val="001B3645"/>
    <w:rsid w:val="001F6036"/>
    <w:rsid w:val="00210630"/>
    <w:rsid w:val="0027713E"/>
    <w:rsid w:val="002A2D53"/>
    <w:rsid w:val="00352516"/>
    <w:rsid w:val="00405C48"/>
    <w:rsid w:val="0042292E"/>
    <w:rsid w:val="00427161"/>
    <w:rsid w:val="0043414F"/>
    <w:rsid w:val="0043517B"/>
    <w:rsid w:val="004476B6"/>
    <w:rsid w:val="0045506F"/>
    <w:rsid w:val="0048489D"/>
    <w:rsid w:val="00496601"/>
    <w:rsid w:val="004B12CE"/>
    <w:rsid w:val="00554D48"/>
    <w:rsid w:val="005639F5"/>
    <w:rsid w:val="00592B22"/>
    <w:rsid w:val="00602E49"/>
    <w:rsid w:val="0061496D"/>
    <w:rsid w:val="00615371"/>
    <w:rsid w:val="00627717"/>
    <w:rsid w:val="00654B37"/>
    <w:rsid w:val="006767FE"/>
    <w:rsid w:val="00696503"/>
    <w:rsid w:val="006C2CD4"/>
    <w:rsid w:val="006F1DCA"/>
    <w:rsid w:val="00707518"/>
    <w:rsid w:val="00721A45"/>
    <w:rsid w:val="00732EB9"/>
    <w:rsid w:val="00774286"/>
    <w:rsid w:val="00781871"/>
    <w:rsid w:val="007B5C2B"/>
    <w:rsid w:val="007C1281"/>
    <w:rsid w:val="00807DB8"/>
    <w:rsid w:val="00841726"/>
    <w:rsid w:val="00865C45"/>
    <w:rsid w:val="00881A2C"/>
    <w:rsid w:val="00892C59"/>
    <w:rsid w:val="00893352"/>
    <w:rsid w:val="00894A96"/>
    <w:rsid w:val="008A24FE"/>
    <w:rsid w:val="00902118"/>
    <w:rsid w:val="0092540B"/>
    <w:rsid w:val="009373D7"/>
    <w:rsid w:val="00946919"/>
    <w:rsid w:val="009B0006"/>
    <w:rsid w:val="009E6BB6"/>
    <w:rsid w:val="00A33EA1"/>
    <w:rsid w:val="00A870CB"/>
    <w:rsid w:val="00B10471"/>
    <w:rsid w:val="00B55D47"/>
    <w:rsid w:val="00BB4800"/>
    <w:rsid w:val="00BC7E47"/>
    <w:rsid w:val="00BD493A"/>
    <w:rsid w:val="00BE61E1"/>
    <w:rsid w:val="00C326A8"/>
    <w:rsid w:val="00C4284D"/>
    <w:rsid w:val="00C51A1B"/>
    <w:rsid w:val="00CA3261"/>
    <w:rsid w:val="00CB40DD"/>
    <w:rsid w:val="00CB5DA9"/>
    <w:rsid w:val="00CC5F93"/>
    <w:rsid w:val="00D36F2C"/>
    <w:rsid w:val="00D5230B"/>
    <w:rsid w:val="00D710CC"/>
    <w:rsid w:val="00D933F1"/>
    <w:rsid w:val="00D9605F"/>
    <w:rsid w:val="00DE56D4"/>
    <w:rsid w:val="00E10F88"/>
    <w:rsid w:val="00E1642B"/>
    <w:rsid w:val="00E36699"/>
    <w:rsid w:val="00E71317"/>
    <w:rsid w:val="00EE0094"/>
    <w:rsid w:val="00F3454B"/>
    <w:rsid w:val="00F441AD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3479B"/>
  <w15:chartTrackingRefBased/>
  <w15:docId w15:val="{1BB1D917-CB37-4E19-9C4C-43013B43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2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E1642B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1642B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E1642B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E1642B"/>
    <w:rPr>
      <w:rFonts w:ascii="맑은 고딕" w:eastAsia="맑은 고딕" w:hAnsi="맑은 고딕"/>
      <w:noProof/>
    </w:rPr>
  </w:style>
  <w:style w:type="paragraph" w:styleId="a3">
    <w:name w:val="List Paragraph"/>
    <w:basedOn w:val="a"/>
    <w:uiPriority w:val="34"/>
    <w:qFormat/>
    <w:rsid w:val="00602E49"/>
    <w:pPr>
      <w:ind w:leftChars="400" w:left="800"/>
    </w:pPr>
  </w:style>
  <w:style w:type="paragraph" w:styleId="a4">
    <w:name w:val="caption"/>
    <w:basedOn w:val="a"/>
    <w:next w:val="a"/>
    <w:uiPriority w:val="35"/>
    <w:unhideWhenUsed/>
    <w:qFormat/>
    <w:rsid w:val="00602E49"/>
    <w:rPr>
      <w:b/>
      <w:bCs/>
      <w:szCs w:val="20"/>
    </w:rPr>
  </w:style>
  <w:style w:type="paragraph" w:styleId="a5">
    <w:name w:val="header"/>
    <w:basedOn w:val="a"/>
    <w:link w:val="Char"/>
    <w:uiPriority w:val="99"/>
    <w:unhideWhenUsed/>
    <w:rsid w:val="004550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5506F"/>
  </w:style>
  <w:style w:type="paragraph" w:styleId="a6">
    <w:name w:val="footer"/>
    <w:basedOn w:val="a"/>
    <w:link w:val="Char0"/>
    <w:uiPriority w:val="99"/>
    <w:unhideWhenUsed/>
    <w:rsid w:val="004550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5506F"/>
  </w:style>
  <w:style w:type="paragraph" w:customStyle="1" w:styleId="Default">
    <w:name w:val="Default"/>
    <w:rsid w:val="0045506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" w:eastAsia="Times" w:cs="Times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B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B480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E61E1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BE61E1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BE61E1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E61E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BE61E1"/>
    <w:rPr>
      <w:b/>
      <w:bCs/>
      <w:szCs w:val="20"/>
    </w:rPr>
  </w:style>
  <w:style w:type="table" w:styleId="ab">
    <w:name w:val="Table Grid"/>
    <w:basedOn w:val="a1"/>
    <w:uiPriority w:val="39"/>
    <w:rsid w:val="000D096A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이한별</dc:creator>
  <cp:keywords/>
  <dc:description/>
  <cp:lastModifiedBy>Han-Byoel Lee</cp:lastModifiedBy>
  <cp:revision>2</cp:revision>
  <dcterms:created xsi:type="dcterms:W3CDTF">2020-09-21T14:41:00Z</dcterms:created>
  <dcterms:modified xsi:type="dcterms:W3CDTF">2020-09-21T14:41:00Z</dcterms:modified>
</cp:coreProperties>
</file>