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0DC94" w14:textId="5E4D8CE8" w:rsidR="001333C1" w:rsidRDefault="00F30B62">
      <w:pPr>
        <w:rPr>
          <w:b/>
          <w:sz w:val="28"/>
          <w:szCs w:val="28"/>
          <w:lang w:val="en-US"/>
        </w:rPr>
      </w:pPr>
      <w:r w:rsidRPr="002A14E9">
        <w:rPr>
          <w:b/>
          <w:sz w:val="28"/>
          <w:szCs w:val="28"/>
          <w:lang w:val="en-US"/>
        </w:rPr>
        <w:t>Supplemen</w:t>
      </w:r>
      <w:r w:rsidR="00DC646E">
        <w:rPr>
          <w:b/>
          <w:sz w:val="28"/>
          <w:szCs w:val="28"/>
          <w:lang w:val="en-US"/>
        </w:rPr>
        <w:t>tary</w:t>
      </w:r>
      <w:r w:rsidRPr="002A14E9">
        <w:rPr>
          <w:b/>
          <w:sz w:val="28"/>
          <w:szCs w:val="28"/>
          <w:lang w:val="en-US"/>
        </w:rPr>
        <w:t xml:space="preserve"> Figure</w:t>
      </w:r>
      <w:r w:rsidR="001333C1">
        <w:rPr>
          <w:b/>
          <w:sz w:val="28"/>
          <w:szCs w:val="28"/>
          <w:lang w:val="en-US"/>
        </w:rPr>
        <w:t>s</w:t>
      </w:r>
      <w:r w:rsidR="00DD7E67">
        <w:rPr>
          <w:b/>
          <w:sz w:val="28"/>
          <w:szCs w:val="28"/>
          <w:lang w:val="en-US"/>
        </w:rPr>
        <w:t xml:space="preserve"> Legends</w:t>
      </w:r>
    </w:p>
    <w:p w14:paraId="668960F0" w14:textId="44D3CA6C" w:rsidR="00B25C1A" w:rsidRDefault="00B25C1A">
      <w:pPr>
        <w:rPr>
          <w:b/>
          <w:sz w:val="28"/>
          <w:szCs w:val="28"/>
          <w:lang w:val="en-US"/>
        </w:rPr>
      </w:pPr>
    </w:p>
    <w:p w14:paraId="1086FC41" w14:textId="65DA272F" w:rsidR="00A56AF9" w:rsidRPr="00DD7E67" w:rsidRDefault="00A56AF9" w:rsidP="00A56AF9">
      <w:pPr>
        <w:spacing w:line="360" w:lineRule="auto"/>
        <w:rPr>
          <w:b/>
          <w:sz w:val="22"/>
          <w:szCs w:val="22"/>
          <w:lang w:val="en-US"/>
        </w:rPr>
      </w:pPr>
      <w:bookmarkStart w:id="0" w:name="_GoBack"/>
      <w:r w:rsidRPr="00DD7E67">
        <w:rPr>
          <w:b/>
          <w:bCs/>
          <w:sz w:val="22"/>
          <w:szCs w:val="22"/>
          <w:lang w:val="en-US"/>
        </w:rPr>
        <w:t xml:space="preserve">Supplementary Fig. 1 </w:t>
      </w:r>
      <w:r w:rsidRPr="00DD7E67">
        <w:rPr>
          <w:color w:val="000000"/>
          <w:sz w:val="22"/>
          <w:szCs w:val="22"/>
          <w:lang w:val="en-US"/>
        </w:rPr>
        <w:t>Study flow diagram</w:t>
      </w:r>
      <w:r w:rsidR="002F7395" w:rsidRPr="00DD7E67">
        <w:rPr>
          <w:color w:val="000000"/>
          <w:sz w:val="22"/>
          <w:szCs w:val="22"/>
          <w:lang w:val="en-US"/>
        </w:rPr>
        <w:t xml:space="preserve"> of patient cohorts</w:t>
      </w:r>
    </w:p>
    <w:bookmarkEnd w:id="0"/>
    <w:p w14:paraId="6EF396C8" w14:textId="11EC6421" w:rsidR="00A56AF9" w:rsidRDefault="00A56AF9">
      <w:pPr>
        <w:rPr>
          <w:b/>
          <w:sz w:val="28"/>
          <w:szCs w:val="28"/>
          <w:lang w:val="en-US"/>
        </w:rPr>
      </w:pPr>
    </w:p>
    <w:p w14:paraId="6F2454AD" w14:textId="11C3A375" w:rsidR="00B25C1A" w:rsidRPr="005A78D6" w:rsidRDefault="00746AA8" w:rsidP="00746AA8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5A78D6">
        <w:rPr>
          <w:b/>
          <w:bCs/>
          <w:sz w:val="22"/>
          <w:szCs w:val="22"/>
          <w:lang w:val="en-US"/>
        </w:rPr>
        <w:t>Supplement</w:t>
      </w:r>
      <w:r w:rsidR="0055593E">
        <w:rPr>
          <w:b/>
          <w:bCs/>
          <w:sz w:val="22"/>
          <w:szCs w:val="22"/>
          <w:lang w:val="en-US"/>
        </w:rPr>
        <w:t>ary</w:t>
      </w:r>
      <w:r w:rsidRPr="005A78D6">
        <w:rPr>
          <w:b/>
          <w:bCs/>
          <w:sz w:val="22"/>
          <w:szCs w:val="22"/>
          <w:lang w:val="en-US"/>
        </w:rPr>
        <w:t xml:space="preserve"> Fig. </w:t>
      </w:r>
      <w:r w:rsidR="005A2C02">
        <w:rPr>
          <w:b/>
          <w:bCs/>
          <w:sz w:val="22"/>
          <w:szCs w:val="22"/>
          <w:lang w:val="en-US"/>
        </w:rPr>
        <w:t>2</w:t>
      </w:r>
      <w:r w:rsidRPr="005A78D6">
        <w:rPr>
          <w:b/>
          <w:bCs/>
          <w:sz w:val="22"/>
          <w:szCs w:val="22"/>
          <w:lang w:val="en-US"/>
        </w:rPr>
        <w:t xml:space="preserve"> </w:t>
      </w:r>
      <w:r w:rsidRPr="004664EC">
        <w:rPr>
          <w:color w:val="000000" w:themeColor="text1"/>
          <w:sz w:val="22"/>
          <w:szCs w:val="22"/>
          <w:lang w:val="en-US"/>
        </w:rPr>
        <w:t xml:space="preserve">Distributions of signature scores </w:t>
      </w:r>
      <w:proofErr w:type="spellStart"/>
      <w:r w:rsidRPr="004664EC">
        <w:rPr>
          <w:color w:val="000000" w:themeColor="text1"/>
          <w:sz w:val="22"/>
          <w:szCs w:val="22"/>
          <w:lang w:val="en-US"/>
        </w:rPr>
        <w:t>BRCAness</w:t>
      </w:r>
      <w:proofErr w:type="spellEnd"/>
      <w:r w:rsidR="001D4EE0">
        <w:rPr>
          <w:color w:val="000000" w:themeColor="text1"/>
          <w:sz w:val="22"/>
          <w:szCs w:val="22"/>
          <w:lang w:val="en-US"/>
        </w:rPr>
        <w:t xml:space="preserve"> and </w:t>
      </w:r>
      <w:r w:rsidRPr="004664EC">
        <w:rPr>
          <w:color w:val="000000" w:themeColor="text1"/>
          <w:sz w:val="22"/>
          <w:szCs w:val="22"/>
          <w:lang w:val="en-US"/>
        </w:rPr>
        <w:t>TIS</w:t>
      </w:r>
      <w:r w:rsidR="001D4EE0">
        <w:rPr>
          <w:color w:val="000000" w:themeColor="text1"/>
          <w:sz w:val="22"/>
          <w:szCs w:val="22"/>
          <w:lang w:val="en-US"/>
        </w:rPr>
        <w:t xml:space="preserve"> (</w:t>
      </w:r>
      <w:r w:rsidR="001D4EE0" w:rsidRPr="001D4EE0">
        <w:rPr>
          <w:b/>
          <w:bCs/>
          <w:color w:val="000000" w:themeColor="text1"/>
          <w:sz w:val="22"/>
          <w:szCs w:val="22"/>
          <w:lang w:val="en-US"/>
        </w:rPr>
        <w:t>A, B</w:t>
      </w:r>
      <w:r w:rsidR="001D4EE0">
        <w:rPr>
          <w:color w:val="000000" w:themeColor="text1"/>
          <w:sz w:val="22"/>
          <w:szCs w:val="22"/>
          <w:lang w:val="en-US"/>
        </w:rPr>
        <w:t>)</w:t>
      </w:r>
      <w:r w:rsidRPr="004664EC">
        <w:rPr>
          <w:color w:val="000000" w:themeColor="text1"/>
          <w:sz w:val="22"/>
          <w:szCs w:val="22"/>
          <w:lang w:val="en-US"/>
        </w:rPr>
        <w:t xml:space="preserve"> and expression values </w:t>
      </w:r>
      <w:r w:rsidR="001D4EE0">
        <w:rPr>
          <w:color w:val="000000" w:themeColor="text1"/>
          <w:sz w:val="22"/>
          <w:szCs w:val="22"/>
          <w:lang w:val="en-US"/>
        </w:rPr>
        <w:t xml:space="preserve">of </w:t>
      </w:r>
      <w:r w:rsidRPr="004664EC">
        <w:rPr>
          <w:color w:val="000000" w:themeColor="text1"/>
          <w:sz w:val="22"/>
          <w:szCs w:val="22"/>
          <w:lang w:val="en-US"/>
        </w:rPr>
        <w:t>AR</w:t>
      </w:r>
      <w:r w:rsidR="001D4EE0">
        <w:rPr>
          <w:color w:val="000000" w:themeColor="text1"/>
          <w:sz w:val="22"/>
          <w:szCs w:val="22"/>
          <w:lang w:val="en-US"/>
        </w:rPr>
        <w:t xml:space="preserve"> (</w:t>
      </w:r>
      <w:r w:rsidR="001D4EE0" w:rsidRPr="001D4EE0">
        <w:rPr>
          <w:b/>
          <w:bCs/>
          <w:color w:val="000000" w:themeColor="text1"/>
          <w:sz w:val="22"/>
          <w:szCs w:val="22"/>
          <w:lang w:val="en-US"/>
        </w:rPr>
        <w:t>C</w:t>
      </w:r>
      <w:r w:rsidR="001D4EE0">
        <w:rPr>
          <w:color w:val="000000" w:themeColor="text1"/>
          <w:sz w:val="22"/>
          <w:szCs w:val="22"/>
          <w:lang w:val="en-US"/>
        </w:rPr>
        <w:t xml:space="preserve">) </w:t>
      </w:r>
      <w:r w:rsidRPr="004664EC">
        <w:rPr>
          <w:color w:val="000000" w:themeColor="text1"/>
          <w:sz w:val="22"/>
          <w:szCs w:val="22"/>
          <w:lang w:val="en-US"/>
        </w:rPr>
        <w:t>in</w:t>
      </w:r>
      <w:r w:rsidRPr="005A78D6">
        <w:rPr>
          <w:color w:val="000000" w:themeColor="text1"/>
          <w:sz w:val="22"/>
          <w:szCs w:val="22"/>
          <w:lang w:val="en-US"/>
        </w:rPr>
        <w:t xml:space="preserve"> the </w:t>
      </w:r>
      <w:r w:rsidR="00BF2111">
        <w:rPr>
          <w:color w:val="000000" w:themeColor="text1"/>
          <w:sz w:val="22"/>
          <w:szCs w:val="22"/>
          <w:lang w:val="en-US"/>
        </w:rPr>
        <w:t>verification</w:t>
      </w:r>
      <w:r w:rsidRPr="005A78D6">
        <w:rPr>
          <w:color w:val="000000" w:themeColor="text1"/>
          <w:sz w:val="22"/>
          <w:szCs w:val="22"/>
          <w:lang w:val="en-US"/>
        </w:rPr>
        <w:t xml:space="preserve"> cohort (</w:t>
      </w:r>
      <w:proofErr w:type="spellStart"/>
      <w:r w:rsidR="00667BFB" w:rsidRPr="005A78D6">
        <w:rPr>
          <w:color w:val="000000" w:themeColor="text1"/>
          <w:sz w:val="22"/>
          <w:szCs w:val="22"/>
          <w:lang w:val="en-US"/>
        </w:rPr>
        <w:t>BreastMark</w:t>
      </w:r>
      <w:proofErr w:type="spellEnd"/>
      <w:r w:rsidR="001D4EE0">
        <w:rPr>
          <w:color w:val="000000" w:themeColor="text1"/>
          <w:sz w:val="22"/>
          <w:szCs w:val="22"/>
          <w:lang w:val="en-US"/>
        </w:rPr>
        <w:t>, black</w:t>
      </w:r>
      <w:r w:rsidRPr="005A78D6">
        <w:rPr>
          <w:color w:val="000000" w:themeColor="text1"/>
          <w:sz w:val="22"/>
          <w:szCs w:val="22"/>
          <w:lang w:val="en-US"/>
        </w:rPr>
        <w:t>) were adjusted to the discovery cohort</w:t>
      </w:r>
      <w:r w:rsidR="007E6B00" w:rsidRPr="005A78D6">
        <w:rPr>
          <w:color w:val="000000" w:themeColor="text1"/>
          <w:sz w:val="22"/>
          <w:szCs w:val="22"/>
          <w:lang w:val="en-US"/>
        </w:rPr>
        <w:t xml:space="preserve"> (IKP211</w:t>
      </w:r>
      <w:r w:rsidR="001D4EE0">
        <w:rPr>
          <w:color w:val="000000" w:themeColor="text1"/>
          <w:sz w:val="22"/>
          <w:szCs w:val="22"/>
          <w:lang w:val="en-US"/>
        </w:rPr>
        <w:t>, grey</w:t>
      </w:r>
      <w:r w:rsidR="007E6B00" w:rsidRPr="005A78D6">
        <w:rPr>
          <w:color w:val="000000" w:themeColor="text1"/>
          <w:sz w:val="22"/>
          <w:szCs w:val="22"/>
          <w:lang w:val="en-US"/>
        </w:rPr>
        <w:t xml:space="preserve">) </w:t>
      </w:r>
      <w:r w:rsidRPr="005A78D6">
        <w:rPr>
          <w:color w:val="000000" w:themeColor="text1"/>
          <w:sz w:val="22"/>
          <w:szCs w:val="22"/>
          <w:lang w:val="en-US"/>
        </w:rPr>
        <w:t>by median-centering</w:t>
      </w:r>
      <w:r w:rsidR="00724622">
        <w:rPr>
          <w:color w:val="000000" w:themeColor="text1"/>
          <w:sz w:val="22"/>
          <w:szCs w:val="22"/>
          <w:lang w:val="en-US"/>
        </w:rPr>
        <w:t xml:space="preserve">. No difference </w:t>
      </w:r>
      <w:r w:rsidR="00A05BA5">
        <w:rPr>
          <w:color w:val="000000" w:themeColor="text1"/>
          <w:sz w:val="22"/>
          <w:szCs w:val="22"/>
          <w:lang w:val="en-US"/>
        </w:rPr>
        <w:t>between</w:t>
      </w:r>
      <w:r w:rsidR="00724622">
        <w:rPr>
          <w:color w:val="000000" w:themeColor="text1"/>
          <w:sz w:val="22"/>
          <w:szCs w:val="22"/>
          <w:lang w:val="en-US"/>
        </w:rPr>
        <w:t xml:space="preserve"> the distributions</w:t>
      </w:r>
      <w:r w:rsidR="00A05BA5">
        <w:rPr>
          <w:color w:val="000000" w:themeColor="text1"/>
          <w:sz w:val="22"/>
          <w:szCs w:val="22"/>
          <w:lang w:val="en-US"/>
        </w:rPr>
        <w:t xml:space="preserve"> of both cohorts</w:t>
      </w:r>
      <w:r w:rsidR="00724622">
        <w:rPr>
          <w:color w:val="000000" w:themeColor="text1"/>
          <w:sz w:val="22"/>
          <w:szCs w:val="22"/>
          <w:lang w:val="en-US"/>
        </w:rPr>
        <w:t xml:space="preserve"> was observed (Wilcoxon </w:t>
      </w:r>
      <w:r w:rsidR="00A05BA5">
        <w:rPr>
          <w:color w:val="000000" w:themeColor="text1"/>
          <w:sz w:val="22"/>
          <w:szCs w:val="22"/>
          <w:lang w:val="en-US"/>
        </w:rPr>
        <w:t>t</w:t>
      </w:r>
      <w:r w:rsidR="00724622">
        <w:rPr>
          <w:color w:val="000000" w:themeColor="text1"/>
          <w:sz w:val="22"/>
          <w:szCs w:val="22"/>
          <w:lang w:val="en-US"/>
        </w:rPr>
        <w:t>est).</w:t>
      </w:r>
    </w:p>
    <w:p w14:paraId="09E85578" w14:textId="77777777" w:rsidR="00DD7E67" w:rsidRDefault="00DD7E67" w:rsidP="00BF3838">
      <w:pPr>
        <w:spacing w:line="360" w:lineRule="auto"/>
        <w:jc w:val="both"/>
        <w:rPr>
          <w:b/>
          <w:sz w:val="28"/>
          <w:szCs w:val="28"/>
          <w:lang w:val="en-US"/>
        </w:rPr>
      </w:pPr>
    </w:p>
    <w:p w14:paraId="4B4714B1" w14:textId="08965284" w:rsidR="002A3639" w:rsidRPr="00BF3838" w:rsidRDefault="00795A6D" w:rsidP="00BF3838">
      <w:pPr>
        <w:spacing w:line="360" w:lineRule="auto"/>
        <w:jc w:val="both"/>
        <w:rPr>
          <w:sz w:val="22"/>
          <w:szCs w:val="22"/>
          <w:lang w:val="en-US"/>
        </w:rPr>
      </w:pPr>
      <w:r w:rsidRPr="00BF3838">
        <w:rPr>
          <w:b/>
          <w:bCs/>
          <w:sz w:val="22"/>
          <w:szCs w:val="22"/>
          <w:lang w:val="en-US"/>
        </w:rPr>
        <w:t>Supplementa</w:t>
      </w:r>
      <w:r w:rsidR="0055593E">
        <w:rPr>
          <w:b/>
          <w:bCs/>
          <w:sz w:val="22"/>
          <w:szCs w:val="22"/>
          <w:lang w:val="en-US"/>
        </w:rPr>
        <w:t>ry</w:t>
      </w:r>
      <w:r w:rsidRPr="00BF3838">
        <w:rPr>
          <w:b/>
          <w:bCs/>
          <w:sz w:val="22"/>
          <w:szCs w:val="22"/>
          <w:lang w:val="en-US"/>
        </w:rPr>
        <w:t xml:space="preserve"> </w:t>
      </w:r>
      <w:r w:rsidR="002A3639" w:rsidRPr="00BF3838">
        <w:rPr>
          <w:b/>
          <w:bCs/>
          <w:sz w:val="22"/>
          <w:szCs w:val="22"/>
          <w:lang w:val="en-US"/>
        </w:rPr>
        <w:t xml:space="preserve">Fig. </w:t>
      </w:r>
      <w:r w:rsidR="005A2C02">
        <w:rPr>
          <w:b/>
          <w:bCs/>
          <w:sz w:val="22"/>
          <w:szCs w:val="22"/>
          <w:lang w:val="en-US"/>
        </w:rPr>
        <w:t>3</w:t>
      </w:r>
      <w:r w:rsidR="00420679">
        <w:rPr>
          <w:b/>
          <w:bCs/>
          <w:sz w:val="22"/>
          <w:szCs w:val="22"/>
          <w:lang w:val="en-US"/>
        </w:rPr>
        <w:t>.</w:t>
      </w:r>
      <w:r w:rsidR="002A3639" w:rsidRPr="00BF3838">
        <w:rPr>
          <w:b/>
          <w:bCs/>
          <w:sz w:val="22"/>
          <w:szCs w:val="22"/>
          <w:lang w:val="en-US"/>
        </w:rPr>
        <w:t xml:space="preserve"> </w:t>
      </w:r>
      <w:r w:rsidR="002A3639" w:rsidRPr="00BF3838">
        <w:rPr>
          <w:sz w:val="22"/>
          <w:szCs w:val="22"/>
          <w:lang w:val="en-US"/>
        </w:rPr>
        <w:t>Event-free survival (EFS) stratified by PAM50 subtype across all IKP211 patients (N=6</w:t>
      </w:r>
      <w:r w:rsidR="00584508">
        <w:rPr>
          <w:sz w:val="22"/>
          <w:szCs w:val="22"/>
          <w:lang w:val="en-US"/>
        </w:rPr>
        <w:t>12</w:t>
      </w:r>
      <w:r w:rsidR="002A3639" w:rsidRPr="00BF3838">
        <w:rPr>
          <w:sz w:val="22"/>
          <w:szCs w:val="22"/>
          <w:lang w:val="en-US"/>
        </w:rPr>
        <w:t xml:space="preserve">). The majority of patients were of </w:t>
      </w:r>
      <w:r w:rsidR="00420679">
        <w:rPr>
          <w:sz w:val="22"/>
          <w:szCs w:val="22"/>
          <w:lang w:val="en-US"/>
        </w:rPr>
        <w:t>L</w:t>
      </w:r>
      <w:r w:rsidR="002A3639" w:rsidRPr="00BF3838">
        <w:rPr>
          <w:sz w:val="22"/>
          <w:szCs w:val="22"/>
          <w:lang w:val="en-US"/>
        </w:rPr>
        <w:t>uminal A (</w:t>
      </w:r>
      <w:proofErr w:type="spellStart"/>
      <w:r w:rsidR="002A3639" w:rsidRPr="00BF3838">
        <w:rPr>
          <w:sz w:val="22"/>
          <w:szCs w:val="22"/>
          <w:lang w:val="en-US"/>
        </w:rPr>
        <w:t>LumA</w:t>
      </w:r>
      <w:proofErr w:type="spellEnd"/>
      <w:r w:rsidR="002A3639" w:rsidRPr="00BF3838">
        <w:rPr>
          <w:sz w:val="22"/>
          <w:szCs w:val="22"/>
          <w:lang w:val="en-US"/>
        </w:rPr>
        <w:t>, 5</w:t>
      </w:r>
      <w:r w:rsidR="00584508">
        <w:rPr>
          <w:sz w:val="22"/>
          <w:szCs w:val="22"/>
          <w:lang w:val="en-US"/>
        </w:rPr>
        <w:t>8.5</w:t>
      </w:r>
      <w:r w:rsidR="002A3639" w:rsidRPr="00BF3838">
        <w:rPr>
          <w:sz w:val="22"/>
          <w:szCs w:val="22"/>
          <w:lang w:val="en-US"/>
        </w:rPr>
        <w:t xml:space="preserve">%), followed by </w:t>
      </w:r>
      <w:r w:rsidR="00420679">
        <w:rPr>
          <w:sz w:val="22"/>
          <w:szCs w:val="22"/>
          <w:lang w:val="en-US"/>
        </w:rPr>
        <w:t>Luminal B (</w:t>
      </w:r>
      <w:proofErr w:type="spellStart"/>
      <w:r w:rsidR="002A3639" w:rsidRPr="00BF3838">
        <w:rPr>
          <w:sz w:val="22"/>
          <w:szCs w:val="22"/>
          <w:lang w:val="en-US"/>
        </w:rPr>
        <w:t>LumB</w:t>
      </w:r>
      <w:proofErr w:type="spellEnd"/>
      <w:r w:rsidR="00420679">
        <w:rPr>
          <w:sz w:val="22"/>
          <w:szCs w:val="22"/>
          <w:lang w:val="en-US"/>
        </w:rPr>
        <w:t xml:space="preserve">, </w:t>
      </w:r>
      <w:r w:rsidR="002A3639" w:rsidRPr="00BF3838">
        <w:rPr>
          <w:sz w:val="22"/>
          <w:szCs w:val="22"/>
          <w:lang w:val="en-US"/>
        </w:rPr>
        <w:t>32</w:t>
      </w:r>
      <w:r w:rsidR="00584508">
        <w:rPr>
          <w:sz w:val="22"/>
          <w:szCs w:val="22"/>
          <w:lang w:val="en-US"/>
        </w:rPr>
        <w:t>.7</w:t>
      </w:r>
      <w:r w:rsidR="002A3639" w:rsidRPr="00BF3838">
        <w:rPr>
          <w:sz w:val="22"/>
          <w:szCs w:val="22"/>
          <w:lang w:val="en-US"/>
        </w:rPr>
        <w:t>%), H</w:t>
      </w:r>
      <w:r w:rsidR="00420679">
        <w:rPr>
          <w:sz w:val="22"/>
          <w:szCs w:val="22"/>
          <w:lang w:val="en-US"/>
        </w:rPr>
        <w:t>ER</w:t>
      </w:r>
      <w:r w:rsidR="002A3639" w:rsidRPr="00BF3838">
        <w:rPr>
          <w:sz w:val="22"/>
          <w:szCs w:val="22"/>
          <w:lang w:val="en-US"/>
        </w:rPr>
        <w:t xml:space="preserve">2 (6%), and </w:t>
      </w:r>
      <w:r w:rsidR="00420679">
        <w:rPr>
          <w:sz w:val="22"/>
          <w:szCs w:val="22"/>
          <w:lang w:val="en-US"/>
        </w:rPr>
        <w:t>B</w:t>
      </w:r>
      <w:r w:rsidR="002A3639" w:rsidRPr="00BF3838">
        <w:rPr>
          <w:sz w:val="22"/>
          <w:szCs w:val="22"/>
          <w:lang w:val="en-US"/>
        </w:rPr>
        <w:t>asal (</w:t>
      </w:r>
      <w:r w:rsidR="00584508">
        <w:rPr>
          <w:sz w:val="22"/>
          <w:szCs w:val="22"/>
          <w:lang w:val="en-US"/>
        </w:rPr>
        <w:t>2.8</w:t>
      </w:r>
      <w:r w:rsidR="002A3639" w:rsidRPr="00BF3838">
        <w:rPr>
          <w:sz w:val="22"/>
          <w:szCs w:val="22"/>
          <w:lang w:val="en-US"/>
        </w:rPr>
        <w:t>%) subtypes. Patients were categorized as low</w:t>
      </w:r>
      <w:r w:rsidR="0055593E">
        <w:rPr>
          <w:sz w:val="22"/>
          <w:szCs w:val="22"/>
          <w:lang w:val="en-US"/>
        </w:rPr>
        <w:t>er</w:t>
      </w:r>
      <w:r w:rsidR="002A3639" w:rsidRPr="00BF3838">
        <w:rPr>
          <w:sz w:val="22"/>
          <w:szCs w:val="22"/>
          <w:lang w:val="en-US"/>
        </w:rPr>
        <w:t>-risk (LumA) and high</w:t>
      </w:r>
      <w:r w:rsidR="0055593E">
        <w:rPr>
          <w:sz w:val="22"/>
          <w:szCs w:val="22"/>
          <w:lang w:val="en-US"/>
        </w:rPr>
        <w:t>er</w:t>
      </w:r>
      <w:r w:rsidR="002A3639" w:rsidRPr="00BF3838">
        <w:rPr>
          <w:sz w:val="22"/>
          <w:szCs w:val="22"/>
          <w:lang w:val="en-US"/>
        </w:rPr>
        <w:t>-risk (LumB, H</w:t>
      </w:r>
      <w:r w:rsidR="0055593E">
        <w:rPr>
          <w:sz w:val="22"/>
          <w:szCs w:val="22"/>
          <w:lang w:val="en-US"/>
        </w:rPr>
        <w:t>ER</w:t>
      </w:r>
      <w:r w:rsidR="002A3639" w:rsidRPr="00BF3838">
        <w:rPr>
          <w:sz w:val="22"/>
          <w:szCs w:val="22"/>
          <w:lang w:val="en-US"/>
        </w:rPr>
        <w:t xml:space="preserve">2, Basal) for subsequent analyses based on </w:t>
      </w:r>
      <w:r w:rsidR="001076E4" w:rsidRPr="00BF3838">
        <w:rPr>
          <w:sz w:val="22"/>
          <w:szCs w:val="22"/>
          <w:lang w:val="en-US"/>
        </w:rPr>
        <w:t>pairwise</w:t>
      </w:r>
      <w:r w:rsidR="00601663" w:rsidRPr="00BF3838">
        <w:rPr>
          <w:sz w:val="22"/>
          <w:szCs w:val="22"/>
          <w:lang w:val="en-US"/>
        </w:rPr>
        <w:t xml:space="preserve"> hazard ratios </w:t>
      </w:r>
      <w:r w:rsidR="002A3639" w:rsidRPr="00BF3838">
        <w:rPr>
          <w:sz w:val="22"/>
          <w:szCs w:val="22"/>
          <w:lang w:val="en-US"/>
        </w:rPr>
        <w:t xml:space="preserve">using </w:t>
      </w:r>
      <w:proofErr w:type="spellStart"/>
      <w:r w:rsidR="002A3639" w:rsidRPr="00BF3838">
        <w:rPr>
          <w:sz w:val="22"/>
          <w:szCs w:val="22"/>
          <w:lang w:val="en-US"/>
        </w:rPr>
        <w:t>LumA</w:t>
      </w:r>
      <w:proofErr w:type="spellEnd"/>
      <w:r w:rsidR="002A3639" w:rsidRPr="00BF3838">
        <w:rPr>
          <w:sz w:val="22"/>
          <w:szCs w:val="22"/>
          <w:lang w:val="en-US"/>
        </w:rPr>
        <w:t xml:space="preserve"> as a reference.</w:t>
      </w:r>
    </w:p>
    <w:p w14:paraId="7F7B527F" w14:textId="3918BFD5" w:rsidR="002A3639" w:rsidRPr="00BF3838" w:rsidRDefault="002A3639">
      <w:pPr>
        <w:rPr>
          <w:sz w:val="22"/>
          <w:szCs w:val="22"/>
          <w:lang w:val="en-US"/>
        </w:rPr>
      </w:pPr>
    </w:p>
    <w:p w14:paraId="5BBAE195" w14:textId="77777777" w:rsidR="0005501E" w:rsidRPr="00876379" w:rsidRDefault="0005501E" w:rsidP="0005501E">
      <w:pPr>
        <w:spacing w:line="360" w:lineRule="auto"/>
        <w:jc w:val="both"/>
        <w:rPr>
          <w:rFonts w:eastAsia="Times New Roman"/>
          <w:color w:val="FF0000"/>
          <w:sz w:val="22"/>
          <w:szCs w:val="22"/>
          <w:lang w:val="en-US"/>
        </w:rPr>
      </w:pPr>
      <w:r w:rsidRPr="00876379">
        <w:rPr>
          <w:rFonts w:eastAsia="Times New Roman"/>
          <w:b/>
          <w:color w:val="000000" w:themeColor="text1"/>
          <w:sz w:val="22"/>
          <w:szCs w:val="22"/>
          <w:lang w:val="en-US"/>
        </w:rPr>
        <w:t xml:space="preserve">Supplementary Fig. </w:t>
      </w:r>
      <w:r>
        <w:rPr>
          <w:rFonts w:eastAsia="Times New Roman"/>
          <w:b/>
          <w:color w:val="000000" w:themeColor="text1"/>
          <w:sz w:val="22"/>
          <w:szCs w:val="22"/>
          <w:lang w:val="en-US"/>
        </w:rPr>
        <w:t>4</w:t>
      </w:r>
      <w:r w:rsidRPr="00876379">
        <w:rPr>
          <w:rFonts w:eastAsia="Times New Roman"/>
          <w:b/>
          <w:color w:val="000000" w:themeColor="text1"/>
          <w:sz w:val="22"/>
          <w:szCs w:val="22"/>
          <w:lang w:val="en-US"/>
        </w:rPr>
        <w:t>.</w:t>
      </w:r>
      <w:r>
        <w:rPr>
          <w:rFonts w:eastAsia="Times New Roman"/>
          <w:b/>
          <w:color w:val="000000" w:themeColor="text1"/>
          <w:sz w:val="22"/>
          <w:szCs w:val="22"/>
          <w:lang w:val="en-US"/>
        </w:rPr>
        <w:t xml:space="preserve"> </w:t>
      </w:r>
      <w:r>
        <w:rPr>
          <w:rFonts w:eastAsia="Times New Roman"/>
          <w:color w:val="000000" w:themeColor="text1"/>
          <w:sz w:val="22"/>
          <w:szCs w:val="22"/>
          <w:lang w:val="en-US"/>
        </w:rPr>
        <w:t>Pairwise s</w:t>
      </w:r>
      <w:r w:rsidRPr="00772491">
        <w:rPr>
          <w:rFonts w:eastAsia="Times New Roman"/>
          <w:color w:val="000000" w:themeColor="text1"/>
          <w:sz w:val="22"/>
          <w:szCs w:val="22"/>
          <w:lang w:val="en-US"/>
        </w:rPr>
        <w:t xml:space="preserve">pearman correlation matrix </w:t>
      </w:r>
      <w:r>
        <w:rPr>
          <w:rFonts w:eastAsia="Times New Roman"/>
          <w:color w:val="000000" w:themeColor="text1"/>
          <w:sz w:val="22"/>
          <w:szCs w:val="22"/>
          <w:lang w:val="en-US"/>
        </w:rPr>
        <w:t>between</w:t>
      </w:r>
      <w:r w:rsidRPr="00772491">
        <w:rPr>
          <w:rFonts w:eastAsia="Times New Roman"/>
          <w:color w:val="000000" w:themeColor="text1"/>
          <w:sz w:val="22"/>
          <w:szCs w:val="22"/>
          <w:lang w:val="en-US"/>
        </w:rPr>
        <w:t xml:space="preserve"> signatures</w:t>
      </w:r>
      <w:r>
        <w:rPr>
          <w:rFonts w:eastAsia="Times New Roman"/>
          <w:color w:val="000000" w:themeColor="text1"/>
          <w:sz w:val="22"/>
          <w:szCs w:val="22"/>
          <w:lang w:val="en-US"/>
        </w:rPr>
        <w:t xml:space="preserve"> derived in patients from the discovery cohort (IKP211). Colors refer to positive (red) or inverse (blue) correlation coefficients, pairwise comparisons with significant correlations following Holm-Bonferroni correction for multiple testing are indicated by stars.</w:t>
      </w:r>
    </w:p>
    <w:p w14:paraId="0584253A" w14:textId="3994C330" w:rsidR="002A3639" w:rsidRPr="00BF3838" w:rsidRDefault="002A3639">
      <w:pPr>
        <w:rPr>
          <w:sz w:val="22"/>
          <w:szCs w:val="22"/>
          <w:lang w:val="en-US"/>
        </w:rPr>
      </w:pPr>
    </w:p>
    <w:p w14:paraId="28F3C64B" w14:textId="158B7F4C" w:rsidR="00111807" w:rsidRPr="004664EC" w:rsidRDefault="00D26B6F" w:rsidP="00BF3838">
      <w:pPr>
        <w:spacing w:line="360" w:lineRule="auto"/>
        <w:jc w:val="both"/>
        <w:rPr>
          <w:color w:val="000000" w:themeColor="text1"/>
          <w:sz w:val="22"/>
          <w:szCs w:val="22"/>
          <w:lang w:val="en-US"/>
        </w:rPr>
      </w:pPr>
      <w:r w:rsidRPr="00BF3838">
        <w:rPr>
          <w:b/>
          <w:sz w:val="22"/>
          <w:szCs w:val="22"/>
          <w:lang w:val="en-US"/>
        </w:rPr>
        <w:t>Supplementa</w:t>
      </w:r>
      <w:r w:rsidR="0041607D">
        <w:rPr>
          <w:b/>
          <w:sz w:val="22"/>
          <w:szCs w:val="22"/>
          <w:lang w:val="en-US"/>
        </w:rPr>
        <w:t>ry</w:t>
      </w:r>
      <w:r w:rsidRPr="00BF3838">
        <w:rPr>
          <w:b/>
          <w:sz w:val="22"/>
          <w:szCs w:val="22"/>
          <w:lang w:val="en-US"/>
        </w:rPr>
        <w:t xml:space="preserve"> Fig </w:t>
      </w:r>
      <w:r w:rsidR="0005501E">
        <w:rPr>
          <w:b/>
          <w:sz w:val="22"/>
          <w:szCs w:val="22"/>
          <w:lang w:val="en-US"/>
        </w:rPr>
        <w:t>5</w:t>
      </w:r>
      <w:r w:rsidR="00B25C1A">
        <w:rPr>
          <w:b/>
          <w:sz w:val="22"/>
          <w:szCs w:val="22"/>
          <w:lang w:val="en-US"/>
        </w:rPr>
        <w:t>.</w:t>
      </w:r>
      <w:r w:rsidRPr="00BF3838">
        <w:rPr>
          <w:sz w:val="22"/>
          <w:szCs w:val="22"/>
          <w:lang w:val="en-US"/>
        </w:rPr>
        <w:t xml:space="preserve"> </w:t>
      </w:r>
      <w:r w:rsidR="006F1EA6">
        <w:rPr>
          <w:sz w:val="22"/>
          <w:szCs w:val="22"/>
          <w:lang w:val="en-US"/>
        </w:rPr>
        <w:t>Confirmation</w:t>
      </w:r>
      <w:r w:rsidR="006F1EA6" w:rsidRPr="00BF3838">
        <w:rPr>
          <w:sz w:val="22"/>
          <w:szCs w:val="22"/>
          <w:lang w:val="en-US"/>
        </w:rPr>
        <w:t xml:space="preserve"> </w:t>
      </w:r>
      <w:r w:rsidRPr="00BF3838">
        <w:rPr>
          <w:sz w:val="22"/>
          <w:szCs w:val="22"/>
          <w:lang w:val="en-US"/>
        </w:rPr>
        <w:t xml:space="preserve">of </w:t>
      </w:r>
      <w:r w:rsidR="0018357C" w:rsidRPr="00BF3838">
        <w:rPr>
          <w:sz w:val="22"/>
          <w:szCs w:val="22"/>
          <w:lang w:val="en-US"/>
        </w:rPr>
        <w:t xml:space="preserve">an </w:t>
      </w:r>
      <w:r w:rsidRPr="00BF3838">
        <w:rPr>
          <w:sz w:val="22"/>
          <w:szCs w:val="22"/>
          <w:lang w:val="en-US"/>
        </w:rPr>
        <w:t xml:space="preserve">association between gene expression scores and event-free survival (EFS) in the </w:t>
      </w:r>
      <w:proofErr w:type="spellStart"/>
      <w:r w:rsidR="00667BFB">
        <w:rPr>
          <w:sz w:val="22"/>
          <w:szCs w:val="22"/>
          <w:lang w:val="en-US"/>
        </w:rPr>
        <w:t>BreastMark</w:t>
      </w:r>
      <w:proofErr w:type="spellEnd"/>
      <w:r w:rsidRPr="00BF3838">
        <w:rPr>
          <w:sz w:val="22"/>
          <w:szCs w:val="22"/>
          <w:lang w:val="en-US"/>
        </w:rPr>
        <w:t xml:space="preserve"> cohort. </w:t>
      </w:r>
      <w:r w:rsidRPr="00BF3838">
        <w:rPr>
          <w:rFonts w:eastAsia="Times New Roman"/>
          <w:color w:val="000000"/>
          <w:sz w:val="22"/>
          <w:szCs w:val="22"/>
          <w:lang w:val="en-US"/>
        </w:rPr>
        <w:t xml:space="preserve">Kaplan-Meier </w:t>
      </w:r>
      <w:r w:rsidR="00B25C1A">
        <w:rPr>
          <w:rFonts w:eastAsia="Times New Roman"/>
          <w:color w:val="000000"/>
          <w:sz w:val="22"/>
          <w:szCs w:val="22"/>
          <w:lang w:val="en-US"/>
        </w:rPr>
        <w:t>curves</w:t>
      </w:r>
      <w:r w:rsidRPr="00BF3838">
        <w:rPr>
          <w:rFonts w:eastAsia="Times New Roman"/>
          <w:color w:val="000000"/>
          <w:sz w:val="22"/>
          <w:szCs w:val="22"/>
          <w:lang w:val="en-US"/>
        </w:rPr>
        <w:t xml:space="preserve"> and corresponding Log rank </w:t>
      </w:r>
      <w:r w:rsidRPr="00BF3838">
        <w:rPr>
          <w:rFonts w:eastAsia="Times New Roman"/>
          <w:i/>
          <w:color w:val="000000"/>
          <w:sz w:val="22"/>
          <w:szCs w:val="22"/>
          <w:lang w:val="en-US"/>
        </w:rPr>
        <w:t>P</w:t>
      </w:r>
      <w:r w:rsidRPr="00BF3838">
        <w:rPr>
          <w:rFonts w:eastAsia="Times New Roman"/>
          <w:color w:val="000000"/>
          <w:sz w:val="22"/>
          <w:szCs w:val="22"/>
          <w:lang w:val="en-US"/>
        </w:rPr>
        <w:t xml:space="preserve"> values are shown for subgroups of patients</w:t>
      </w:r>
      <w:r w:rsidR="00062512">
        <w:rPr>
          <w:rFonts w:eastAsia="Times New Roman"/>
          <w:color w:val="000000"/>
          <w:sz w:val="22"/>
          <w:szCs w:val="22"/>
          <w:lang w:val="en-US"/>
        </w:rPr>
        <w:t xml:space="preserve"> with </w:t>
      </w:r>
      <w:r w:rsidR="0041607D">
        <w:rPr>
          <w:rFonts w:eastAsia="Times New Roman"/>
          <w:color w:val="000000"/>
          <w:sz w:val="22"/>
          <w:szCs w:val="22"/>
          <w:lang w:val="en-US"/>
        </w:rPr>
        <w:t xml:space="preserve">the </w:t>
      </w:r>
      <w:r w:rsidR="00062512">
        <w:rPr>
          <w:rFonts w:eastAsia="Times New Roman"/>
          <w:color w:val="000000"/>
          <w:sz w:val="22"/>
          <w:szCs w:val="22"/>
          <w:lang w:val="en-US"/>
        </w:rPr>
        <w:t>number of events</w:t>
      </w:r>
      <w:r w:rsidR="00406D92">
        <w:rPr>
          <w:rFonts w:eastAsia="Times New Roman"/>
          <w:color w:val="000000"/>
          <w:sz w:val="22"/>
          <w:szCs w:val="22"/>
          <w:lang w:val="en-US"/>
        </w:rPr>
        <w:t xml:space="preserve"> (</w:t>
      </w:r>
      <w:proofErr w:type="spellStart"/>
      <w:r w:rsidR="00406D92">
        <w:rPr>
          <w:rFonts w:eastAsia="Times New Roman"/>
          <w:color w:val="000000"/>
          <w:sz w:val="22"/>
          <w:szCs w:val="22"/>
          <w:lang w:val="en-US"/>
        </w:rPr>
        <w:t>ev</w:t>
      </w:r>
      <w:proofErr w:type="spellEnd"/>
      <w:r w:rsidR="00406D92">
        <w:rPr>
          <w:rFonts w:eastAsia="Times New Roman"/>
          <w:color w:val="000000"/>
          <w:sz w:val="22"/>
          <w:szCs w:val="22"/>
          <w:lang w:val="en-US"/>
        </w:rPr>
        <w:t>)</w:t>
      </w:r>
      <w:r w:rsidR="00062512">
        <w:rPr>
          <w:rFonts w:eastAsia="Times New Roman"/>
          <w:color w:val="000000"/>
          <w:sz w:val="22"/>
          <w:szCs w:val="22"/>
          <w:lang w:val="en-US"/>
        </w:rPr>
        <w:t xml:space="preserve"> in brackets</w:t>
      </w:r>
      <w:r w:rsidRPr="00BF3838">
        <w:rPr>
          <w:rFonts w:eastAsia="Times New Roman"/>
          <w:color w:val="000000"/>
          <w:sz w:val="22"/>
          <w:szCs w:val="22"/>
          <w:lang w:val="en-US"/>
        </w:rPr>
        <w:t xml:space="preserve">. </w:t>
      </w:r>
      <w:r w:rsidR="0018357C" w:rsidRPr="00BF3838">
        <w:rPr>
          <w:rFonts w:eastAsia="Times New Roman"/>
          <w:color w:val="000000"/>
          <w:sz w:val="22"/>
          <w:szCs w:val="22"/>
          <w:lang w:val="en-US"/>
        </w:rPr>
        <w:t xml:space="preserve">Expression scores in the </w:t>
      </w:r>
      <w:r w:rsidR="006F1EA6">
        <w:rPr>
          <w:rFonts w:eastAsia="Times New Roman"/>
          <w:color w:val="000000"/>
          <w:sz w:val="22"/>
          <w:szCs w:val="22"/>
          <w:lang w:val="en-US"/>
        </w:rPr>
        <w:t>independent confirmation</w:t>
      </w:r>
      <w:r w:rsidR="006F1EA6" w:rsidRPr="00BF3838">
        <w:rPr>
          <w:rFonts w:eastAsia="Times New Roman"/>
          <w:color w:val="000000"/>
          <w:sz w:val="22"/>
          <w:szCs w:val="22"/>
          <w:lang w:val="en-US"/>
        </w:rPr>
        <w:t xml:space="preserve"> </w:t>
      </w:r>
      <w:r w:rsidR="0018357C" w:rsidRPr="00BF3838">
        <w:rPr>
          <w:rFonts w:eastAsia="Times New Roman"/>
          <w:color w:val="000000"/>
          <w:sz w:val="22"/>
          <w:szCs w:val="22"/>
          <w:lang w:val="en-US"/>
        </w:rPr>
        <w:t xml:space="preserve">cohort were centered to the median of the IKP211 cohort and </w:t>
      </w:r>
      <w:r w:rsidRPr="00BF3838">
        <w:rPr>
          <w:rFonts w:eastAsia="Times New Roman"/>
          <w:color w:val="000000"/>
          <w:sz w:val="22"/>
          <w:szCs w:val="22"/>
          <w:lang w:val="en-US"/>
        </w:rPr>
        <w:t xml:space="preserve">cutoffs identified in IKP211 were applied. </w:t>
      </w:r>
      <w:r w:rsidRPr="00BF3838">
        <w:rPr>
          <w:rFonts w:eastAsia="Times New Roman"/>
          <w:b/>
          <w:color w:val="000000"/>
          <w:sz w:val="22"/>
          <w:szCs w:val="22"/>
          <w:lang w:val="en-US"/>
        </w:rPr>
        <w:t>A</w:t>
      </w:r>
      <w:r w:rsidRPr="00BF3838">
        <w:rPr>
          <w:rFonts w:eastAsia="Times New Roman"/>
          <w:color w:val="000000"/>
          <w:sz w:val="22"/>
          <w:szCs w:val="22"/>
          <w:lang w:val="en-US"/>
        </w:rPr>
        <w:t>. High</w:t>
      </w:r>
      <w:r w:rsidR="0041607D">
        <w:rPr>
          <w:rFonts w:eastAsia="Times New Roman"/>
          <w:color w:val="000000"/>
          <w:sz w:val="22"/>
          <w:szCs w:val="22"/>
          <w:lang w:val="en-US"/>
        </w:rPr>
        <w:t>er</w:t>
      </w:r>
      <w:r w:rsidRPr="00BF3838">
        <w:rPr>
          <w:rFonts w:eastAsia="Times New Roman"/>
          <w:color w:val="000000"/>
          <w:sz w:val="22"/>
          <w:szCs w:val="22"/>
          <w:lang w:val="en-US"/>
        </w:rPr>
        <w:t xml:space="preserve">-risk patients, </w:t>
      </w:r>
      <w:r w:rsidRPr="00BF3838">
        <w:rPr>
          <w:rFonts w:eastAsia="Times New Roman"/>
          <w:b/>
          <w:color w:val="000000"/>
          <w:sz w:val="22"/>
          <w:szCs w:val="22"/>
          <w:lang w:val="en-US"/>
        </w:rPr>
        <w:t>B.</w:t>
      </w:r>
      <w:r w:rsidRPr="00BF3838">
        <w:rPr>
          <w:rFonts w:eastAsia="Times New Roman"/>
          <w:color w:val="000000"/>
          <w:sz w:val="22"/>
          <w:szCs w:val="22"/>
          <w:lang w:val="en-US"/>
        </w:rPr>
        <w:t xml:space="preserve"> Low</w:t>
      </w:r>
      <w:r w:rsidR="0041607D">
        <w:rPr>
          <w:rFonts w:eastAsia="Times New Roman"/>
          <w:color w:val="000000"/>
          <w:sz w:val="22"/>
          <w:szCs w:val="22"/>
          <w:lang w:val="en-US"/>
        </w:rPr>
        <w:t>er</w:t>
      </w:r>
      <w:r w:rsidRPr="00BF3838">
        <w:rPr>
          <w:rFonts w:eastAsia="Times New Roman"/>
          <w:color w:val="000000"/>
          <w:sz w:val="22"/>
          <w:szCs w:val="22"/>
          <w:lang w:val="en-US"/>
        </w:rPr>
        <w:t>-risk patients</w:t>
      </w:r>
      <w:r w:rsidR="00230DF1" w:rsidRPr="00BF3838">
        <w:rPr>
          <w:rFonts w:eastAsia="Times New Roman"/>
          <w:color w:val="000000"/>
          <w:sz w:val="22"/>
          <w:szCs w:val="22"/>
          <w:lang w:val="en-US"/>
        </w:rPr>
        <w:t>,</w:t>
      </w:r>
      <w:r w:rsidRPr="00BF3838">
        <w:rPr>
          <w:rFonts w:eastAsia="Times New Roman"/>
          <w:color w:val="000000"/>
          <w:sz w:val="22"/>
          <w:szCs w:val="22"/>
          <w:lang w:val="en-US"/>
        </w:rPr>
        <w:t xml:space="preserve"> stratified by AR </w:t>
      </w:r>
      <w:r w:rsidRPr="004664EC">
        <w:rPr>
          <w:rFonts w:eastAsia="Times New Roman"/>
          <w:color w:val="000000" w:themeColor="text1"/>
          <w:sz w:val="22"/>
          <w:szCs w:val="22"/>
          <w:lang w:val="en-US"/>
        </w:rPr>
        <w:t>expression</w:t>
      </w:r>
      <w:r w:rsidR="002C40D2" w:rsidRPr="004664EC">
        <w:rPr>
          <w:rFonts w:eastAsia="Times New Roman"/>
          <w:color w:val="000000" w:themeColor="text1"/>
          <w:sz w:val="22"/>
          <w:szCs w:val="22"/>
          <w:lang w:val="en-US"/>
        </w:rPr>
        <w:t>, respectively</w:t>
      </w:r>
      <w:r w:rsidR="00230DF1" w:rsidRPr="004664EC">
        <w:rPr>
          <w:rFonts w:eastAsia="Times New Roman"/>
          <w:color w:val="000000" w:themeColor="text1"/>
          <w:sz w:val="22"/>
          <w:szCs w:val="22"/>
          <w:lang w:val="en-US"/>
        </w:rPr>
        <w:t>.</w:t>
      </w:r>
      <w:r w:rsidR="001845B4" w:rsidRPr="004664EC">
        <w:rPr>
          <w:rFonts w:eastAsia="Times New Roman"/>
          <w:color w:val="000000" w:themeColor="text1"/>
          <w:sz w:val="22"/>
          <w:szCs w:val="22"/>
          <w:lang w:val="en-US"/>
        </w:rPr>
        <w:t xml:space="preserve"> </w:t>
      </w:r>
      <w:r w:rsidR="001845B4" w:rsidRPr="004664EC">
        <w:rPr>
          <w:rFonts w:eastAsia="Times New Roman"/>
          <w:b/>
          <w:color w:val="000000" w:themeColor="text1"/>
          <w:sz w:val="22"/>
          <w:szCs w:val="22"/>
          <w:lang w:val="en-US"/>
        </w:rPr>
        <w:t>C.</w:t>
      </w:r>
      <w:r w:rsidR="001845B4" w:rsidRPr="004664EC">
        <w:rPr>
          <w:rFonts w:eastAsia="Times New Roman"/>
          <w:color w:val="000000" w:themeColor="text1"/>
          <w:sz w:val="22"/>
          <w:szCs w:val="22"/>
          <w:lang w:val="en-US"/>
        </w:rPr>
        <w:t xml:space="preserve"> High</w:t>
      </w:r>
      <w:r w:rsidR="0041607D">
        <w:rPr>
          <w:rFonts w:eastAsia="Times New Roman"/>
          <w:color w:val="000000" w:themeColor="text1"/>
          <w:sz w:val="22"/>
          <w:szCs w:val="22"/>
          <w:lang w:val="en-US"/>
        </w:rPr>
        <w:t>er</w:t>
      </w:r>
      <w:r w:rsidR="001845B4" w:rsidRPr="004664EC">
        <w:rPr>
          <w:rFonts w:eastAsia="Times New Roman"/>
          <w:color w:val="000000" w:themeColor="text1"/>
          <w:sz w:val="22"/>
          <w:szCs w:val="22"/>
          <w:lang w:val="en-US"/>
        </w:rPr>
        <w:t xml:space="preserve">-risk patients, </w:t>
      </w:r>
      <w:r w:rsidR="001845B4" w:rsidRPr="004664EC">
        <w:rPr>
          <w:rFonts w:eastAsia="Times New Roman"/>
          <w:b/>
          <w:color w:val="000000" w:themeColor="text1"/>
          <w:sz w:val="22"/>
          <w:szCs w:val="22"/>
          <w:lang w:val="en-US"/>
        </w:rPr>
        <w:t>D.</w:t>
      </w:r>
      <w:r w:rsidR="001845B4" w:rsidRPr="004664EC">
        <w:rPr>
          <w:rFonts w:eastAsia="Times New Roman"/>
          <w:color w:val="000000" w:themeColor="text1"/>
          <w:sz w:val="22"/>
          <w:szCs w:val="22"/>
          <w:lang w:val="en-US"/>
        </w:rPr>
        <w:t xml:space="preserve"> Low</w:t>
      </w:r>
      <w:r w:rsidR="0041607D">
        <w:rPr>
          <w:rFonts w:eastAsia="Times New Roman"/>
          <w:color w:val="000000" w:themeColor="text1"/>
          <w:sz w:val="22"/>
          <w:szCs w:val="22"/>
          <w:lang w:val="en-US"/>
        </w:rPr>
        <w:t>er</w:t>
      </w:r>
      <w:r w:rsidR="001845B4" w:rsidRPr="004664EC">
        <w:rPr>
          <w:rFonts w:eastAsia="Times New Roman"/>
          <w:color w:val="000000" w:themeColor="text1"/>
          <w:sz w:val="22"/>
          <w:szCs w:val="22"/>
          <w:lang w:val="en-US"/>
        </w:rPr>
        <w:t>-risk patients</w:t>
      </w:r>
      <w:r w:rsidR="00230DF1" w:rsidRPr="004664EC">
        <w:rPr>
          <w:rFonts w:eastAsia="Times New Roman"/>
          <w:color w:val="000000" w:themeColor="text1"/>
          <w:sz w:val="22"/>
          <w:szCs w:val="22"/>
          <w:lang w:val="en-US"/>
        </w:rPr>
        <w:t>,</w:t>
      </w:r>
      <w:r w:rsidR="001845B4" w:rsidRPr="004664EC">
        <w:rPr>
          <w:rFonts w:eastAsia="Times New Roman"/>
          <w:color w:val="000000" w:themeColor="text1"/>
          <w:sz w:val="22"/>
          <w:szCs w:val="22"/>
          <w:lang w:val="en-US"/>
        </w:rPr>
        <w:t xml:space="preserve"> stratified by </w:t>
      </w:r>
      <w:proofErr w:type="spellStart"/>
      <w:r w:rsidR="001845B4" w:rsidRPr="004664EC">
        <w:rPr>
          <w:rFonts w:eastAsia="Times New Roman"/>
          <w:color w:val="000000" w:themeColor="text1"/>
          <w:sz w:val="22"/>
          <w:szCs w:val="22"/>
          <w:lang w:val="en-US"/>
        </w:rPr>
        <w:t>BRCAness</w:t>
      </w:r>
      <w:proofErr w:type="spellEnd"/>
      <w:r w:rsidR="001845B4" w:rsidRPr="004664EC">
        <w:rPr>
          <w:rFonts w:eastAsia="Times New Roman"/>
          <w:color w:val="000000" w:themeColor="text1"/>
          <w:sz w:val="22"/>
          <w:szCs w:val="22"/>
          <w:lang w:val="en-US"/>
        </w:rPr>
        <w:t xml:space="preserve"> signature</w:t>
      </w:r>
      <w:r w:rsidR="002C40D2" w:rsidRPr="004664EC">
        <w:rPr>
          <w:rFonts w:eastAsia="Times New Roman"/>
          <w:color w:val="000000" w:themeColor="text1"/>
          <w:sz w:val="22"/>
          <w:szCs w:val="22"/>
          <w:lang w:val="en-US"/>
        </w:rPr>
        <w:t>, respectively</w:t>
      </w:r>
      <w:r w:rsidR="001845B4" w:rsidRPr="004664EC">
        <w:rPr>
          <w:rFonts w:eastAsia="Times New Roman"/>
          <w:color w:val="000000" w:themeColor="text1"/>
          <w:sz w:val="22"/>
          <w:szCs w:val="22"/>
          <w:lang w:val="en-US"/>
        </w:rPr>
        <w:t>.</w:t>
      </w:r>
    </w:p>
    <w:p w14:paraId="2B0AE8D7" w14:textId="77777777" w:rsidR="00111807" w:rsidRPr="00BF3838" w:rsidRDefault="00111807">
      <w:pPr>
        <w:rPr>
          <w:sz w:val="22"/>
          <w:szCs w:val="22"/>
          <w:lang w:val="en-US"/>
        </w:rPr>
      </w:pPr>
    </w:p>
    <w:p w14:paraId="701A19B3" w14:textId="4D5B43C9" w:rsidR="001D352E" w:rsidRPr="00BF3838" w:rsidRDefault="001D352E" w:rsidP="00BF3838">
      <w:pPr>
        <w:spacing w:line="360" w:lineRule="auto"/>
        <w:jc w:val="both"/>
        <w:rPr>
          <w:b/>
          <w:bCs/>
          <w:sz w:val="22"/>
          <w:szCs w:val="22"/>
          <w:lang w:val="en-US"/>
        </w:rPr>
      </w:pPr>
      <w:r w:rsidRPr="00426877">
        <w:rPr>
          <w:b/>
          <w:bCs/>
          <w:color w:val="000000" w:themeColor="text1"/>
          <w:sz w:val="22"/>
          <w:szCs w:val="22"/>
          <w:lang w:val="en-US"/>
        </w:rPr>
        <w:t>Supplementa</w:t>
      </w:r>
      <w:r w:rsidR="005A2D74" w:rsidRPr="00426877">
        <w:rPr>
          <w:b/>
          <w:bCs/>
          <w:color w:val="000000" w:themeColor="text1"/>
          <w:sz w:val="22"/>
          <w:szCs w:val="22"/>
          <w:lang w:val="en-US"/>
        </w:rPr>
        <w:t xml:space="preserve">ry </w:t>
      </w:r>
      <w:r w:rsidRPr="00426877">
        <w:rPr>
          <w:b/>
          <w:bCs/>
          <w:color w:val="000000" w:themeColor="text1"/>
          <w:sz w:val="22"/>
          <w:szCs w:val="22"/>
          <w:lang w:val="en-US"/>
        </w:rPr>
        <w:t xml:space="preserve">Fig. </w:t>
      </w:r>
      <w:r w:rsidR="0005501E" w:rsidRPr="00426877">
        <w:rPr>
          <w:b/>
          <w:bCs/>
          <w:color w:val="000000" w:themeColor="text1"/>
          <w:sz w:val="22"/>
          <w:szCs w:val="22"/>
          <w:lang w:val="en-US"/>
        </w:rPr>
        <w:t>6</w:t>
      </w:r>
      <w:r w:rsidR="00420679" w:rsidRPr="00426877">
        <w:rPr>
          <w:b/>
          <w:bCs/>
          <w:color w:val="000000" w:themeColor="text1"/>
          <w:sz w:val="22"/>
          <w:szCs w:val="22"/>
          <w:lang w:val="en-US"/>
        </w:rPr>
        <w:t>.</w:t>
      </w:r>
      <w:r w:rsidRPr="00426877">
        <w:rPr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B25C1A">
        <w:rPr>
          <w:rFonts w:eastAsia="Times New Roman"/>
          <w:color w:val="000000"/>
          <w:sz w:val="22"/>
          <w:szCs w:val="22"/>
          <w:lang w:val="en-US"/>
        </w:rPr>
        <w:t>Consensus c</w:t>
      </w:r>
      <w:r w:rsidR="0016596E" w:rsidRPr="00BF3838">
        <w:rPr>
          <w:rFonts w:eastAsia="Times New Roman"/>
          <w:color w:val="000000"/>
          <w:sz w:val="22"/>
          <w:szCs w:val="22"/>
          <w:lang w:val="en-US"/>
        </w:rPr>
        <w:t>luster</w:t>
      </w:r>
      <w:r w:rsidR="00B25C1A">
        <w:rPr>
          <w:rFonts w:eastAsia="Times New Roman"/>
          <w:color w:val="000000"/>
          <w:sz w:val="22"/>
          <w:szCs w:val="22"/>
          <w:lang w:val="en-US"/>
        </w:rPr>
        <w:t>ing</w:t>
      </w:r>
      <w:r w:rsidR="0016596E" w:rsidRPr="00BF3838">
        <w:rPr>
          <w:rFonts w:eastAsia="Times New Roman"/>
          <w:color w:val="000000"/>
          <w:sz w:val="22"/>
          <w:szCs w:val="22"/>
          <w:lang w:val="en-US"/>
        </w:rPr>
        <w:t xml:space="preserve"> analysis of </w:t>
      </w:r>
      <w:r w:rsidR="000435B8">
        <w:rPr>
          <w:rFonts w:eastAsia="Times New Roman"/>
          <w:color w:val="000000"/>
          <w:sz w:val="22"/>
          <w:szCs w:val="22"/>
          <w:lang w:val="en-US"/>
        </w:rPr>
        <w:t xml:space="preserve">mean-centered and </w:t>
      </w:r>
      <w:r w:rsidR="00B25C1A">
        <w:rPr>
          <w:rFonts w:eastAsia="Times New Roman"/>
          <w:color w:val="000000"/>
          <w:sz w:val="22"/>
          <w:szCs w:val="22"/>
          <w:lang w:val="en-US"/>
        </w:rPr>
        <w:t>standardized</w:t>
      </w:r>
      <w:r w:rsidR="0016596E" w:rsidRPr="00BF3838">
        <w:rPr>
          <w:rFonts w:eastAsia="Times New Roman"/>
          <w:color w:val="000000"/>
          <w:sz w:val="22"/>
          <w:szCs w:val="22"/>
          <w:lang w:val="en-US"/>
        </w:rPr>
        <w:t xml:space="preserve"> signature scores across all IKP211 patients. </w:t>
      </w:r>
      <w:r w:rsidR="00F47B9B" w:rsidRPr="00BF3838">
        <w:rPr>
          <w:rFonts w:eastAsia="Times New Roman"/>
          <w:color w:val="000000"/>
          <w:sz w:val="22"/>
          <w:szCs w:val="22"/>
          <w:lang w:val="en-US"/>
        </w:rPr>
        <w:t xml:space="preserve">Four major groups </w:t>
      </w:r>
      <w:r w:rsidR="008E539F" w:rsidRPr="00BF3838">
        <w:rPr>
          <w:rFonts w:eastAsia="Times New Roman"/>
          <w:color w:val="000000"/>
          <w:sz w:val="22"/>
          <w:szCs w:val="22"/>
          <w:lang w:val="en-US"/>
        </w:rPr>
        <w:t>across</w:t>
      </w:r>
      <w:r w:rsidR="00F47B9B" w:rsidRPr="00BF3838">
        <w:rPr>
          <w:rFonts w:eastAsia="Times New Roman"/>
          <w:color w:val="000000"/>
          <w:sz w:val="22"/>
          <w:szCs w:val="22"/>
          <w:lang w:val="en-US"/>
        </w:rPr>
        <w:t xml:space="preserve"> BC360 signatures (columns) were observed, of which </w:t>
      </w:r>
      <w:r w:rsidR="0016596E" w:rsidRPr="00BF3838">
        <w:rPr>
          <w:rFonts w:eastAsia="Times New Roman"/>
          <w:color w:val="000000"/>
          <w:sz w:val="22"/>
          <w:szCs w:val="22"/>
          <w:lang w:val="en-US"/>
        </w:rPr>
        <w:t xml:space="preserve">immune-activity </w:t>
      </w:r>
      <w:r w:rsidR="00DC1046" w:rsidRPr="00BF3838">
        <w:rPr>
          <w:rFonts w:eastAsia="Times New Roman"/>
          <w:color w:val="000000"/>
          <w:sz w:val="22"/>
          <w:szCs w:val="22"/>
          <w:lang w:val="en-US"/>
        </w:rPr>
        <w:t>signatures</w:t>
      </w:r>
      <w:r w:rsidR="00230DF1" w:rsidRPr="00BF3838">
        <w:rPr>
          <w:rFonts w:eastAsia="Times New Roman"/>
          <w:color w:val="000000"/>
          <w:sz w:val="22"/>
          <w:szCs w:val="22"/>
          <w:lang w:val="en-US"/>
        </w:rPr>
        <w:t xml:space="preserve"> including TIS are </w:t>
      </w:r>
      <w:r w:rsidR="00795A6D" w:rsidRPr="00BF3838">
        <w:rPr>
          <w:rFonts w:eastAsia="Times New Roman"/>
          <w:color w:val="000000"/>
          <w:sz w:val="22"/>
          <w:szCs w:val="22"/>
          <w:lang w:val="en-US"/>
        </w:rPr>
        <w:t>grouped</w:t>
      </w:r>
      <w:r w:rsidR="00230DF1" w:rsidRPr="00BF3838">
        <w:rPr>
          <w:rFonts w:eastAsia="Times New Roman"/>
          <w:color w:val="000000"/>
          <w:sz w:val="22"/>
          <w:szCs w:val="22"/>
          <w:lang w:val="en-US"/>
        </w:rPr>
        <w:t xml:space="preserve"> within cluster A</w:t>
      </w:r>
      <w:r w:rsidR="00DC1046" w:rsidRPr="00BF3838">
        <w:rPr>
          <w:rFonts w:eastAsia="Times New Roman"/>
          <w:color w:val="000000"/>
          <w:sz w:val="22"/>
          <w:szCs w:val="22"/>
          <w:lang w:val="en-US"/>
        </w:rPr>
        <w:t xml:space="preserve">. Group B </w:t>
      </w:r>
      <w:r w:rsidR="009E664D" w:rsidRPr="00BF3838">
        <w:rPr>
          <w:rFonts w:eastAsia="Times New Roman"/>
          <w:color w:val="000000"/>
          <w:sz w:val="22"/>
          <w:szCs w:val="22"/>
          <w:lang w:val="en-US"/>
        </w:rPr>
        <w:t>is composed of</w:t>
      </w:r>
      <w:r w:rsidR="00DC1046" w:rsidRPr="00BF3838">
        <w:rPr>
          <w:rFonts w:eastAsia="Times New Roman"/>
          <w:color w:val="000000"/>
          <w:sz w:val="22"/>
          <w:szCs w:val="22"/>
          <w:lang w:val="en-US"/>
        </w:rPr>
        <w:t xml:space="preserve"> pathway</w:t>
      </w:r>
      <w:r w:rsidR="009E664D" w:rsidRPr="00BF3838">
        <w:rPr>
          <w:rFonts w:eastAsia="Times New Roman"/>
          <w:color w:val="000000"/>
          <w:sz w:val="22"/>
          <w:szCs w:val="22"/>
          <w:lang w:val="en-US"/>
        </w:rPr>
        <w:t>s</w:t>
      </w:r>
      <w:r w:rsidR="00DC1046" w:rsidRPr="00BF3838">
        <w:rPr>
          <w:rFonts w:eastAsia="Times New Roman"/>
          <w:color w:val="000000"/>
          <w:sz w:val="22"/>
          <w:szCs w:val="22"/>
          <w:lang w:val="en-US"/>
        </w:rPr>
        <w:t xml:space="preserve"> related to tumor responsiveness and regulation includ</w:t>
      </w:r>
      <w:r w:rsidR="009E664D" w:rsidRPr="00BF3838">
        <w:rPr>
          <w:rFonts w:eastAsia="Times New Roman"/>
          <w:color w:val="000000"/>
          <w:sz w:val="22"/>
          <w:szCs w:val="22"/>
          <w:lang w:val="en-US"/>
        </w:rPr>
        <w:t>ing</w:t>
      </w:r>
      <w:r w:rsidR="00DC1046" w:rsidRPr="00BF3838">
        <w:rPr>
          <w:rFonts w:eastAsia="Times New Roman"/>
          <w:color w:val="000000"/>
          <w:sz w:val="22"/>
          <w:szCs w:val="22"/>
          <w:lang w:val="en-US"/>
        </w:rPr>
        <w:t xml:space="preserve"> the </w:t>
      </w:r>
      <w:proofErr w:type="spellStart"/>
      <w:r w:rsidR="00DC1046" w:rsidRPr="00BF3838">
        <w:rPr>
          <w:rFonts w:eastAsia="Times New Roman"/>
          <w:color w:val="000000"/>
          <w:sz w:val="22"/>
          <w:szCs w:val="22"/>
          <w:lang w:val="en-US"/>
        </w:rPr>
        <w:t>BRCAness</w:t>
      </w:r>
      <w:proofErr w:type="spellEnd"/>
      <w:r w:rsidR="00DC1046" w:rsidRPr="00BF3838">
        <w:rPr>
          <w:rFonts w:eastAsia="Times New Roman"/>
          <w:color w:val="000000"/>
          <w:sz w:val="22"/>
          <w:szCs w:val="22"/>
          <w:lang w:val="en-US"/>
        </w:rPr>
        <w:t xml:space="preserve"> signature</w:t>
      </w:r>
      <w:r w:rsidR="009E664D" w:rsidRPr="00BF3838">
        <w:rPr>
          <w:rFonts w:eastAsia="Times New Roman"/>
          <w:color w:val="000000"/>
          <w:sz w:val="22"/>
          <w:szCs w:val="22"/>
          <w:lang w:val="en-US"/>
        </w:rPr>
        <w:t>,</w:t>
      </w:r>
      <w:r w:rsidR="00DC1046" w:rsidRPr="00BF3838">
        <w:rPr>
          <w:rFonts w:eastAsia="Times New Roman"/>
          <w:color w:val="000000"/>
          <w:sz w:val="22"/>
          <w:szCs w:val="22"/>
          <w:lang w:val="en-US"/>
        </w:rPr>
        <w:t xml:space="preserve"> </w:t>
      </w:r>
      <w:r w:rsidR="009E664D" w:rsidRPr="00BF3838">
        <w:rPr>
          <w:rFonts w:eastAsia="Times New Roman"/>
          <w:color w:val="000000"/>
          <w:sz w:val="22"/>
          <w:szCs w:val="22"/>
          <w:lang w:val="en-US"/>
        </w:rPr>
        <w:t xml:space="preserve">group C combines </w:t>
      </w:r>
      <w:r w:rsidR="00DC1046" w:rsidRPr="00BF3838">
        <w:rPr>
          <w:rFonts w:eastAsia="Times New Roman"/>
          <w:color w:val="000000"/>
          <w:sz w:val="22"/>
          <w:szCs w:val="22"/>
          <w:lang w:val="en-US"/>
        </w:rPr>
        <w:t>steroid receptor signaling signatures including the AR</w:t>
      </w:r>
      <w:r w:rsidR="009E664D" w:rsidRPr="00BF3838">
        <w:rPr>
          <w:rFonts w:eastAsia="Times New Roman"/>
          <w:color w:val="000000"/>
          <w:sz w:val="22"/>
          <w:szCs w:val="22"/>
          <w:lang w:val="en-US"/>
        </w:rPr>
        <w:t>, and</w:t>
      </w:r>
      <w:r w:rsidR="00DC1046" w:rsidRPr="00BF3838">
        <w:rPr>
          <w:rFonts w:eastAsia="Times New Roman"/>
          <w:color w:val="000000"/>
          <w:sz w:val="22"/>
          <w:szCs w:val="22"/>
          <w:lang w:val="en-US"/>
        </w:rPr>
        <w:t xml:space="preserve"> </w:t>
      </w:r>
      <w:r w:rsidR="00F47B9B" w:rsidRPr="00BF3838">
        <w:rPr>
          <w:rFonts w:eastAsia="Times New Roman"/>
          <w:color w:val="000000"/>
          <w:sz w:val="22"/>
          <w:szCs w:val="22"/>
          <w:lang w:val="en-US"/>
        </w:rPr>
        <w:t xml:space="preserve">the remaining signatures </w:t>
      </w:r>
      <w:r w:rsidR="009E664D" w:rsidRPr="00BF3838">
        <w:rPr>
          <w:rFonts w:eastAsia="Times New Roman"/>
          <w:color w:val="000000"/>
          <w:sz w:val="22"/>
          <w:szCs w:val="22"/>
          <w:lang w:val="en-US"/>
        </w:rPr>
        <w:t>form a heterogenous cluster D</w:t>
      </w:r>
      <w:r w:rsidR="00F47B9B" w:rsidRPr="00BF3838">
        <w:rPr>
          <w:rFonts w:eastAsia="Times New Roman"/>
          <w:color w:val="000000"/>
          <w:sz w:val="22"/>
          <w:szCs w:val="22"/>
          <w:lang w:val="en-US"/>
        </w:rPr>
        <w:t xml:space="preserve">. </w:t>
      </w:r>
      <w:r w:rsidR="00B25C1A">
        <w:rPr>
          <w:rFonts w:eastAsia="Times New Roman"/>
          <w:color w:val="000000"/>
          <w:sz w:val="22"/>
          <w:szCs w:val="22"/>
          <w:lang w:val="en-US"/>
        </w:rPr>
        <w:t>Hierarchical clustering of the</w:t>
      </w:r>
      <w:r w:rsidR="00230DF1" w:rsidRPr="00BF3838">
        <w:rPr>
          <w:rFonts w:eastAsia="Times New Roman"/>
          <w:color w:val="000000"/>
          <w:sz w:val="22"/>
          <w:szCs w:val="22"/>
          <w:lang w:val="en-US"/>
        </w:rPr>
        <w:t xml:space="preserve"> patients</w:t>
      </w:r>
      <w:r w:rsidR="00F47B9B" w:rsidRPr="00BF3838">
        <w:rPr>
          <w:rFonts w:eastAsia="Times New Roman"/>
          <w:color w:val="000000"/>
          <w:sz w:val="22"/>
          <w:szCs w:val="22"/>
          <w:lang w:val="en-US"/>
        </w:rPr>
        <w:t xml:space="preserve"> (rows)</w:t>
      </w:r>
      <w:r w:rsidR="0016596E" w:rsidRPr="00BF3838">
        <w:rPr>
          <w:rFonts w:eastAsia="Times New Roman"/>
          <w:color w:val="000000"/>
          <w:sz w:val="22"/>
          <w:szCs w:val="22"/>
          <w:lang w:val="en-US"/>
        </w:rPr>
        <w:t xml:space="preserve"> reveal</w:t>
      </w:r>
      <w:r w:rsidR="00230DF1" w:rsidRPr="00BF3838">
        <w:rPr>
          <w:rFonts w:eastAsia="Times New Roman"/>
          <w:color w:val="000000"/>
          <w:sz w:val="22"/>
          <w:szCs w:val="22"/>
          <w:lang w:val="en-US"/>
        </w:rPr>
        <w:t>ed</w:t>
      </w:r>
      <w:r w:rsidR="0016596E" w:rsidRPr="00BF3838">
        <w:rPr>
          <w:rFonts w:eastAsia="Times New Roman"/>
          <w:color w:val="000000"/>
          <w:sz w:val="22"/>
          <w:szCs w:val="22"/>
          <w:lang w:val="en-US"/>
        </w:rPr>
        <w:t xml:space="preserve"> a distinct patient group comprising the majority of patients with high TIS &gt;7.</w:t>
      </w:r>
      <w:r w:rsidR="008B15C1">
        <w:rPr>
          <w:rFonts w:eastAsia="Times New Roman"/>
          <w:color w:val="000000"/>
          <w:sz w:val="22"/>
          <w:szCs w:val="22"/>
          <w:lang w:val="en-US"/>
        </w:rPr>
        <w:t>52</w:t>
      </w:r>
      <w:r w:rsidR="0016596E" w:rsidRPr="00BF3838">
        <w:rPr>
          <w:rFonts w:eastAsia="Times New Roman"/>
          <w:color w:val="000000"/>
          <w:sz w:val="22"/>
          <w:szCs w:val="22"/>
          <w:lang w:val="en-US"/>
        </w:rPr>
        <w:t xml:space="preserve"> (left</w:t>
      </w:r>
      <w:r w:rsidR="008E539F" w:rsidRPr="00BF3838">
        <w:rPr>
          <w:rFonts w:eastAsia="Times New Roman"/>
          <w:color w:val="000000"/>
          <w:sz w:val="22"/>
          <w:szCs w:val="22"/>
          <w:lang w:val="en-US"/>
        </w:rPr>
        <w:t xml:space="preserve"> column, red tips</w:t>
      </w:r>
      <w:r w:rsidR="0016596E" w:rsidRPr="00BF3838">
        <w:rPr>
          <w:rFonts w:eastAsia="Times New Roman"/>
          <w:color w:val="000000"/>
          <w:sz w:val="22"/>
          <w:szCs w:val="22"/>
          <w:lang w:val="en-US"/>
        </w:rPr>
        <w:t xml:space="preserve">). Heatmap colors indicate low (blue) to high (red) </w:t>
      </w:r>
      <w:r w:rsidR="00B25C1A">
        <w:rPr>
          <w:rFonts w:eastAsia="Times New Roman"/>
          <w:color w:val="000000"/>
          <w:sz w:val="22"/>
          <w:szCs w:val="22"/>
          <w:lang w:val="en-US"/>
        </w:rPr>
        <w:t>standardized</w:t>
      </w:r>
      <w:r w:rsidR="0016596E" w:rsidRPr="00BF3838">
        <w:rPr>
          <w:rFonts w:eastAsia="Times New Roman"/>
          <w:color w:val="000000"/>
          <w:sz w:val="22"/>
          <w:szCs w:val="22"/>
          <w:lang w:val="en-US"/>
        </w:rPr>
        <w:t xml:space="preserve"> score expression</w:t>
      </w:r>
      <w:r w:rsidR="00230DF1" w:rsidRPr="00BF3838">
        <w:rPr>
          <w:rFonts w:eastAsia="Times New Roman"/>
          <w:color w:val="000000"/>
          <w:sz w:val="22"/>
          <w:szCs w:val="22"/>
          <w:lang w:val="en-US"/>
        </w:rPr>
        <w:t>.</w:t>
      </w:r>
    </w:p>
    <w:p w14:paraId="247F1C19" w14:textId="764EFA0E" w:rsidR="0095108B" w:rsidRPr="003A1733" w:rsidRDefault="0095108B" w:rsidP="0095108B">
      <w:pPr>
        <w:pStyle w:val="StandardWeb"/>
        <w:spacing w:line="360" w:lineRule="auto"/>
        <w:jc w:val="both"/>
        <w:rPr>
          <w:color w:val="000000" w:themeColor="text1"/>
          <w:sz w:val="22"/>
          <w:szCs w:val="22"/>
          <w:lang w:val="en-US"/>
        </w:rPr>
      </w:pPr>
      <w:r w:rsidRPr="00316469">
        <w:rPr>
          <w:b/>
          <w:color w:val="000000" w:themeColor="text1"/>
          <w:sz w:val="22"/>
          <w:szCs w:val="22"/>
          <w:lang w:val="en-US"/>
        </w:rPr>
        <w:t>Supplementa</w:t>
      </w:r>
      <w:r w:rsidR="005A2D74" w:rsidRPr="00316469">
        <w:rPr>
          <w:b/>
          <w:color w:val="000000" w:themeColor="text1"/>
          <w:sz w:val="22"/>
          <w:szCs w:val="22"/>
          <w:lang w:val="en-US"/>
        </w:rPr>
        <w:t>ry</w:t>
      </w:r>
      <w:r w:rsidRPr="00316469">
        <w:rPr>
          <w:b/>
          <w:color w:val="000000" w:themeColor="text1"/>
          <w:sz w:val="22"/>
          <w:szCs w:val="22"/>
          <w:lang w:val="en-US"/>
        </w:rPr>
        <w:t xml:space="preserve"> Fig. </w:t>
      </w:r>
      <w:r w:rsidR="00B35215">
        <w:rPr>
          <w:b/>
          <w:color w:val="000000" w:themeColor="text1"/>
          <w:sz w:val="22"/>
          <w:szCs w:val="22"/>
          <w:lang w:val="en-US"/>
        </w:rPr>
        <w:t>7</w:t>
      </w:r>
      <w:r w:rsidR="00B25C1A" w:rsidRPr="00316469">
        <w:rPr>
          <w:b/>
          <w:color w:val="000000" w:themeColor="text1"/>
          <w:sz w:val="22"/>
          <w:szCs w:val="22"/>
          <w:lang w:val="en-US"/>
        </w:rPr>
        <w:t>.</w:t>
      </w:r>
      <w:r w:rsidRPr="00316469">
        <w:rPr>
          <w:rFonts w:eastAsiaTheme="minorHAnsi"/>
          <w:color w:val="000000" w:themeColor="text1"/>
          <w:sz w:val="22"/>
          <w:szCs w:val="22"/>
          <w:lang w:val="en-US"/>
        </w:rPr>
        <w:t xml:space="preserve"> </w:t>
      </w:r>
      <w:r w:rsidR="00E8095B" w:rsidRPr="003A1733">
        <w:rPr>
          <w:color w:val="000000" w:themeColor="text1"/>
          <w:sz w:val="22"/>
          <w:szCs w:val="22"/>
          <w:lang w:val="en-US"/>
        </w:rPr>
        <w:t>Examples of</w:t>
      </w:r>
      <w:r w:rsidRPr="003A1733">
        <w:rPr>
          <w:color w:val="000000" w:themeColor="text1"/>
          <w:sz w:val="22"/>
          <w:szCs w:val="22"/>
          <w:lang w:val="en-US"/>
        </w:rPr>
        <w:t xml:space="preserve"> HE-sections of tumors examined for the number of tumor infiltrating immune cells</w:t>
      </w:r>
      <w:r w:rsidR="00316469" w:rsidRPr="003A1733">
        <w:rPr>
          <w:color w:val="000000" w:themeColor="text1"/>
          <w:sz w:val="22"/>
          <w:szCs w:val="22"/>
          <w:lang w:val="en-US"/>
        </w:rPr>
        <w:t xml:space="preserve"> (TIL). </w:t>
      </w:r>
      <w:r w:rsidR="00316469" w:rsidRPr="003A1733">
        <w:rPr>
          <w:b/>
          <w:color w:val="000000" w:themeColor="text1"/>
          <w:sz w:val="22"/>
          <w:szCs w:val="22"/>
          <w:lang w:val="en-US"/>
        </w:rPr>
        <w:t>A.</w:t>
      </w:r>
      <w:r w:rsidR="00316469" w:rsidRPr="003A1733">
        <w:rPr>
          <w:color w:val="000000" w:themeColor="text1"/>
          <w:sz w:val="22"/>
          <w:szCs w:val="22"/>
          <w:lang w:val="en-US"/>
        </w:rPr>
        <w:t xml:space="preserve"> 1%; </w:t>
      </w:r>
      <w:r w:rsidR="00316469" w:rsidRPr="003A1733">
        <w:rPr>
          <w:b/>
          <w:color w:val="000000" w:themeColor="text1"/>
          <w:sz w:val="22"/>
          <w:szCs w:val="22"/>
          <w:lang w:val="en-US"/>
        </w:rPr>
        <w:t>B.</w:t>
      </w:r>
      <w:r w:rsidR="00316469" w:rsidRPr="003A1733">
        <w:rPr>
          <w:color w:val="000000" w:themeColor="text1"/>
          <w:sz w:val="22"/>
          <w:szCs w:val="22"/>
          <w:lang w:val="en-US"/>
        </w:rPr>
        <w:t xml:space="preserve"> 5%; </w:t>
      </w:r>
      <w:r w:rsidR="00316469" w:rsidRPr="003A1733">
        <w:rPr>
          <w:b/>
          <w:color w:val="000000" w:themeColor="text1"/>
          <w:sz w:val="22"/>
          <w:szCs w:val="22"/>
          <w:lang w:val="en-US"/>
        </w:rPr>
        <w:t>C.</w:t>
      </w:r>
      <w:r w:rsidR="00316469" w:rsidRPr="003A1733">
        <w:rPr>
          <w:color w:val="000000" w:themeColor="text1"/>
          <w:sz w:val="22"/>
          <w:szCs w:val="22"/>
          <w:lang w:val="en-US"/>
        </w:rPr>
        <w:t xml:space="preserve"> 40%; </w:t>
      </w:r>
      <w:r w:rsidR="00316469" w:rsidRPr="003A1733">
        <w:rPr>
          <w:b/>
          <w:color w:val="000000" w:themeColor="text1"/>
          <w:sz w:val="22"/>
          <w:szCs w:val="22"/>
          <w:lang w:val="en-US"/>
        </w:rPr>
        <w:t>D.</w:t>
      </w:r>
      <w:r w:rsidR="00316469" w:rsidRPr="003A1733">
        <w:rPr>
          <w:color w:val="000000" w:themeColor="text1"/>
          <w:sz w:val="22"/>
          <w:szCs w:val="22"/>
          <w:lang w:val="en-US"/>
        </w:rPr>
        <w:t xml:space="preserve"> &gt;60% </w:t>
      </w:r>
      <w:r w:rsidRPr="003A1733">
        <w:rPr>
          <w:color w:val="000000" w:themeColor="text1"/>
          <w:sz w:val="22"/>
          <w:szCs w:val="22"/>
          <w:lang w:val="en-US"/>
        </w:rPr>
        <w:t>TI</w:t>
      </w:r>
      <w:r w:rsidR="008630F6" w:rsidRPr="003A1733">
        <w:rPr>
          <w:color w:val="000000" w:themeColor="text1"/>
          <w:sz w:val="22"/>
          <w:szCs w:val="22"/>
          <w:lang w:val="en-US"/>
        </w:rPr>
        <w:t>L</w:t>
      </w:r>
      <w:r w:rsidR="00316469" w:rsidRPr="003A1733">
        <w:rPr>
          <w:color w:val="000000" w:themeColor="text1"/>
          <w:sz w:val="22"/>
          <w:szCs w:val="22"/>
          <w:lang w:val="en-US"/>
        </w:rPr>
        <w:t>s</w:t>
      </w:r>
      <w:r w:rsidRPr="003A1733">
        <w:rPr>
          <w:color w:val="000000" w:themeColor="text1"/>
          <w:sz w:val="22"/>
          <w:szCs w:val="22"/>
          <w:lang w:val="en-US"/>
        </w:rPr>
        <w:t xml:space="preserve">. </w:t>
      </w:r>
      <w:r w:rsidR="00316469" w:rsidRPr="003A1733">
        <w:rPr>
          <w:color w:val="000000" w:themeColor="text1"/>
          <w:sz w:val="22"/>
          <w:szCs w:val="22"/>
          <w:lang w:val="en-US"/>
        </w:rPr>
        <w:t xml:space="preserve">Tumor stroma was evaluated </w:t>
      </w:r>
      <w:r w:rsidR="00316469" w:rsidRPr="003A1733">
        <w:rPr>
          <w:color w:val="000000" w:themeColor="text1"/>
          <w:sz w:val="22"/>
          <w:szCs w:val="22"/>
          <w:lang w:val="en-US"/>
        </w:rPr>
        <w:lastRenderedPageBreak/>
        <w:t xml:space="preserve">for the presence of TILs by quantitating the proportion of stroma area infiltrated by immune cells (0%-100%; (28)). Counts were </w:t>
      </w:r>
      <w:r w:rsidR="00D43329" w:rsidRPr="003A1733">
        <w:rPr>
          <w:color w:val="000000" w:themeColor="text1"/>
          <w:sz w:val="22"/>
          <w:szCs w:val="22"/>
          <w:lang w:val="en-US"/>
        </w:rPr>
        <w:t>rounded to</w:t>
      </w:r>
      <w:r w:rsidR="00316469" w:rsidRPr="003A1733">
        <w:rPr>
          <w:color w:val="000000" w:themeColor="text1"/>
          <w:sz w:val="22"/>
          <w:szCs w:val="22"/>
          <w:lang w:val="en-US"/>
        </w:rPr>
        <w:t xml:space="preserve"> </w:t>
      </w:r>
      <w:r w:rsidR="00D43329" w:rsidRPr="003A1733">
        <w:rPr>
          <w:color w:val="000000" w:themeColor="text1"/>
          <w:sz w:val="22"/>
          <w:szCs w:val="22"/>
          <w:lang w:val="en-US"/>
        </w:rPr>
        <w:t>multiples of</w:t>
      </w:r>
      <w:r w:rsidR="00316469" w:rsidRPr="003A1733">
        <w:rPr>
          <w:color w:val="000000" w:themeColor="text1"/>
          <w:sz w:val="22"/>
          <w:szCs w:val="22"/>
          <w:lang w:val="en-US"/>
        </w:rPr>
        <w:t xml:space="preserve"> 5%. </w:t>
      </w:r>
      <w:r w:rsidRPr="003A1733">
        <w:rPr>
          <w:color w:val="000000" w:themeColor="text1"/>
          <w:sz w:val="22"/>
          <w:szCs w:val="22"/>
          <w:lang w:val="en-US"/>
        </w:rPr>
        <w:t>Immune cells, predominantly T-lymphocytes are indicated by red arrows.</w:t>
      </w:r>
      <w:r w:rsidR="00485299" w:rsidRPr="003A1733">
        <w:rPr>
          <w:color w:val="000000" w:themeColor="text1"/>
          <w:sz w:val="22"/>
          <w:szCs w:val="22"/>
          <w:lang w:val="en-US"/>
        </w:rPr>
        <w:t xml:space="preserve"> </w:t>
      </w:r>
    </w:p>
    <w:p w14:paraId="29150804" w14:textId="17D1062F" w:rsidR="00772491" w:rsidRPr="003A1733" w:rsidRDefault="00BF3838" w:rsidP="00BF3838">
      <w:pPr>
        <w:spacing w:line="360" w:lineRule="auto"/>
        <w:jc w:val="both"/>
        <w:rPr>
          <w:color w:val="000000" w:themeColor="text1"/>
          <w:sz w:val="22"/>
          <w:szCs w:val="22"/>
          <w:lang w:val="en-US"/>
        </w:rPr>
      </w:pPr>
      <w:r w:rsidRPr="00876379">
        <w:rPr>
          <w:rFonts w:eastAsia="Times New Roman"/>
          <w:b/>
          <w:color w:val="000000" w:themeColor="text1"/>
          <w:sz w:val="22"/>
          <w:szCs w:val="22"/>
          <w:lang w:val="en-US"/>
        </w:rPr>
        <w:t>Supplementa</w:t>
      </w:r>
      <w:r w:rsidR="005A2D74" w:rsidRPr="00876379">
        <w:rPr>
          <w:rFonts w:eastAsia="Times New Roman"/>
          <w:b/>
          <w:color w:val="000000" w:themeColor="text1"/>
          <w:sz w:val="22"/>
          <w:szCs w:val="22"/>
          <w:lang w:val="en-US"/>
        </w:rPr>
        <w:t xml:space="preserve">ry </w:t>
      </w:r>
      <w:r w:rsidRPr="00876379">
        <w:rPr>
          <w:rFonts w:eastAsia="Times New Roman"/>
          <w:b/>
          <w:color w:val="000000" w:themeColor="text1"/>
          <w:sz w:val="22"/>
          <w:szCs w:val="22"/>
          <w:lang w:val="en-US"/>
        </w:rPr>
        <w:t xml:space="preserve">Fig. </w:t>
      </w:r>
      <w:r w:rsidR="00B35215">
        <w:rPr>
          <w:rFonts w:eastAsia="Times New Roman"/>
          <w:b/>
          <w:color w:val="000000" w:themeColor="text1"/>
          <w:sz w:val="22"/>
          <w:szCs w:val="22"/>
          <w:lang w:val="en-US"/>
        </w:rPr>
        <w:t>8</w:t>
      </w:r>
      <w:r w:rsidR="00B25C1A" w:rsidRPr="00876379">
        <w:rPr>
          <w:rFonts w:eastAsia="Times New Roman"/>
          <w:b/>
          <w:color w:val="000000" w:themeColor="text1"/>
          <w:sz w:val="22"/>
          <w:szCs w:val="22"/>
          <w:lang w:val="en-US"/>
        </w:rPr>
        <w:t>.</w:t>
      </w:r>
      <w:r w:rsidRPr="00876379"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 xml:space="preserve">Association </w:t>
      </w:r>
      <w:r w:rsidR="00291283">
        <w:rPr>
          <w:color w:val="000000"/>
          <w:sz w:val="22"/>
          <w:szCs w:val="22"/>
          <w:lang w:val="en-US"/>
        </w:rPr>
        <w:t>between</w:t>
      </w:r>
      <w:r>
        <w:rPr>
          <w:color w:val="000000"/>
          <w:sz w:val="22"/>
          <w:szCs w:val="22"/>
          <w:lang w:val="en-US"/>
        </w:rPr>
        <w:t xml:space="preserve"> </w:t>
      </w:r>
      <w:r w:rsidR="00291283" w:rsidRPr="00BF3838">
        <w:rPr>
          <w:color w:val="000000"/>
          <w:sz w:val="22"/>
          <w:szCs w:val="22"/>
          <w:lang w:val="en-US"/>
        </w:rPr>
        <w:t>the number of tumor infiltrating immune cells (TI</w:t>
      </w:r>
      <w:r w:rsidR="0082740B">
        <w:rPr>
          <w:color w:val="000000"/>
          <w:sz w:val="22"/>
          <w:szCs w:val="22"/>
          <w:lang w:val="en-US"/>
        </w:rPr>
        <w:t>L</w:t>
      </w:r>
      <w:r w:rsidR="00291283" w:rsidRPr="00BF3838">
        <w:rPr>
          <w:color w:val="000000"/>
          <w:sz w:val="22"/>
          <w:szCs w:val="22"/>
          <w:lang w:val="en-US"/>
        </w:rPr>
        <w:t>)</w:t>
      </w:r>
      <w:r w:rsidR="00291283">
        <w:rPr>
          <w:color w:val="000000"/>
          <w:sz w:val="22"/>
          <w:szCs w:val="22"/>
          <w:lang w:val="en-US"/>
        </w:rPr>
        <w:t xml:space="preserve"> inferred by histological examination of tumor sections </w:t>
      </w:r>
      <w:r w:rsidR="00291283" w:rsidRPr="003A1733">
        <w:rPr>
          <w:color w:val="000000" w:themeColor="text1"/>
          <w:sz w:val="22"/>
          <w:szCs w:val="22"/>
          <w:lang w:val="en-US"/>
        </w:rPr>
        <w:t xml:space="preserve">and </w:t>
      </w:r>
      <w:r w:rsidRPr="003A1733">
        <w:rPr>
          <w:color w:val="000000" w:themeColor="text1"/>
          <w:sz w:val="22"/>
          <w:szCs w:val="22"/>
          <w:lang w:val="en-US"/>
        </w:rPr>
        <w:t xml:space="preserve">gene expression signatures reflecting cell abundances of </w:t>
      </w:r>
      <w:r w:rsidR="00876379" w:rsidRPr="003A1733">
        <w:rPr>
          <w:color w:val="000000" w:themeColor="text1"/>
          <w:sz w:val="22"/>
          <w:szCs w:val="22"/>
          <w:lang w:val="en-US"/>
        </w:rPr>
        <w:t xml:space="preserve">cytotoxic cells </w:t>
      </w:r>
      <w:r w:rsidRPr="003A1733">
        <w:rPr>
          <w:color w:val="000000" w:themeColor="text1"/>
          <w:sz w:val="22"/>
          <w:szCs w:val="22"/>
          <w:lang w:val="en-US"/>
        </w:rPr>
        <w:t xml:space="preserve">(left) and </w:t>
      </w:r>
      <w:r w:rsidR="00876379" w:rsidRPr="003A1733">
        <w:rPr>
          <w:color w:val="000000" w:themeColor="text1"/>
          <w:sz w:val="22"/>
          <w:szCs w:val="22"/>
          <w:lang w:val="en-US"/>
        </w:rPr>
        <w:t xml:space="preserve">CD8+ T-cells </w:t>
      </w:r>
      <w:r w:rsidRPr="003A1733">
        <w:rPr>
          <w:color w:val="000000" w:themeColor="text1"/>
          <w:sz w:val="22"/>
          <w:szCs w:val="22"/>
          <w:lang w:val="en-US"/>
        </w:rPr>
        <w:t xml:space="preserve">(right). </w:t>
      </w:r>
      <w:r w:rsidR="00876379" w:rsidRPr="003A1733">
        <w:rPr>
          <w:color w:val="000000" w:themeColor="text1"/>
          <w:sz w:val="22"/>
          <w:szCs w:val="22"/>
          <w:lang w:val="en-US"/>
        </w:rPr>
        <w:t xml:space="preserve">Tumor stroma was evaluated for the presence of TILs by quantitating the proportion of stroma area infiltrated by immune cells (0%-100%; (28)). Counts were </w:t>
      </w:r>
      <w:r w:rsidR="00D43329" w:rsidRPr="003A1733">
        <w:rPr>
          <w:color w:val="000000" w:themeColor="text1"/>
          <w:sz w:val="22"/>
          <w:szCs w:val="22"/>
          <w:lang w:val="en-US"/>
        </w:rPr>
        <w:t>rounded to multiples of</w:t>
      </w:r>
      <w:r w:rsidR="00876379" w:rsidRPr="003A1733">
        <w:rPr>
          <w:color w:val="000000" w:themeColor="text1"/>
          <w:sz w:val="22"/>
          <w:szCs w:val="22"/>
          <w:lang w:val="en-US"/>
        </w:rPr>
        <w:t xml:space="preserve"> 5%</w:t>
      </w:r>
      <w:r w:rsidRPr="003A1733">
        <w:rPr>
          <w:color w:val="000000" w:themeColor="text1"/>
          <w:sz w:val="22"/>
          <w:szCs w:val="22"/>
          <w:lang w:val="en-US"/>
        </w:rPr>
        <w:t>.</w:t>
      </w:r>
      <w:r w:rsidR="00291283" w:rsidRPr="003A1733">
        <w:rPr>
          <w:color w:val="000000" w:themeColor="text1"/>
          <w:sz w:val="22"/>
          <w:szCs w:val="22"/>
          <w:lang w:val="en-US"/>
        </w:rPr>
        <w:t xml:space="preserve"> </w:t>
      </w:r>
      <w:r w:rsidR="00876379" w:rsidRPr="003A1733">
        <w:rPr>
          <w:color w:val="000000" w:themeColor="text1"/>
          <w:sz w:val="22"/>
          <w:szCs w:val="22"/>
          <w:lang w:val="en-US"/>
        </w:rPr>
        <w:t xml:space="preserve">Correlation coefficients and </w:t>
      </w:r>
      <w:r w:rsidR="00BF1176" w:rsidRPr="003A1733">
        <w:rPr>
          <w:i/>
          <w:color w:val="000000" w:themeColor="text1"/>
          <w:sz w:val="22"/>
          <w:szCs w:val="22"/>
          <w:lang w:val="en-US"/>
        </w:rPr>
        <w:t>P</w:t>
      </w:r>
      <w:r w:rsidR="00BF1176" w:rsidRPr="003A1733">
        <w:rPr>
          <w:color w:val="000000" w:themeColor="text1"/>
          <w:sz w:val="22"/>
          <w:szCs w:val="22"/>
          <w:lang w:val="en-US"/>
        </w:rPr>
        <w:t xml:space="preserve"> value refer to </w:t>
      </w:r>
      <w:r w:rsidR="00876379" w:rsidRPr="003A1733">
        <w:rPr>
          <w:color w:val="000000" w:themeColor="text1"/>
          <w:sz w:val="22"/>
          <w:szCs w:val="22"/>
          <w:lang w:val="en-US"/>
        </w:rPr>
        <w:t>Pearson’s</w:t>
      </w:r>
      <w:r w:rsidR="00772491" w:rsidRPr="003A1733">
        <w:rPr>
          <w:color w:val="000000" w:themeColor="text1"/>
          <w:sz w:val="22"/>
          <w:szCs w:val="22"/>
          <w:lang w:val="en-US"/>
        </w:rPr>
        <w:t xml:space="preserve"> </w:t>
      </w:r>
      <w:r w:rsidR="00876379" w:rsidRPr="003A1733">
        <w:rPr>
          <w:color w:val="000000" w:themeColor="text1"/>
          <w:sz w:val="22"/>
          <w:szCs w:val="22"/>
          <w:lang w:val="en-US"/>
        </w:rPr>
        <w:t>correlation test.</w:t>
      </w:r>
    </w:p>
    <w:p w14:paraId="29596747" w14:textId="77777777" w:rsidR="00772491" w:rsidRDefault="00772491" w:rsidP="00BF3838">
      <w:pPr>
        <w:spacing w:line="360" w:lineRule="auto"/>
        <w:jc w:val="both"/>
        <w:rPr>
          <w:rFonts w:eastAsia="Times New Roman"/>
          <w:color w:val="FF0000"/>
          <w:sz w:val="22"/>
          <w:szCs w:val="22"/>
          <w:lang w:val="en-US"/>
        </w:rPr>
      </w:pPr>
    </w:p>
    <w:p w14:paraId="3F982A9C" w14:textId="77777777" w:rsidR="00772491" w:rsidRDefault="00772491" w:rsidP="00BF3838">
      <w:pPr>
        <w:spacing w:line="360" w:lineRule="auto"/>
        <w:jc w:val="both"/>
        <w:rPr>
          <w:rFonts w:eastAsia="Times New Roman"/>
          <w:color w:val="FF0000"/>
          <w:sz w:val="22"/>
          <w:szCs w:val="22"/>
          <w:lang w:val="en-US"/>
        </w:rPr>
      </w:pPr>
    </w:p>
    <w:sectPr w:rsidR="00772491" w:rsidSect="00ED050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9530B"/>
    <w:multiLevelType w:val="hybridMultilevel"/>
    <w:tmpl w:val="19BC9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627E8"/>
    <w:multiLevelType w:val="hybridMultilevel"/>
    <w:tmpl w:val="91747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87DC3"/>
    <w:multiLevelType w:val="hybridMultilevel"/>
    <w:tmpl w:val="F0126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02C60"/>
    <w:multiLevelType w:val="hybridMultilevel"/>
    <w:tmpl w:val="9942E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9637C"/>
    <w:multiLevelType w:val="hybridMultilevel"/>
    <w:tmpl w:val="BDAE4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BD"/>
    <w:rsid w:val="00007506"/>
    <w:rsid w:val="00007CF7"/>
    <w:rsid w:val="00017AD2"/>
    <w:rsid w:val="0003533C"/>
    <w:rsid w:val="000435B8"/>
    <w:rsid w:val="000531DB"/>
    <w:rsid w:val="0005501E"/>
    <w:rsid w:val="000559C8"/>
    <w:rsid w:val="00062512"/>
    <w:rsid w:val="00075C19"/>
    <w:rsid w:val="00085424"/>
    <w:rsid w:val="00090E7D"/>
    <w:rsid w:val="00092183"/>
    <w:rsid w:val="000B6C5D"/>
    <w:rsid w:val="000D5134"/>
    <w:rsid w:val="000D63C5"/>
    <w:rsid w:val="000F777A"/>
    <w:rsid w:val="001076E4"/>
    <w:rsid w:val="00111807"/>
    <w:rsid w:val="001153BE"/>
    <w:rsid w:val="001333C1"/>
    <w:rsid w:val="00136A21"/>
    <w:rsid w:val="00141280"/>
    <w:rsid w:val="00144035"/>
    <w:rsid w:val="00150FF7"/>
    <w:rsid w:val="0016596E"/>
    <w:rsid w:val="0016706F"/>
    <w:rsid w:val="0018357C"/>
    <w:rsid w:val="001845B4"/>
    <w:rsid w:val="001A3FB4"/>
    <w:rsid w:val="001B5FD0"/>
    <w:rsid w:val="001C3034"/>
    <w:rsid w:val="001C50ED"/>
    <w:rsid w:val="001D352E"/>
    <w:rsid w:val="001D4EE0"/>
    <w:rsid w:val="001E2953"/>
    <w:rsid w:val="001E51FF"/>
    <w:rsid w:val="00210CB5"/>
    <w:rsid w:val="002135D2"/>
    <w:rsid w:val="002306A5"/>
    <w:rsid w:val="00230DF1"/>
    <w:rsid w:val="00270756"/>
    <w:rsid w:val="00271E10"/>
    <w:rsid w:val="00272F25"/>
    <w:rsid w:val="00286022"/>
    <w:rsid w:val="002901A7"/>
    <w:rsid w:val="00291283"/>
    <w:rsid w:val="00295B12"/>
    <w:rsid w:val="002A14E9"/>
    <w:rsid w:val="002A3639"/>
    <w:rsid w:val="002B1C1C"/>
    <w:rsid w:val="002C40D2"/>
    <w:rsid w:val="002C631B"/>
    <w:rsid w:val="002D03D5"/>
    <w:rsid w:val="002D3BF9"/>
    <w:rsid w:val="002E1F7C"/>
    <w:rsid w:val="002E27CF"/>
    <w:rsid w:val="002E54B2"/>
    <w:rsid w:val="002F0EBD"/>
    <w:rsid w:val="002F7395"/>
    <w:rsid w:val="003154F7"/>
    <w:rsid w:val="00316469"/>
    <w:rsid w:val="003602C7"/>
    <w:rsid w:val="003652A4"/>
    <w:rsid w:val="00375924"/>
    <w:rsid w:val="0037603D"/>
    <w:rsid w:val="003A1733"/>
    <w:rsid w:val="003D10E7"/>
    <w:rsid w:val="003D733A"/>
    <w:rsid w:val="003E6842"/>
    <w:rsid w:val="003F5A7C"/>
    <w:rsid w:val="00400835"/>
    <w:rsid w:val="00406D92"/>
    <w:rsid w:val="0041607D"/>
    <w:rsid w:val="00420679"/>
    <w:rsid w:val="00421A02"/>
    <w:rsid w:val="00426877"/>
    <w:rsid w:val="004333BE"/>
    <w:rsid w:val="00441FCB"/>
    <w:rsid w:val="004522A8"/>
    <w:rsid w:val="004664EC"/>
    <w:rsid w:val="00484D81"/>
    <w:rsid w:val="00485299"/>
    <w:rsid w:val="00490591"/>
    <w:rsid w:val="00492E32"/>
    <w:rsid w:val="004A1F21"/>
    <w:rsid w:val="004C2BDF"/>
    <w:rsid w:val="004C3BA0"/>
    <w:rsid w:val="004F3322"/>
    <w:rsid w:val="00515CD0"/>
    <w:rsid w:val="00527630"/>
    <w:rsid w:val="0055593E"/>
    <w:rsid w:val="005630BA"/>
    <w:rsid w:val="0057304F"/>
    <w:rsid w:val="00584508"/>
    <w:rsid w:val="005932C2"/>
    <w:rsid w:val="00597344"/>
    <w:rsid w:val="005A2C02"/>
    <w:rsid w:val="005A2D74"/>
    <w:rsid w:val="005A78D6"/>
    <w:rsid w:val="005B0D40"/>
    <w:rsid w:val="005B1F9D"/>
    <w:rsid w:val="005B2919"/>
    <w:rsid w:val="005B4818"/>
    <w:rsid w:val="005E2689"/>
    <w:rsid w:val="005E299F"/>
    <w:rsid w:val="005F00A3"/>
    <w:rsid w:val="005F020A"/>
    <w:rsid w:val="00601663"/>
    <w:rsid w:val="00607F0D"/>
    <w:rsid w:val="00610C94"/>
    <w:rsid w:val="00620AA2"/>
    <w:rsid w:val="00623466"/>
    <w:rsid w:val="00643B92"/>
    <w:rsid w:val="00652821"/>
    <w:rsid w:val="00660B7D"/>
    <w:rsid w:val="0066357B"/>
    <w:rsid w:val="00664978"/>
    <w:rsid w:val="00666D2D"/>
    <w:rsid w:val="0066716E"/>
    <w:rsid w:val="00667BFB"/>
    <w:rsid w:val="00696632"/>
    <w:rsid w:val="006A47E0"/>
    <w:rsid w:val="006B2859"/>
    <w:rsid w:val="006B729B"/>
    <w:rsid w:val="006B7964"/>
    <w:rsid w:val="006C5C7B"/>
    <w:rsid w:val="006C7D1F"/>
    <w:rsid w:val="006E189B"/>
    <w:rsid w:val="006F1EA6"/>
    <w:rsid w:val="00701908"/>
    <w:rsid w:val="0070664E"/>
    <w:rsid w:val="00722F58"/>
    <w:rsid w:val="00724622"/>
    <w:rsid w:val="00741667"/>
    <w:rsid w:val="00746AA8"/>
    <w:rsid w:val="00765B3D"/>
    <w:rsid w:val="00772491"/>
    <w:rsid w:val="00775E6E"/>
    <w:rsid w:val="00781FEE"/>
    <w:rsid w:val="00795A6D"/>
    <w:rsid w:val="007B4AD7"/>
    <w:rsid w:val="007D0CAA"/>
    <w:rsid w:val="007D1224"/>
    <w:rsid w:val="007E6B00"/>
    <w:rsid w:val="007F0270"/>
    <w:rsid w:val="00806C8A"/>
    <w:rsid w:val="008137F1"/>
    <w:rsid w:val="0082740B"/>
    <w:rsid w:val="008374EA"/>
    <w:rsid w:val="00840E55"/>
    <w:rsid w:val="00852E81"/>
    <w:rsid w:val="008630F6"/>
    <w:rsid w:val="00866383"/>
    <w:rsid w:val="00870800"/>
    <w:rsid w:val="00876379"/>
    <w:rsid w:val="008861F9"/>
    <w:rsid w:val="008A562E"/>
    <w:rsid w:val="008B15C1"/>
    <w:rsid w:val="008B494F"/>
    <w:rsid w:val="008D7FD5"/>
    <w:rsid w:val="008E539F"/>
    <w:rsid w:val="0090769F"/>
    <w:rsid w:val="00911F80"/>
    <w:rsid w:val="00922AB4"/>
    <w:rsid w:val="009252FD"/>
    <w:rsid w:val="00932DC9"/>
    <w:rsid w:val="00933A97"/>
    <w:rsid w:val="0095108B"/>
    <w:rsid w:val="00952D04"/>
    <w:rsid w:val="0095607B"/>
    <w:rsid w:val="009978DC"/>
    <w:rsid w:val="009A2639"/>
    <w:rsid w:val="009C3735"/>
    <w:rsid w:val="009E028B"/>
    <w:rsid w:val="009E2E8B"/>
    <w:rsid w:val="009E4747"/>
    <w:rsid w:val="009E505A"/>
    <w:rsid w:val="009E664D"/>
    <w:rsid w:val="009F28E9"/>
    <w:rsid w:val="00A04C62"/>
    <w:rsid w:val="00A05B11"/>
    <w:rsid w:val="00A05BA5"/>
    <w:rsid w:val="00A1081D"/>
    <w:rsid w:val="00A158F3"/>
    <w:rsid w:val="00A31B8C"/>
    <w:rsid w:val="00A36F89"/>
    <w:rsid w:val="00A56AF9"/>
    <w:rsid w:val="00A64D5E"/>
    <w:rsid w:val="00A71610"/>
    <w:rsid w:val="00A7467C"/>
    <w:rsid w:val="00A75B24"/>
    <w:rsid w:val="00A76E06"/>
    <w:rsid w:val="00A85775"/>
    <w:rsid w:val="00A90B37"/>
    <w:rsid w:val="00AB5C17"/>
    <w:rsid w:val="00AE597C"/>
    <w:rsid w:val="00AE5E2A"/>
    <w:rsid w:val="00AE72CB"/>
    <w:rsid w:val="00AF0E73"/>
    <w:rsid w:val="00B13EEA"/>
    <w:rsid w:val="00B25C1A"/>
    <w:rsid w:val="00B35215"/>
    <w:rsid w:val="00B53FAE"/>
    <w:rsid w:val="00B611F0"/>
    <w:rsid w:val="00B76B3A"/>
    <w:rsid w:val="00B81695"/>
    <w:rsid w:val="00B82D0D"/>
    <w:rsid w:val="00B86853"/>
    <w:rsid w:val="00B95F30"/>
    <w:rsid w:val="00BB1205"/>
    <w:rsid w:val="00BC5D4A"/>
    <w:rsid w:val="00BF1176"/>
    <w:rsid w:val="00BF2111"/>
    <w:rsid w:val="00BF33D7"/>
    <w:rsid w:val="00BF3838"/>
    <w:rsid w:val="00BF3FB3"/>
    <w:rsid w:val="00C0096B"/>
    <w:rsid w:val="00C12531"/>
    <w:rsid w:val="00C244FA"/>
    <w:rsid w:val="00C24899"/>
    <w:rsid w:val="00C2595D"/>
    <w:rsid w:val="00C434AC"/>
    <w:rsid w:val="00C5027F"/>
    <w:rsid w:val="00C572D4"/>
    <w:rsid w:val="00C575E0"/>
    <w:rsid w:val="00C75C14"/>
    <w:rsid w:val="00C91940"/>
    <w:rsid w:val="00CB05AD"/>
    <w:rsid w:val="00CB2FE1"/>
    <w:rsid w:val="00CC19D2"/>
    <w:rsid w:val="00D161C6"/>
    <w:rsid w:val="00D26B6F"/>
    <w:rsid w:val="00D3636E"/>
    <w:rsid w:val="00D43329"/>
    <w:rsid w:val="00D54635"/>
    <w:rsid w:val="00D61756"/>
    <w:rsid w:val="00D63BBF"/>
    <w:rsid w:val="00D74A92"/>
    <w:rsid w:val="00D87BA7"/>
    <w:rsid w:val="00D947FD"/>
    <w:rsid w:val="00DA43B7"/>
    <w:rsid w:val="00DB7B18"/>
    <w:rsid w:val="00DC1046"/>
    <w:rsid w:val="00DC2438"/>
    <w:rsid w:val="00DC646E"/>
    <w:rsid w:val="00DD7E67"/>
    <w:rsid w:val="00DF5230"/>
    <w:rsid w:val="00DF7EE4"/>
    <w:rsid w:val="00E2258A"/>
    <w:rsid w:val="00E349A3"/>
    <w:rsid w:val="00E40432"/>
    <w:rsid w:val="00E5237E"/>
    <w:rsid w:val="00E54849"/>
    <w:rsid w:val="00E70F8E"/>
    <w:rsid w:val="00E7229E"/>
    <w:rsid w:val="00E8095B"/>
    <w:rsid w:val="00E832B7"/>
    <w:rsid w:val="00E971E4"/>
    <w:rsid w:val="00EA30E2"/>
    <w:rsid w:val="00ED0502"/>
    <w:rsid w:val="00ED2D4F"/>
    <w:rsid w:val="00EE7B1D"/>
    <w:rsid w:val="00F30B62"/>
    <w:rsid w:val="00F375BF"/>
    <w:rsid w:val="00F43B07"/>
    <w:rsid w:val="00F47B9B"/>
    <w:rsid w:val="00F52C59"/>
    <w:rsid w:val="00F53DBF"/>
    <w:rsid w:val="00F60D5B"/>
    <w:rsid w:val="00F63629"/>
    <w:rsid w:val="00F74D63"/>
    <w:rsid w:val="00F7687F"/>
    <w:rsid w:val="00F86A5B"/>
    <w:rsid w:val="00FA6A60"/>
    <w:rsid w:val="00FD0EFD"/>
    <w:rsid w:val="00FD4106"/>
    <w:rsid w:val="00F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7040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1FEE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F3322"/>
    <w:pPr>
      <w:spacing w:before="100" w:beforeAutospacing="1" w:after="100" w:afterAutospacing="1"/>
    </w:pPr>
    <w:rPr>
      <w:rFonts w:eastAsia="Times New Roman"/>
    </w:rPr>
  </w:style>
  <w:style w:type="paragraph" w:styleId="Listenabsatz">
    <w:name w:val="List Paragraph"/>
    <w:basedOn w:val="Standard"/>
    <w:uiPriority w:val="34"/>
    <w:qFormat/>
    <w:rsid w:val="002860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E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EA6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03D8CE-34B3-8D41-97CB-BC96428E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WSchroth</dc:creator>
  <cp:keywords/>
  <dc:description/>
  <cp:lastModifiedBy>WSchroth</cp:lastModifiedBy>
  <cp:revision>3</cp:revision>
  <cp:lastPrinted>2020-07-24T14:38:00Z</cp:lastPrinted>
  <dcterms:created xsi:type="dcterms:W3CDTF">2020-08-05T10:59:00Z</dcterms:created>
  <dcterms:modified xsi:type="dcterms:W3CDTF">2020-08-07T09:27:00Z</dcterms:modified>
</cp:coreProperties>
</file>