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C1" w:rsidRPr="00757AC1" w:rsidRDefault="00757AC1" w:rsidP="00757AC1">
      <w:pPr>
        <w:spacing w:line="480" w:lineRule="auto"/>
        <w:rPr>
          <w:rFonts w:ascii="Arial" w:hAnsi="Arial" w:cs="Arial"/>
          <w:b/>
          <w:lang w:val="en-US"/>
        </w:rPr>
      </w:pPr>
      <w:bookmarkStart w:id="0" w:name="_GoBack"/>
      <w:bookmarkEnd w:id="0"/>
      <w:r w:rsidRPr="00757AC1">
        <w:rPr>
          <w:rFonts w:ascii="Arial" w:hAnsi="Arial" w:cs="Arial"/>
          <w:b/>
          <w:lang w:val="en-US"/>
        </w:rPr>
        <w:t>A Virus-Infected, Reprogrammed Somatic cell-derived Tumor cell (VIReST) regime can prevent initiation and progression of pancreatic cancer.</w:t>
      </w:r>
    </w:p>
    <w:p w:rsidR="006853A7" w:rsidRPr="003F2EAD" w:rsidRDefault="006853A7" w:rsidP="006853A7">
      <w:pPr>
        <w:spacing w:line="480" w:lineRule="auto"/>
        <w:rPr>
          <w:rFonts w:ascii="Arial" w:hAnsi="Arial" w:cs="Arial"/>
          <w:b/>
          <w:lang w:val="en-US"/>
        </w:rPr>
      </w:pPr>
      <w:r w:rsidRPr="003F2EAD">
        <w:rPr>
          <w:rFonts w:ascii="Arial" w:hAnsi="Arial" w:cs="Arial"/>
          <w:b/>
          <w:lang w:val="en-US"/>
        </w:rPr>
        <w:t>Running Title: Stem-cell-based prophylactic vaccination for pancreatic cancer</w:t>
      </w:r>
    </w:p>
    <w:p w:rsidR="00856E61" w:rsidRPr="00856E61" w:rsidRDefault="00856E61" w:rsidP="00856E61">
      <w:pPr>
        <w:spacing w:line="480" w:lineRule="auto"/>
        <w:rPr>
          <w:rFonts w:ascii="Calibri" w:eastAsia="SimSun" w:hAnsi="Calibri" w:cs="Arial"/>
          <w:sz w:val="24"/>
          <w:szCs w:val="24"/>
          <w:lang w:val="en-US"/>
        </w:rPr>
      </w:pPr>
      <w:r w:rsidRPr="00856E61">
        <w:rPr>
          <w:rFonts w:ascii="Calibri" w:eastAsia="SimSun" w:hAnsi="Calibri" w:cs="Arial"/>
          <w:sz w:val="24"/>
          <w:szCs w:val="24"/>
          <w:lang w:val="en-US"/>
        </w:rPr>
        <w:t>Shuangshuang Lu</w:t>
      </w:r>
      <w:r w:rsidRPr="00856E61">
        <w:rPr>
          <w:rFonts w:ascii="Calibri" w:eastAsia="SimSun" w:hAnsi="Calibri" w:cs="Arial"/>
          <w:sz w:val="24"/>
          <w:szCs w:val="24"/>
          <w:vertAlign w:val="superscript"/>
          <w:lang w:val="en-US"/>
        </w:rPr>
        <w:t>1</w:t>
      </w:r>
      <w:r w:rsidRPr="00856E61">
        <w:rPr>
          <w:rFonts w:ascii="Calibri" w:eastAsia="SimSun" w:hAnsi="Calibri" w:cs="Arial"/>
          <w:sz w:val="24"/>
          <w:szCs w:val="24"/>
          <w:lang w:val="en-US"/>
        </w:rPr>
        <w:t>, Zhe Zhang</w:t>
      </w:r>
      <w:r w:rsidRPr="00856E61">
        <w:rPr>
          <w:rFonts w:ascii="Calibri" w:eastAsia="SimSun" w:hAnsi="Calibri" w:cs="Arial"/>
          <w:sz w:val="24"/>
          <w:szCs w:val="24"/>
          <w:vertAlign w:val="superscript"/>
          <w:lang w:val="en-US"/>
        </w:rPr>
        <w:t xml:space="preserve">1 </w:t>
      </w:r>
      <w:r w:rsidRPr="00856E61">
        <w:rPr>
          <w:rFonts w:ascii="Calibri" w:eastAsia="SimSun" w:hAnsi="Calibri" w:cs="Arial"/>
          <w:sz w:val="24"/>
          <w:szCs w:val="24"/>
          <w:lang w:val="en-US"/>
        </w:rPr>
        <w:t>,Pan Du</w:t>
      </w:r>
      <w:r w:rsidRPr="00856E61">
        <w:rPr>
          <w:rFonts w:ascii="Calibri" w:eastAsia="SimSun" w:hAnsi="Calibri" w:cs="Arial"/>
          <w:sz w:val="24"/>
          <w:szCs w:val="24"/>
          <w:vertAlign w:val="superscript"/>
          <w:lang w:val="en-US"/>
        </w:rPr>
        <w:t>1</w:t>
      </w:r>
      <w:r w:rsidRPr="00856E61">
        <w:rPr>
          <w:rFonts w:ascii="Calibri" w:eastAsia="SimSun" w:hAnsi="Calibri" w:cs="Arial"/>
          <w:sz w:val="24"/>
          <w:szCs w:val="24"/>
          <w:lang w:val="en-US"/>
        </w:rPr>
        <w:t>, Louisa S Chard</w:t>
      </w:r>
      <w:r w:rsidRPr="00856E61">
        <w:rPr>
          <w:rFonts w:ascii="Calibri" w:eastAsia="SimSun" w:hAnsi="Calibri" w:cs="Arial"/>
          <w:sz w:val="24"/>
          <w:szCs w:val="24"/>
          <w:vertAlign w:val="superscript"/>
          <w:lang w:val="en-US"/>
        </w:rPr>
        <w:t>2</w:t>
      </w:r>
      <w:r w:rsidRPr="00856E61">
        <w:rPr>
          <w:rFonts w:ascii="Calibri" w:eastAsia="SimSun" w:hAnsi="Calibri" w:cs="Arial"/>
          <w:sz w:val="24"/>
          <w:szCs w:val="24"/>
          <w:lang w:val="en-US"/>
        </w:rPr>
        <w:t>, Wenli Yan</w:t>
      </w:r>
      <w:r w:rsidRPr="00856E61">
        <w:rPr>
          <w:rFonts w:ascii="Calibri" w:eastAsia="SimSun" w:hAnsi="Calibri" w:cs="Arial"/>
          <w:sz w:val="24"/>
          <w:szCs w:val="24"/>
          <w:vertAlign w:val="superscript"/>
          <w:lang w:val="en-US"/>
        </w:rPr>
        <w:t>1</w:t>
      </w:r>
      <w:r w:rsidRPr="00856E61">
        <w:rPr>
          <w:rFonts w:ascii="Calibri" w:eastAsia="SimSun" w:hAnsi="Calibri" w:cs="Arial"/>
          <w:sz w:val="24"/>
          <w:szCs w:val="24"/>
          <w:lang w:val="en-US"/>
        </w:rPr>
        <w:t>, , Margueritte El Khouri</w:t>
      </w:r>
      <w:r w:rsidRPr="00856E61">
        <w:rPr>
          <w:rFonts w:ascii="Calibri" w:eastAsia="SimSun" w:hAnsi="Calibri" w:cs="Arial"/>
          <w:sz w:val="24"/>
          <w:szCs w:val="24"/>
          <w:vertAlign w:val="superscript"/>
          <w:lang w:val="en-US"/>
        </w:rPr>
        <w:t>2</w:t>
      </w:r>
      <w:r w:rsidRPr="00856E61">
        <w:rPr>
          <w:rFonts w:ascii="Calibri" w:eastAsia="SimSun" w:hAnsi="Calibri" w:cs="Arial"/>
          <w:sz w:val="24"/>
          <w:szCs w:val="24"/>
          <w:lang w:val="en-US"/>
        </w:rPr>
        <w:t>, Zhizhong Wang</w:t>
      </w:r>
      <w:r w:rsidRPr="00856E61">
        <w:rPr>
          <w:rFonts w:ascii="Calibri" w:eastAsia="SimSun" w:hAnsi="Calibri" w:cs="Arial"/>
          <w:sz w:val="24"/>
          <w:szCs w:val="24"/>
          <w:vertAlign w:val="superscript"/>
          <w:lang w:val="en-US"/>
        </w:rPr>
        <w:t>1</w:t>
      </w:r>
      <w:r w:rsidRPr="00856E61">
        <w:rPr>
          <w:rFonts w:ascii="Calibri" w:eastAsia="SimSun" w:hAnsi="Calibri" w:cs="Arial"/>
          <w:sz w:val="24"/>
          <w:szCs w:val="24"/>
          <w:lang w:val="en-US"/>
        </w:rPr>
        <w:t>, Zhongxian Zhang</w:t>
      </w:r>
      <w:r w:rsidRPr="00856E61">
        <w:rPr>
          <w:rFonts w:ascii="Calibri" w:eastAsia="SimSun" w:hAnsi="Calibri" w:cs="Arial"/>
          <w:sz w:val="24"/>
          <w:szCs w:val="24"/>
          <w:vertAlign w:val="superscript"/>
          <w:lang w:val="en-US"/>
        </w:rPr>
        <w:t>1</w:t>
      </w:r>
      <w:r w:rsidRPr="00856E61">
        <w:rPr>
          <w:rFonts w:ascii="Calibri" w:eastAsia="SimSun" w:hAnsi="Calibri" w:cs="Arial"/>
          <w:sz w:val="24"/>
          <w:szCs w:val="24"/>
          <w:lang w:val="en-US"/>
        </w:rPr>
        <w:t>, Yongchao Chu</w:t>
      </w:r>
      <w:r w:rsidRPr="00856E61">
        <w:rPr>
          <w:rFonts w:ascii="Calibri" w:eastAsia="SimSun" w:hAnsi="Calibri" w:cs="Arial"/>
          <w:sz w:val="24"/>
          <w:szCs w:val="24"/>
          <w:vertAlign w:val="superscript"/>
          <w:lang w:val="en-US"/>
        </w:rPr>
        <w:t>1</w:t>
      </w:r>
      <w:r w:rsidRPr="00856E61">
        <w:rPr>
          <w:rFonts w:ascii="Calibri" w:eastAsia="SimSun" w:hAnsi="Calibri" w:cs="Arial"/>
          <w:sz w:val="24"/>
          <w:szCs w:val="24"/>
          <w:lang w:val="en-US"/>
        </w:rPr>
        <w:t>, Dongling Gao</w:t>
      </w:r>
      <w:r w:rsidRPr="00856E61">
        <w:rPr>
          <w:rFonts w:ascii="Calibri" w:eastAsia="SimSun" w:hAnsi="Calibri" w:cs="Arial"/>
          <w:sz w:val="24"/>
          <w:szCs w:val="24"/>
          <w:vertAlign w:val="superscript"/>
          <w:lang w:val="en-US"/>
        </w:rPr>
        <w:t>1</w:t>
      </w:r>
      <w:r w:rsidRPr="00856E61">
        <w:rPr>
          <w:rFonts w:ascii="Calibri" w:eastAsia="SimSun" w:hAnsi="Calibri" w:cs="Arial"/>
          <w:sz w:val="24"/>
          <w:szCs w:val="24"/>
          <w:lang w:val="en-US"/>
        </w:rPr>
        <w:t>, Qinxian Zhang</w:t>
      </w:r>
      <w:r w:rsidRPr="00856E61">
        <w:rPr>
          <w:rFonts w:ascii="Calibri" w:eastAsia="SimSun" w:hAnsi="Calibri" w:cs="Arial"/>
          <w:sz w:val="24"/>
          <w:szCs w:val="24"/>
          <w:vertAlign w:val="superscript"/>
          <w:lang w:val="en-US"/>
        </w:rPr>
        <w:t>3</w:t>
      </w:r>
      <w:r w:rsidRPr="00856E61">
        <w:rPr>
          <w:rFonts w:ascii="Calibri" w:eastAsia="SimSun" w:hAnsi="Calibri" w:cs="Arial"/>
          <w:sz w:val="24"/>
          <w:szCs w:val="24"/>
          <w:lang w:val="en-US"/>
        </w:rPr>
        <w:t>, Lirong Zhang</w:t>
      </w:r>
      <w:r w:rsidRPr="00856E61">
        <w:rPr>
          <w:rFonts w:ascii="Calibri" w:eastAsia="SimSun" w:hAnsi="Calibri" w:cs="Arial"/>
          <w:sz w:val="24"/>
          <w:szCs w:val="24"/>
          <w:vertAlign w:val="superscript"/>
          <w:lang w:val="en-US"/>
        </w:rPr>
        <w:t>3</w:t>
      </w:r>
      <w:r w:rsidRPr="00856E61">
        <w:rPr>
          <w:rFonts w:ascii="Calibri" w:eastAsia="SimSun" w:hAnsi="Calibri" w:cs="Arial"/>
          <w:sz w:val="24"/>
          <w:szCs w:val="24"/>
          <w:lang w:val="en-US"/>
        </w:rPr>
        <w:t>, Ai Nagano</w:t>
      </w:r>
      <w:r w:rsidRPr="00856E61">
        <w:rPr>
          <w:rFonts w:ascii="Calibri" w:eastAsia="SimSun" w:hAnsi="Calibri" w:cs="Arial"/>
          <w:sz w:val="24"/>
          <w:szCs w:val="24"/>
          <w:vertAlign w:val="superscript"/>
          <w:lang w:val="en-US"/>
        </w:rPr>
        <w:t>2</w:t>
      </w:r>
      <w:r w:rsidRPr="00856E61">
        <w:rPr>
          <w:rFonts w:ascii="Calibri" w:eastAsia="SimSun" w:hAnsi="Calibri" w:cs="Arial"/>
          <w:sz w:val="24"/>
          <w:szCs w:val="24"/>
          <w:lang w:val="en-US"/>
        </w:rPr>
        <w:t>, Jun Wang</w:t>
      </w:r>
      <w:r w:rsidRPr="00856E61">
        <w:rPr>
          <w:rFonts w:ascii="Calibri" w:eastAsia="SimSun" w:hAnsi="Calibri" w:cs="Arial"/>
          <w:sz w:val="24"/>
          <w:szCs w:val="24"/>
          <w:vertAlign w:val="superscript"/>
          <w:lang w:val="en-US"/>
        </w:rPr>
        <w:t>2</w:t>
      </w:r>
      <w:r w:rsidRPr="00856E61">
        <w:rPr>
          <w:rFonts w:ascii="Calibri" w:eastAsia="SimSun" w:hAnsi="Calibri" w:cs="Arial"/>
          <w:sz w:val="24"/>
          <w:szCs w:val="24"/>
          <w:lang w:val="en-US"/>
        </w:rPr>
        <w:t>, Claude Chelala</w:t>
      </w:r>
      <w:r w:rsidRPr="00856E61">
        <w:rPr>
          <w:rFonts w:ascii="Calibri" w:eastAsia="SimSun" w:hAnsi="Calibri" w:cs="Arial"/>
          <w:sz w:val="24"/>
          <w:szCs w:val="24"/>
          <w:vertAlign w:val="superscript"/>
          <w:lang w:val="en-US"/>
        </w:rPr>
        <w:t>2</w:t>
      </w:r>
      <w:r w:rsidRPr="00856E61">
        <w:rPr>
          <w:rFonts w:ascii="Calibri" w:eastAsia="SimSun" w:hAnsi="Calibri" w:cs="Arial"/>
          <w:sz w:val="24"/>
          <w:szCs w:val="24"/>
          <w:lang w:val="en-US"/>
        </w:rPr>
        <w:t>, Jing Liu</w:t>
      </w:r>
      <w:r w:rsidRPr="00856E61">
        <w:rPr>
          <w:rFonts w:ascii="Calibri" w:eastAsia="SimSun" w:hAnsi="Calibri" w:cs="Arial"/>
          <w:sz w:val="24"/>
          <w:szCs w:val="24"/>
          <w:vertAlign w:val="superscript"/>
          <w:lang w:val="en-US"/>
        </w:rPr>
        <w:t>4</w:t>
      </w:r>
      <w:r w:rsidRPr="00856E61">
        <w:rPr>
          <w:rFonts w:ascii="Calibri" w:eastAsia="SimSun" w:hAnsi="Calibri" w:cs="Arial"/>
          <w:sz w:val="24"/>
          <w:szCs w:val="24"/>
          <w:lang w:val="en-US"/>
        </w:rPr>
        <w:t>, Jiekai Chen</w:t>
      </w:r>
      <w:r w:rsidRPr="00856E61">
        <w:rPr>
          <w:rFonts w:ascii="Calibri" w:eastAsia="SimSun" w:hAnsi="Calibri" w:cs="Arial"/>
          <w:sz w:val="24"/>
          <w:szCs w:val="24"/>
          <w:vertAlign w:val="superscript"/>
          <w:lang w:val="en-US"/>
        </w:rPr>
        <w:t>4</w:t>
      </w:r>
      <w:r w:rsidRPr="00856E61">
        <w:rPr>
          <w:rFonts w:ascii="Calibri" w:eastAsia="SimSun" w:hAnsi="Calibri" w:cs="Arial"/>
          <w:sz w:val="24"/>
          <w:szCs w:val="24"/>
          <w:lang w:val="en-US"/>
        </w:rPr>
        <w:t>, Pentao Liu</w:t>
      </w:r>
      <w:r w:rsidRPr="00856E61">
        <w:rPr>
          <w:rFonts w:ascii="Calibri" w:eastAsia="SimSun" w:hAnsi="Calibri" w:cs="Arial"/>
          <w:sz w:val="24"/>
          <w:szCs w:val="24"/>
          <w:vertAlign w:val="superscript"/>
          <w:lang w:val="en-US"/>
        </w:rPr>
        <w:t>5</w:t>
      </w:r>
      <w:r w:rsidRPr="00856E61">
        <w:rPr>
          <w:rFonts w:ascii="Calibri" w:eastAsia="SimSun" w:hAnsi="Calibri" w:cs="Arial"/>
          <w:sz w:val="24"/>
          <w:szCs w:val="24"/>
          <w:lang w:val="en-US"/>
        </w:rPr>
        <w:t>, Yunshu Dong</w:t>
      </w:r>
      <w:r w:rsidRPr="00856E61">
        <w:rPr>
          <w:rFonts w:ascii="Calibri" w:eastAsia="SimSun" w:hAnsi="Calibri" w:cs="Arial"/>
          <w:sz w:val="24"/>
          <w:szCs w:val="24"/>
          <w:vertAlign w:val="superscript"/>
          <w:lang w:val="en-US"/>
        </w:rPr>
        <w:t>6</w:t>
      </w:r>
      <w:r w:rsidRPr="00856E61">
        <w:rPr>
          <w:rFonts w:ascii="Calibri" w:eastAsia="SimSun" w:hAnsi="Calibri" w:cs="Arial"/>
          <w:sz w:val="24"/>
          <w:szCs w:val="24"/>
          <w:lang w:val="en-US"/>
        </w:rPr>
        <w:t>, Shengdian Wang</w:t>
      </w:r>
      <w:r w:rsidRPr="00856E61">
        <w:rPr>
          <w:rFonts w:ascii="Calibri" w:eastAsia="SimSun" w:hAnsi="Calibri" w:cs="Arial"/>
          <w:sz w:val="24"/>
          <w:szCs w:val="24"/>
          <w:vertAlign w:val="superscript"/>
          <w:lang w:val="en-US"/>
        </w:rPr>
        <w:t>6</w:t>
      </w:r>
      <w:r w:rsidRPr="00856E61">
        <w:rPr>
          <w:rFonts w:ascii="Calibri" w:eastAsia="SimSun" w:hAnsi="Calibri" w:cs="Arial"/>
          <w:sz w:val="24"/>
          <w:szCs w:val="24"/>
          <w:lang w:val="en-US"/>
        </w:rPr>
        <w:t>, XiaozhuLi</w:t>
      </w:r>
      <w:r w:rsidRPr="00856E61">
        <w:rPr>
          <w:rFonts w:ascii="Calibri" w:eastAsia="SimSun" w:hAnsi="Calibri" w:cs="Arial"/>
          <w:sz w:val="24"/>
          <w:szCs w:val="24"/>
          <w:vertAlign w:val="superscript"/>
          <w:lang w:val="en-US"/>
        </w:rPr>
        <w:t>6</w:t>
      </w:r>
      <w:r w:rsidRPr="00856E61">
        <w:rPr>
          <w:rFonts w:ascii="Calibri" w:eastAsia="SimSun" w:hAnsi="Calibri" w:cs="Arial"/>
          <w:sz w:val="24"/>
          <w:szCs w:val="24"/>
          <w:lang w:val="en-US"/>
        </w:rPr>
        <w:t>, Jianzeng Dong</w:t>
      </w:r>
      <w:r w:rsidRPr="00856E61">
        <w:rPr>
          <w:rFonts w:ascii="Calibri" w:eastAsia="SimSun" w:hAnsi="Calibri" w:cs="Arial"/>
          <w:sz w:val="24"/>
          <w:szCs w:val="24"/>
          <w:vertAlign w:val="superscript"/>
          <w:lang w:val="en-US"/>
        </w:rPr>
        <w:t>7</w:t>
      </w:r>
      <w:r w:rsidRPr="00856E61">
        <w:rPr>
          <w:rFonts w:ascii="Calibri" w:eastAsia="SimSun" w:hAnsi="Calibri" w:cs="Arial"/>
          <w:sz w:val="24"/>
          <w:szCs w:val="24"/>
          <w:lang w:val="en-US"/>
        </w:rPr>
        <w:t>, Nick R Lemoine</w:t>
      </w:r>
      <w:r w:rsidRPr="00856E61">
        <w:rPr>
          <w:rFonts w:ascii="Calibri" w:eastAsia="SimSun" w:hAnsi="Calibri" w:cs="Arial"/>
          <w:sz w:val="24"/>
          <w:szCs w:val="24"/>
          <w:vertAlign w:val="superscript"/>
          <w:lang w:val="en-US"/>
        </w:rPr>
        <w:t>1, 2</w:t>
      </w:r>
      <w:r w:rsidRPr="00856E61">
        <w:rPr>
          <w:rFonts w:ascii="Calibri" w:eastAsia="SimSun" w:hAnsi="Calibri" w:cs="Arial"/>
          <w:sz w:val="24"/>
          <w:szCs w:val="24"/>
          <w:lang w:val="en-US"/>
        </w:rPr>
        <w:t>, Duanqing Pei</w:t>
      </w:r>
      <w:r w:rsidRPr="00856E61">
        <w:rPr>
          <w:rFonts w:ascii="Calibri" w:eastAsia="SimSun" w:hAnsi="Calibri" w:cs="Arial"/>
          <w:sz w:val="24"/>
          <w:szCs w:val="24"/>
          <w:vertAlign w:val="superscript"/>
          <w:lang w:val="en-US"/>
        </w:rPr>
        <w:t>4#</w:t>
      </w:r>
      <w:r w:rsidRPr="00856E61">
        <w:rPr>
          <w:rFonts w:ascii="Calibri" w:eastAsia="SimSun" w:hAnsi="Calibri" w:cs="Arial"/>
          <w:sz w:val="24"/>
          <w:szCs w:val="24"/>
          <w:lang w:val="en-US"/>
        </w:rPr>
        <w:t xml:space="preserve">  and Yaohe Wang</w:t>
      </w:r>
      <w:r w:rsidRPr="00856E61">
        <w:rPr>
          <w:rFonts w:ascii="Calibri" w:eastAsia="SimSun" w:hAnsi="Calibri" w:cs="Arial"/>
          <w:sz w:val="24"/>
          <w:szCs w:val="24"/>
          <w:vertAlign w:val="superscript"/>
          <w:lang w:val="en-US"/>
        </w:rPr>
        <w:t xml:space="preserve">1, 2# </w:t>
      </w:r>
    </w:p>
    <w:p w:rsidR="006853A7" w:rsidRDefault="00E54171" w:rsidP="006853A7">
      <w:pPr>
        <w:spacing w:line="360" w:lineRule="auto"/>
        <w:rPr>
          <w:b/>
          <w:sz w:val="24"/>
          <w:szCs w:val="24"/>
        </w:rPr>
      </w:pPr>
      <w:r>
        <w:rPr>
          <w:b/>
          <w:sz w:val="24"/>
          <w:szCs w:val="24"/>
        </w:rPr>
        <w:t>Supplementary Figure Legends</w:t>
      </w:r>
    </w:p>
    <w:p w:rsidR="006853A7" w:rsidRDefault="006853A7" w:rsidP="006853A7">
      <w:pPr>
        <w:spacing w:line="360" w:lineRule="auto"/>
        <w:rPr>
          <w:sz w:val="24"/>
          <w:szCs w:val="24"/>
        </w:rPr>
      </w:pPr>
      <w:r>
        <w:rPr>
          <w:b/>
          <w:sz w:val="24"/>
          <w:szCs w:val="24"/>
        </w:rPr>
        <w:t xml:space="preserve">Supplementary Figure 1.  </w:t>
      </w:r>
      <w:r w:rsidRPr="00E7110A">
        <w:rPr>
          <w:b/>
          <w:sz w:val="24"/>
          <w:szCs w:val="24"/>
        </w:rPr>
        <w:t>Tail-tip fibroblasts from WT or KPC mice can be converted to pluripotency and homologous recombination can effectively introduce KRas</w:t>
      </w:r>
      <w:r w:rsidRPr="00E7110A">
        <w:rPr>
          <w:b/>
          <w:sz w:val="24"/>
          <w:szCs w:val="24"/>
          <w:vertAlign w:val="superscript"/>
        </w:rPr>
        <w:t>G12D</w:t>
      </w:r>
      <w:r w:rsidRPr="00E7110A">
        <w:rPr>
          <w:b/>
          <w:sz w:val="24"/>
          <w:szCs w:val="24"/>
        </w:rPr>
        <w:t xml:space="preserve"> and P53</w:t>
      </w:r>
      <w:r w:rsidRPr="00E7110A">
        <w:rPr>
          <w:b/>
          <w:sz w:val="24"/>
          <w:szCs w:val="24"/>
          <w:vertAlign w:val="superscript"/>
        </w:rPr>
        <w:t>R172H</w:t>
      </w:r>
      <w:r w:rsidRPr="00E7110A">
        <w:rPr>
          <w:b/>
          <w:sz w:val="24"/>
          <w:szCs w:val="24"/>
        </w:rPr>
        <w:t xml:space="preserve"> mutations into iPSCs.</w:t>
      </w:r>
      <w:r w:rsidRPr="00E7110A">
        <w:rPr>
          <w:sz w:val="24"/>
          <w:szCs w:val="24"/>
        </w:rPr>
        <w:t xml:space="preserve">   LSL-Kras</w:t>
      </w:r>
      <w:r w:rsidRPr="00E7110A">
        <w:rPr>
          <w:sz w:val="24"/>
          <w:szCs w:val="24"/>
          <w:vertAlign w:val="superscript"/>
        </w:rPr>
        <w:t>G12D/+</w:t>
      </w:r>
      <w:r w:rsidRPr="00E7110A">
        <w:rPr>
          <w:sz w:val="24"/>
          <w:szCs w:val="24"/>
        </w:rPr>
        <w:t>; LSL-Trp53</w:t>
      </w:r>
      <w:r w:rsidRPr="00E7110A">
        <w:rPr>
          <w:sz w:val="24"/>
          <w:szCs w:val="24"/>
          <w:vertAlign w:val="superscript"/>
        </w:rPr>
        <w:t>R172H/+</w:t>
      </w:r>
      <w:r w:rsidRPr="00E7110A">
        <w:rPr>
          <w:sz w:val="24"/>
          <w:szCs w:val="24"/>
        </w:rPr>
        <w:t>; Pdx-1-Cre (KPC) or wild-type (WT) littermates (129J/Bl6) tail tip fibroblasts were reprogrammed using retroviral transduction of Oct4, Sox2 and Klf4 on day 0.  (</w:t>
      </w:r>
      <w:r>
        <w:rPr>
          <w:b/>
          <w:sz w:val="24"/>
          <w:szCs w:val="24"/>
        </w:rPr>
        <w:t>A</w:t>
      </w:r>
      <w:r w:rsidRPr="00E7110A">
        <w:rPr>
          <w:sz w:val="24"/>
          <w:szCs w:val="24"/>
        </w:rPr>
        <w:t>) KRas was modified to Kras</w:t>
      </w:r>
      <w:r w:rsidRPr="00E7110A">
        <w:rPr>
          <w:sz w:val="24"/>
          <w:szCs w:val="24"/>
          <w:vertAlign w:val="superscript"/>
        </w:rPr>
        <w:t>G12D/+</w:t>
      </w:r>
      <w:r w:rsidRPr="00E7110A">
        <w:rPr>
          <w:sz w:val="24"/>
          <w:szCs w:val="24"/>
        </w:rPr>
        <w:t xml:space="preserve"> in WT iPSCs using the homologous recombination targeting vector shown</w:t>
      </w:r>
      <w:r w:rsidR="00163B34">
        <w:rPr>
          <w:sz w:val="24"/>
          <w:szCs w:val="24"/>
        </w:rPr>
        <w:t xml:space="preserve"> </w:t>
      </w:r>
      <w:r w:rsidRPr="00E7110A">
        <w:rPr>
          <w:sz w:val="24"/>
          <w:szCs w:val="24"/>
        </w:rPr>
        <w:t>(arrows indicate genotyping primer location; * indicates the mutation site in the construct). PCR primers were used to specifically detect mutated KRas.  *WT-K indicates the selected clone heterozygous for mutated KRas; + indicates the Kras</w:t>
      </w:r>
      <w:r w:rsidRPr="00E7110A">
        <w:rPr>
          <w:sz w:val="24"/>
          <w:szCs w:val="24"/>
          <w:vertAlign w:val="superscript"/>
        </w:rPr>
        <w:t xml:space="preserve">G12D </w:t>
      </w:r>
      <w:r w:rsidRPr="00E7110A">
        <w:rPr>
          <w:sz w:val="24"/>
          <w:szCs w:val="24"/>
        </w:rPr>
        <w:t>positive control from KPC fibroblasts. (</w:t>
      </w:r>
      <w:r>
        <w:rPr>
          <w:b/>
          <w:sz w:val="24"/>
          <w:szCs w:val="24"/>
        </w:rPr>
        <w:t>B</w:t>
      </w:r>
      <w:r w:rsidRPr="00E7110A">
        <w:rPr>
          <w:sz w:val="24"/>
          <w:szCs w:val="24"/>
        </w:rPr>
        <w:t>) P53 was modified to p53</w:t>
      </w:r>
      <w:r w:rsidRPr="00E7110A">
        <w:rPr>
          <w:sz w:val="24"/>
          <w:szCs w:val="24"/>
          <w:vertAlign w:val="superscript"/>
        </w:rPr>
        <w:t>R172H/+</w:t>
      </w:r>
      <w:r w:rsidRPr="00E7110A">
        <w:rPr>
          <w:sz w:val="24"/>
          <w:szCs w:val="24"/>
        </w:rPr>
        <w:t xml:space="preserve"> in WT-K cells through TALEN-mediated homologous recombination with the vector shown (arrows indicate genotyping primer location; * indicates the mutation site in the construct).  PCR primers were used to specifically detect mutated p53.  *WT-KP indicates the selected clone heterozygous for mutated KRas and p53; + indicates the p53</w:t>
      </w:r>
      <w:r w:rsidRPr="00E7110A">
        <w:rPr>
          <w:sz w:val="24"/>
          <w:szCs w:val="24"/>
          <w:vertAlign w:val="superscript"/>
        </w:rPr>
        <w:t xml:space="preserve">R172H/+ </w:t>
      </w:r>
      <w:r w:rsidRPr="00E7110A">
        <w:rPr>
          <w:sz w:val="24"/>
          <w:szCs w:val="24"/>
        </w:rPr>
        <w:t>positive control from KPC fibroblasts. (</w:t>
      </w:r>
      <w:r>
        <w:rPr>
          <w:b/>
          <w:sz w:val="24"/>
          <w:szCs w:val="24"/>
        </w:rPr>
        <w:t>C</w:t>
      </w:r>
      <w:r w:rsidRPr="00E7110A">
        <w:rPr>
          <w:sz w:val="24"/>
          <w:szCs w:val="24"/>
        </w:rPr>
        <w:t xml:space="preserve">) Presence of heterozygous mutant KRas (GGT-GAT) and p53 (CGC-CAC) in the selected </w:t>
      </w:r>
      <w:r w:rsidRPr="00E7110A">
        <w:rPr>
          <w:sz w:val="24"/>
          <w:szCs w:val="24"/>
        </w:rPr>
        <w:lastRenderedPageBreak/>
        <w:t>WT-KP clone was confirmed using sequencing.  The arrows indicate the heterozygous mutant sites.</w:t>
      </w:r>
      <w:r w:rsidRPr="00E143F7">
        <w:rPr>
          <w:sz w:val="24"/>
          <w:szCs w:val="24"/>
        </w:rPr>
        <w:t>(</w:t>
      </w:r>
      <w:r>
        <w:rPr>
          <w:b/>
          <w:sz w:val="24"/>
          <w:szCs w:val="24"/>
        </w:rPr>
        <w:t>D</w:t>
      </w:r>
      <w:r w:rsidRPr="00E143F7">
        <w:rPr>
          <w:sz w:val="24"/>
          <w:szCs w:val="24"/>
        </w:rPr>
        <w:t>) Pseudopregnant ICR mice were used to generate chimeric mice using WT, WT-KP or KPC iPSCs.  A representative example of chimeras generated is shown.</w:t>
      </w:r>
    </w:p>
    <w:p w:rsidR="00E73FC4" w:rsidRDefault="00E73FC4" w:rsidP="006853A7">
      <w:pPr>
        <w:spacing w:line="360" w:lineRule="auto"/>
        <w:rPr>
          <w:sz w:val="24"/>
          <w:szCs w:val="24"/>
        </w:rPr>
      </w:pPr>
    </w:p>
    <w:p w:rsidR="006853A7" w:rsidRDefault="006853A7" w:rsidP="006853A7">
      <w:pPr>
        <w:spacing w:line="360" w:lineRule="auto"/>
        <w:rPr>
          <w:sz w:val="24"/>
          <w:szCs w:val="24"/>
        </w:rPr>
      </w:pPr>
      <w:r>
        <w:rPr>
          <w:b/>
          <w:sz w:val="24"/>
          <w:szCs w:val="24"/>
        </w:rPr>
        <w:t xml:space="preserve">Supplementary Figure 2. iPSCs derived from KPC or WT </w:t>
      </w:r>
      <w:r w:rsidRPr="00E7110A">
        <w:rPr>
          <w:b/>
          <w:sz w:val="24"/>
          <w:szCs w:val="24"/>
        </w:rPr>
        <w:t>mice can be effectively differentiated and transformed into tumor cells.</w:t>
      </w:r>
      <w:r w:rsidRPr="00E143F7">
        <w:rPr>
          <w:sz w:val="24"/>
          <w:szCs w:val="24"/>
        </w:rPr>
        <w:t>(</w:t>
      </w:r>
      <w:r>
        <w:rPr>
          <w:b/>
          <w:sz w:val="24"/>
          <w:szCs w:val="24"/>
        </w:rPr>
        <w:t>A</w:t>
      </w:r>
      <w:r w:rsidRPr="00E143F7">
        <w:rPr>
          <w:sz w:val="24"/>
          <w:szCs w:val="24"/>
        </w:rPr>
        <w:t xml:space="preserve">) iPS cells were differentiated into definitive endoderm (DE) and then pancreatic progenitor like cells (PPLCs) following the protocol shown and detailed in the Methods.  Briefly, Activin (Act) and Chir99021 (Chir) were used in medium 1 (Med1) to induce DE formation.  Incubation in Medium 2 (Med2) containing Retinoic acid (RA), Cyclopamin (cyclo), Noggin (Nog), A83-01 (A83) and Vitamin C (VC) induced </w:t>
      </w:r>
      <w:r>
        <w:rPr>
          <w:sz w:val="24"/>
          <w:szCs w:val="24"/>
        </w:rPr>
        <w:t>PPLCs</w:t>
      </w:r>
      <w:r w:rsidRPr="00E143F7">
        <w:rPr>
          <w:sz w:val="24"/>
          <w:szCs w:val="24"/>
        </w:rPr>
        <w:t>.  Finally, PPLCs derived from WT-KP iPSCs were infected with non-replicating AdV-Cre to remove the LSL cassette flanking the Kras</w:t>
      </w:r>
      <w:r w:rsidRPr="00E143F7">
        <w:rPr>
          <w:sz w:val="24"/>
          <w:szCs w:val="24"/>
          <w:vertAlign w:val="superscript"/>
        </w:rPr>
        <w:t>G12D</w:t>
      </w:r>
      <w:r w:rsidRPr="00E143F7">
        <w:rPr>
          <w:sz w:val="24"/>
          <w:szCs w:val="24"/>
        </w:rPr>
        <w:t xml:space="preserve"> and p53</w:t>
      </w:r>
      <w:r w:rsidRPr="00E143F7">
        <w:rPr>
          <w:sz w:val="24"/>
          <w:szCs w:val="24"/>
          <w:vertAlign w:val="superscript"/>
        </w:rPr>
        <w:t xml:space="preserve">R172H </w:t>
      </w:r>
      <w:r w:rsidRPr="00E143F7">
        <w:rPr>
          <w:sz w:val="24"/>
          <w:szCs w:val="24"/>
        </w:rPr>
        <w:t xml:space="preserve">modified genes to create KP-AC tumor cells.  </w:t>
      </w:r>
      <w:r w:rsidRPr="00E7110A">
        <w:rPr>
          <w:sz w:val="24"/>
          <w:szCs w:val="24"/>
        </w:rPr>
        <w:t>(</w:t>
      </w:r>
      <w:r>
        <w:rPr>
          <w:b/>
          <w:sz w:val="24"/>
          <w:szCs w:val="24"/>
        </w:rPr>
        <w:t>B</w:t>
      </w:r>
      <w:r w:rsidRPr="00E7110A">
        <w:rPr>
          <w:sz w:val="24"/>
          <w:szCs w:val="24"/>
        </w:rPr>
        <w:t xml:space="preserve">) iPSC markers (Oct4 and Nanog), DE markers (Foxa2 and Sox17) and PPLC markers (Sox9 and Pdx1) were analysed </w:t>
      </w:r>
      <w:r>
        <w:rPr>
          <w:sz w:val="24"/>
          <w:szCs w:val="24"/>
        </w:rPr>
        <w:t xml:space="preserve">in WT, KPC and WT-KP iPSCs undergoing pancreatic specification </w:t>
      </w:r>
      <w:r w:rsidRPr="00E7110A">
        <w:rPr>
          <w:sz w:val="24"/>
          <w:szCs w:val="24"/>
        </w:rPr>
        <w:t>using qPCR.   Samples were analysed at days 0 (iPSC), 5 (DE) and 9 (PPLC) during transformation from iPSCs into PPLCs.  Results were normalised using Actin.  (</w:t>
      </w:r>
      <w:r>
        <w:rPr>
          <w:b/>
          <w:sz w:val="24"/>
          <w:szCs w:val="24"/>
        </w:rPr>
        <w:t>C</w:t>
      </w:r>
      <w:r w:rsidRPr="00E7110A">
        <w:rPr>
          <w:sz w:val="24"/>
          <w:szCs w:val="24"/>
        </w:rPr>
        <w:t xml:space="preserve">) </w:t>
      </w:r>
      <w:r w:rsidRPr="00E143F7">
        <w:rPr>
          <w:sz w:val="24"/>
          <w:szCs w:val="24"/>
        </w:rPr>
        <w:t xml:space="preserve">The indicated cell lines were passaged to observe proliferation or senescence </w:t>
      </w:r>
      <w:r w:rsidRPr="00E143F7">
        <w:rPr>
          <w:i/>
          <w:sz w:val="24"/>
          <w:szCs w:val="24"/>
        </w:rPr>
        <w:t>in vitro</w:t>
      </w:r>
      <w:r w:rsidRPr="00E143F7">
        <w:rPr>
          <w:sz w:val="24"/>
          <w:szCs w:val="24"/>
        </w:rPr>
        <w:t xml:space="preserve"> and light microscope images depicted. </w:t>
      </w:r>
      <w:r>
        <w:rPr>
          <w:sz w:val="24"/>
          <w:szCs w:val="24"/>
        </w:rPr>
        <w:t>(</w:t>
      </w:r>
      <w:r>
        <w:rPr>
          <w:b/>
          <w:sz w:val="24"/>
          <w:szCs w:val="24"/>
        </w:rPr>
        <w:t>F</w:t>
      </w:r>
      <w:r>
        <w:rPr>
          <w:sz w:val="24"/>
          <w:szCs w:val="24"/>
        </w:rPr>
        <w:t xml:space="preserve">) </w:t>
      </w:r>
      <w:r>
        <w:rPr>
          <w:rFonts w:hint="eastAsia"/>
          <w:sz w:val="24"/>
          <w:szCs w:val="24"/>
        </w:rPr>
        <w:t xml:space="preserve">Differentiation </w:t>
      </w:r>
      <w:r>
        <w:rPr>
          <w:sz w:val="24"/>
          <w:szCs w:val="24"/>
        </w:rPr>
        <w:t>of LSL-Kras</w:t>
      </w:r>
      <w:r>
        <w:rPr>
          <w:sz w:val="24"/>
          <w:szCs w:val="24"/>
          <w:vertAlign w:val="superscript"/>
        </w:rPr>
        <w:t>G12D/+</w:t>
      </w:r>
      <w:r>
        <w:rPr>
          <w:sz w:val="24"/>
          <w:szCs w:val="24"/>
        </w:rPr>
        <w:t>; LSL-Trp53</w:t>
      </w:r>
      <w:r>
        <w:rPr>
          <w:sz w:val="24"/>
          <w:szCs w:val="24"/>
          <w:vertAlign w:val="superscript"/>
        </w:rPr>
        <w:t>R172H/+</w:t>
      </w:r>
      <w:r>
        <w:rPr>
          <w:rFonts w:hint="eastAsia"/>
          <w:sz w:val="24"/>
          <w:szCs w:val="24"/>
        </w:rPr>
        <w:t xml:space="preserve"> iPSCs to lung cancer cells. The protocol </w:t>
      </w:r>
      <w:r>
        <w:rPr>
          <w:sz w:val="24"/>
          <w:szCs w:val="24"/>
        </w:rPr>
        <w:t>is</w:t>
      </w:r>
      <w:r>
        <w:rPr>
          <w:rFonts w:hint="eastAsia"/>
          <w:sz w:val="24"/>
          <w:szCs w:val="24"/>
        </w:rPr>
        <w:t xml:space="preserve"> listed in the Methods. iPSCs </w:t>
      </w:r>
      <w:r>
        <w:rPr>
          <w:sz w:val="24"/>
          <w:szCs w:val="24"/>
        </w:rPr>
        <w:t xml:space="preserve">were </w:t>
      </w:r>
      <w:r>
        <w:rPr>
          <w:rFonts w:hint="eastAsia"/>
          <w:sz w:val="24"/>
          <w:szCs w:val="24"/>
        </w:rPr>
        <w:t>differentiated to</w:t>
      </w:r>
      <w:r>
        <w:rPr>
          <w:rFonts w:hint="eastAsia"/>
          <w:bCs/>
          <w:sz w:val="24"/>
          <w:szCs w:val="24"/>
        </w:rPr>
        <w:t xml:space="preserve"> embryoid bodies (1 day),</w:t>
      </w:r>
      <w:r>
        <w:rPr>
          <w:rFonts w:hint="eastAsia"/>
          <w:sz w:val="24"/>
          <w:szCs w:val="24"/>
        </w:rPr>
        <w:t xml:space="preserve"> endoderm (3 days), anterior foregut endoderm (2 days) and lung progenitors (9-10 days). After </w:t>
      </w:r>
      <w:r>
        <w:rPr>
          <w:sz w:val="24"/>
          <w:szCs w:val="24"/>
        </w:rPr>
        <w:t>this stage</w:t>
      </w:r>
      <w:r>
        <w:rPr>
          <w:rFonts w:hint="eastAsia"/>
          <w:sz w:val="24"/>
          <w:szCs w:val="24"/>
        </w:rPr>
        <w:t xml:space="preserve">, cells were infected with Ad5-Cre to </w:t>
      </w:r>
      <w:r w:rsidRPr="00E143F7">
        <w:rPr>
          <w:sz w:val="24"/>
          <w:szCs w:val="24"/>
        </w:rPr>
        <w:t>remove the LSL cassette flanking the Kras</w:t>
      </w:r>
      <w:r w:rsidRPr="00E143F7">
        <w:rPr>
          <w:sz w:val="24"/>
          <w:szCs w:val="24"/>
          <w:vertAlign w:val="superscript"/>
        </w:rPr>
        <w:t>G12D</w:t>
      </w:r>
      <w:r w:rsidRPr="00E143F7">
        <w:rPr>
          <w:sz w:val="24"/>
          <w:szCs w:val="24"/>
        </w:rPr>
        <w:t xml:space="preserve"> and p53</w:t>
      </w:r>
      <w:r w:rsidRPr="00E143F7">
        <w:rPr>
          <w:sz w:val="24"/>
          <w:szCs w:val="24"/>
          <w:vertAlign w:val="superscript"/>
        </w:rPr>
        <w:t xml:space="preserve">R172H </w:t>
      </w:r>
      <w:r>
        <w:rPr>
          <w:sz w:val="24"/>
          <w:szCs w:val="24"/>
        </w:rPr>
        <w:t>modified genes to create KP-LC tumor cells.</w:t>
      </w:r>
    </w:p>
    <w:p w:rsidR="00CF3782" w:rsidRDefault="00CF3782" w:rsidP="00CF3782">
      <w:pPr>
        <w:spacing w:line="360" w:lineRule="auto"/>
        <w:rPr>
          <w:rFonts w:eastAsia="Calibri" w:cs="Calibri"/>
          <w:sz w:val="24"/>
          <w:szCs w:val="24"/>
        </w:rPr>
      </w:pPr>
      <w:r w:rsidRPr="00CF3782">
        <w:rPr>
          <w:rFonts w:eastAsia="Calibri" w:cs="Calibri"/>
          <w:b/>
          <w:sz w:val="24"/>
          <w:szCs w:val="24"/>
        </w:rPr>
        <w:t>Supplementary Figure 3.  AdV and VV can infect and replicate in transformed iPSCs and mitomycin-C treatment inhibits ongoing replic</w:t>
      </w:r>
      <w:r>
        <w:rPr>
          <w:rFonts w:eastAsia="Calibri" w:cs="Calibri"/>
          <w:b/>
          <w:sz w:val="24"/>
          <w:szCs w:val="24"/>
        </w:rPr>
        <w:t>ation and tumo</w:t>
      </w:r>
      <w:r w:rsidRPr="00CF3782">
        <w:rPr>
          <w:rFonts w:eastAsia="Calibri" w:cs="Calibri"/>
          <w:b/>
          <w:sz w:val="24"/>
          <w:szCs w:val="24"/>
        </w:rPr>
        <w:t>r cell proliferation.</w:t>
      </w:r>
      <w:r w:rsidRPr="00056BB7">
        <w:rPr>
          <w:rFonts w:eastAsia="Calibri" w:cs="Calibri"/>
          <w:sz w:val="24"/>
          <w:szCs w:val="24"/>
        </w:rPr>
        <w:t>(</w:t>
      </w:r>
      <w:r>
        <w:rPr>
          <w:rFonts w:eastAsia="Calibri" w:cs="Calibri"/>
          <w:b/>
          <w:sz w:val="24"/>
          <w:szCs w:val="24"/>
        </w:rPr>
        <w:t>A</w:t>
      </w:r>
      <w:r w:rsidRPr="00056BB7">
        <w:rPr>
          <w:rFonts w:eastAsia="Calibri" w:cs="Calibri"/>
          <w:b/>
          <w:sz w:val="24"/>
          <w:szCs w:val="24"/>
        </w:rPr>
        <w:t xml:space="preserve"> and </w:t>
      </w:r>
      <w:r>
        <w:rPr>
          <w:rFonts w:eastAsia="Calibri" w:cs="Calibri"/>
          <w:b/>
          <w:sz w:val="24"/>
          <w:szCs w:val="24"/>
        </w:rPr>
        <w:t>B</w:t>
      </w:r>
      <w:r w:rsidRPr="00056BB7">
        <w:rPr>
          <w:rFonts w:eastAsia="Calibri" w:cs="Calibri"/>
          <w:sz w:val="24"/>
          <w:szCs w:val="24"/>
        </w:rPr>
        <w:t>) Cytotoxicity of Ad5 (</w:t>
      </w:r>
      <w:r>
        <w:rPr>
          <w:rFonts w:eastAsia="Calibri" w:cs="Calibri"/>
          <w:b/>
          <w:sz w:val="24"/>
          <w:szCs w:val="24"/>
        </w:rPr>
        <w:t>A</w:t>
      </w:r>
      <w:r w:rsidRPr="00056BB7">
        <w:rPr>
          <w:rFonts w:eastAsia="Calibri" w:cs="Calibri"/>
          <w:sz w:val="24"/>
          <w:szCs w:val="24"/>
        </w:rPr>
        <w:t>) or VVL15-RFP (</w:t>
      </w:r>
      <w:r>
        <w:rPr>
          <w:rFonts w:eastAsia="Calibri" w:cs="Calibri"/>
          <w:b/>
          <w:sz w:val="24"/>
          <w:szCs w:val="24"/>
        </w:rPr>
        <w:t>B</w:t>
      </w:r>
      <w:r w:rsidRPr="00056BB7">
        <w:rPr>
          <w:rFonts w:eastAsia="Calibri" w:cs="Calibri"/>
          <w:sz w:val="24"/>
          <w:szCs w:val="24"/>
        </w:rPr>
        <w:t>) on PPLCs derived from KPC or KP-AC iPSCs</w:t>
      </w:r>
      <w:r>
        <w:rPr>
          <w:rFonts w:eastAsia="Calibri" w:cs="Calibri"/>
          <w:sz w:val="24"/>
          <w:szCs w:val="24"/>
        </w:rPr>
        <w:t xml:space="preserve"> and in TB11381 pancreatic tumor cells</w:t>
      </w:r>
      <w:r w:rsidRPr="00056BB7">
        <w:rPr>
          <w:rFonts w:eastAsia="Calibri" w:cs="Calibri"/>
          <w:sz w:val="24"/>
          <w:szCs w:val="24"/>
        </w:rPr>
        <w:t xml:space="preserve">.  Cell death was determined by MTS assay 144 hours post-infection.  Mean EC50 values ± SEM are </w:t>
      </w:r>
      <w:r w:rsidRPr="00056BB7">
        <w:rPr>
          <w:rFonts w:eastAsia="Calibri" w:cs="Calibri"/>
          <w:sz w:val="24"/>
          <w:szCs w:val="24"/>
        </w:rPr>
        <w:lastRenderedPageBreak/>
        <w:t>shown. (</w:t>
      </w:r>
      <w:r>
        <w:rPr>
          <w:rFonts w:eastAsia="Calibri" w:cs="Calibri"/>
          <w:b/>
          <w:sz w:val="24"/>
          <w:szCs w:val="24"/>
        </w:rPr>
        <w:t>C</w:t>
      </w:r>
      <w:r w:rsidRPr="00056BB7">
        <w:rPr>
          <w:rFonts w:eastAsia="Calibri" w:cs="Calibri"/>
          <w:b/>
          <w:sz w:val="24"/>
          <w:szCs w:val="24"/>
        </w:rPr>
        <w:t>-</w:t>
      </w:r>
      <w:r>
        <w:rPr>
          <w:rFonts w:eastAsia="Calibri" w:cs="Calibri"/>
          <w:b/>
          <w:sz w:val="24"/>
          <w:szCs w:val="24"/>
        </w:rPr>
        <w:t>F</w:t>
      </w:r>
      <w:r w:rsidRPr="00056BB7">
        <w:rPr>
          <w:rFonts w:eastAsia="Calibri" w:cs="Calibri"/>
          <w:sz w:val="24"/>
          <w:szCs w:val="24"/>
        </w:rPr>
        <w:t>) Production of infectious AdV (</w:t>
      </w:r>
      <w:r>
        <w:rPr>
          <w:rFonts w:eastAsia="Calibri" w:cs="Calibri"/>
          <w:b/>
          <w:sz w:val="24"/>
          <w:szCs w:val="24"/>
        </w:rPr>
        <w:t>C</w:t>
      </w:r>
      <w:r w:rsidRPr="00056BB7">
        <w:rPr>
          <w:rFonts w:eastAsia="Calibri" w:cs="Calibri"/>
          <w:b/>
          <w:sz w:val="24"/>
          <w:szCs w:val="24"/>
        </w:rPr>
        <w:t>-</w:t>
      </w:r>
      <w:r>
        <w:rPr>
          <w:rFonts w:eastAsia="Calibri" w:cs="Calibri"/>
          <w:b/>
          <w:sz w:val="24"/>
          <w:szCs w:val="24"/>
        </w:rPr>
        <w:t>D</w:t>
      </w:r>
      <w:r w:rsidRPr="00056BB7">
        <w:rPr>
          <w:rFonts w:eastAsia="Calibri" w:cs="Calibri"/>
          <w:sz w:val="24"/>
          <w:szCs w:val="24"/>
        </w:rPr>
        <w:t>) or VV (</w:t>
      </w:r>
      <w:r w:rsidRPr="00CF3782">
        <w:rPr>
          <w:rFonts w:eastAsia="Calibri" w:cs="Calibri"/>
          <w:b/>
          <w:sz w:val="24"/>
          <w:szCs w:val="24"/>
        </w:rPr>
        <w:t>E</w:t>
      </w:r>
      <w:r>
        <w:rPr>
          <w:rFonts w:eastAsia="Calibri" w:cs="Calibri"/>
          <w:b/>
          <w:sz w:val="24"/>
          <w:szCs w:val="24"/>
        </w:rPr>
        <w:t>-F</w:t>
      </w:r>
      <w:r w:rsidRPr="00056BB7">
        <w:rPr>
          <w:rFonts w:eastAsia="Calibri" w:cs="Calibri"/>
          <w:sz w:val="24"/>
          <w:szCs w:val="24"/>
        </w:rPr>
        <w:t>) virions in PPLCs derived from KPC or KP-AC iPSCs. Cells were infected with virus and were untreated or treated with mitomycin C.  Mean viral replication ± SEM was determined at 24 hour intervals for 96 hours by TCID50 assay on CV1 cells for VV or JH293 cells for Ad5. (</w:t>
      </w:r>
      <w:r>
        <w:rPr>
          <w:rFonts w:eastAsia="Calibri" w:cs="Calibri"/>
          <w:b/>
          <w:sz w:val="24"/>
          <w:szCs w:val="24"/>
        </w:rPr>
        <w:t>G-H</w:t>
      </w:r>
      <w:r w:rsidRPr="00056BB7">
        <w:rPr>
          <w:rFonts w:eastAsia="Calibri" w:cs="Calibri"/>
          <w:sz w:val="24"/>
          <w:szCs w:val="24"/>
        </w:rPr>
        <w:t>) Cell proliferation of KPC (</w:t>
      </w:r>
      <w:r>
        <w:rPr>
          <w:rFonts w:eastAsia="Calibri" w:cs="Calibri"/>
          <w:b/>
          <w:sz w:val="24"/>
          <w:szCs w:val="24"/>
        </w:rPr>
        <w:t>G</w:t>
      </w:r>
      <w:r w:rsidRPr="00056BB7">
        <w:rPr>
          <w:rFonts w:eastAsia="Calibri" w:cs="Calibri"/>
          <w:sz w:val="24"/>
          <w:szCs w:val="24"/>
        </w:rPr>
        <w:t>) or KP-AC (</w:t>
      </w:r>
      <w:r>
        <w:rPr>
          <w:rFonts w:eastAsia="Calibri" w:cs="Calibri"/>
          <w:b/>
          <w:sz w:val="24"/>
          <w:szCs w:val="24"/>
        </w:rPr>
        <w:t>H</w:t>
      </w:r>
      <w:r w:rsidRPr="00056BB7">
        <w:rPr>
          <w:rFonts w:eastAsia="Calibri" w:cs="Calibri"/>
          <w:sz w:val="24"/>
          <w:szCs w:val="24"/>
        </w:rPr>
        <w:t>) after infection and mitomycin-C treatment was determined using MTS assay at 24 and 72 hours post-mitomycin C treatment.  Mean OD490nm values ± SEM are shown.   (</w:t>
      </w:r>
      <w:r>
        <w:rPr>
          <w:rFonts w:eastAsia="Calibri" w:cs="Calibri"/>
          <w:b/>
          <w:sz w:val="24"/>
          <w:szCs w:val="24"/>
        </w:rPr>
        <w:t>I</w:t>
      </w:r>
      <w:r w:rsidRPr="00056BB7">
        <w:rPr>
          <w:rFonts w:eastAsia="Calibri" w:cs="Calibri"/>
          <w:sz w:val="24"/>
          <w:szCs w:val="24"/>
        </w:rPr>
        <w:t xml:space="preserve">) Viral protein expression was determined in KPC or KP-AC PPLCs at 24 and 72 hours post-infection +/- mitomycin C treatment of cells.  Anti-E1A was used to confirm AdV protein expression and anti-VV coat proteins used to confirm VV protein expression.  Actin was used as a loading control in each case.  </w:t>
      </w:r>
    </w:p>
    <w:p w:rsidR="006853A7" w:rsidRDefault="006853A7" w:rsidP="006853A7">
      <w:pPr>
        <w:spacing w:line="360" w:lineRule="auto"/>
        <w:rPr>
          <w:sz w:val="24"/>
          <w:szCs w:val="24"/>
        </w:rPr>
      </w:pPr>
      <w:r>
        <w:rPr>
          <w:b/>
          <w:sz w:val="24"/>
          <w:szCs w:val="24"/>
        </w:rPr>
        <w:t xml:space="preserve">Supplementary Figure </w:t>
      </w:r>
      <w:r w:rsidR="00CF3782">
        <w:rPr>
          <w:b/>
          <w:sz w:val="24"/>
          <w:szCs w:val="24"/>
        </w:rPr>
        <w:t>4</w:t>
      </w:r>
      <w:r w:rsidRPr="00E7110A">
        <w:rPr>
          <w:b/>
          <w:sz w:val="24"/>
          <w:szCs w:val="24"/>
        </w:rPr>
        <w:t>. Immunization with virus-infected non-transformed</w:t>
      </w:r>
      <w:r w:rsidR="00095DA6">
        <w:rPr>
          <w:rFonts w:hint="eastAsia"/>
          <w:b/>
          <w:sz w:val="24"/>
          <w:szCs w:val="24"/>
          <w:lang w:eastAsia="zh-CN"/>
        </w:rPr>
        <w:t xml:space="preserve"> </w:t>
      </w:r>
      <w:r w:rsidRPr="00E7110A">
        <w:rPr>
          <w:b/>
          <w:sz w:val="24"/>
          <w:szCs w:val="24"/>
        </w:rPr>
        <w:t xml:space="preserve">iPSCs does not induce tumor-specific immunity against pancreatic cancer. </w:t>
      </w:r>
      <w:r w:rsidRPr="00E7110A">
        <w:rPr>
          <w:sz w:val="24"/>
          <w:szCs w:val="24"/>
        </w:rPr>
        <w:t>(</w:t>
      </w:r>
      <w:r>
        <w:rPr>
          <w:b/>
          <w:sz w:val="24"/>
          <w:szCs w:val="24"/>
        </w:rPr>
        <w:t>A</w:t>
      </w:r>
      <w:r w:rsidRPr="00E7110A">
        <w:rPr>
          <w:sz w:val="24"/>
          <w:szCs w:val="24"/>
        </w:rPr>
        <w:t>)</w:t>
      </w:r>
      <w:r w:rsidRPr="00E7110A">
        <w:rPr>
          <w:rFonts w:eastAsia="MS Mincho"/>
          <w:bCs/>
          <w:sz w:val="24"/>
          <w:szCs w:val="24"/>
          <w:lang w:bidi="en-US"/>
        </w:rPr>
        <w:t>Four week</w:t>
      </w:r>
      <w:r w:rsidRPr="00E7110A">
        <w:rPr>
          <w:bCs/>
          <w:sz w:val="24"/>
          <w:szCs w:val="24"/>
          <w:lang w:bidi="en-US"/>
        </w:rPr>
        <w:t>s</w:t>
      </w:r>
      <w:r w:rsidRPr="00E7110A">
        <w:rPr>
          <w:rFonts w:eastAsia="MS Mincho"/>
          <w:bCs/>
          <w:sz w:val="24"/>
          <w:szCs w:val="24"/>
          <w:lang w:bidi="en-US"/>
        </w:rPr>
        <w:t>-old transgenic mice were immunized with AdV-infected, mitomycin C -treated KPC or KP-AC iPSC-derived PPLC</w:t>
      </w:r>
      <w:r w:rsidR="00F00D9E">
        <w:rPr>
          <w:rFonts w:eastAsia="MS Mincho"/>
          <w:bCs/>
          <w:sz w:val="24"/>
          <w:szCs w:val="24"/>
          <w:lang w:bidi="en-US"/>
        </w:rPr>
        <w:t>s, followed by a booster 4 weeks later using VV-infected cell lines</w:t>
      </w:r>
      <w:r w:rsidRPr="00E7110A">
        <w:rPr>
          <w:rFonts w:eastAsia="MS Mincho"/>
          <w:bCs/>
          <w:sz w:val="24"/>
          <w:szCs w:val="24"/>
          <w:lang w:bidi="en-US"/>
        </w:rPr>
        <w:t>.  CD8+ cells and CD4+ T cell infiltrate in the pancreas was assessed using IHC at two weeks following the prime vaccination. Original objective magnification is 10x. CD8+ cells from IHC sections were counted and the average number per high power field (HPF) ± SEM plotted. Three to four mice per time</w:t>
      </w:r>
      <w:r>
        <w:rPr>
          <w:rFonts w:eastAsia="MS Mincho"/>
          <w:bCs/>
          <w:sz w:val="24"/>
          <w:szCs w:val="24"/>
          <w:lang w:bidi="en-US"/>
        </w:rPr>
        <w:t>-</w:t>
      </w:r>
      <w:r w:rsidRPr="00E7110A">
        <w:rPr>
          <w:rFonts w:eastAsia="MS Mincho"/>
          <w:bCs/>
          <w:sz w:val="24"/>
          <w:szCs w:val="24"/>
          <w:lang w:bidi="en-US"/>
        </w:rPr>
        <w:t xml:space="preserve">point per group were analyzed and the whole section analyzed. </w:t>
      </w:r>
      <w:r w:rsidRPr="00E7110A">
        <w:rPr>
          <w:sz w:val="24"/>
          <w:szCs w:val="24"/>
        </w:rPr>
        <w:t xml:space="preserve">CD4+ T cell presence in the whole tissue slice was graded and is shown graphically.  Grade 1: 0-25 positive cells in the 10x field; grade 2: 25-50 positive cells; Grade 3: 50-75 positive cells; Grade 4: More than 75 positive cells. </w:t>
      </w:r>
      <w:r w:rsidRPr="00E7110A">
        <w:rPr>
          <w:rFonts w:eastAsia="MS Mincho"/>
          <w:bCs/>
          <w:sz w:val="24"/>
          <w:szCs w:val="24"/>
          <w:lang w:bidi="en-US"/>
        </w:rPr>
        <w:t>Significance was analy</w:t>
      </w:r>
      <w:r>
        <w:rPr>
          <w:rFonts w:eastAsia="MS Mincho"/>
          <w:bCs/>
          <w:sz w:val="24"/>
          <w:szCs w:val="24"/>
          <w:lang w:bidi="en-US"/>
        </w:rPr>
        <w:t>z</w:t>
      </w:r>
      <w:r w:rsidRPr="00E7110A">
        <w:rPr>
          <w:rFonts w:eastAsia="MS Mincho"/>
          <w:bCs/>
          <w:sz w:val="24"/>
          <w:szCs w:val="24"/>
          <w:lang w:bidi="en-US"/>
        </w:rPr>
        <w:t xml:space="preserve">ed using one-way ANOVA with Tukey post-test ** p&lt;0.01, *** p&lt;0.001.  </w:t>
      </w:r>
      <w:r w:rsidR="00757AC1" w:rsidRPr="00757AC1">
        <w:rPr>
          <w:sz w:val="24"/>
          <w:szCs w:val="24"/>
        </w:rPr>
        <w:t>(</w:t>
      </w:r>
      <w:r w:rsidR="00757AC1">
        <w:rPr>
          <w:b/>
          <w:sz w:val="24"/>
          <w:szCs w:val="24"/>
        </w:rPr>
        <w:t>B</w:t>
      </w:r>
      <w:r w:rsidR="00757AC1" w:rsidRPr="00757AC1">
        <w:rPr>
          <w:sz w:val="24"/>
          <w:szCs w:val="24"/>
        </w:rPr>
        <w:t>)</w:t>
      </w:r>
      <w:r w:rsidR="00757AC1" w:rsidRPr="00056BB7">
        <w:rPr>
          <w:rFonts w:cs="Calibri"/>
          <w:sz w:val="24"/>
          <w:szCs w:val="24"/>
        </w:rPr>
        <w:t xml:space="preserve">T cell subsets in spleens (Sp) and draining lymph nodes (LN) from KPC mice </w:t>
      </w:r>
      <w:r w:rsidR="00757AC1">
        <w:rPr>
          <w:rFonts w:cs="Calibri"/>
          <w:sz w:val="24"/>
          <w:szCs w:val="24"/>
        </w:rPr>
        <w:t>1</w:t>
      </w:r>
      <w:r w:rsidR="00757AC1" w:rsidRPr="00056BB7">
        <w:rPr>
          <w:rFonts w:cs="Calibri"/>
          <w:sz w:val="24"/>
          <w:szCs w:val="24"/>
        </w:rPr>
        <w:t xml:space="preserve"> week</w:t>
      </w:r>
      <w:r w:rsidR="00095DA6">
        <w:rPr>
          <w:rFonts w:cs="Calibri" w:hint="eastAsia"/>
          <w:sz w:val="24"/>
          <w:szCs w:val="24"/>
          <w:lang w:eastAsia="zh-CN"/>
        </w:rPr>
        <w:t xml:space="preserve"> </w:t>
      </w:r>
      <w:r w:rsidR="00757AC1" w:rsidRPr="00056BB7">
        <w:rPr>
          <w:rFonts w:cs="Calibri"/>
          <w:sz w:val="24"/>
          <w:szCs w:val="24"/>
        </w:rPr>
        <w:t>after VIReST. Naïve T cell (CD44</w:t>
      </w:r>
      <w:r w:rsidR="00757AC1" w:rsidRPr="00056BB7">
        <w:rPr>
          <w:rFonts w:cs="Calibri"/>
          <w:sz w:val="24"/>
          <w:szCs w:val="24"/>
          <w:vertAlign w:val="superscript"/>
        </w:rPr>
        <w:t>lo</w:t>
      </w:r>
      <w:r w:rsidR="00757AC1" w:rsidRPr="00056BB7">
        <w:rPr>
          <w:rFonts w:cs="Calibri"/>
          <w:sz w:val="24"/>
          <w:szCs w:val="24"/>
        </w:rPr>
        <w:t>;CD62L</w:t>
      </w:r>
      <w:r w:rsidR="00757AC1" w:rsidRPr="00056BB7">
        <w:rPr>
          <w:rFonts w:cs="Calibri"/>
          <w:sz w:val="24"/>
          <w:szCs w:val="24"/>
          <w:vertAlign w:val="superscript"/>
        </w:rPr>
        <w:t>hi</w:t>
      </w:r>
      <w:r w:rsidR="00757AC1" w:rsidRPr="00056BB7">
        <w:rPr>
          <w:rFonts w:cs="Calibri"/>
          <w:sz w:val="24"/>
          <w:szCs w:val="24"/>
        </w:rPr>
        <w:t>), TCM: Central memory T cell (CD44</w:t>
      </w:r>
      <w:r w:rsidR="00757AC1" w:rsidRPr="00056BB7">
        <w:rPr>
          <w:rFonts w:cs="Calibri"/>
          <w:sz w:val="24"/>
          <w:szCs w:val="24"/>
          <w:vertAlign w:val="superscript"/>
        </w:rPr>
        <w:t>hi</w:t>
      </w:r>
      <w:r w:rsidR="00757AC1" w:rsidRPr="00056BB7">
        <w:rPr>
          <w:rFonts w:cs="Calibri"/>
          <w:sz w:val="24"/>
          <w:szCs w:val="24"/>
        </w:rPr>
        <w:t>;CD62L</w:t>
      </w:r>
      <w:r w:rsidR="00757AC1" w:rsidRPr="00056BB7">
        <w:rPr>
          <w:rFonts w:cs="Calibri"/>
          <w:sz w:val="24"/>
          <w:szCs w:val="24"/>
          <w:vertAlign w:val="superscript"/>
        </w:rPr>
        <w:t>hi</w:t>
      </w:r>
      <w:r w:rsidR="00757AC1" w:rsidRPr="00056BB7">
        <w:rPr>
          <w:rFonts w:cs="Calibri"/>
          <w:sz w:val="24"/>
          <w:szCs w:val="24"/>
        </w:rPr>
        <w:t>) and TEM: Effector memory T cell (CD44</w:t>
      </w:r>
      <w:r w:rsidR="00757AC1" w:rsidRPr="00056BB7">
        <w:rPr>
          <w:rFonts w:cs="Calibri"/>
          <w:sz w:val="24"/>
          <w:szCs w:val="24"/>
          <w:vertAlign w:val="superscript"/>
        </w:rPr>
        <w:t>hi</w:t>
      </w:r>
      <w:r w:rsidR="00757AC1" w:rsidRPr="00056BB7">
        <w:rPr>
          <w:rFonts w:cs="Calibri"/>
          <w:sz w:val="24"/>
          <w:szCs w:val="24"/>
        </w:rPr>
        <w:t>;CD62L</w:t>
      </w:r>
      <w:r w:rsidR="00757AC1" w:rsidRPr="00056BB7">
        <w:rPr>
          <w:rFonts w:cs="Calibri"/>
          <w:sz w:val="24"/>
          <w:szCs w:val="24"/>
          <w:vertAlign w:val="superscript"/>
        </w:rPr>
        <w:t>lo</w:t>
      </w:r>
      <w:r w:rsidR="00757AC1" w:rsidRPr="00056BB7">
        <w:rPr>
          <w:rFonts w:cs="Calibri"/>
          <w:sz w:val="24"/>
          <w:szCs w:val="24"/>
        </w:rPr>
        <w:t>) were assessed. Significance was analysed using one-way ANOVA with Tukey post-test. (n=3-4/group)</w:t>
      </w:r>
      <w:r w:rsidRPr="00E7110A">
        <w:rPr>
          <w:sz w:val="24"/>
          <w:szCs w:val="24"/>
        </w:rPr>
        <w:t>(</w:t>
      </w:r>
      <w:r w:rsidR="00757AC1">
        <w:rPr>
          <w:b/>
          <w:sz w:val="24"/>
          <w:szCs w:val="24"/>
        </w:rPr>
        <w:t>C</w:t>
      </w:r>
      <w:r w:rsidRPr="00E7110A">
        <w:rPr>
          <w:sz w:val="24"/>
          <w:szCs w:val="24"/>
        </w:rPr>
        <w:t xml:space="preserve">) Representative IHC staining and quantification of FoxP3 cells in the pancreas of VIReST treated animals at 2 weeks post-prime and 2 weeks post prime-boost VIReST treatment. </w:t>
      </w:r>
      <w:r w:rsidR="00757AC1">
        <w:rPr>
          <w:sz w:val="24"/>
          <w:szCs w:val="24"/>
        </w:rPr>
        <w:t>(</w:t>
      </w:r>
      <w:r w:rsidR="00757AC1" w:rsidRPr="00757AC1">
        <w:rPr>
          <w:b/>
          <w:sz w:val="24"/>
          <w:szCs w:val="24"/>
        </w:rPr>
        <w:t>D</w:t>
      </w:r>
      <w:r w:rsidR="00757AC1">
        <w:rPr>
          <w:sz w:val="24"/>
          <w:szCs w:val="24"/>
        </w:rPr>
        <w:t>)</w:t>
      </w:r>
      <w:r w:rsidR="00757AC1" w:rsidRPr="00E7110A">
        <w:rPr>
          <w:sz w:val="24"/>
          <w:szCs w:val="24"/>
        </w:rPr>
        <w:t xml:space="preserve">Representative IHC staining of CD8+ T cells in pancreas tissue of KPC </w:t>
      </w:r>
      <w:r w:rsidR="00757AC1" w:rsidRPr="00E7110A">
        <w:rPr>
          <w:sz w:val="24"/>
          <w:szCs w:val="24"/>
        </w:rPr>
        <w:lastRenderedPageBreak/>
        <w:t xml:space="preserve">mice </w:t>
      </w:r>
      <w:r w:rsidR="00757AC1">
        <w:rPr>
          <w:sz w:val="24"/>
          <w:szCs w:val="24"/>
        </w:rPr>
        <w:t xml:space="preserve">2 and 3 months after VIReST treatment. </w:t>
      </w:r>
      <w:r>
        <w:rPr>
          <w:sz w:val="24"/>
          <w:szCs w:val="24"/>
        </w:rPr>
        <w:t>(</w:t>
      </w:r>
      <w:r w:rsidR="00757AC1">
        <w:rPr>
          <w:b/>
          <w:sz w:val="24"/>
          <w:szCs w:val="24"/>
        </w:rPr>
        <w:t>E</w:t>
      </w:r>
      <w:r>
        <w:rPr>
          <w:sz w:val="24"/>
          <w:szCs w:val="24"/>
        </w:rPr>
        <w:t xml:space="preserve">) </w:t>
      </w:r>
      <w:r w:rsidRPr="00E7110A">
        <w:rPr>
          <w:sz w:val="24"/>
          <w:szCs w:val="24"/>
        </w:rPr>
        <w:t xml:space="preserve">Representative IHC staining of CD8+ T cells in pancreas tissue of KPC mice one week or two weeks after immunization with virus-infected iPSCs using a VICCV regime in which non-transformed iPSCs were infected with AdV or VV and used in a prime-boost vaccination regime.  Scale bar 100µm. CD8+ T cells infiltrate into the pancreas was quantified </w:t>
      </w:r>
      <w:r>
        <w:rPr>
          <w:sz w:val="24"/>
          <w:szCs w:val="24"/>
        </w:rPr>
        <w:t xml:space="preserve">and </w:t>
      </w:r>
      <w:r w:rsidRPr="00E7110A">
        <w:rPr>
          <w:rFonts w:eastAsia="MS Mincho"/>
          <w:bCs/>
          <w:sz w:val="24"/>
          <w:szCs w:val="24"/>
          <w:lang w:bidi="en-US"/>
        </w:rPr>
        <w:t>analy</w:t>
      </w:r>
      <w:r>
        <w:rPr>
          <w:rFonts w:eastAsia="MS Mincho"/>
          <w:bCs/>
          <w:sz w:val="24"/>
          <w:szCs w:val="24"/>
          <w:lang w:bidi="en-US"/>
        </w:rPr>
        <w:t>z</w:t>
      </w:r>
      <w:r w:rsidRPr="00E7110A">
        <w:rPr>
          <w:rFonts w:eastAsia="MS Mincho"/>
          <w:bCs/>
          <w:sz w:val="24"/>
          <w:szCs w:val="24"/>
          <w:lang w:bidi="en-US"/>
        </w:rPr>
        <w:t>ed using one-way ANOVA with Tukey post-test</w:t>
      </w:r>
      <w:r w:rsidRPr="00E7110A">
        <w:rPr>
          <w:sz w:val="24"/>
          <w:szCs w:val="24"/>
        </w:rPr>
        <w:t xml:space="preserve"> * p&lt;0.05. (</w:t>
      </w:r>
      <w:r w:rsidR="00757AC1">
        <w:rPr>
          <w:b/>
          <w:sz w:val="24"/>
          <w:szCs w:val="24"/>
        </w:rPr>
        <w:t>F</w:t>
      </w:r>
      <w:r w:rsidRPr="00E7110A">
        <w:rPr>
          <w:sz w:val="24"/>
          <w:szCs w:val="24"/>
        </w:rPr>
        <w:t xml:space="preserve">) IFN-γ production of splenic cells of KPC mice 1 week after VICCV non-transformed iPSC immunization.  The splenocytes from the immunized KPC mice or PBS treated mice were stimulated with mitomycin-C treated tumor cells derived from transgenic KC or KPC pancreatic cancer model. The IFN-γ production was detected by ELISA </w:t>
      </w:r>
      <w:r>
        <w:rPr>
          <w:sz w:val="24"/>
          <w:szCs w:val="24"/>
        </w:rPr>
        <w:t xml:space="preserve">and </w:t>
      </w:r>
      <w:r w:rsidRPr="00E7110A">
        <w:rPr>
          <w:rFonts w:eastAsia="MS Mincho"/>
          <w:bCs/>
          <w:sz w:val="24"/>
          <w:szCs w:val="24"/>
          <w:lang w:bidi="en-US"/>
        </w:rPr>
        <w:t>analy</w:t>
      </w:r>
      <w:r>
        <w:rPr>
          <w:rFonts w:eastAsia="MS Mincho"/>
          <w:bCs/>
          <w:sz w:val="24"/>
          <w:szCs w:val="24"/>
          <w:lang w:bidi="en-US"/>
        </w:rPr>
        <w:t>z</w:t>
      </w:r>
      <w:r w:rsidRPr="00E7110A">
        <w:rPr>
          <w:rFonts w:eastAsia="MS Mincho"/>
          <w:bCs/>
          <w:sz w:val="24"/>
          <w:szCs w:val="24"/>
          <w:lang w:bidi="en-US"/>
        </w:rPr>
        <w:t>ed using one-way ANOVA with Tukey post-test</w:t>
      </w:r>
      <w:r w:rsidRPr="00E7110A">
        <w:rPr>
          <w:sz w:val="24"/>
          <w:szCs w:val="24"/>
        </w:rPr>
        <w:t xml:space="preserve"> * p&lt;0.05. </w:t>
      </w:r>
    </w:p>
    <w:p w:rsidR="00CF3782" w:rsidRDefault="00CF3782" w:rsidP="006853A7">
      <w:pPr>
        <w:spacing w:line="360" w:lineRule="auto"/>
        <w:rPr>
          <w:sz w:val="24"/>
          <w:szCs w:val="24"/>
        </w:rPr>
      </w:pPr>
    </w:p>
    <w:p w:rsidR="00CF3782" w:rsidRDefault="00C30B25" w:rsidP="006853A7">
      <w:pPr>
        <w:spacing w:line="360" w:lineRule="auto"/>
        <w:rPr>
          <w:sz w:val="24"/>
          <w:szCs w:val="24"/>
        </w:rPr>
      </w:pPr>
      <w:r w:rsidRPr="00F00D9E">
        <w:rPr>
          <w:b/>
          <w:sz w:val="24"/>
          <w:szCs w:val="24"/>
        </w:rPr>
        <w:t>Supplementary Figure 5.  VIReST delays the progression of PanINs.</w:t>
      </w:r>
      <w:r>
        <w:rPr>
          <w:sz w:val="24"/>
          <w:szCs w:val="24"/>
        </w:rPr>
        <w:t xml:space="preserve">  Tumors were excised from animals 1 week post-prime and 1 week post-boost injections using KPC or KP-AC VIReST.  Tumors were stained using H&amp;E and the presence of PanINs and invasive disease scored. N=3/group.  (</w:t>
      </w:r>
      <w:r w:rsidRPr="00F00D9E">
        <w:rPr>
          <w:b/>
          <w:sz w:val="24"/>
          <w:szCs w:val="24"/>
        </w:rPr>
        <w:t>A</w:t>
      </w:r>
      <w:r>
        <w:rPr>
          <w:sz w:val="24"/>
          <w:szCs w:val="24"/>
        </w:rPr>
        <w:t>)  Representative images of tumor tissue one week post-boost.  (</w:t>
      </w:r>
      <w:r w:rsidRPr="00F00D9E">
        <w:rPr>
          <w:b/>
          <w:sz w:val="24"/>
          <w:szCs w:val="24"/>
        </w:rPr>
        <w:t>B</w:t>
      </w:r>
      <w:r>
        <w:rPr>
          <w:sz w:val="24"/>
          <w:szCs w:val="24"/>
        </w:rPr>
        <w:t xml:space="preserve"> and </w:t>
      </w:r>
      <w:r w:rsidRPr="00F00D9E">
        <w:rPr>
          <w:b/>
          <w:sz w:val="24"/>
          <w:szCs w:val="24"/>
        </w:rPr>
        <w:t>C</w:t>
      </w:r>
      <w:r>
        <w:rPr>
          <w:sz w:val="24"/>
          <w:szCs w:val="24"/>
        </w:rPr>
        <w:t>)  Scoring of positive PanINs 1 week post-prime (</w:t>
      </w:r>
      <w:r w:rsidRPr="00F00D9E">
        <w:rPr>
          <w:b/>
          <w:sz w:val="24"/>
          <w:szCs w:val="24"/>
        </w:rPr>
        <w:t>B</w:t>
      </w:r>
      <w:r>
        <w:rPr>
          <w:sz w:val="24"/>
          <w:szCs w:val="24"/>
        </w:rPr>
        <w:t>) and 1 week post-boost (</w:t>
      </w:r>
      <w:r w:rsidRPr="00F00D9E">
        <w:rPr>
          <w:b/>
          <w:sz w:val="24"/>
          <w:szCs w:val="24"/>
        </w:rPr>
        <w:t>C</w:t>
      </w:r>
      <w:r>
        <w:rPr>
          <w:sz w:val="24"/>
          <w:szCs w:val="24"/>
        </w:rPr>
        <w:t xml:space="preserve">).  </w:t>
      </w:r>
      <w:r w:rsidR="00F00D9E">
        <w:rPr>
          <w:sz w:val="24"/>
          <w:szCs w:val="24"/>
        </w:rPr>
        <w:t xml:space="preserve">Data was analysed using a One-way ANOVA with Bonferoni post-hoc test.  </w:t>
      </w:r>
      <w:r w:rsidR="00F00D9E" w:rsidRPr="00E7110A">
        <w:rPr>
          <w:sz w:val="24"/>
          <w:szCs w:val="24"/>
        </w:rPr>
        <w:t>* p&lt;0.05</w:t>
      </w:r>
      <w:r w:rsidR="00F00D9E">
        <w:rPr>
          <w:sz w:val="24"/>
          <w:szCs w:val="24"/>
        </w:rPr>
        <w:t xml:space="preserve">, </w:t>
      </w:r>
      <w:r w:rsidR="00F00D9E" w:rsidRPr="00E7110A">
        <w:rPr>
          <w:rFonts w:eastAsia="MS Mincho"/>
          <w:bCs/>
          <w:sz w:val="24"/>
          <w:szCs w:val="24"/>
          <w:lang w:bidi="en-US"/>
        </w:rPr>
        <w:t>** p&lt;0.01, *** p&lt;0.001</w:t>
      </w:r>
      <w:r w:rsidR="00F00D9E">
        <w:rPr>
          <w:rFonts w:eastAsia="MS Mincho"/>
          <w:bCs/>
          <w:sz w:val="24"/>
          <w:szCs w:val="24"/>
          <w:lang w:bidi="en-US"/>
        </w:rPr>
        <w:t>.</w:t>
      </w:r>
    </w:p>
    <w:p w:rsidR="00F00D9E" w:rsidRDefault="00F00D9E" w:rsidP="006853A7">
      <w:pPr>
        <w:spacing w:line="360" w:lineRule="auto"/>
        <w:rPr>
          <w:sz w:val="24"/>
          <w:szCs w:val="24"/>
        </w:rPr>
      </w:pPr>
      <w:r w:rsidRPr="007B1925">
        <w:rPr>
          <w:b/>
          <w:sz w:val="24"/>
          <w:szCs w:val="24"/>
        </w:rPr>
        <w:t>Supplementary Figure 6.  iPSC-derived tumor cells are as effective as syngeneic tumor cells and virus infection is required for treatment efficacy.</w:t>
      </w:r>
      <w:r>
        <w:rPr>
          <w:sz w:val="24"/>
          <w:szCs w:val="24"/>
        </w:rPr>
        <w:t xml:space="preserve">  (</w:t>
      </w:r>
      <w:r w:rsidRPr="007B1925">
        <w:rPr>
          <w:b/>
          <w:sz w:val="24"/>
          <w:szCs w:val="24"/>
        </w:rPr>
        <w:t>A</w:t>
      </w:r>
      <w:r>
        <w:rPr>
          <w:sz w:val="24"/>
          <w:szCs w:val="24"/>
        </w:rPr>
        <w:t xml:space="preserve">) </w:t>
      </w:r>
      <w:r w:rsidR="007B1925" w:rsidRPr="00056BB7">
        <w:rPr>
          <w:rFonts w:cs="Calibri"/>
          <w:sz w:val="24"/>
          <w:szCs w:val="24"/>
        </w:rPr>
        <w:t xml:space="preserve">Four-week-old KPC transgenic mice were </w:t>
      </w:r>
      <w:r w:rsidR="007B1925">
        <w:rPr>
          <w:rFonts w:cs="Calibri"/>
          <w:sz w:val="24"/>
          <w:szCs w:val="24"/>
        </w:rPr>
        <w:t xml:space="preserve">immunized using a VIResT regime using KPC VIReST or syngeneic TB11381 cells. </w:t>
      </w:r>
      <w:r w:rsidR="007B1925" w:rsidRPr="00056BB7">
        <w:rPr>
          <w:rFonts w:cs="Calibri"/>
          <w:sz w:val="24"/>
          <w:szCs w:val="24"/>
        </w:rPr>
        <w:t>Kaplan-Meier survival analysis followed by Log rank (Mantel-Cox) tests was used to determine significance</w:t>
      </w:r>
      <w:r w:rsidR="007B1925">
        <w:rPr>
          <w:rFonts w:cs="Calibri"/>
          <w:sz w:val="24"/>
          <w:szCs w:val="24"/>
        </w:rPr>
        <w:t xml:space="preserve"> of long-term survival.  (</w:t>
      </w:r>
      <w:r w:rsidR="007B1925" w:rsidRPr="007B1925">
        <w:rPr>
          <w:rFonts w:cs="Calibri"/>
          <w:b/>
          <w:sz w:val="24"/>
          <w:szCs w:val="24"/>
        </w:rPr>
        <w:t>B</w:t>
      </w:r>
      <w:r w:rsidR="007B1925">
        <w:rPr>
          <w:rFonts w:cs="Calibri"/>
          <w:sz w:val="24"/>
          <w:szCs w:val="24"/>
        </w:rPr>
        <w:t xml:space="preserve">) </w:t>
      </w:r>
      <w:r w:rsidR="007B1925" w:rsidRPr="00056BB7">
        <w:rPr>
          <w:rFonts w:cs="Calibri"/>
          <w:sz w:val="24"/>
          <w:szCs w:val="24"/>
        </w:rPr>
        <w:t xml:space="preserve">Four-week-old KPC transgenic mice were </w:t>
      </w:r>
      <w:r w:rsidR="007B1925">
        <w:rPr>
          <w:rFonts w:cs="Calibri"/>
          <w:sz w:val="24"/>
          <w:szCs w:val="24"/>
        </w:rPr>
        <w:t xml:space="preserve">immunized using a VIResT regime using KPC VIReST or KPC cells treated with MMC only and not virus-infected. </w:t>
      </w:r>
      <w:r w:rsidR="007B1925" w:rsidRPr="00056BB7">
        <w:rPr>
          <w:rFonts w:cs="Calibri"/>
          <w:sz w:val="24"/>
          <w:szCs w:val="24"/>
        </w:rPr>
        <w:t>Kaplan-Meier survival analysis followed by Log rank (Mantel-Cox) tests was used to determine significance</w:t>
      </w:r>
      <w:r w:rsidR="007B1925">
        <w:rPr>
          <w:rFonts w:cs="Calibri"/>
          <w:sz w:val="24"/>
          <w:szCs w:val="24"/>
        </w:rPr>
        <w:t xml:space="preserve"> of long-term survival.  (</w:t>
      </w:r>
      <w:r w:rsidR="007B1925" w:rsidRPr="007B1925">
        <w:rPr>
          <w:rFonts w:cs="Calibri"/>
          <w:b/>
          <w:sz w:val="24"/>
          <w:szCs w:val="24"/>
        </w:rPr>
        <w:t>C</w:t>
      </w:r>
      <w:r w:rsidR="007B1925">
        <w:rPr>
          <w:rFonts w:cs="Calibri"/>
          <w:sz w:val="24"/>
          <w:szCs w:val="24"/>
        </w:rPr>
        <w:t xml:space="preserve">) </w:t>
      </w:r>
      <w:r w:rsidR="007B1925" w:rsidRPr="00056BB7">
        <w:rPr>
          <w:rFonts w:cs="Calibri"/>
          <w:sz w:val="24"/>
          <w:szCs w:val="24"/>
        </w:rPr>
        <w:t xml:space="preserve">Four-week-old </w:t>
      </w:r>
      <w:r w:rsidR="00594691">
        <w:rPr>
          <w:rFonts w:cs="Calibri" w:hint="eastAsia"/>
          <w:sz w:val="24"/>
          <w:szCs w:val="24"/>
          <w:lang w:eastAsia="zh-CN"/>
        </w:rPr>
        <w:t xml:space="preserve">male C57/BL6 mice </w:t>
      </w:r>
      <w:r w:rsidR="007B1925" w:rsidRPr="00056BB7">
        <w:rPr>
          <w:rFonts w:cs="Calibri"/>
          <w:sz w:val="24"/>
          <w:szCs w:val="24"/>
        </w:rPr>
        <w:t>were immunized using a KPC VIReST regime</w:t>
      </w:r>
      <w:r w:rsidR="007B1925">
        <w:rPr>
          <w:rFonts w:cs="Calibri"/>
          <w:sz w:val="24"/>
          <w:szCs w:val="24"/>
        </w:rPr>
        <w:t xml:space="preserve"> or KPC cells treated with MMC only and not virus-infected.  </w:t>
      </w:r>
      <w:r w:rsidR="00594691">
        <w:rPr>
          <w:rFonts w:cs="Calibri" w:hint="eastAsia"/>
          <w:sz w:val="24"/>
          <w:szCs w:val="24"/>
          <w:lang w:eastAsia="zh-CN"/>
        </w:rPr>
        <w:t>One</w:t>
      </w:r>
      <w:r w:rsidR="00594691" w:rsidRPr="00056BB7">
        <w:rPr>
          <w:rFonts w:cs="Calibri"/>
          <w:sz w:val="24"/>
          <w:szCs w:val="24"/>
        </w:rPr>
        <w:t xml:space="preserve"> </w:t>
      </w:r>
      <w:r w:rsidR="007B1925" w:rsidRPr="00056BB7">
        <w:rPr>
          <w:rFonts w:cs="Calibri"/>
          <w:sz w:val="24"/>
          <w:szCs w:val="24"/>
        </w:rPr>
        <w:t xml:space="preserve">week later, splenocytes were re-stimulated </w:t>
      </w:r>
      <w:r w:rsidR="007B1925" w:rsidRPr="00056BB7">
        <w:rPr>
          <w:rFonts w:cs="Calibri"/>
          <w:i/>
          <w:iCs/>
          <w:sz w:val="24"/>
          <w:szCs w:val="24"/>
        </w:rPr>
        <w:t>ex-vivo</w:t>
      </w:r>
      <w:r w:rsidR="007B1925" w:rsidRPr="00056BB7">
        <w:rPr>
          <w:rFonts w:cs="Calibri"/>
          <w:sz w:val="24"/>
          <w:szCs w:val="24"/>
        </w:rPr>
        <w:t xml:space="preserve"> </w:t>
      </w:r>
      <w:r w:rsidR="007B1925" w:rsidRPr="00056BB7">
        <w:rPr>
          <w:rFonts w:cs="Calibri"/>
          <w:sz w:val="24"/>
          <w:szCs w:val="24"/>
        </w:rPr>
        <w:lastRenderedPageBreak/>
        <w:t xml:space="preserve">with growth-arrested PDAC cells, or KRas or mesothelin (Meso) peptides and IFNγ production measured using ELISA. Mean IFNγ production </w:t>
      </w:r>
      <w:r w:rsidR="007B1925" w:rsidRPr="00056BB7">
        <w:rPr>
          <w:rFonts w:cs="Calibri"/>
          <w:b/>
          <w:bCs/>
          <w:sz w:val="24"/>
          <w:szCs w:val="24"/>
        </w:rPr>
        <w:t xml:space="preserve">± </w:t>
      </w:r>
      <w:r w:rsidR="007B1925" w:rsidRPr="00056BB7">
        <w:rPr>
          <w:rFonts w:cs="Calibri"/>
          <w:sz w:val="24"/>
          <w:szCs w:val="24"/>
        </w:rPr>
        <w:t xml:space="preserve">SEM is shown (n=3/group).  Significance was analyzed using one-way ANOVA with Tukey post-test.  </w:t>
      </w:r>
    </w:p>
    <w:p w:rsidR="006853A7" w:rsidRDefault="006853A7" w:rsidP="006853A7">
      <w:pPr>
        <w:spacing w:line="480" w:lineRule="auto"/>
        <w:rPr>
          <w:sz w:val="24"/>
          <w:szCs w:val="24"/>
        </w:rPr>
      </w:pPr>
    </w:p>
    <w:p w:rsidR="006853A7" w:rsidRPr="00E7110A" w:rsidRDefault="006853A7" w:rsidP="006853A7">
      <w:pPr>
        <w:spacing w:line="360" w:lineRule="auto"/>
        <w:rPr>
          <w:sz w:val="24"/>
          <w:szCs w:val="24"/>
        </w:rPr>
      </w:pPr>
    </w:p>
    <w:p w:rsidR="006853A7" w:rsidRDefault="006853A7">
      <w:pPr>
        <w:rPr>
          <w:rFonts w:ascii="Arial" w:eastAsia="Calibri" w:hAnsi="Arial" w:cs="Arial"/>
        </w:rPr>
      </w:pPr>
    </w:p>
    <w:p w:rsidR="006853A7" w:rsidRDefault="006853A7">
      <w:pPr>
        <w:rPr>
          <w:rFonts w:ascii="Arial" w:eastAsia="Calibri" w:hAnsi="Arial" w:cs="Arial"/>
        </w:rPr>
      </w:pPr>
    </w:p>
    <w:p w:rsidR="006853A7" w:rsidRDefault="006853A7">
      <w:pPr>
        <w:rPr>
          <w:rFonts w:ascii="Arial" w:eastAsia="Calibri" w:hAnsi="Arial" w:cs="Arial"/>
        </w:rPr>
      </w:pPr>
    </w:p>
    <w:p w:rsidR="00CA09F2" w:rsidRDefault="00CA09F2" w:rsidP="00CA09F2"/>
    <w:sectPr w:rsidR="00CA09F2" w:rsidSect="00F7023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88" w:rsidRDefault="002B7788" w:rsidP="00137CE0">
      <w:pPr>
        <w:spacing w:after="0" w:line="240" w:lineRule="auto"/>
      </w:pPr>
      <w:r>
        <w:separator/>
      </w:r>
    </w:p>
  </w:endnote>
  <w:endnote w:type="continuationSeparator" w:id="0">
    <w:p w:rsidR="002B7788" w:rsidRDefault="002B7788" w:rsidP="0013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522299"/>
      <w:docPartObj>
        <w:docPartGallery w:val="Page Numbers (Bottom of Page)"/>
        <w:docPartUnique/>
      </w:docPartObj>
    </w:sdtPr>
    <w:sdtEndPr>
      <w:rPr>
        <w:noProof/>
      </w:rPr>
    </w:sdtEndPr>
    <w:sdtContent>
      <w:p w:rsidR="00137CE0" w:rsidRDefault="00F7023E">
        <w:pPr>
          <w:pStyle w:val="Footer"/>
          <w:jc w:val="right"/>
        </w:pPr>
        <w:r>
          <w:fldChar w:fldCharType="begin"/>
        </w:r>
        <w:r w:rsidR="00137CE0">
          <w:instrText xml:space="preserve"> PAGE   \* MERGEFORMAT </w:instrText>
        </w:r>
        <w:r>
          <w:fldChar w:fldCharType="separate"/>
        </w:r>
        <w:r w:rsidR="00644825">
          <w:rPr>
            <w:noProof/>
          </w:rPr>
          <w:t>4</w:t>
        </w:r>
        <w:r>
          <w:rPr>
            <w:noProof/>
          </w:rPr>
          <w:fldChar w:fldCharType="end"/>
        </w:r>
      </w:p>
    </w:sdtContent>
  </w:sdt>
  <w:p w:rsidR="00137CE0" w:rsidRDefault="00137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88" w:rsidRDefault="002B7788" w:rsidP="00137CE0">
      <w:pPr>
        <w:spacing w:after="0" w:line="240" w:lineRule="auto"/>
      </w:pPr>
      <w:r>
        <w:separator/>
      </w:r>
    </w:p>
  </w:footnote>
  <w:footnote w:type="continuationSeparator" w:id="0">
    <w:p w:rsidR="002B7788" w:rsidRDefault="002B7788" w:rsidP="00137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7799D"/>
    <w:multiLevelType w:val="hybridMultilevel"/>
    <w:tmpl w:val="F3A47300"/>
    <w:lvl w:ilvl="0" w:tplc="954C068E">
      <w:start w:val="1"/>
      <w:numFmt w:val="upperLetter"/>
      <w:lvlText w:val="(%1)"/>
      <w:lvlJc w:val="left"/>
      <w:pPr>
        <w:ind w:left="730" w:hanging="3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CC"/>
    <w:rsid w:val="000060CA"/>
    <w:rsid w:val="00095DA6"/>
    <w:rsid w:val="00137CE0"/>
    <w:rsid w:val="00163B34"/>
    <w:rsid w:val="002B7788"/>
    <w:rsid w:val="00336A3D"/>
    <w:rsid w:val="00594691"/>
    <w:rsid w:val="00644825"/>
    <w:rsid w:val="006853A7"/>
    <w:rsid w:val="00757AC1"/>
    <w:rsid w:val="00781FF8"/>
    <w:rsid w:val="007B1925"/>
    <w:rsid w:val="00856E61"/>
    <w:rsid w:val="00927506"/>
    <w:rsid w:val="009A699E"/>
    <w:rsid w:val="00BD7DE4"/>
    <w:rsid w:val="00BE4AA2"/>
    <w:rsid w:val="00BE70CC"/>
    <w:rsid w:val="00C30B25"/>
    <w:rsid w:val="00CA09F2"/>
    <w:rsid w:val="00CF3782"/>
    <w:rsid w:val="00D35104"/>
    <w:rsid w:val="00DC48D0"/>
    <w:rsid w:val="00E54171"/>
    <w:rsid w:val="00E73FC4"/>
    <w:rsid w:val="00F00D9E"/>
    <w:rsid w:val="00F7023E"/>
    <w:rsid w:val="00FA2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978A1814-87AE-4414-B5A8-D2DD305E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9F2"/>
    <w:pPr>
      <w:ind w:left="720"/>
      <w:contextualSpacing/>
    </w:pPr>
  </w:style>
  <w:style w:type="paragraph" w:styleId="Header">
    <w:name w:val="header"/>
    <w:basedOn w:val="Normal"/>
    <w:link w:val="HeaderChar"/>
    <w:uiPriority w:val="99"/>
    <w:unhideWhenUsed/>
    <w:rsid w:val="0013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CE0"/>
  </w:style>
  <w:style w:type="paragraph" w:styleId="Footer">
    <w:name w:val="footer"/>
    <w:basedOn w:val="Normal"/>
    <w:link w:val="FooterChar"/>
    <w:uiPriority w:val="99"/>
    <w:unhideWhenUsed/>
    <w:rsid w:val="00137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CE0"/>
  </w:style>
  <w:style w:type="paragraph" w:styleId="BalloonText">
    <w:name w:val="Balloon Text"/>
    <w:basedOn w:val="Normal"/>
    <w:link w:val="BalloonTextChar"/>
    <w:uiPriority w:val="99"/>
    <w:semiHidden/>
    <w:unhideWhenUsed/>
    <w:rsid w:val="00095DA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95D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Dunmall</dc:creator>
  <cp:lastModifiedBy>Yaohe Wang</cp:lastModifiedBy>
  <cp:revision>2</cp:revision>
  <cp:lastPrinted>2019-10-01T13:30:00Z</cp:lastPrinted>
  <dcterms:created xsi:type="dcterms:W3CDTF">2019-10-22T17:04:00Z</dcterms:created>
  <dcterms:modified xsi:type="dcterms:W3CDTF">2019-10-22T17:04:00Z</dcterms:modified>
</cp:coreProperties>
</file>