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F57973" w:rsidRDefault="006024E1">
      <w:pPr>
        <w:pBdr>
          <w:top w:val="nil"/>
          <w:left w:val="nil"/>
          <w:bottom w:val="nil"/>
          <w:right w:val="nil"/>
          <w:between w:val="nil"/>
        </w:pBdr>
        <w:spacing w:after="0"/>
        <w:jc w:val="center"/>
        <w:rPr>
          <w:b/>
          <w:color w:val="000000"/>
          <w:sz w:val="24"/>
          <w:szCs w:val="24"/>
        </w:rPr>
      </w:pPr>
      <w:r>
        <w:rPr>
          <w:b/>
          <w:color w:val="000000"/>
          <w:sz w:val="24"/>
          <w:szCs w:val="24"/>
        </w:rPr>
        <w:t>SUPPLEMENTARY APPENDIX</w:t>
      </w:r>
    </w:p>
    <w:p w:rsidR="00F57973" w:rsidRDefault="00F57973">
      <w:pPr>
        <w:pBdr>
          <w:top w:val="nil"/>
          <w:left w:val="nil"/>
          <w:bottom w:val="nil"/>
          <w:right w:val="nil"/>
          <w:between w:val="nil"/>
        </w:pBdr>
        <w:spacing w:after="0"/>
        <w:jc w:val="center"/>
        <w:rPr>
          <w:b/>
          <w:color w:val="000000"/>
          <w:sz w:val="40"/>
          <w:szCs w:val="40"/>
        </w:rPr>
      </w:pPr>
    </w:p>
    <w:p w:rsidR="00F57973" w:rsidRDefault="006024E1">
      <w:pPr>
        <w:spacing w:after="0"/>
        <w:jc w:val="center"/>
        <w:rPr>
          <w:b/>
          <w:sz w:val="28"/>
          <w:szCs w:val="28"/>
        </w:rPr>
      </w:pPr>
      <w:r>
        <w:rPr>
          <w:b/>
          <w:sz w:val="28"/>
          <w:szCs w:val="28"/>
        </w:rPr>
        <w:t>Pembrolizumab in Resectable Human-Papillomavirus-Unrelated Head and Neck Cancer</w:t>
      </w:r>
    </w:p>
    <w:p w:rsidR="00F57973" w:rsidRDefault="00F57973">
      <w:pPr>
        <w:spacing w:after="0"/>
        <w:jc w:val="center"/>
        <w:rPr>
          <w:b/>
          <w:sz w:val="22"/>
          <w:szCs w:val="22"/>
        </w:rPr>
      </w:pPr>
    </w:p>
    <w:p w:rsidR="00F57973" w:rsidRDefault="006024E1">
      <w:pPr>
        <w:spacing w:after="0"/>
        <w:jc w:val="center"/>
        <w:rPr>
          <w:sz w:val="22"/>
          <w:szCs w:val="22"/>
          <w:vertAlign w:val="superscript"/>
        </w:rPr>
      </w:pPr>
      <w:bookmarkStart w:id="0" w:name="_heading=h.gjdgxs" w:colFirst="0" w:colLast="0"/>
      <w:bookmarkEnd w:id="0"/>
      <w:r>
        <w:rPr>
          <w:sz w:val="22"/>
          <w:szCs w:val="22"/>
        </w:rPr>
        <w:t>Ravindra Uppaluri</w:t>
      </w:r>
      <w:r>
        <w:rPr>
          <w:sz w:val="22"/>
          <w:szCs w:val="22"/>
          <w:vertAlign w:val="superscript"/>
        </w:rPr>
        <w:t>1,2,*,#</w:t>
      </w:r>
      <w:r>
        <w:rPr>
          <w:sz w:val="22"/>
          <w:szCs w:val="22"/>
        </w:rPr>
        <w:t>, Katie M. Campbell</w:t>
      </w:r>
      <w:r>
        <w:rPr>
          <w:sz w:val="22"/>
          <w:szCs w:val="22"/>
          <w:vertAlign w:val="superscript"/>
        </w:rPr>
        <w:t>3,4,*</w:t>
      </w:r>
      <w:r>
        <w:rPr>
          <w:sz w:val="22"/>
          <w:szCs w:val="22"/>
        </w:rPr>
        <w:t>, Ann Marie Egloff</w:t>
      </w:r>
      <w:r>
        <w:rPr>
          <w:sz w:val="22"/>
          <w:szCs w:val="22"/>
          <w:vertAlign w:val="superscript"/>
        </w:rPr>
        <w:t>1</w:t>
      </w:r>
      <w:r>
        <w:rPr>
          <w:sz w:val="22"/>
          <w:szCs w:val="22"/>
        </w:rPr>
        <w:t>, Paul Zolkind</w:t>
      </w:r>
      <w:r>
        <w:rPr>
          <w:sz w:val="22"/>
          <w:szCs w:val="22"/>
          <w:vertAlign w:val="superscript"/>
        </w:rPr>
        <w:t>5</w:t>
      </w:r>
      <w:r>
        <w:rPr>
          <w:sz w:val="22"/>
          <w:szCs w:val="22"/>
        </w:rPr>
        <w:t>, Zachary L. Skidmore</w:t>
      </w:r>
      <w:r>
        <w:rPr>
          <w:sz w:val="22"/>
          <w:szCs w:val="22"/>
          <w:vertAlign w:val="superscript"/>
        </w:rPr>
        <w:t>4</w:t>
      </w:r>
      <w:r>
        <w:rPr>
          <w:sz w:val="22"/>
          <w:szCs w:val="22"/>
        </w:rPr>
        <w:t>, Brian Nussenbaum</w:t>
      </w:r>
      <w:r>
        <w:rPr>
          <w:sz w:val="22"/>
          <w:szCs w:val="22"/>
          <w:vertAlign w:val="superscript"/>
        </w:rPr>
        <w:t>5,6</w:t>
      </w:r>
      <w:r>
        <w:rPr>
          <w:sz w:val="22"/>
          <w:szCs w:val="22"/>
        </w:rPr>
        <w:t>, Randal C. Paniello</w:t>
      </w:r>
      <w:r>
        <w:rPr>
          <w:sz w:val="22"/>
          <w:szCs w:val="22"/>
          <w:vertAlign w:val="superscript"/>
        </w:rPr>
        <w:t>5,6</w:t>
      </w:r>
      <w:r>
        <w:rPr>
          <w:sz w:val="22"/>
          <w:szCs w:val="22"/>
        </w:rPr>
        <w:t>, Jason T. Rich</w:t>
      </w:r>
      <w:r>
        <w:rPr>
          <w:sz w:val="22"/>
          <w:szCs w:val="22"/>
          <w:vertAlign w:val="superscript"/>
        </w:rPr>
        <w:t>5,6</w:t>
      </w:r>
      <w:r>
        <w:rPr>
          <w:sz w:val="22"/>
          <w:szCs w:val="22"/>
        </w:rPr>
        <w:t>, Ryan Jackson</w:t>
      </w:r>
      <w:r>
        <w:rPr>
          <w:sz w:val="22"/>
          <w:szCs w:val="22"/>
          <w:vertAlign w:val="superscript"/>
        </w:rPr>
        <w:t>5,6</w:t>
      </w:r>
      <w:r>
        <w:rPr>
          <w:sz w:val="22"/>
          <w:szCs w:val="22"/>
        </w:rPr>
        <w:t xml:space="preserve">, </w:t>
      </w:r>
      <w:proofErr w:type="spellStart"/>
      <w:r>
        <w:rPr>
          <w:sz w:val="22"/>
          <w:szCs w:val="22"/>
        </w:rPr>
        <w:t>Patrik</w:t>
      </w:r>
      <w:proofErr w:type="spellEnd"/>
      <w:r>
        <w:rPr>
          <w:sz w:val="22"/>
          <w:szCs w:val="22"/>
        </w:rPr>
        <w:t xml:space="preserve"> Pipkorn</w:t>
      </w:r>
      <w:r>
        <w:rPr>
          <w:sz w:val="22"/>
          <w:szCs w:val="22"/>
          <w:vertAlign w:val="superscript"/>
        </w:rPr>
        <w:t>5,6</w:t>
      </w:r>
      <w:r>
        <w:rPr>
          <w:sz w:val="22"/>
          <w:szCs w:val="22"/>
        </w:rPr>
        <w:t>, Loren P. Michel</w:t>
      </w:r>
      <w:r>
        <w:rPr>
          <w:sz w:val="22"/>
          <w:szCs w:val="22"/>
          <w:vertAlign w:val="superscript"/>
        </w:rPr>
        <w:t>6,7</w:t>
      </w:r>
      <w:r>
        <w:rPr>
          <w:sz w:val="22"/>
          <w:szCs w:val="22"/>
        </w:rPr>
        <w:t>, Jessica Ley</w:t>
      </w:r>
      <w:r>
        <w:rPr>
          <w:sz w:val="22"/>
          <w:szCs w:val="22"/>
          <w:vertAlign w:val="superscript"/>
        </w:rPr>
        <w:t>7</w:t>
      </w:r>
      <w:r>
        <w:rPr>
          <w:sz w:val="22"/>
          <w:szCs w:val="22"/>
        </w:rPr>
        <w:t>, Peter Oppelt</w:t>
      </w:r>
      <w:r>
        <w:rPr>
          <w:sz w:val="22"/>
          <w:szCs w:val="22"/>
          <w:vertAlign w:val="superscript"/>
        </w:rPr>
        <w:t>6,7</w:t>
      </w:r>
      <w:r>
        <w:rPr>
          <w:sz w:val="22"/>
          <w:szCs w:val="22"/>
        </w:rPr>
        <w:t>, Gavin P. Dunn</w:t>
      </w:r>
      <w:r>
        <w:rPr>
          <w:sz w:val="22"/>
          <w:szCs w:val="22"/>
          <w:vertAlign w:val="superscript"/>
        </w:rPr>
        <w:t>6,8</w:t>
      </w:r>
      <w:r>
        <w:rPr>
          <w:sz w:val="22"/>
          <w:szCs w:val="22"/>
        </w:rPr>
        <w:t>, Erica K. Barnell</w:t>
      </w:r>
      <w:r>
        <w:rPr>
          <w:sz w:val="22"/>
          <w:szCs w:val="22"/>
          <w:vertAlign w:val="superscript"/>
        </w:rPr>
        <w:t>3,4</w:t>
      </w:r>
      <w:r>
        <w:rPr>
          <w:sz w:val="22"/>
          <w:szCs w:val="22"/>
        </w:rPr>
        <w:t>, Nicholas C. Spies</w:t>
      </w:r>
      <w:r>
        <w:rPr>
          <w:sz w:val="22"/>
          <w:szCs w:val="22"/>
          <w:vertAlign w:val="superscript"/>
        </w:rPr>
        <w:t>4</w:t>
      </w:r>
      <w:r>
        <w:rPr>
          <w:sz w:val="22"/>
          <w:szCs w:val="22"/>
        </w:rPr>
        <w:t xml:space="preserve">, </w:t>
      </w:r>
      <w:proofErr w:type="spellStart"/>
      <w:r>
        <w:rPr>
          <w:sz w:val="22"/>
          <w:szCs w:val="22"/>
        </w:rPr>
        <w:t>Tianxiang</w:t>
      </w:r>
      <w:proofErr w:type="spellEnd"/>
      <w:r>
        <w:rPr>
          <w:sz w:val="22"/>
          <w:szCs w:val="22"/>
        </w:rPr>
        <w:t xml:space="preserve"> Lin</w:t>
      </w:r>
      <w:r>
        <w:rPr>
          <w:sz w:val="22"/>
          <w:szCs w:val="22"/>
          <w:vertAlign w:val="superscript"/>
        </w:rPr>
        <w:t>5</w:t>
      </w:r>
      <w:r>
        <w:rPr>
          <w:sz w:val="22"/>
          <w:szCs w:val="22"/>
        </w:rPr>
        <w:t xml:space="preserve">, </w:t>
      </w:r>
      <w:proofErr w:type="spellStart"/>
      <w:r>
        <w:rPr>
          <w:sz w:val="22"/>
          <w:szCs w:val="22"/>
        </w:rPr>
        <w:t>Tiantian</w:t>
      </w:r>
      <w:proofErr w:type="spellEnd"/>
      <w:r>
        <w:rPr>
          <w:sz w:val="22"/>
          <w:szCs w:val="22"/>
        </w:rPr>
        <w:t xml:space="preserve"> Li</w:t>
      </w:r>
      <w:r>
        <w:rPr>
          <w:sz w:val="22"/>
          <w:szCs w:val="22"/>
          <w:vertAlign w:val="superscript"/>
        </w:rPr>
        <w:t>9</w:t>
      </w:r>
      <w:r>
        <w:rPr>
          <w:sz w:val="22"/>
          <w:szCs w:val="22"/>
        </w:rPr>
        <w:t>, David T. Mulder</w:t>
      </w:r>
      <w:r>
        <w:rPr>
          <w:sz w:val="22"/>
          <w:szCs w:val="22"/>
          <w:vertAlign w:val="superscript"/>
        </w:rPr>
        <w:t>9</w:t>
      </w:r>
      <w:r>
        <w:rPr>
          <w:sz w:val="22"/>
          <w:szCs w:val="22"/>
        </w:rPr>
        <w:t xml:space="preserve">, </w:t>
      </w:r>
      <w:proofErr w:type="spellStart"/>
      <w:r>
        <w:rPr>
          <w:sz w:val="22"/>
          <w:szCs w:val="22"/>
        </w:rPr>
        <w:t>Youstina</w:t>
      </w:r>
      <w:proofErr w:type="spellEnd"/>
      <w:r>
        <w:rPr>
          <w:sz w:val="22"/>
          <w:szCs w:val="22"/>
        </w:rPr>
        <w:t xml:space="preserve"> Hanna</w:t>
      </w:r>
      <w:r>
        <w:rPr>
          <w:sz w:val="22"/>
          <w:szCs w:val="22"/>
          <w:vertAlign w:val="superscript"/>
        </w:rPr>
        <w:t>9</w:t>
      </w:r>
      <w:r>
        <w:rPr>
          <w:sz w:val="22"/>
          <w:szCs w:val="22"/>
        </w:rPr>
        <w:t>, Iu</w:t>
      </w:r>
      <w:r>
        <w:rPr>
          <w:sz w:val="22"/>
          <w:szCs w:val="22"/>
        </w:rPr>
        <w:t>lia Cirlan</w:t>
      </w:r>
      <w:r>
        <w:rPr>
          <w:sz w:val="22"/>
          <w:szCs w:val="22"/>
          <w:vertAlign w:val="superscript"/>
        </w:rPr>
        <w:t>9</w:t>
      </w:r>
      <w:r>
        <w:rPr>
          <w:sz w:val="22"/>
          <w:szCs w:val="22"/>
        </w:rPr>
        <w:t>, Trevor J. Pugh</w:t>
      </w:r>
      <w:r>
        <w:rPr>
          <w:sz w:val="22"/>
          <w:szCs w:val="22"/>
          <w:vertAlign w:val="superscript"/>
        </w:rPr>
        <w:t>9,10,11</w:t>
      </w:r>
      <w:r>
        <w:rPr>
          <w:sz w:val="22"/>
          <w:szCs w:val="22"/>
        </w:rPr>
        <w:t>, Tenny Mudianto</w:t>
      </w:r>
      <w:r>
        <w:rPr>
          <w:sz w:val="22"/>
          <w:szCs w:val="22"/>
          <w:vertAlign w:val="superscript"/>
        </w:rPr>
        <w:t>2</w:t>
      </w:r>
      <w:r>
        <w:rPr>
          <w:sz w:val="22"/>
          <w:szCs w:val="22"/>
        </w:rPr>
        <w:t>, Rachel Riley</w:t>
      </w:r>
      <w:r>
        <w:rPr>
          <w:sz w:val="22"/>
          <w:szCs w:val="22"/>
          <w:vertAlign w:val="superscript"/>
        </w:rPr>
        <w:t>2</w:t>
      </w:r>
      <w:r>
        <w:rPr>
          <w:sz w:val="22"/>
          <w:szCs w:val="22"/>
        </w:rPr>
        <w:t>, Liye Zhou</w:t>
      </w:r>
      <w:r>
        <w:rPr>
          <w:sz w:val="22"/>
          <w:szCs w:val="22"/>
          <w:vertAlign w:val="superscript"/>
        </w:rPr>
        <w:t>2</w:t>
      </w:r>
      <w:r>
        <w:rPr>
          <w:sz w:val="22"/>
          <w:szCs w:val="22"/>
        </w:rPr>
        <w:t>, Vickie Jo</w:t>
      </w:r>
      <w:r>
        <w:rPr>
          <w:sz w:val="22"/>
          <w:szCs w:val="22"/>
          <w:vertAlign w:val="superscript"/>
        </w:rPr>
        <w:t>12</w:t>
      </w:r>
      <w:r>
        <w:rPr>
          <w:sz w:val="22"/>
          <w:szCs w:val="22"/>
        </w:rPr>
        <w:t>, Matthew Stachler</w:t>
      </w:r>
      <w:r>
        <w:rPr>
          <w:sz w:val="22"/>
          <w:szCs w:val="22"/>
          <w:vertAlign w:val="superscript"/>
        </w:rPr>
        <w:t>12</w:t>
      </w:r>
      <w:r>
        <w:rPr>
          <w:sz w:val="22"/>
          <w:szCs w:val="22"/>
        </w:rPr>
        <w:t>, Glenn J. Hanna</w:t>
      </w:r>
      <w:r>
        <w:rPr>
          <w:sz w:val="22"/>
          <w:szCs w:val="22"/>
          <w:vertAlign w:val="superscript"/>
        </w:rPr>
        <w:t>2</w:t>
      </w:r>
      <w:r>
        <w:rPr>
          <w:sz w:val="22"/>
          <w:szCs w:val="22"/>
        </w:rPr>
        <w:t>, Jason Kass</w:t>
      </w:r>
      <w:r>
        <w:rPr>
          <w:sz w:val="22"/>
          <w:szCs w:val="22"/>
          <w:vertAlign w:val="superscript"/>
        </w:rPr>
        <w:t>1,2</w:t>
      </w:r>
      <w:r>
        <w:rPr>
          <w:sz w:val="22"/>
          <w:szCs w:val="22"/>
        </w:rPr>
        <w:t>, Robert Haddad</w:t>
      </w:r>
      <w:r>
        <w:rPr>
          <w:sz w:val="22"/>
          <w:szCs w:val="22"/>
          <w:vertAlign w:val="superscript"/>
        </w:rPr>
        <w:t>1,2</w:t>
      </w:r>
      <w:r>
        <w:rPr>
          <w:sz w:val="22"/>
          <w:szCs w:val="22"/>
        </w:rPr>
        <w:t>, Jonathan D. Schoenfeld</w:t>
      </w:r>
      <w:r>
        <w:rPr>
          <w:sz w:val="22"/>
          <w:szCs w:val="22"/>
          <w:vertAlign w:val="superscript"/>
        </w:rPr>
        <w:t>2,13</w:t>
      </w:r>
      <w:r>
        <w:rPr>
          <w:sz w:val="22"/>
          <w:szCs w:val="22"/>
        </w:rPr>
        <w:t xml:space="preserve">, </w:t>
      </w:r>
      <w:proofErr w:type="spellStart"/>
      <w:r>
        <w:rPr>
          <w:sz w:val="22"/>
          <w:szCs w:val="22"/>
        </w:rPr>
        <w:t>Evisa</w:t>
      </w:r>
      <w:proofErr w:type="spellEnd"/>
      <w:r>
        <w:rPr>
          <w:sz w:val="22"/>
          <w:szCs w:val="22"/>
        </w:rPr>
        <w:t xml:space="preserve"> Gjini</w:t>
      </w:r>
      <w:r>
        <w:rPr>
          <w:sz w:val="22"/>
          <w:szCs w:val="22"/>
          <w:vertAlign w:val="superscript"/>
        </w:rPr>
        <w:t>12</w:t>
      </w:r>
      <w:r>
        <w:rPr>
          <w:sz w:val="22"/>
          <w:szCs w:val="22"/>
        </w:rPr>
        <w:t>, Ana Lako</w:t>
      </w:r>
      <w:r>
        <w:rPr>
          <w:sz w:val="22"/>
          <w:szCs w:val="22"/>
          <w:vertAlign w:val="superscript"/>
        </w:rPr>
        <w:t>12</w:t>
      </w:r>
      <w:r>
        <w:rPr>
          <w:sz w:val="22"/>
          <w:szCs w:val="22"/>
        </w:rPr>
        <w:t>, Wade Thorstad</w:t>
      </w:r>
      <w:r>
        <w:rPr>
          <w:sz w:val="22"/>
          <w:szCs w:val="22"/>
          <w:vertAlign w:val="superscript"/>
        </w:rPr>
        <w:t>6,14</w:t>
      </w:r>
      <w:r>
        <w:rPr>
          <w:sz w:val="22"/>
          <w:szCs w:val="22"/>
        </w:rPr>
        <w:t>, Hiram A. Gay</w:t>
      </w:r>
      <w:r>
        <w:rPr>
          <w:sz w:val="22"/>
          <w:szCs w:val="22"/>
          <w:vertAlign w:val="superscript"/>
        </w:rPr>
        <w:t>6,14</w:t>
      </w:r>
      <w:r>
        <w:rPr>
          <w:sz w:val="22"/>
          <w:szCs w:val="22"/>
        </w:rPr>
        <w:t>, Mackenzie Daly</w:t>
      </w:r>
      <w:r>
        <w:rPr>
          <w:sz w:val="22"/>
          <w:szCs w:val="22"/>
          <w:vertAlign w:val="superscript"/>
        </w:rPr>
        <w:t>6,14</w:t>
      </w:r>
      <w:r>
        <w:rPr>
          <w:sz w:val="22"/>
          <w:szCs w:val="22"/>
        </w:rPr>
        <w:t>, Scott J. Rodig1</w:t>
      </w:r>
      <w:r>
        <w:rPr>
          <w:sz w:val="22"/>
          <w:szCs w:val="22"/>
          <w:vertAlign w:val="superscript"/>
        </w:rPr>
        <w:t>12,15</w:t>
      </w:r>
      <w:r>
        <w:rPr>
          <w:sz w:val="22"/>
          <w:szCs w:val="22"/>
        </w:rPr>
        <w:t>, Ian S. Hagemann</w:t>
      </w:r>
      <w:r>
        <w:rPr>
          <w:sz w:val="22"/>
          <w:szCs w:val="22"/>
          <w:vertAlign w:val="superscript"/>
        </w:rPr>
        <w:t>16</w:t>
      </w:r>
      <w:r>
        <w:rPr>
          <w:sz w:val="22"/>
          <w:szCs w:val="22"/>
        </w:rPr>
        <w:t xml:space="preserve">, </w:t>
      </w:r>
      <w:proofErr w:type="spellStart"/>
      <w:r>
        <w:rPr>
          <w:sz w:val="22"/>
          <w:szCs w:val="22"/>
        </w:rPr>
        <w:t>Dorina</w:t>
      </w:r>
      <w:proofErr w:type="spellEnd"/>
      <w:r>
        <w:rPr>
          <w:sz w:val="22"/>
          <w:szCs w:val="22"/>
        </w:rPr>
        <w:t xml:space="preserve"> Kallogjeri</w:t>
      </w:r>
      <w:r>
        <w:rPr>
          <w:sz w:val="22"/>
          <w:szCs w:val="22"/>
          <w:vertAlign w:val="superscript"/>
        </w:rPr>
        <w:t>5</w:t>
      </w:r>
      <w:r>
        <w:rPr>
          <w:sz w:val="22"/>
          <w:szCs w:val="22"/>
        </w:rPr>
        <w:t>, Jay F. Piccirillo</w:t>
      </w:r>
      <w:r>
        <w:rPr>
          <w:sz w:val="22"/>
          <w:szCs w:val="22"/>
          <w:vertAlign w:val="superscript"/>
        </w:rPr>
        <w:t>5,6</w:t>
      </w:r>
      <w:r>
        <w:rPr>
          <w:sz w:val="22"/>
          <w:szCs w:val="22"/>
        </w:rPr>
        <w:t>,</w:t>
      </w:r>
      <w:r>
        <w:rPr>
          <w:sz w:val="22"/>
          <w:szCs w:val="22"/>
          <w:vertAlign w:val="superscript"/>
        </w:rPr>
        <w:t xml:space="preserve"> </w:t>
      </w:r>
      <w:r>
        <w:rPr>
          <w:sz w:val="22"/>
          <w:szCs w:val="22"/>
        </w:rPr>
        <w:t>Rebecca D. Chernock</w:t>
      </w:r>
      <w:r>
        <w:rPr>
          <w:sz w:val="22"/>
          <w:szCs w:val="22"/>
          <w:vertAlign w:val="superscript"/>
        </w:rPr>
        <w:t>16</w:t>
      </w:r>
      <w:r>
        <w:rPr>
          <w:sz w:val="22"/>
          <w:szCs w:val="22"/>
        </w:rPr>
        <w:t>, Malachi Griffith</w:t>
      </w:r>
      <w:r>
        <w:rPr>
          <w:sz w:val="22"/>
          <w:szCs w:val="22"/>
          <w:vertAlign w:val="superscript"/>
        </w:rPr>
        <w:t>3,4,6,7</w:t>
      </w:r>
      <w:r>
        <w:rPr>
          <w:sz w:val="22"/>
          <w:szCs w:val="22"/>
        </w:rPr>
        <w:t>, Obi L. Griffith</w:t>
      </w:r>
      <w:r>
        <w:rPr>
          <w:sz w:val="22"/>
          <w:szCs w:val="22"/>
          <w:vertAlign w:val="superscript"/>
        </w:rPr>
        <w:t>3,4,6,7,#</w:t>
      </w:r>
      <w:r>
        <w:rPr>
          <w:sz w:val="22"/>
          <w:szCs w:val="22"/>
        </w:rPr>
        <w:t>, and Douglas R. Adkins</w:t>
      </w:r>
      <w:r>
        <w:rPr>
          <w:sz w:val="22"/>
          <w:szCs w:val="22"/>
          <w:vertAlign w:val="superscript"/>
        </w:rPr>
        <w:t>6,7,#</w:t>
      </w:r>
    </w:p>
    <w:p w:rsidR="00F57973" w:rsidRDefault="00F57973">
      <w:pPr>
        <w:spacing w:after="0"/>
        <w:jc w:val="center"/>
        <w:rPr>
          <w:sz w:val="22"/>
          <w:szCs w:val="22"/>
        </w:rPr>
      </w:pPr>
      <w:bookmarkStart w:id="1" w:name="_heading=h.jhkozb93u1or" w:colFirst="0" w:colLast="0"/>
      <w:bookmarkEnd w:id="1"/>
    </w:p>
    <w:p w:rsidR="00F57973" w:rsidRDefault="006024E1">
      <w:pPr>
        <w:spacing w:after="0"/>
        <w:rPr>
          <w:b/>
          <w:sz w:val="22"/>
          <w:szCs w:val="22"/>
        </w:rPr>
      </w:pPr>
      <w:r>
        <w:rPr>
          <w:b/>
          <w:sz w:val="22"/>
          <w:szCs w:val="22"/>
        </w:rPr>
        <w:t>Affiliations:</w:t>
      </w:r>
    </w:p>
    <w:p w:rsidR="00F57973" w:rsidRDefault="006024E1">
      <w:pPr>
        <w:spacing w:after="0"/>
        <w:ind w:left="359"/>
        <w:rPr>
          <w:sz w:val="22"/>
          <w:szCs w:val="22"/>
        </w:rPr>
      </w:pPr>
      <w:r>
        <w:rPr>
          <w:sz w:val="22"/>
          <w:szCs w:val="22"/>
          <w:vertAlign w:val="superscript"/>
        </w:rPr>
        <w:t>1</w:t>
      </w:r>
      <w:r>
        <w:rPr>
          <w:sz w:val="22"/>
          <w:szCs w:val="22"/>
        </w:rPr>
        <w:t>Department of Su</w:t>
      </w:r>
      <w:r>
        <w:rPr>
          <w:sz w:val="22"/>
          <w:szCs w:val="22"/>
        </w:rPr>
        <w:t>rgery, Brigham and Women’s Hospital; Boston, MA, USA</w:t>
      </w:r>
    </w:p>
    <w:p w:rsidR="00F57973" w:rsidRDefault="006024E1">
      <w:pPr>
        <w:spacing w:after="0"/>
        <w:ind w:left="359"/>
        <w:rPr>
          <w:sz w:val="22"/>
          <w:szCs w:val="22"/>
        </w:rPr>
      </w:pPr>
      <w:r>
        <w:rPr>
          <w:sz w:val="22"/>
          <w:szCs w:val="22"/>
          <w:vertAlign w:val="superscript"/>
        </w:rPr>
        <w:t>2</w:t>
      </w:r>
      <w:r>
        <w:rPr>
          <w:sz w:val="22"/>
          <w:szCs w:val="22"/>
        </w:rPr>
        <w:t>Department of Medical Oncology, Dana-Farber Cancer Institute; Boston, MA, USA</w:t>
      </w:r>
    </w:p>
    <w:p w:rsidR="00F57973" w:rsidRDefault="006024E1">
      <w:pPr>
        <w:spacing w:after="0"/>
        <w:ind w:left="359"/>
        <w:rPr>
          <w:sz w:val="22"/>
          <w:szCs w:val="22"/>
        </w:rPr>
      </w:pPr>
      <w:r>
        <w:rPr>
          <w:sz w:val="22"/>
          <w:szCs w:val="22"/>
          <w:vertAlign w:val="superscript"/>
        </w:rPr>
        <w:t>3</w:t>
      </w:r>
      <w:r>
        <w:rPr>
          <w:sz w:val="22"/>
          <w:szCs w:val="22"/>
        </w:rPr>
        <w:t>Department of Genetics, Washington University School of Medicine; St. Louis, MO, USA</w:t>
      </w:r>
    </w:p>
    <w:p w:rsidR="00F57973" w:rsidRDefault="006024E1">
      <w:pPr>
        <w:spacing w:after="0"/>
        <w:ind w:left="359"/>
        <w:rPr>
          <w:sz w:val="22"/>
          <w:szCs w:val="22"/>
        </w:rPr>
      </w:pPr>
      <w:r>
        <w:rPr>
          <w:sz w:val="22"/>
          <w:szCs w:val="22"/>
          <w:vertAlign w:val="superscript"/>
        </w:rPr>
        <w:t>4</w:t>
      </w:r>
      <w:r>
        <w:rPr>
          <w:sz w:val="22"/>
          <w:szCs w:val="22"/>
        </w:rPr>
        <w:t>McDonnell Genome Institute, Washingto</w:t>
      </w:r>
      <w:r>
        <w:rPr>
          <w:sz w:val="22"/>
          <w:szCs w:val="22"/>
        </w:rPr>
        <w:t>n University School of Medicine; St. Louis, MO, USA</w:t>
      </w:r>
    </w:p>
    <w:p w:rsidR="00F57973" w:rsidRDefault="006024E1">
      <w:pPr>
        <w:spacing w:after="0"/>
        <w:ind w:left="359"/>
        <w:rPr>
          <w:sz w:val="22"/>
          <w:szCs w:val="22"/>
        </w:rPr>
      </w:pPr>
      <w:r>
        <w:rPr>
          <w:sz w:val="22"/>
          <w:szCs w:val="22"/>
          <w:vertAlign w:val="superscript"/>
        </w:rPr>
        <w:t>5</w:t>
      </w:r>
      <w:r>
        <w:rPr>
          <w:sz w:val="22"/>
          <w:szCs w:val="22"/>
        </w:rPr>
        <w:t>Department of Otolaryngology, Washington University School of Medicine; St. Louis, MO, USA</w:t>
      </w:r>
    </w:p>
    <w:p w:rsidR="00F57973" w:rsidRDefault="006024E1">
      <w:pPr>
        <w:spacing w:after="0"/>
        <w:ind w:left="359"/>
        <w:rPr>
          <w:sz w:val="22"/>
          <w:szCs w:val="22"/>
        </w:rPr>
      </w:pPr>
      <w:r>
        <w:rPr>
          <w:sz w:val="22"/>
          <w:szCs w:val="22"/>
          <w:vertAlign w:val="superscript"/>
        </w:rPr>
        <w:t>6</w:t>
      </w:r>
      <w:r>
        <w:rPr>
          <w:sz w:val="22"/>
          <w:szCs w:val="22"/>
        </w:rPr>
        <w:t xml:space="preserve">Alvin J. </w:t>
      </w:r>
      <w:proofErr w:type="spellStart"/>
      <w:r>
        <w:rPr>
          <w:sz w:val="22"/>
          <w:szCs w:val="22"/>
        </w:rPr>
        <w:t>Siteman</w:t>
      </w:r>
      <w:proofErr w:type="spellEnd"/>
      <w:r>
        <w:rPr>
          <w:sz w:val="22"/>
          <w:szCs w:val="22"/>
        </w:rPr>
        <w:t xml:space="preserve"> Cancer Center, Washington University School of Medicine; St. Louis, MO, USA</w:t>
      </w:r>
    </w:p>
    <w:p w:rsidR="00F57973" w:rsidRDefault="006024E1">
      <w:pPr>
        <w:spacing w:after="0"/>
        <w:ind w:left="359"/>
        <w:rPr>
          <w:sz w:val="22"/>
          <w:szCs w:val="22"/>
        </w:rPr>
      </w:pPr>
      <w:r>
        <w:rPr>
          <w:sz w:val="22"/>
          <w:szCs w:val="22"/>
          <w:vertAlign w:val="superscript"/>
        </w:rPr>
        <w:t>7</w:t>
      </w:r>
      <w:r>
        <w:rPr>
          <w:sz w:val="22"/>
          <w:szCs w:val="22"/>
        </w:rPr>
        <w:t>Department of Med</w:t>
      </w:r>
      <w:r>
        <w:rPr>
          <w:sz w:val="22"/>
          <w:szCs w:val="22"/>
        </w:rPr>
        <w:t>icine, Division of Medical Oncology, Washington University School of Medicine; St. Louis, MO, USA</w:t>
      </w:r>
    </w:p>
    <w:p w:rsidR="00F57973" w:rsidRDefault="006024E1">
      <w:pPr>
        <w:spacing w:after="0"/>
        <w:ind w:left="359"/>
        <w:rPr>
          <w:sz w:val="22"/>
          <w:szCs w:val="22"/>
        </w:rPr>
      </w:pPr>
      <w:r>
        <w:rPr>
          <w:sz w:val="22"/>
          <w:szCs w:val="22"/>
          <w:vertAlign w:val="superscript"/>
        </w:rPr>
        <w:t>8</w:t>
      </w:r>
      <w:r>
        <w:rPr>
          <w:sz w:val="22"/>
          <w:szCs w:val="22"/>
        </w:rPr>
        <w:t>Department of Neurological Surgery, Washington University School of Medicine; St. Louis, MO, USA</w:t>
      </w:r>
    </w:p>
    <w:p w:rsidR="00F57973" w:rsidRDefault="006024E1">
      <w:pPr>
        <w:spacing w:after="0"/>
        <w:ind w:left="359"/>
        <w:rPr>
          <w:sz w:val="22"/>
          <w:szCs w:val="22"/>
        </w:rPr>
      </w:pPr>
      <w:r>
        <w:rPr>
          <w:sz w:val="22"/>
          <w:szCs w:val="22"/>
          <w:vertAlign w:val="superscript"/>
        </w:rPr>
        <w:t>9</w:t>
      </w:r>
      <w:r>
        <w:rPr>
          <w:sz w:val="22"/>
          <w:szCs w:val="22"/>
        </w:rPr>
        <w:t>Princess Margaret Cancer Center, University Health Network;</w:t>
      </w:r>
      <w:r>
        <w:rPr>
          <w:sz w:val="22"/>
          <w:szCs w:val="22"/>
        </w:rPr>
        <w:t xml:space="preserve"> </w:t>
      </w:r>
      <w:proofErr w:type="spellStart"/>
      <w:r>
        <w:rPr>
          <w:sz w:val="22"/>
          <w:szCs w:val="22"/>
        </w:rPr>
        <w:t>Toronoto</w:t>
      </w:r>
      <w:proofErr w:type="spellEnd"/>
      <w:r>
        <w:rPr>
          <w:sz w:val="22"/>
          <w:szCs w:val="22"/>
        </w:rPr>
        <w:t>, Ontario, Canada</w:t>
      </w:r>
    </w:p>
    <w:p w:rsidR="00F57973" w:rsidRDefault="006024E1">
      <w:pPr>
        <w:spacing w:after="0"/>
        <w:ind w:left="359"/>
        <w:rPr>
          <w:sz w:val="22"/>
          <w:szCs w:val="22"/>
        </w:rPr>
      </w:pPr>
      <w:r>
        <w:rPr>
          <w:sz w:val="22"/>
          <w:szCs w:val="22"/>
          <w:vertAlign w:val="superscript"/>
        </w:rPr>
        <w:t>10</w:t>
      </w:r>
      <w:r>
        <w:rPr>
          <w:sz w:val="22"/>
          <w:szCs w:val="22"/>
        </w:rPr>
        <w:t>Department of Medical Biophysics, University of Toronto; Toronto, Ontario, Canada</w:t>
      </w:r>
    </w:p>
    <w:p w:rsidR="00F57973" w:rsidRDefault="006024E1">
      <w:pPr>
        <w:spacing w:after="0"/>
        <w:ind w:left="359"/>
        <w:rPr>
          <w:sz w:val="22"/>
          <w:szCs w:val="22"/>
        </w:rPr>
      </w:pPr>
      <w:r>
        <w:rPr>
          <w:sz w:val="22"/>
          <w:szCs w:val="22"/>
          <w:vertAlign w:val="superscript"/>
        </w:rPr>
        <w:t>11</w:t>
      </w:r>
      <w:r>
        <w:rPr>
          <w:sz w:val="22"/>
          <w:szCs w:val="22"/>
        </w:rPr>
        <w:t>Ontario Institute for Cancer Research; Toronto, Ontario, Canada</w:t>
      </w:r>
    </w:p>
    <w:p w:rsidR="00F57973" w:rsidRDefault="006024E1">
      <w:pPr>
        <w:spacing w:after="0"/>
        <w:ind w:left="359"/>
        <w:rPr>
          <w:sz w:val="22"/>
          <w:szCs w:val="22"/>
        </w:rPr>
      </w:pPr>
      <w:r>
        <w:rPr>
          <w:sz w:val="22"/>
          <w:szCs w:val="22"/>
          <w:vertAlign w:val="superscript"/>
        </w:rPr>
        <w:t>12</w:t>
      </w:r>
      <w:r>
        <w:rPr>
          <w:sz w:val="22"/>
          <w:szCs w:val="22"/>
        </w:rPr>
        <w:t>Department of Pathology, Brigham and Women’s Hospital; Boston, MA, USA</w:t>
      </w:r>
    </w:p>
    <w:p w:rsidR="00F57973" w:rsidRDefault="006024E1">
      <w:pPr>
        <w:spacing w:after="0"/>
        <w:ind w:left="359"/>
        <w:rPr>
          <w:sz w:val="22"/>
          <w:szCs w:val="22"/>
        </w:rPr>
      </w:pPr>
      <w:r>
        <w:rPr>
          <w:sz w:val="22"/>
          <w:szCs w:val="22"/>
          <w:vertAlign w:val="superscript"/>
        </w:rPr>
        <w:t>13</w:t>
      </w:r>
      <w:r>
        <w:rPr>
          <w:sz w:val="22"/>
          <w:szCs w:val="22"/>
        </w:rPr>
        <w:t>Depa</w:t>
      </w:r>
      <w:r>
        <w:rPr>
          <w:sz w:val="22"/>
          <w:szCs w:val="22"/>
        </w:rPr>
        <w:t>rtment of Radiation-Oncology, Brigham and Women’s Hospital; Boston, MA, USA</w:t>
      </w:r>
    </w:p>
    <w:p w:rsidR="00F57973" w:rsidRDefault="006024E1">
      <w:pPr>
        <w:spacing w:after="0"/>
        <w:ind w:left="359"/>
        <w:rPr>
          <w:sz w:val="22"/>
          <w:szCs w:val="22"/>
        </w:rPr>
      </w:pPr>
      <w:r>
        <w:rPr>
          <w:sz w:val="22"/>
          <w:szCs w:val="22"/>
          <w:vertAlign w:val="superscript"/>
        </w:rPr>
        <w:t>14</w:t>
      </w:r>
      <w:r>
        <w:rPr>
          <w:sz w:val="22"/>
          <w:szCs w:val="22"/>
        </w:rPr>
        <w:t>Department of Radiation-Oncology, Washington University School of Medicine; St. Louis, MO, USA</w:t>
      </w:r>
    </w:p>
    <w:p w:rsidR="00F57973" w:rsidRDefault="006024E1">
      <w:pPr>
        <w:spacing w:after="0"/>
        <w:ind w:left="359"/>
        <w:rPr>
          <w:sz w:val="22"/>
          <w:szCs w:val="22"/>
        </w:rPr>
      </w:pPr>
      <w:r>
        <w:rPr>
          <w:sz w:val="22"/>
          <w:szCs w:val="22"/>
          <w:vertAlign w:val="superscript"/>
        </w:rPr>
        <w:t>15</w:t>
      </w:r>
      <w:r>
        <w:rPr>
          <w:sz w:val="22"/>
          <w:szCs w:val="22"/>
        </w:rPr>
        <w:t>Center for Immuno-Oncology, Brigham and Women’s Hospital; Boston, MA, USA</w:t>
      </w:r>
    </w:p>
    <w:p w:rsidR="00F57973" w:rsidRDefault="006024E1">
      <w:pPr>
        <w:spacing w:after="0"/>
        <w:ind w:left="359"/>
        <w:rPr>
          <w:sz w:val="22"/>
          <w:szCs w:val="22"/>
        </w:rPr>
      </w:pPr>
      <w:r>
        <w:rPr>
          <w:sz w:val="22"/>
          <w:szCs w:val="22"/>
          <w:vertAlign w:val="superscript"/>
        </w:rPr>
        <w:t>16</w:t>
      </w:r>
      <w:r>
        <w:rPr>
          <w:sz w:val="22"/>
          <w:szCs w:val="22"/>
        </w:rPr>
        <w:t>Department of Pathology and Immunology, Washington University School of Medicine; St. Louis, MO, USA</w:t>
      </w:r>
    </w:p>
    <w:p w:rsidR="00F57973" w:rsidRDefault="00F57973">
      <w:pPr>
        <w:spacing w:after="0"/>
        <w:rPr>
          <w:sz w:val="22"/>
          <w:szCs w:val="22"/>
          <w:vertAlign w:val="superscript"/>
        </w:rPr>
      </w:pPr>
    </w:p>
    <w:p w:rsidR="00F57973" w:rsidRDefault="006024E1">
      <w:pPr>
        <w:spacing w:after="0"/>
        <w:rPr>
          <w:sz w:val="22"/>
          <w:szCs w:val="22"/>
        </w:rPr>
      </w:pPr>
      <w:r>
        <w:rPr>
          <w:sz w:val="22"/>
          <w:szCs w:val="22"/>
          <w:vertAlign w:val="superscript"/>
        </w:rPr>
        <w:t>*</w:t>
      </w:r>
      <w:r>
        <w:rPr>
          <w:sz w:val="22"/>
          <w:szCs w:val="22"/>
        </w:rPr>
        <w:t xml:space="preserve">Equal contribution, </w:t>
      </w:r>
      <w:r>
        <w:rPr>
          <w:sz w:val="22"/>
          <w:szCs w:val="22"/>
          <w:vertAlign w:val="superscript"/>
        </w:rPr>
        <w:t>#</w:t>
      </w:r>
      <w:r>
        <w:rPr>
          <w:sz w:val="22"/>
          <w:szCs w:val="22"/>
        </w:rPr>
        <w:t>Co-senior authors</w:t>
      </w:r>
    </w:p>
    <w:p w:rsidR="00F57973" w:rsidRDefault="00F57973">
      <w:pPr>
        <w:spacing w:after="0"/>
        <w:rPr>
          <w:b/>
          <w:sz w:val="22"/>
          <w:szCs w:val="22"/>
        </w:rPr>
      </w:pPr>
    </w:p>
    <w:p w:rsidR="00F57973" w:rsidRDefault="006024E1">
      <w:pPr>
        <w:spacing w:after="0"/>
        <w:rPr>
          <w:sz w:val="22"/>
          <w:szCs w:val="22"/>
        </w:rPr>
      </w:pPr>
      <w:r>
        <w:rPr>
          <w:b/>
          <w:sz w:val="22"/>
          <w:szCs w:val="22"/>
        </w:rPr>
        <w:t>To whom correspondence should be addressed</w:t>
      </w:r>
      <w:r>
        <w:rPr>
          <w:sz w:val="22"/>
          <w:szCs w:val="22"/>
        </w:rPr>
        <w:t xml:space="preserve">: </w:t>
      </w:r>
    </w:p>
    <w:p w:rsidR="00F57973" w:rsidRDefault="006024E1">
      <w:pPr>
        <w:spacing w:after="0"/>
        <w:ind w:left="359"/>
        <w:rPr>
          <w:sz w:val="22"/>
          <w:szCs w:val="22"/>
        </w:rPr>
      </w:pPr>
      <w:r>
        <w:rPr>
          <w:sz w:val="22"/>
          <w:szCs w:val="22"/>
        </w:rPr>
        <w:t>Dr. Ravindra Uppaluri</w:t>
      </w:r>
    </w:p>
    <w:p w:rsidR="00F57973" w:rsidRDefault="006024E1">
      <w:pPr>
        <w:spacing w:after="0"/>
        <w:ind w:left="359"/>
        <w:rPr>
          <w:sz w:val="22"/>
          <w:szCs w:val="22"/>
        </w:rPr>
      </w:pPr>
      <w:r>
        <w:rPr>
          <w:sz w:val="22"/>
          <w:szCs w:val="22"/>
        </w:rPr>
        <w:t>Address: 450 Brookline Avenue, Boston, MA, 02215</w:t>
      </w:r>
    </w:p>
    <w:p w:rsidR="00F57973" w:rsidRDefault="006024E1">
      <w:pPr>
        <w:spacing w:after="0"/>
        <w:ind w:left="359"/>
        <w:rPr>
          <w:sz w:val="22"/>
          <w:szCs w:val="22"/>
        </w:rPr>
      </w:pPr>
      <w:r>
        <w:rPr>
          <w:sz w:val="22"/>
          <w:szCs w:val="22"/>
        </w:rPr>
        <w:t>Telephone: 617-632-3091</w:t>
      </w:r>
    </w:p>
    <w:p w:rsidR="00F57973" w:rsidRDefault="006024E1">
      <w:pPr>
        <w:spacing w:after="0"/>
        <w:ind w:left="359"/>
        <w:rPr>
          <w:sz w:val="22"/>
          <w:szCs w:val="22"/>
        </w:rPr>
      </w:pPr>
      <w:r>
        <w:rPr>
          <w:sz w:val="22"/>
          <w:szCs w:val="22"/>
        </w:rPr>
        <w:t xml:space="preserve">E-mail: </w:t>
      </w:r>
      <w:r>
        <w:rPr>
          <w:color w:val="1155CC"/>
          <w:sz w:val="22"/>
          <w:szCs w:val="22"/>
        </w:rPr>
        <w:t>Ravindra_Uppaluri@DFCI.Harvard.edu</w:t>
      </w:r>
    </w:p>
    <w:p w:rsidR="00F57973" w:rsidRDefault="00F57973">
      <w:pPr>
        <w:spacing w:after="0"/>
        <w:rPr>
          <w:b/>
          <w:sz w:val="22"/>
          <w:szCs w:val="22"/>
        </w:rPr>
      </w:pPr>
    </w:p>
    <w:p w:rsidR="00F57973" w:rsidRDefault="006024E1">
      <w:pPr>
        <w:spacing w:after="0"/>
        <w:rPr>
          <w:b/>
          <w:sz w:val="22"/>
          <w:szCs w:val="22"/>
        </w:rPr>
      </w:pPr>
      <w:r>
        <w:rPr>
          <w:b/>
          <w:sz w:val="22"/>
          <w:szCs w:val="22"/>
        </w:rPr>
        <w:t>Current Affiliations:</w:t>
      </w:r>
    </w:p>
    <w:p w:rsidR="00F57973" w:rsidRDefault="006024E1">
      <w:pPr>
        <w:spacing w:after="0"/>
        <w:ind w:left="359"/>
        <w:rPr>
          <w:color w:val="1155CC"/>
        </w:rPr>
      </w:pPr>
      <w:r>
        <w:rPr>
          <w:sz w:val="22"/>
          <w:szCs w:val="22"/>
        </w:rPr>
        <w:t>Katie M. Campbell, Department of Medicine, Divisio</w:t>
      </w:r>
      <w:r>
        <w:rPr>
          <w:sz w:val="22"/>
          <w:szCs w:val="22"/>
        </w:rPr>
        <w:t>n of Hematology-Oncology, University of California, Los Angeles; Los Angeles, CA, USA</w:t>
      </w:r>
    </w:p>
    <w:p w:rsidR="00F57973" w:rsidRDefault="00F57973">
      <w:pPr>
        <w:pStyle w:val="Heading1"/>
        <w:spacing w:before="0" w:after="0"/>
      </w:pPr>
      <w:bookmarkStart w:id="2" w:name="_heading=h.30j0zll" w:colFirst="0" w:colLast="0"/>
      <w:bookmarkEnd w:id="2"/>
    </w:p>
    <w:p w:rsidR="00F57973" w:rsidRDefault="00F57973">
      <w:pPr>
        <w:pBdr>
          <w:top w:val="nil"/>
          <w:left w:val="nil"/>
          <w:bottom w:val="nil"/>
          <w:right w:val="nil"/>
          <w:between w:val="nil"/>
        </w:pBdr>
        <w:spacing w:after="0"/>
        <w:rPr>
          <w:color w:val="000000"/>
        </w:rPr>
      </w:pPr>
    </w:p>
    <w:p w:rsidR="00F57973" w:rsidRDefault="006024E1">
      <w:pPr>
        <w:pStyle w:val="Heading1"/>
        <w:spacing w:before="0" w:after="0"/>
        <w:rPr>
          <w:sz w:val="24"/>
          <w:szCs w:val="24"/>
        </w:rPr>
      </w:pPr>
      <w:bookmarkStart w:id="3" w:name="_heading=h.1fob9te" w:colFirst="0" w:colLast="0"/>
      <w:bookmarkEnd w:id="3"/>
      <w:r>
        <w:br w:type="page"/>
      </w:r>
    </w:p>
    <w:p w:rsidR="00F57973" w:rsidRDefault="006024E1">
      <w:pPr>
        <w:pStyle w:val="Heading1"/>
        <w:spacing w:before="0" w:after="0"/>
      </w:pPr>
      <w:bookmarkStart w:id="4" w:name="_heading=h.3znysh7" w:colFirst="0" w:colLast="0"/>
      <w:bookmarkEnd w:id="4"/>
      <w:r>
        <w:lastRenderedPageBreak/>
        <w:t>SUPPLEMENTARY METHODS</w:t>
      </w:r>
    </w:p>
    <w:p w:rsidR="00F57973" w:rsidRDefault="006024E1">
      <w:pPr>
        <w:pBdr>
          <w:top w:val="nil"/>
          <w:left w:val="nil"/>
          <w:bottom w:val="nil"/>
          <w:right w:val="nil"/>
          <w:between w:val="nil"/>
        </w:pBdr>
        <w:spacing w:after="0"/>
        <w:rPr>
          <w:color w:val="000000"/>
        </w:rPr>
      </w:pPr>
      <w:r>
        <w:rPr>
          <w:color w:val="000000"/>
        </w:rPr>
        <w:tab/>
        <w:t>Procedures</w:t>
      </w:r>
    </w:p>
    <w:p w:rsidR="00F57973" w:rsidRDefault="006024E1">
      <w:pPr>
        <w:pBdr>
          <w:top w:val="nil"/>
          <w:left w:val="nil"/>
          <w:bottom w:val="nil"/>
          <w:right w:val="nil"/>
          <w:between w:val="nil"/>
        </w:pBdr>
        <w:spacing w:after="0"/>
        <w:rPr>
          <w:color w:val="000000"/>
        </w:rPr>
      </w:pPr>
      <w:r>
        <w:rPr>
          <w:color w:val="000000"/>
        </w:rPr>
        <w:tab/>
        <w:t>Statistical Analysis</w:t>
      </w:r>
    </w:p>
    <w:p w:rsidR="00F57973" w:rsidRDefault="006024E1">
      <w:pPr>
        <w:pBdr>
          <w:top w:val="nil"/>
          <w:left w:val="nil"/>
          <w:bottom w:val="nil"/>
          <w:right w:val="nil"/>
          <w:between w:val="nil"/>
        </w:pBdr>
        <w:spacing w:after="0"/>
        <w:ind w:firstLine="720"/>
        <w:rPr>
          <w:color w:val="000000"/>
        </w:rPr>
      </w:pPr>
      <w:r>
        <w:rPr>
          <w:color w:val="000000"/>
        </w:rPr>
        <w:t>Sample acquisition</w:t>
      </w:r>
    </w:p>
    <w:p w:rsidR="00F57973" w:rsidRDefault="006024E1">
      <w:pPr>
        <w:pBdr>
          <w:top w:val="nil"/>
          <w:left w:val="nil"/>
          <w:bottom w:val="nil"/>
          <w:right w:val="nil"/>
          <w:between w:val="nil"/>
        </w:pBdr>
        <w:spacing w:after="0"/>
        <w:ind w:firstLine="720"/>
        <w:rPr>
          <w:color w:val="000000"/>
        </w:rPr>
      </w:pPr>
      <w:r>
        <w:rPr>
          <w:color w:val="000000"/>
        </w:rPr>
        <w:t>Sequencing Analyses</w:t>
      </w:r>
    </w:p>
    <w:p w:rsidR="00F57973" w:rsidRDefault="006024E1">
      <w:pPr>
        <w:pBdr>
          <w:top w:val="nil"/>
          <w:left w:val="nil"/>
          <w:bottom w:val="nil"/>
          <w:right w:val="nil"/>
          <w:between w:val="nil"/>
        </w:pBdr>
        <w:spacing w:after="0"/>
        <w:ind w:left="720" w:firstLine="720"/>
        <w:rPr>
          <w:color w:val="000000"/>
        </w:rPr>
      </w:pPr>
      <w:r>
        <w:rPr>
          <w:color w:val="000000"/>
        </w:rPr>
        <w:t>Whole Exome Sequencing</w:t>
      </w:r>
    </w:p>
    <w:p w:rsidR="00F57973" w:rsidRDefault="006024E1">
      <w:pPr>
        <w:pBdr>
          <w:top w:val="nil"/>
          <w:left w:val="nil"/>
          <w:bottom w:val="nil"/>
          <w:right w:val="nil"/>
          <w:between w:val="nil"/>
        </w:pBdr>
        <w:spacing w:after="0"/>
        <w:rPr>
          <w:color w:val="000000"/>
        </w:rPr>
      </w:pPr>
      <w:r>
        <w:rPr>
          <w:color w:val="000000"/>
        </w:rPr>
        <w:tab/>
      </w:r>
      <w:r>
        <w:rPr>
          <w:color w:val="000000"/>
        </w:rPr>
        <w:tab/>
        <w:t>RNA Sequencing</w:t>
      </w:r>
    </w:p>
    <w:p w:rsidR="00F57973" w:rsidRDefault="006024E1">
      <w:pPr>
        <w:pBdr>
          <w:top w:val="nil"/>
          <w:left w:val="nil"/>
          <w:bottom w:val="nil"/>
          <w:right w:val="nil"/>
          <w:between w:val="nil"/>
        </w:pBdr>
        <w:spacing w:after="0"/>
        <w:rPr>
          <w:color w:val="000000"/>
        </w:rPr>
      </w:pPr>
      <w:r>
        <w:rPr>
          <w:color w:val="000000"/>
        </w:rPr>
        <w:tab/>
      </w:r>
      <w:r>
        <w:rPr>
          <w:color w:val="000000"/>
        </w:rPr>
        <w:tab/>
      </w:r>
      <w:r>
        <w:rPr>
          <w:color w:val="000000"/>
        </w:rPr>
        <w:t>T Cell Receptor Sequencing</w:t>
      </w:r>
    </w:p>
    <w:p w:rsidR="00F57973" w:rsidRDefault="006024E1">
      <w:pPr>
        <w:pBdr>
          <w:top w:val="nil"/>
          <w:left w:val="nil"/>
          <w:bottom w:val="nil"/>
          <w:right w:val="nil"/>
          <w:between w:val="nil"/>
        </w:pBdr>
        <w:spacing w:after="0"/>
        <w:rPr>
          <w:color w:val="000000"/>
        </w:rPr>
      </w:pPr>
      <w:r>
        <w:rPr>
          <w:color w:val="000000"/>
        </w:rPr>
        <w:tab/>
      </w:r>
      <w:r>
        <w:rPr>
          <w:color w:val="000000"/>
        </w:rPr>
        <w:tab/>
        <w:t>Variant/neoantigen predictions</w:t>
      </w:r>
    </w:p>
    <w:p w:rsidR="00F57973" w:rsidRDefault="006024E1">
      <w:pPr>
        <w:pBdr>
          <w:top w:val="nil"/>
          <w:left w:val="nil"/>
          <w:bottom w:val="nil"/>
          <w:right w:val="nil"/>
          <w:between w:val="nil"/>
        </w:pBdr>
        <w:spacing w:after="0"/>
        <w:rPr>
          <w:color w:val="000000"/>
        </w:rPr>
      </w:pPr>
      <w:r>
        <w:rPr>
          <w:color w:val="000000"/>
        </w:rPr>
        <w:tab/>
      </w:r>
      <w:r>
        <w:rPr>
          <w:color w:val="000000"/>
        </w:rPr>
        <w:tab/>
        <w:t>Molecular Human papilloma virus assessment</w:t>
      </w:r>
    </w:p>
    <w:p w:rsidR="00F57973" w:rsidRDefault="006024E1">
      <w:pPr>
        <w:pBdr>
          <w:top w:val="nil"/>
          <w:left w:val="nil"/>
          <w:bottom w:val="nil"/>
          <w:right w:val="nil"/>
          <w:between w:val="nil"/>
        </w:pBdr>
        <w:spacing w:after="0"/>
        <w:rPr>
          <w:color w:val="000000"/>
        </w:rPr>
      </w:pPr>
      <w:r>
        <w:rPr>
          <w:color w:val="000000"/>
        </w:rPr>
        <w:tab/>
      </w:r>
      <w:r>
        <w:rPr>
          <w:color w:val="000000"/>
        </w:rPr>
        <w:tab/>
        <w:t>Differential expression analyses</w:t>
      </w:r>
    </w:p>
    <w:p w:rsidR="00F57973" w:rsidRDefault="006024E1">
      <w:pPr>
        <w:pBdr>
          <w:top w:val="nil"/>
          <w:left w:val="nil"/>
          <w:bottom w:val="nil"/>
          <w:right w:val="nil"/>
          <w:between w:val="nil"/>
        </w:pBdr>
        <w:spacing w:after="0"/>
        <w:rPr>
          <w:color w:val="000000"/>
        </w:rPr>
      </w:pPr>
      <w:r>
        <w:rPr>
          <w:color w:val="000000"/>
        </w:rPr>
        <w:tab/>
        <w:t>Pathology</w:t>
      </w:r>
      <w:r>
        <w:rPr>
          <w:color w:val="000000"/>
        </w:rPr>
        <w:tab/>
      </w:r>
    </w:p>
    <w:p w:rsidR="00F57973" w:rsidRDefault="006024E1">
      <w:pPr>
        <w:pBdr>
          <w:top w:val="nil"/>
          <w:left w:val="nil"/>
          <w:bottom w:val="nil"/>
          <w:right w:val="nil"/>
          <w:between w:val="nil"/>
        </w:pBdr>
        <w:spacing w:after="0"/>
        <w:rPr>
          <w:color w:val="000000"/>
        </w:rPr>
      </w:pPr>
      <w:r>
        <w:rPr>
          <w:color w:val="000000"/>
        </w:rPr>
        <w:tab/>
      </w:r>
      <w:r>
        <w:rPr>
          <w:color w:val="000000"/>
        </w:rPr>
        <w:tab/>
        <w:t>PD-L1 expression</w:t>
      </w:r>
    </w:p>
    <w:p w:rsidR="00F57973" w:rsidRDefault="006024E1">
      <w:pPr>
        <w:pBdr>
          <w:top w:val="nil"/>
          <w:left w:val="nil"/>
          <w:bottom w:val="nil"/>
          <w:right w:val="nil"/>
          <w:between w:val="nil"/>
        </w:pBdr>
        <w:spacing w:after="0"/>
        <w:rPr>
          <w:color w:val="000000"/>
        </w:rPr>
      </w:pPr>
      <w:r>
        <w:rPr>
          <w:color w:val="000000"/>
        </w:rPr>
        <w:tab/>
      </w:r>
      <w:r>
        <w:rPr>
          <w:color w:val="000000"/>
        </w:rPr>
        <w:tab/>
        <w:t>Multiplex Immunofluorescence</w:t>
      </w: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b/>
          <w:color w:val="000000"/>
        </w:rPr>
      </w:pPr>
      <w:r>
        <w:rPr>
          <w:b/>
          <w:color w:val="000000"/>
        </w:rPr>
        <w:t>SUPPLEMENTARY</w:t>
      </w:r>
      <w:r>
        <w:rPr>
          <w:color w:val="000000"/>
        </w:rPr>
        <w:t xml:space="preserve"> </w:t>
      </w:r>
      <w:r>
        <w:rPr>
          <w:b/>
          <w:color w:val="000000"/>
        </w:rPr>
        <w:t>FIGURES</w:t>
      </w:r>
    </w:p>
    <w:p w:rsidR="00F57973" w:rsidRDefault="006024E1">
      <w:pPr>
        <w:pBdr>
          <w:top w:val="nil"/>
          <w:left w:val="nil"/>
          <w:bottom w:val="nil"/>
          <w:right w:val="nil"/>
          <w:between w:val="nil"/>
        </w:pBdr>
        <w:spacing w:after="0"/>
        <w:rPr>
          <w:color w:val="000000"/>
        </w:rPr>
      </w:pPr>
      <w:r>
        <w:rPr>
          <w:color w:val="000000"/>
        </w:rPr>
        <w:tab/>
      </w:r>
    </w:p>
    <w:p w:rsidR="00F57973" w:rsidRDefault="006024E1">
      <w:pPr>
        <w:pBdr>
          <w:top w:val="nil"/>
          <w:left w:val="nil"/>
          <w:bottom w:val="nil"/>
          <w:right w:val="nil"/>
          <w:between w:val="nil"/>
        </w:pBdr>
        <w:spacing w:after="0"/>
        <w:ind w:firstLine="720"/>
        <w:rPr>
          <w:color w:val="000000"/>
        </w:rPr>
      </w:pPr>
      <w:r>
        <w:rPr>
          <w:color w:val="000000"/>
        </w:rPr>
        <w:t xml:space="preserve">Supplementary Figure </w:t>
      </w:r>
      <w:r>
        <w:t>1</w:t>
      </w:r>
      <w:r>
        <w:rPr>
          <w:color w:val="000000"/>
        </w:rPr>
        <w:t>. pTR related clinical outcomes</w:t>
      </w:r>
    </w:p>
    <w:p w:rsidR="00F57973" w:rsidRDefault="006024E1">
      <w:pPr>
        <w:pBdr>
          <w:top w:val="nil"/>
          <w:left w:val="nil"/>
          <w:bottom w:val="nil"/>
          <w:right w:val="nil"/>
          <w:between w:val="nil"/>
        </w:pBdr>
        <w:spacing w:after="0"/>
        <w:ind w:left="1440" w:hanging="720"/>
        <w:rPr>
          <w:color w:val="000000"/>
        </w:rPr>
      </w:pPr>
      <w:r>
        <w:rPr>
          <w:color w:val="000000"/>
        </w:rPr>
        <w:t xml:space="preserve">Supplementary Figure </w:t>
      </w:r>
      <w:r>
        <w:t>2</w:t>
      </w:r>
      <w:r>
        <w:rPr>
          <w:color w:val="000000"/>
        </w:rPr>
        <w:t xml:space="preserve">. Overall and progression-free survival and relapse-free interval by pathology risk category </w:t>
      </w:r>
    </w:p>
    <w:p w:rsidR="00F57973" w:rsidRDefault="006024E1">
      <w:pPr>
        <w:pBdr>
          <w:top w:val="nil"/>
          <w:left w:val="nil"/>
          <w:bottom w:val="nil"/>
          <w:right w:val="nil"/>
          <w:between w:val="nil"/>
        </w:pBdr>
        <w:spacing w:after="0"/>
        <w:ind w:left="720"/>
        <w:rPr>
          <w:color w:val="000000"/>
        </w:rPr>
      </w:pPr>
      <w:r>
        <w:rPr>
          <w:color w:val="000000"/>
        </w:rPr>
        <w:t xml:space="preserve">Supplementary Figure </w:t>
      </w:r>
      <w:r>
        <w:t>3</w:t>
      </w:r>
      <w:r>
        <w:rPr>
          <w:color w:val="000000"/>
        </w:rPr>
        <w:t>. Baseline multiplex IHC tumor immune correlates of pathologic t</w:t>
      </w:r>
      <w:r>
        <w:rPr>
          <w:color w:val="000000"/>
        </w:rPr>
        <w:t>umor response</w:t>
      </w:r>
    </w:p>
    <w:p w:rsidR="00F57973" w:rsidRDefault="006024E1">
      <w:pPr>
        <w:pBdr>
          <w:top w:val="nil"/>
          <w:left w:val="nil"/>
          <w:bottom w:val="nil"/>
          <w:right w:val="nil"/>
          <w:between w:val="nil"/>
        </w:pBdr>
        <w:spacing w:after="0"/>
        <w:ind w:firstLine="720"/>
        <w:rPr>
          <w:color w:val="000000"/>
        </w:rPr>
      </w:pPr>
      <w:r>
        <w:rPr>
          <w:color w:val="000000"/>
        </w:rPr>
        <w:t xml:space="preserve">Supplementary Figure </w:t>
      </w:r>
      <w:r>
        <w:t>4</w:t>
      </w:r>
      <w:r>
        <w:rPr>
          <w:color w:val="000000"/>
        </w:rPr>
        <w:t>. Immune cell expression patterns in post-treatment tumor RNA</w:t>
      </w:r>
    </w:p>
    <w:p w:rsidR="00F57973" w:rsidRDefault="006024E1">
      <w:pPr>
        <w:pBdr>
          <w:top w:val="nil"/>
          <w:left w:val="nil"/>
          <w:bottom w:val="nil"/>
          <w:right w:val="nil"/>
          <w:between w:val="nil"/>
        </w:pBdr>
        <w:spacing w:after="0"/>
        <w:ind w:firstLine="720"/>
        <w:rPr>
          <w:color w:val="000000"/>
        </w:rPr>
      </w:pPr>
      <w:r>
        <w:rPr>
          <w:color w:val="000000"/>
        </w:rPr>
        <w:t xml:space="preserve">Supplementary Figure </w:t>
      </w:r>
      <w:r>
        <w:t>5</w:t>
      </w:r>
      <w:r>
        <w:rPr>
          <w:color w:val="000000"/>
        </w:rPr>
        <w:t xml:space="preserve">. Significant changes in T cell receptor diversity between response groups </w:t>
      </w:r>
    </w:p>
    <w:p w:rsidR="00F57973" w:rsidRDefault="006024E1">
      <w:pPr>
        <w:widowControl w:val="0"/>
        <w:pBdr>
          <w:top w:val="nil"/>
          <w:left w:val="nil"/>
          <w:bottom w:val="nil"/>
          <w:right w:val="nil"/>
          <w:between w:val="nil"/>
        </w:pBdr>
        <w:spacing w:after="0"/>
        <w:ind w:firstLine="720"/>
      </w:pPr>
      <w:r>
        <w:rPr>
          <w:color w:val="000000"/>
        </w:rPr>
        <w:t xml:space="preserve">Supplementary Figure </w:t>
      </w:r>
      <w:r>
        <w:t>6</w:t>
      </w:r>
      <w:r>
        <w:rPr>
          <w:color w:val="000000"/>
        </w:rPr>
        <w:t>. Global summary of the peripheral T cell repertoire</w:t>
      </w:r>
    </w:p>
    <w:p w:rsidR="00F57973" w:rsidRDefault="006024E1">
      <w:pPr>
        <w:widowControl w:val="0"/>
        <w:pBdr>
          <w:top w:val="nil"/>
          <w:left w:val="nil"/>
          <w:bottom w:val="nil"/>
          <w:right w:val="nil"/>
          <w:between w:val="nil"/>
        </w:pBdr>
        <w:spacing w:after="0"/>
        <w:ind w:firstLine="720"/>
      </w:pPr>
      <w:r>
        <w:t>Supplementary Figure 7.  T cell clones detected in bulk tumor RNA and peripheral blood</w:t>
      </w:r>
    </w:p>
    <w:p w:rsidR="00F57973" w:rsidRDefault="006024E1">
      <w:pPr>
        <w:pBdr>
          <w:top w:val="nil"/>
          <w:left w:val="nil"/>
          <w:bottom w:val="nil"/>
          <w:right w:val="nil"/>
          <w:between w:val="nil"/>
        </w:pBdr>
        <w:spacing w:after="0"/>
        <w:ind w:left="1440" w:hanging="720"/>
        <w:rPr>
          <w:color w:val="000000"/>
        </w:rPr>
      </w:pPr>
      <w:r>
        <w:rPr>
          <w:color w:val="000000"/>
        </w:rPr>
        <w:t>Supplementary Figu</w:t>
      </w:r>
      <w:r>
        <w:rPr>
          <w:color w:val="000000"/>
        </w:rPr>
        <w:t xml:space="preserve">re </w:t>
      </w:r>
      <w:r>
        <w:t>8</w:t>
      </w:r>
      <w:r>
        <w:rPr>
          <w:color w:val="000000"/>
        </w:rPr>
        <w:t>. Baseline mutational profile does not correlate to pathological response to anti-PD-1 therapy</w:t>
      </w:r>
    </w:p>
    <w:p w:rsidR="00F57973" w:rsidRDefault="006024E1">
      <w:pPr>
        <w:widowControl w:val="0"/>
        <w:pBdr>
          <w:top w:val="nil"/>
          <w:left w:val="nil"/>
          <w:bottom w:val="nil"/>
          <w:right w:val="nil"/>
          <w:between w:val="nil"/>
        </w:pBdr>
        <w:spacing w:after="0"/>
        <w:ind w:left="1440" w:hanging="720"/>
        <w:rPr>
          <w:color w:val="000000"/>
        </w:rPr>
      </w:pPr>
      <w:r>
        <w:t>Supplementary Figure 9. Clonality plots comparing variants in matched baseline and post-treatment tumor DNA</w:t>
      </w:r>
      <w:r>
        <w:rPr>
          <w:color w:val="000000"/>
        </w:rPr>
        <w:t xml:space="preserve"> </w:t>
      </w:r>
    </w:p>
    <w:p w:rsidR="00F57973" w:rsidRDefault="006024E1">
      <w:pPr>
        <w:pBdr>
          <w:top w:val="nil"/>
          <w:left w:val="nil"/>
          <w:bottom w:val="nil"/>
          <w:right w:val="nil"/>
          <w:between w:val="nil"/>
        </w:pBdr>
        <w:spacing w:after="0"/>
        <w:ind w:left="1440" w:hanging="720"/>
        <w:rPr>
          <w:color w:val="000000"/>
        </w:rPr>
      </w:pPr>
      <w:r>
        <w:rPr>
          <w:color w:val="000000"/>
        </w:rPr>
        <w:t>Supplementary Figure 1</w:t>
      </w:r>
      <w:r>
        <w:t>0</w:t>
      </w:r>
      <w:r>
        <w:rPr>
          <w:color w:val="000000"/>
        </w:rPr>
        <w:t xml:space="preserve">. Representative tumor regions evaluated in spatial heterogeneity study. </w:t>
      </w:r>
    </w:p>
    <w:p w:rsidR="00F57973" w:rsidRDefault="006024E1">
      <w:pPr>
        <w:pBdr>
          <w:top w:val="nil"/>
          <w:left w:val="nil"/>
          <w:bottom w:val="nil"/>
          <w:right w:val="nil"/>
          <w:between w:val="nil"/>
        </w:pBdr>
        <w:spacing w:after="0"/>
        <w:ind w:left="1440" w:hanging="720"/>
        <w:rPr>
          <w:color w:val="000000"/>
        </w:rPr>
      </w:pPr>
      <w:r>
        <w:rPr>
          <w:color w:val="000000"/>
        </w:rPr>
        <w:t>Supplementary Figure 1</w:t>
      </w:r>
      <w:r>
        <w:t>1</w:t>
      </w:r>
      <w:r>
        <w:rPr>
          <w:color w:val="000000"/>
        </w:rPr>
        <w:t xml:space="preserve">. Additional patients with </w:t>
      </w:r>
      <w:r>
        <w:rPr>
          <w:color w:val="000000"/>
        </w:rPr>
        <w:t xml:space="preserve">multiple post-treatment samples. </w:t>
      </w:r>
    </w:p>
    <w:p w:rsidR="00F57973" w:rsidRDefault="006024E1">
      <w:pPr>
        <w:pBdr>
          <w:top w:val="nil"/>
          <w:left w:val="nil"/>
          <w:bottom w:val="nil"/>
          <w:right w:val="nil"/>
          <w:between w:val="nil"/>
        </w:pBdr>
        <w:spacing w:after="0"/>
        <w:rPr>
          <w:color w:val="000000"/>
        </w:rPr>
      </w:pPr>
      <w:r>
        <w:rPr>
          <w:color w:val="000000"/>
        </w:rPr>
        <w:tab/>
      </w:r>
    </w:p>
    <w:p w:rsidR="00F57973" w:rsidRDefault="006024E1">
      <w:pPr>
        <w:pBdr>
          <w:top w:val="nil"/>
          <w:left w:val="nil"/>
          <w:bottom w:val="nil"/>
          <w:right w:val="nil"/>
          <w:between w:val="nil"/>
        </w:pBdr>
        <w:spacing w:after="0"/>
        <w:rPr>
          <w:b/>
          <w:color w:val="000000"/>
        </w:rPr>
      </w:pPr>
      <w:r>
        <w:rPr>
          <w:b/>
          <w:color w:val="000000"/>
        </w:rPr>
        <w:t>SUPPLEMENTARY TABLES</w:t>
      </w:r>
    </w:p>
    <w:p w:rsidR="00F57973" w:rsidRDefault="006024E1">
      <w:pPr>
        <w:pBdr>
          <w:top w:val="nil"/>
          <w:left w:val="nil"/>
          <w:bottom w:val="nil"/>
          <w:right w:val="nil"/>
          <w:between w:val="nil"/>
        </w:pBdr>
        <w:spacing w:after="0"/>
        <w:ind w:firstLine="720"/>
        <w:rPr>
          <w:color w:val="000000"/>
        </w:rPr>
      </w:pPr>
      <w:r>
        <w:rPr>
          <w:color w:val="000000"/>
        </w:rPr>
        <w:t>Supplementary Table 1. Correlative assays performed by subject</w:t>
      </w:r>
    </w:p>
    <w:p w:rsidR="00F57973" w:rsidRDefault="006024E1">
      <w:pPr>
        <w:pBdr>
          <w:top w:val="nil"/>
          <w:left w:val="nil"/>
          <w:bottom w:val="nil"/>
          <w:right w:val="nil"/>
          <w:between w:val="nil"/>
        </w:pBdr>
        <w:spacing w:after="0"/>
        <w:rPr>
          <w:color w:val="000000"/>
        </w:rPr>
      </w:pPr>
      <w:r>
        <w:rPr>
          <w:color w:val="000000"/>
        </w:rPr>
        <w:tab/>
      </w:r>
      <w:r>
        <w:rPr>
          <w:color w:val="000000"/>
        </w:rPr>
        <w:t>Supplementary Table 2. Adjuvant treatment by pathology risk category</w:t>
      </w:r>
    </w:p>
    <w:p w:rsidR="00F57973" w:rsidRDefault="006024E1">
      <w:pPr>
        <w:pBdr>
          <w:top w:val="nil"/>
          <w:left w:val="nil"/>
          <w:bottom w:val="nil"/>
          <w:right w:val="nil"/>
          <w:between w:val="nil"/>
        </w:pBdr>
        <w:spacing w:after="0"/>
        <w:ind w:firstLine="720"/>
        <w:rPr>
          <w:color w:val="000000"/>
        </w:rPr>
      </w:pPr>
      <w:r>
        <w:rPr>
          <w:color w:val="000000"/>
        </w:rPr>
        <w:t xml:space="preserve">Supplementary Table 3. </w:t>
      </w:r>
      <w:proofErr w:type="spellStart"/>
      <w:r>
        <w:rPr>
          <w:color w:val="000000"/>
        </w:rPr>
        <w:t>Perisurgical</w:t>
      </w:r>
      <w:proofErr w:type="spellEnd"/>
      <w:r>
        <w:rPr>
          <w:color w:val="000000"/>
        </w:rPr>
        <w:t xml:space="preserve"> adverse events by </w:t>
      </w:r>
      <w:proofErr w:type="spellStart"/>
      <w:r>
        <w:rPr>
          <w:color w:val="000000"/>
        </w:rPr>
        <w:t>Clavien-Dindo</w:t>
      </w:r>
      <w:proofErr w:type="spellEnd"/>
      <w:r>
        <w:rPr>
          <w:color w:val="000000"/>
        </w:rPr>
        <w:t xml:space="preserve"> Classification</w:t>
      </w:r>
    </w:p>
    <w:p w:rsidR="00F57973" w:rsidRDefault="006024E1">
      <w:pPr>
        <w:pBdr>
          <w:top w:val="nil"/>
          <w:left w:val="nil"/>
          <w:bottom w:val="nil"/>
          <w:right w:val="nil"/>
          <w:between w:val="nil"/>
        </w:pBdr>
        <w:spacing w:after="0"/>
        <w:ind w:firstLine="720"/>
        <w:rPr>
          <w:color w:val="000000"/>
        </w:rPr>
      </w:pPr>
      <w:r>
        <w:rPr>
          <w:color w:val="000000"/>
        </w:rPr>
        <w:t>Supplementary Table 4. Patient clinical stage, pathologic stage and pathologic tumor response</w:t>
      </w:r>
    </w:p>
    <w:p w:rsidR="00F57973" w:rsidRDefault="006024E1">
      <w:pPr>
        <w:pBdr>
          <w:top w:val="nil"/>
          <w:left w:val="nil"/>
          <w:bottom w:val="nil"/>
          <w:right w:val="nil"/>
          <w:between w:val="nil"/>
        </w:pBdr>
        <w:spacing w:after="0"/>
        <w:rPr>
          <w:color w:val="000000"/>
        </w:rPr>
      </w:pPr>
      <w:r>
        <w:rPr>
          <w:color w:val="000000"/>
        </w:rPr>
        <w:tab/>
        <w:t>Supplemen</w:t>
      </w:r>
      <w:r>
        <w:rPr>
          <w:color w:val="000000"/>
        </w:rPr>
        <w:t>tary Table 5. Patient characteristics by pathologic tumor response status</w:t>
      </w:r>
    </w:p>
    <w:p w:rsidR="00F57973" w:rsidRDefault="006024E1">
      <w:pPr>
        <w:pBdr>
          <w:top w:val="nil"/>
          <w:left w:val="nil"/>
          <w:bottom w:val="nil"/>
          <w:right w:val="nil"/>
          <w:between w:val="nil"/>
        </w:pBdr>
        <w:spacing w:after="0"/>
        <w:rPr>
          <w:color w:val="000000"/>
        </w:rPr>
      </w:pPr>
      <w:r>
        <w:rPr>
          <w:color w:val="000000"/>
        </w:rPr>
        <w:tab/>
        <w:t>Supplementary Table 6. Prior institutional HNSCC high risk pathology and downstaging</w:t>
      </w:r>
    </w:p>
    <w:p w:rsidR="00F57973" w:rsidRDefault="006024E1">
      <w:pPr>
        <w:pBdr>
          <w:top w:val="nil"/>
          <w:left w:val="nil"/>
          <w:bottom w:val="nil"/>
          <w:right w:val="nil"/>
          <w:between w:val="nil"/>
        </w:pBdr>
        <w:spacing w:after="0"/>
        <w:ind w:firstLine="720"/>
        <w:rPr>
          <w:color w:val="000000"/>
        </w:rPr>
      </w:pPr>
      <w:r>
        <w:rPr>
          <w:color w:val="000000"/>
        </w:rPr>
        <w:t>Supplementary Table 7. Immune cell populations detected by deconvolution</w:t>
      </w:r>
    </w:p>
    <w:p w:rsidR="00F57973" w:rsidRDefault="006024E1">
      <w:pPr>
        <w:pBdr>
          <w:top w:val="nil"/>
          <w:left w:val="nil"/>
          <w:bottom w:val="nil"/>
          <w:right w:val="nil"/>
          <w:between w:val="nil"/>
        </w:pBdr>
        <w:spacing w:after="0"/>
        <w:rPr>
          <w:color w:val="000000"/>
        </w:rPr>
      </w:pPr>
      <w:r>
        <w:rPr>
          <w:color w:val="000000"/>
        </w:rPr>
        <w:tab/>
        <w:t>Supplementary Table 8.</w:t>
      </w:r>
      <w:r>
        <w:rPr>
          <w:color w:val="000000"/>
        </w:rPr>
        <w:t xml:space="preserve"> Differential gene expression analysis</w:t>
      </w:r>
    </w:p>
    <w:p w:rsidR="00F57973" w:rsidRDefault="006024E1">
      <w:pPr>
        <w:pBdr>
          <w:top w:val="nil"/>
          <w:left w:val="nil"/>
          <w:bottom w:val="nil"/>
          <w:right w:val="nil"/>
          <w:between w:val="nil"/>
        </w:pBdr>
        <w:spacing w:after="0"/>
        <w:ind w:firstLine="720"/>
        <w:rPr>
          <w:strike/>
          <w:color w:val="000000"/>
        </w:rPr>
      </w:pPr>
      <w:r>
        <w:rPr>
          <w:color w:val="000000"/>
        </w:rPr>
        <w:t xml:space="preserve">Supplementary Table </w:t>
      </w:r>
      <w:r>
        <w:t>9</w:t>
      </w:r>
      <w:r>
        <w:rPr>
          <w:color w:val="000000"/>
        </w:rPr>
        <w:t>. SNVs and indels detected across all patients</w:t>
      </w:r>
    </w:p>
    <w:p w:rsidR="00F57973" w:rsidRDefault="00F57973">
      <w:pPr>
        <w:pBdr>
          <w:top w:val="nil"/>
          <w:left w:val="nil"/>
          <w:bottom w:val="nil"/>
          <w:right w:val="nil"/>
          <w:between w:val="nil"/>
        </w:pBdr>
        <w:spacing w:after="0"/>
        <w:ind w:firstLine="720"/>
        <w:rPr>
          <w:color w:val="000000"/>
        </w:rPr>
      </w:pP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b/>
          <w:color w:val="000000"/>
        </w:rPr>
      </w:pPr>
      <w:r>
        <w:rPr>
          <w:b/>
          <w:color w:val="000000"/>
        </w:rPr>
        <w:t>CLINICAL PROTOCOL</w:t>
      </w:r>
    </w:p>
    <w:p w:rsidR="00F57973" w:rsidRDefault="006024E1">
      <w:pPr>
        <w:pStyle w:val="Heading1"/>
        <w:spacing w:before="0" w:after="0"/>
      </w:pPr>
      <w:bookmarkStart w:id="5" w:name="_heading=h.2et92p0" w:colFirst="0" w:colLast="0"/>
      <w:bookmarkEnd w:id="5"/>
      <w:r>
        <w:br w:type="page"/>
      </w:r>
    </w:p>
    <w:p w:rsidR="00F57973" w:rsidRDefault="006024E1">
      <w:pPr>
        <w:pStyle w:val="Heading1"/>
        <w:spacing w:before="0" w:after="0"/>
      </w:pPr>
      <w:bookmarkStart w:id="6" w:name="_heading=h.tyjcwt" w:colFirst="0" w:colLast="0"/>
      <w:bookmarkEnd w:id="6"/>
      <w:r>
        <w:lastRenderedPageBreak/>
        <w:t>SUPPLEMENTARY METHODS</w:t>
      </w:r>
    </w:p>
    <w:p w:rsidR="00F57973" w:rsidRDefault="006024E1">
      <w:pPr>
        <w:pBdr>
          <w:top w:val="nil"/>
          <w:left w:val="nil"/>
          <w:bottom w:val="nil"/>
          <w:right w:val="nil"/>
          <w:between w:val="nil"/>
        </w:pBdr>
        <w:rPr>
          <w:b/>
          <w:color w:val="000000"/>
        </w:rPr>
      </w:pPr>
      <w:r>
        <w:rPr>
          <w:b/>
          <w:color w:val="000000"/>
        </w:rPr>
        <w:t>Procedures</w:t>
      </w:r>
    </w:p>
    <w:p w:rsidR="00F57973" w:rsidRDefault="006024E1">
      <w:pPr>
        <w:pBdr>
          <w:top w:val="nil"/>
          <w:left w:val="nil"/>
          <w:bottom w:val="nil"/>
          <w:right w:val="nil"/>
          <w:between w:val="nil"/>
        </w:pBdr>
        <w:rPr>
          <w:color w:val="000000"/>
        </w:rPr>
      </w:pPr>
      <w:r>
        <w:rPr>
          <w:color w:val="000000"/>
        </w:rPr>
        <w:t>Patients were monitored for 30 days after surgery for AEs and surgical/wound healing complications. During the administration of adjuvant pembrolizumab, patients were assessed every three weeks beginning with the first dose of pembrolizumab by physical exa</w:t>
      </w:r>
      <w:r>
        <w:rPr>
          <w:color w:val="000000"/>
        </w:rPr>
        <w:t>mination, complete blood count, and metabolic panel, and every six weeks by thyroid panel and urinalysis. In these patients, AEs were monitored for 90 days after the last dose of adjuvant pembrolizumab. Patients were monitored for relapse every three month</w:t>
      </w:r>
      <w:r>
        <w:rPr>
          <w:color w:val="000000"/>
        </w:rPr>
        <w:t>s after surgery by physical examination and CT scans.</w:t>
      </w:r>
    </w:p>
    <w:p w:rsidR="00F57973" w:rsidRDefault="006024E1">
      <w:pPr>
        <w:pBdr>
          <w:top w:val="nil"/>
          <w:left w:val="nil"/>
          <w:bottom w:val="nil"/>
          <w:right w:val="nil"/>
          <w:between w:val="nil"/>
        </w:pBdr>
        <w:rPr>
          <w:color w:val="000000"/>
        </w:rPr>
      </w:pPr>
      <w:r>
        <w:rPr>
          <w:color w:val="000000"/>
        </w:rPr>
        <w:t>Two pathologists with head and neck expertise (RDC and IH) independently evaluated all slides from baseline and surgery specimens and quantified pTR in increments of 10%. Primary tumor and lymph node metastases were scored separately. Overall pTR was class</w:t>
      </w:r>
      <w:r>
        <w:rPr>
          <w:color w:val="000000"/>
        </w:rPr>
        <w:t xml:space="preserve">ified based on the best pTR observed in either primary tumor or lymph node. Joint review consensus was reached when discrepancies occurred. </w:t>
      </w:r>
    </w:p>
    <w:p w:rsidR="00F57973" w:rsidRDefault="006024E1">
      <w:pPr>
        <w:pBdr>
          <w:top w:val="nil"/>
          <w:left w:val="nil"/>
          <w:bottom w:val="nil"/>
          <w:right w:val="nil"/>
          <w:between w:val="nil"/>
        </w:pBdr>
        <w:spacing w:after="200"/>
        <w:rPr>
          <w:color w:val="000000"/>
        </w:rPr>
      </w:pPr>
      <w:r>
        <w:rPr>
          <w:color w:val="000000"/>
        </w:rPr>
        <w:t xml:space="preserve">Secondary endpoints included safety of administration of neoadjuvant pembrolizumab, and clinical tumor response to </w:t>
      </w:r>
      <w:r>
        <w:rPr>
          <w:color w:val="000000"/>
        </w:rPr>
        <w:t>neoadjuvant pembrolizumab assessed by physical examination and, in some patients, by RECISTv1·1. Correlative endpoints assessed on matched tumor specimens obtained before and after (on day of surgery) neoadjuvant pembrolizumab included PD-L1 expression, hi</w:t>
      </w:r>
      <w:r>
        <w:rPr>
          <w:color w:val="000000"/>
        </w:rPr>
        <w:t>stologic, immunologic, genomic, and tumor clonal dynamic changes. T-cell clonality was performed on peripheral blood obtained before and after neoadjuvant pembrolizumab (</w:t>
      </w:r>
      <w:r>
        <w:rPr>
          <w:b/>
          <w:color w:val="000000"/>
        </w:rPr>
        <w:t>Supplementary</w:t>
      </w:r>
      <w:r>
        <w:rPr>
          <w:color w:val="000000"/>
        </w:rPr>
        <w:t xml:space="preserve"> </w:t>
      </w:r>
      <w:r>
        <w:rPr>
          <w:b/>
          <w:color w:val="000000"/>
        </w:rPr>
        <w:t>Figure 1</w:t>
      </w:r>
      <w:r>
        <w:rPr>
          <w:color w:val="000000"/>
        </w:rPr>
        <w:t xml:space="preserve">, </w:t>
      </w:r>
      <w:r>
        <w:rPr>
          <w:b/>
          <w:color w:val="000000"/>
        </w:rPr>
        <w:t>Supplementary</w:t>
      </w:r>
      <w:r>
        <w:rPr>
          <w:color w:val="000000"/>
        </w:rPr>
        <w:t xml:space="preserve"> </w:t>
      </w:r>
      <w:r>
        <w:rPr>
          <w:b/>
          <w:color w:val="000000"/>
        </w:rPr>
        <w:t>Table 1</w:t>
      </w:r>
      <w:r>
        <w:rPr>
          <w:color w:val="000000"/>
        </w:rPr>
        <w:t>).</w:t>
      </w:r>
    </w:p>
    <w:p w:rsidR="00F57973" w:rsidRDefault="006024E1">
      <w:pPr>
        <w:pBdr>
          <w:top w:val="nil"/>
          <w:left w:val="nil"/>
          <w:bottom w:val="nil"/>
          <w:right w:val="nil"/>
          <w:between w:val="nil"/>
        </w:pBdr>
        <w:spacing w:after="200"/>
        <w:rPr>
          <w:color w:val="000000"/>
        </w:rPr>
      </w:pPr>
      <w:r>
        <w:rPr>
          <w:color w:val="000000"/>
        </w:rPr>
        <w:t>No major protocol deviations occurred.</w:t>
      </w:r>
      <w:r>
        <w:rPr>
          <w:color w:val="000000"/>
        </w:rPr>
        <w:t xml:space="preserve"> The protocol was amended six times over the course of the study. Amendments 1-3 included updates of the risk profile and dose modifications of study drug, clarified eligibility criteria, and added Dana-Farber/Brigham and Women’s Cancer Center, Boston, MA </w:t>
      </w:r>
      <w:r>
        <w:rPr>
          <w:color w:val="000000"/>
        </w:rPr>
        <w:t xml:space="preserve">as a secondary site. Amendment 4 added correlative studies. Amendment 5 added an unplanned interim analysis after the first 20 patients enrolled into group 1 due to the lower than expected rate of patients with high-risk </w:t>
      </w:r>
      <w:proofErr w:type="gramStart"/>
      <w:r>
        <w:rPr>
          <w:color w:val="000000"/>
        </w:rPr>
        <w:t>pathology, and</w:t>
      </w:r>
      <w:proofErr w:type="gramEnd"/>
      <w:r>
        <w:rPr>
          <w:color w:val="000000"/>
        </w:rPr>
        <w:t xml:space="preserve"> added CT scan of the</w:t>
      </w:r>
      <w:r>
        <w:rPr>
          <w:color w:val="000000"/>
        </w:rPr>
        <w:t xml:space="preserve"> neck to be performed after neoadjuvant pembrolizumab and prior to surgery. Amendment 6 closed accrual to group </w:t>
      </w:r>
      <w:proofErr w:type="gramStart"/>
      <w:r>
        <w:rPr>
          <w:color w:val="000000"/>
        </w:rPr>
        <w:t>1, and</w:t>
      </w:r>
      <w:proofErr w:type="gramEnd"/>
      <w:r>
        <w:rPr>
          <w:color w:val="000000"/>
        </w:rPr>
        <w:t xml:space="preserve"> added group 2.  </w:t>
      </w:r>
    </w:p>
    <w:p w:rsidR="00F57973" w:rsidRDefault="006024E1">
      <w:pPr>
        <w:pBdr>
          <w:top w:val="nil"/>
          <w:left w:val="nil"/>
          <w:bottom w:val="nil"/>
          <w:right w:val="nil"/>
          <w:between w:val="nil"/>
        </w:pBdr>
        <w:spacing w:after="200"/>
        <w:rPr>
          <w:color w:val="000000"/>
        </w:rPr>
      </w:pPr>
      <w:r>
        <w:rPr>
          <w:b/>
          <w:color w:val="000000"/>
        </w:rPr>
        <w:t>Statistical Analysis</w:t>
      </w:r>
      <w:r>
        <w:rPr>
          <w:color w:val="000000"/>
        </w:rPr>
        <w:t xml:space="preserve"> </w:t>
      </w:r>
    </w:p>
    <w:p w:rsidR="00F57973" w:rsidRDefault="006024E1">
      <w:pPr>
        <w:pBdr>
          <w:top w:val="nil"/>
          <w:left w:val="nil"/>
          <w:bottom w:val="nil"/>
          <w:right w:val="nil"/>
          <w:between w:val="nil"/>
        </w:pBdr>
        <w:spacing w:after="200"/>
        <w:rPr>
          <w:color w:val="000000"/>
        </w:rPr>
      </w:pPr>
      <w:r>
        <w:rPr>
          <w:color w:val="000000"/>
        </w:rPr>
        <w:t>Distribution of demographic and clinical characteristics was defined and compared between patients</w:t>
      </w:r>
      <w:r>
        <w:rPr>
          <w:color w:val="000000"/>
        </w:rPr>
        <w:t xml:space="preserve"> in high-risk and other (low/</w:t>
      </w:r>
      <w:proofErr w:type="gramStart"/>
      <w:r>
        <w:rPr>
          <w:color w:val="000000"/>
        </w:rPr>
        <w:t>intermediate-risk</w:t>
      </w:r>
      <w:proofErr w:type="gramEnd"/>
      <w:r>
        <w:rPr>
          <w:color w:val="000000"/>
        </w:rPr>
        <w:t>) pathology groups. Percent difference and 95% confidence intervals (CI) were calculated for categorical variables; median difference and 95% CI were calculated for continuous variables. Spearman’s rank correla</w:t>
      </w:r>
      <w:r>
        <w:rPr>
          <w:color w:val="000000"/>
        </w:rPr>
        <w:t>tion coefficient was used to estimate correlations between tumor PD-L1 staining and numbers of tumor infiltrating T cells (CD8+ and CD4+) and extent of pTR. Molecular correlates were evaluated for changes across pTR categories using the non-parametric test</w:t>
      </w:r>
      <w:r>
        <w:rPr>
          <w:color w:val="000000"/>
        </w:rPr>
        <w:t xml:space="preserve"> of trend. Kaplan-Meier estimates of OS, progression-free survival (PFS) and relapse-free survival (RFS) rates and 95% CI by pathology risk category or pTR category were determined and differences between categories assessed using the log rank test. OS was</w:t>
      </w:r>
      <w:r>
        <w:rPr>
          <w:color w:val="000000"/>
        </w:rPr>
        <w:t xml:space="preserve"> defined as time (months) from day of surgery to death; PFS was defined as time from day of surgery to first disease progression event (new primary, recurrence, distant metastasis or death from disease) or death from any cause; RFS was defined as time from</w:t>
      </w:r>
      <w:r>
        <w:rPr>
          <w:color w:val="000000"/>
        </w:rPr>
        <w:t xml:space="preserve"> day of surgery to first relapse event (recurrence or distant metastasis). In gene expression analysis, unpaired Mann-Whitney/Wilcoxon rank-sum tests were used to compare groups of patients, and paired Wilcoxon signed-rank tests were used to compare matche</w:t>
      </w:r>
      <w:r>
        <w:rPr>
          <w:color w:val="000000"/>
        </w:rPr>
        <w:t>d baseline and post-treatment tumor samples.</w:t>
      </w:r>
    </w:p>
    <w:p w:rsidR="00F57973" w:rsidRDefault="006024E1">
      <w:pPr>
        <w:pStyle w:val="Heading2"/>
        <w:spacing w:after="0"/>
        <w:rPr>
          <w:sz w:val="20"/>
          <w:szCs w:val="20"/>
        </w:rPr>
      </w:pPr>
      <w:bookmarkStart w:id="7" w:name="_heading=h.3dy6vkm" w:colFirst="0" w:colLast="0"/>
      <w:bookmarkEnd w:id="7"/>
      <w:r>
        <w:rPr>
          <w:sz w:val="20"/>
          <w:szCs w:val="20"/>
        </w:rPr>
        <w:t>Sample acquisition</w:t>
      </w:r>
    </w:p>
    <w:p w:rsidR="00F57973" w:rsidRDefault="006024E1">
      <w:pPr>
        <w:pBdr>
          <w:top w:val="nil"/>
          <w:left w:val="nil"/>
          <w:bottom w:val="nil"/>
          <w:right w:val="nil"/>
          <w:between w:val="nil"/>
        </w:pBdr>
        <w:spacing w:after="0"/>
        <w:rPr>
          <w:color w:val="000000"/>
        </w:rPr>
      </w:pPr>
      <w:r>
        <w:rPr>
          <w:color w:val="000000"/>
        </w:rPr>
        <w:t>Primary tumor biopsies and blood collection:  Each patient underwent an incisional biopsy of the primary tumor site and venipuncture to collect peripheral blood (30 mL). Tissue and blood speci</w:t>
      </w:r>
      <w:r>
        <w:rPr>
          <w:color w:val="000000"/>
        </w:rPr>
        <w:t xml:space="preserve">mens were immediately processed and used for correlative studies. After neoadjuvant treatment and on the day of surgery, post-treatment blood and tumor was also collected. </w:t>
      </w: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color w:val="000000"/>
        </w:rPr>
        <w:t xml:space="preserve">Collection for heterogeneity study </w:t>
      </w:r>
      <w:proofErr w:type="gramStart"/>
      <w:r>
        <w:rPr>
          <w:color w:val="000000"/>
        </w:rPr>
        <w:t>10 micron</w:t>
      </w:r>
      <w:proofErr w:type="gramEnd"/>
      <w:r>
        <w:rPr>
          <w:color w:val="000000"/>
        </w:rPr>
        <w:t xml:space="preserve"> sections of FFPE blocks containing tu</w:t>
      </w:r>
      <w:r>
        <w:rPr>
          <w:color w:val="000000"/>
        </w:rPr>
        <w:t xml:space="preserve">mor were mounted onto slides, and the first and tenth slides H&amp;E stained. Regions containing tumor were marked by a pathologist (MS), and corresponding regions from unstained slides were collected by scraping under </w:t>
      </w:r>
      <w:proofErr w:type="spellStart"/>
      <w:r>
        <w:rPr>
          <w:color w:val="000000"/>
        </w:rPr>
        <w:t>RNAse</w:t>
      </w:r>
      <w:proofErr w:type="spellEnd"/>
      <w:r>
        <w:rPr>
          <w:color w:val="000000"/>
        </w:rPr>
        <w:t>-free conditions. Samples were treat</w:t>
      </w:r>
      <w:r>
        <w:rPr>
          <w:color w:val="000000"/>
        </w:rPr>
        <w:t xml:space="preserve">ed with deparaffinization solution (Qiagen Cat#939018) and DNA isolated using </w:t>
      </w:r>
      <w:proofErr w:type="spellStart"/>
      <w:r>
        <w:rPr>
          <w:color w:val="000000"/>
        </w:rPr>
        <w:t>Reliaprep</w:t>
      </w:r>
      <w:proofErr w:type="spellEnd"/>
      <w:r>
        <w:rPr>
          <w:color w:val="000000"/>
        </w:rPr>
        <w:t xml:space="preserve"> FFPE gDNA kit (Promega Cat#A2352) according to manufacturer instructions. </w:t>
      </w:r>
    </w:p>
    <w:p w:rsidR="00F57973" w:rsidRDefault="00F57973">
      <w:pPr>
        <w:pStyle w:val="Heading4"/>
        <w:spacing w:after="0"/>
      </w:pPr>
      <w:bookmarkStart w:id="8" w:name="_heading=h.1t3h5sf" w:colFirst="0" w:colLast="0"/>
      <w:bookmarkEnd w:id="8"/>
    </w:p>
    <w:p w:rsidR="00F57973" w:rsidRDefault="006024E1">
      <w:pPr>
        <w:pStyle w:val="Heading4"/>
        <w:spacing w:after="0"/>
      </w:pPr>
      <w:bookmarkStart w:id="9" w:name="_heading=h.4d34og8" w:colFirst="0" w:colLast="0"/>
      <w:bookmarkEnd w:id="9"/>
      <w:r>
        <w:t>Whole Exome Sequencing</w:t>
      </w:r>
    </w:p>
    <w:p w:rsidR="00F57973" w:rsidRDefault="006024E1">
      <w:pPr>
        <w:pBdr>
          <w:top w:val="nil"/>
          <w:left w:val="nil"/>
          <w:bottom w:val="nil"/>
          <w:right w:val="nil"/>
          <w:between w:val="nil"/>
        </w:pBdr>
        <w:spacing w:after="0"/>
        <w:rPr>
          <w:color w:val="000000"/>
        </w:rPr>
      </w:pPr>
      <w:r>
        <w:rPr>
          <w:color w:val="000000"/>
        </w:rPr>
        <w:t xml:space="preserve">Genomic DNA was isolated from tumor and blood samples using the </w:t>
      </w:r>
      <w:proofErr w:type="spellStart"/>
      <w:r>
        <w:rPr>
          <w:color w:val="000000"/>
        </w:rPr>
        <w:t>DNeasy</w:t>
      </w:r>
      <w:proofErr w:type="spellEnd"/>
      <w:r>
        <w:rPr>
          <w:color w:val="000000"/>
        </w:rPr>
        <w:t xml:space="preserve"> Blood and Tissue Kit (Qiagen, Venlo, Netherlands). Whole exome sequencing (WES) library construction and sequencing were performed as previously described, with a few exceptions.</w:t>
      </w:r>
      <w:hyperlink r:id="rId8">
        <w:r>
          <w:rPr>
            <w:color w:val="000000"/>
          </w:rPr>
          <w:t>(Griffith, Miller, et al., 2015)</w:t>
        </w:r>
      </w:hyperlink>
      <w:r>
        <w:rPr>
          <w:color w:val="000000"/>
        </w:rPr>
        <w:t xml:space="preserve"> Genomic DNA was fragmented using the Covaris E210 DNA </w:t>
      </w:r>
      <w:proofErr w:type="spellStart"/>
      <w:r>
        <w:rPr>
          <w:color w:val="000000"/>
        </w:rPr>
        <w:t>Sonicator</w:t>
      </w:r>
      <w:proofErr w:type="spellEnd"/>
      <w:r>
        <w:rPr>
          <w:color w:val="000000"/>
        </w:rPr>
        <w:t xml:space="preserve"> (Covaris, </w:t>
      </w:r>
      <w:proofErr w:type="spellStart"/>
      <w:r>
        <w:rPr>
          <w:color w:val="000000"/>
        </w:rPr>
        <w:t>WoBurn</w:t>
      </w:r>
      <w:proofErr w:type="spellEnd"/>
      <w:r>
        <w:rPr>
          <w:color w:val="000000"/>
        </w:rPr>
        <w:t>, MA). Dual indexed whole exome sequencing (WES) libraries were constructed and pooled accordi</w:t>
      </w:r>
      <w:r>
        <w:rPr>
          <w:color w:val="000000"/>
        </w:rPr>
        <w:t>ng to the manufacturer recommendations using one of the following approaches:</w:t>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2370"/>
        <w:gridCol w:w="1080"/>
        <w:gridCol w:w="1110"/>
        <w:gridCol w:w="840"/>
        <w:gridCol w:w="855"/>
        <w:gridCol w:w="1695"/>
        <w:gridCol w:w="1440"/>
      </w:tblGrid>
      <w:tr w:rsidR="00F57973">
        <w:tc>
          <w:tcPr>
            <w:tcW w:w="14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Work Order</w:t>
            </w:r>
          </w:p>
        </w:tc>
        <w:tc>
          <w:tcPr>
            <w:tcW w:w="237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Reagent</w:t>
            </w:r>
          </w:p>
        </w:tc>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Samples</w:t>
            </w:r>
          </w:p>
        </w:tc>
        <w:tc>
          <w:tcPr>
            <w:tcW w:w="11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Captures</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Pools</w:t>
            </w:r>
          </w:p>
        </w:tc>
        <w:tc>
          <w:tcPr>
            <w:tcW w:w="8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Lanes</w:t>
            </w:r>
          </w:p>
        </w:tc>
        <w:tc>
          <w:tcPr>
            <w:tcW w:w="16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Platform</w:t>
            </w:r>
          </w:p>
        </w:tc>
        <w:tc>
          <w:tcPr>
            <w:tcW w:w="14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PE Reads</w:t>
            </w:r>
          </w:p>
        </w:tc>
      </w:tr>
      <w:tr w:rsidR="00F57973">
        <w:tc>
          <w:tcPr>
            <w:tcW w:w="14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2850994</w:t>
            </w:r>
          </w:p>
        </w:tc>
        <w:tc>
          <w:tcPr>
            <w:tcW w:w="237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IDT </w:t>
            </w:r>
            <w:proofErr w:type="spellStart"/>
            <w:r>
              <w:rPr>
                <w:color w:val="000000"/>
              </w:rPr>
              <w:t>xGen</w:t>
            </w:r>
            <w:proofErr w:type="spellEnd"/>
            <w:r>
              <w:rPr>
                <w:color w:val="000000"/>
              </w:rPr>
              <w:t xml:space="preserve"> Exome Research Panel v1.0</w:t>
            </w:r>
          </w:p>
        </w:tc>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10</w:t>
            </w:r>
          </w:p>
        </w:tc>
        <w:tc>
          <w:tcPr>
            <w:tcW w:w="11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w:t>
            </w:r>
          </w:p>
        </w:tc>
        <w:tc>
          <w:tcPr>
            <w:tcW w:w="8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w:t>
            </w:r>
          </w:p>
        </w:tc>
        <w:tc>
          <w:tcPr>
            <w:tcW w:w="16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w:t>
            </w:r>
          </w:p>
        </w:tc>
        <w:tc>
          <w:tcPr>
            <w:tcW w:w="14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2x150</w:t>
            </w:r>
          </w:p>
        </w:tc>
      </w:tr>
      <w:tr w:rsidR="00F57973">
        <w:tc>
          <w:tcPr>
            <w:tcW w:w="14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lastRenderedPageBreak/>
              <w:t>2855132</w:t>
            </w:r>
          </w:p>
        </w:tc>
        <w:tc>
          <w:tcPr>
            <w:tcW w:w="237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IDT </w:t>
            </w:r>
            <w:proofErr w:type="spellStart"/>
            <w:r>
              <w:rPr>
                <w:color w:val="000000"/>
              </w:rPr>
              <w:t>xGen</w:t>
            </w:r>
            <w:proofErr w:type="spellEnd"/>
            <w:r>
              <w:rPr>
                <w:color w:val="000000"/>
              </w:rPr>
              <w:t xml:space="preserve"> Exome Research Panel v1.0</w:t>
            </w:r>
          </w:p>
        </w:tc>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32</w:t>
            </w:r>
          </w:p>
        </w:tc>
        <w:tc>
          <w:tcPr>
            <w:tcW w:w="11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3</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3</w:t>
            </w:r>
          </w:p>
        </w:tc>
        <w:tc>
          <w:tcPr>
            <w:tcW w:w="8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4</w:t>
            </w:r>
          </w:p>
        </w:tc>
        <w:tc>
          <w:tcPr>
            <w:tcW w:w="16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w:t>
            </w:r>
          </w:p>
        </w:tc>
        <w:tc>
          <w:tcPr>
            <w:tcW w:w="14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2x150</w:t>
            </w:r>
          </w:p>
        </w:tc>
      </w:tr>
      <w:tr w:rsidR="00F57973">
        <w:tc>
          <w:tcPr>
            <w:tcW w:w="14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2854092</w:t>
            </w:r>
          </w:p>
        </w:tc>
        <w:tc>
          <w:tcPr>
            <w:tcW w:w="237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proofErr w:type="spellStart"/>
            <w:r>
              <w:rPr>
                <w:color w:val="000000"/>
              </w:rPr>
              <w:t>Nimblegen</w:t>
            </w:r>
            <w:proofErr w:type="spellEnd"/>
            <w:r>
              <w:rPr>
                <w:color w:val="000000"/>
              </w:rPr>
              <w:t xml:space="preserve"> </w:t>
            </w:r>
            <w:proofErr w:type="spellStart"/>
            <w:r>
              <w:rPr>
                <w:color w:val="000000"/>
              </w:rPr>
              <w:t>VCRome</w:t>
            </w:r>
            <w:proofErr w:type="spellEnd"/>
          </w:p>
        </w:tc>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23</w:t>
            </w:r>
          </w:p>
        </w:tc>
        <w:tc>
          <w:tcPr>
            <w:tcW w:w="11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3</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3</w:t>
            </w:r>
          </w:p>
        </w:tc>
        <w:tc>
          <w:tcPr>
            <w:tcW w:w="8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3</w:t>
            </w:r>
          </w:p>
        </w:tc>
        <w:tc>
          <w:tcPr>
            <w:tcW w:w="16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w:t>
            </w:r>
          </w:p>
        </w:tc>
        <w:tc>
          <w:tcPr>
            <w:tcW w:w="14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2x150</w:t>
            </w:r>
          </w:p>
        </w:tc>
      </w:tr>
    </w:tbl>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color w:val="000000"/>
        </w:rPr>
        <w:t xml:space="preserve">There was median 84.27X coverage (64.91-105.92X) spanning the exome in blood samples, and 75.56X coverage (26.34-635.52X) in tumor samples. See </w:t>
      </w:r>
      <w:proofErr w:type="spellStart"/>
      <w:r>
        <w:rPr>
          <w:b/>
          <w:color w:val="000000"/>
        </w:rPr>
        <w:t>eTable</w:t>
      </w:r>
      <w:proofErr w:type="spellEnd"/>
      <w:r>
        <w:rPr>
          <w:b/>
          <w:color w:val="000000"/>
        </w:rPr>
        <w:t xml:space="preserve"> 15</w:t>
      </w:r>
      <w:r>
        <w:rPr>
          <w:color w:val="000000"/>
        </w:rPr>
        <w:t xml:space="preserve"> for further details.</w:t>
      </w:r>
    </w:p>
    <w:p w:rsidR="00F57973" w:rsidRDefault="00F57973">
      <w:pPr>
        <w:pBdr>
          <w:top w:val="nil"/>
          <w:left w:val="nil"/>
          <w:bottom w:val="nil"/>
          <w:right w:val="nil"/>
          <w:between w:val="nil"/>
        </w:pBdr>
        <w:spacing w:after="0"/>
        <w:rPr>
          <w:color w:val="000000"/>
        </w:rPr>
      </w:pPr>
    </w:p>
    <w:p w:rsidR="00F57973" w:rsidRDefault="006024E1">
      <w:pPr>
        <w:pStyle w:val="Heading4"/>
        <w:spacing w:after="0"/>
      </w:pPr>
      <w:bookmarkStart w:id="10" w:name="_heading=h.2s8eyo1" w:colFirst="0" w:colLast="0"/>
      <w:bookmarkEnd w:id="10"/>
      <w:r>
        <w:t>RNA sequencing</w:t>
      </w:r>
    </w:p>
    <w:p w:rsidR="00F57973" w:rsidRDefault="006024E1">
      <w:pPr>
        <w:pBdr>
          <w:top w:val="nil"/>
          <w:left w:val="nil"/>
          <w:bottom w:val="nil"/>
          <w:right w:val="nil"/>
          <w:between w:val="nil"/>
        </w:pBdr>
        <w:spacing w:after="0"/>
        <w:rPr>
          <w:color w:val="000000"/>
        </w:rPr>
      </w:pPr>
      <w:r>
        <w:rPr>
          <w:color w:val="000000"/>
        </w:rPr>
        <w:t>Total RNA was isolated from tumor samples using the RNeasy Kit (Q</w:t>
      </w:r>
      <w:r>
        <w:rPr>
          <w:color w:val="000000"/>
        </w:rPr>
        <w:t>iagen, Venlo, Netherlands). RNA sequencing (</w:t>
      </w:r>
      <w:proofErr w:type="spellStart"/>
      <w:r>
        <w:rPr>
          <w:color w:val="000000"/>
        </w:rPr>
        <w:t>RNAseq</w:t>
      </w:r>
      <w:proofErr w:type="spellEnd"/>
      <w:r>
        <w:rPr>
          <w:color w:val="000000"/>
        </w:rPr>
        <w:t xml:space="preserve">) libraries (n=38) were prepared using the Illumina </w:t>
      </w:r>
      <w:proofErr w:type="spellStart"/>
      <w:r>
        <w:rPr>
          <w:color w:val="000000"/>
        </w:rPr>
        <w:t>TruSeq</w:t>
      </w:r>
      <w:proofErr w:type="spellEnd"/>
      <w:r>
        <w:rPr>
          <w:color w:val="000000"/>
        </w:rPr>
        <w:t xml:space="preserve"> Stranded Total RNA kit with 500 ng of starting material according to the manufacturer’s recommendations. Libraries were pooled and sequenced using </w:t>
      </w:r>
      <w:r>
        <w:rPr>
          <w:color w:val="000000"/>
        </w:rPr>
        <w:t>one of the following approaches:</w:t>
      </w:r>
    </w:p>
    <w:tbl>
      <w:tblPr>
        <w:tblStyle w:val="af0"/>
        <w:tblW w:w="10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2"/>
        <w:gridCol w:w="1815"/>
        <w:gridCol w:w="825"/>
        <w:gridCol w:w="1095"/>
        <w:gridCol w:w="1455"/>
        <w:gridCol w:w="840"/>
        <w:gridCol w:w="2130"/>
        <w:gridCol w:w="1290"/>
      </w:tblGrid>
      <w:tr w:rsidR="00F57973">
        <w:tc>
          <w:tcPr>
            <w:tcW w:w="1362"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Work Order</w:t>
            </w:r>
          </w:p>
        </w:tc>
        <w:tc>
          <w:tcPr>
            <w:tcW w:w="181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Preparation</w:t>
            </w:r>
          </w:p>
        </w:tc>
        <w:tc>
          <w:tcPr>
            <w:tcW w:w="82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Index</w:t>
            </w:r>
          </w:p>
        </w:tc>
        <w:tc>
          <w:tcPr>
            <w:tcW w:w="10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Samples</w:t>
            </w:r>
          </w:p>
        </w:tc>
        <w:tc>
          <w:tcPr>
            <w:tcW w:w="14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Pools</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Lanes</w:t>
            </w:r>
          </w:p>
        </w:tc>
        <w:tc>
          <w:tcPr>
            <w:tcW w:w="213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Platform</w:t>
            </w:r>
          </w:p>
        </w:tc>
        <w:tc>
          <w:tcPr>
            <w:tcW w:w="129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PE Reads</w:t>
            </w:r>
          </w:p>
        </w:tc>
      </w:tr>
      <w:tr w:rsidR="00F57973">
        <w:tc>
          <w:tcPr>
            <w:tcW w:w="1362"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2850995</w:t>
            </w:r>
          </w:p>
        </w:tc>
        <w:tc>
          <w:tcPr>
            <w:tcW w:w="181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Illumina </w:t>
            </w:r>
            <w:proofErr w:type="spellStart"/>
            <w:r>
              <w:rPr>
                <w:color w:val="000000"/>
              </w:rPr>
              <w:t>TruSeq</w:t>
            </w:r>
            <w:proofErr w:type="spellEnd"/>
          </w:p>
        </w:tc>
        <w:tc>
          <w:tcPr>
            <w:tcW w:w="82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Single</w:t>
            </w:r>
          </w:p>
        </w:tc>
        <w:tc>
          <w:tcPr>
            <w:tcW w:w="10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18</w:t>
            </w:r>
          </w:p>
        </w:tc>
        <w:tc>
          <w:tcPr>
            <w:tcW w:w="14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8</w:t>
            </w:r>
          </w:p>
        </w:tc>
        <w:tc>
          <w:tcPr>
            <w:tcW w:w="213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w:t>
            </w:r>
          </w:p>
        </w:tc>
        <w:tc>
          <w:tcPr>
            <w:tcW w:w="129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2x150</w:t>
            </w:r>
          </w:p>
        </w:tc>
      </w:tr>
      <w:tr w:rsidR="00F57973">
        <w:tc>
          <w:tcPr>
            <w:tcW w:w="1362"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2854121</w:t>
            </w:r>
          </w:p>
        </w:tc>
        <w:tc>
          <w:tcPr>
            <w:tcW w:w="181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Illumina </w:t>
            </w:r>
            <w:proofErr w:type="spellStart"/>
            <w:r>
              <w:rPr>
                <w:color w:val="000000"/>
              </w:rPr>
              <w:t>TruSeq</w:t>
            </w:r>
            <w:proofErr w:type="spellEnd"/>
          </w:p>
        </w:tc>
        <w:tc>
          <w:tcPr>
            <w:tcW w:w="82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Single</w:t>
            </w:r>
          </w:p>
        </w:tc>
        <w:tc>
          <w:tcPr>
            <w:tcW w:w="10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13</w:t>
            </w:r>
          </w:p>
        </w:tc>
        <w:tc>
          <w:tcPr>
            <w:tcW w:w="14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6</w:t>
            </w:r>
          </w:p>
        </w:tc>
        <w:tc>
          <w:tcPr>
            <w:tcW w:w="213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 V4 1Tb</w:t>
            </w:r>
          </w:p>
        </w:tc>
        <w:tc>
          <w:tcPr>
            <w:tcW w:w="129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2x125</w:t>
            </w:r>
          </w:p>
        </w:tc>
      </w:tr>
      <w:tr w:rsidR="00F57973">
        <w:tc>
          <w:tcPr>
            <w:tcW w:w="1362"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2855138</w:t>
            </w:r>
          </w:p>
        </w:tc>
        <w:tc>
          <w:tcPr>
            <w:tcW w:w="181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Illumina </w:t>
            </w:r>
            <w:proofErr w:type="spellStart"/>
            <w:r>
              <w:rPr>
                <w:color w:val="000000"/>
              </w:rPr>
              <w:t>TruSeq</w:t>
            </w:r>
            <w:proofErr w:type="spellEnd"/>
          </w:p>
        </w:tc>
        <w:tc>
          <w:tcPr>
            <w:tcW w:w="82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Dual</w:t>
            </w:r>
          </w:p>
        </w:tc>
        <w:tc>
          <w:tcPr>
            <w:tcW w:w="109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7</w:t>
            </w:r>
          </w:p>
        </w:tc>
        <w:tc>
          <w:tcPr>
            <w:tcW w:w="145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5</w:t>
            </w:r>
          </w:p>
        </w:tc>
        <w:tc>
          <w:tcPr>
            <w:tcW w:w="213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w:t>
            </w:r>
          </w:p>
        </w:tc>
        <w:tc>
          <w:tcPr>
            <w:tcW w:w="129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2x150</w:t>
            </w:r>
          </w:p>
        </w:tc>
      </w:tr>
    </w:tbl>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color w:val="000000"/>
        </w:rPr>
        <w:t xml:space="preserve">Samples that had low amounts or </w:t>
      </w:r>
      <w:proofErr w:type="gramStart"/>
      <w:r>
        <w:rPr>
          <w:color w:val="000000"/>
        </w:rPr>
        <w:t>poor quality</w:t>
      </w:r>
      <w:proofErr w:type="gramEnd"/>
      <w:r>
        <w:rPr>
          <w:color w:val="000000"/>
        </w:rPr>
        <w:t xml:space="preserve"> RNA (n=7) were evaluated using cDNA hybridized capture sequencing using one of the following approaches: </w:t>
      </w:r>
    </w:p>
    <w:tbl>
      <w:tblPr>
        <w:tblStyle w:val="af1"/>
        <w:tblW w:w="10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365"/>
        <w:gridCol w:w="1260"/>
        <w:gridCol w:w="765"/>
        <w:gridCol w:w="1080"/>
        <w:gridCol w:w="1140"/>
        <w:gridCol w:w="840"/>
        <w:gridCol w:w="810"/>
        <w:gridCol w:w="1320"/>
        <w:gridCol w:w="1145"/>
      </w:tblGrid>
      <w:tr w:rsidR="00F57973">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Work Order</w:t>
            </w:r>
          </w:p>
        </w:tc>
        <w:tc>
          <w:tcPr>
            <w:tcW w:w="136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Preparation</w:t>
            </w:r>
          </w:p>
        </w:tc>
        <w:tc>
          <w:tcPr>
            <w:tcW w:w="126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Reagent</w:t>
            </w:r>
          </w:p>
        </w:tc>
        <w:tc>
          <w:tcPr>
            <w:tcW w:w="76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Index</w:t>
            </w:r>
          </w:p>
        </w:tc>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Samples</w:t>
            </w:r>
          </w:p>
        </w:tc>
        <w:tc>
          <w:tcPr>
            <w:tcW w:w="11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Captures</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Pools</w:t>
            </w:r>
          </w:p>
        </w:tc>
        <w:tc>
          <w:tcPr>
            <w:tcW w:w="8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Lanes</w:t>
            </w:r>
          </w:p>
        </w:tc>
        <w:tc>
          <w:tcPr>
            <w:tcW w:w="132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Platform</w:t>
            </w:r>
          </w:p>
        </w:tc>
        <w:tc>
          <w:tcPr>
            <w:tcW w:w="114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PE Reads</w:t>
            </w:r>
          </w:p>
        </w:tc>
      </w:tr>
      <w:tr w:rsidR="00F57973">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2854122</w:t>
            </w:r>
          </w:p>
        </w:tc>
        <w:tc>
          <w:tcPr>
            <w:tcW w:w="136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Illumina </w:t>
            </w:r>
            <w:proofErr w:type="spellStart"/>
            <w:r>
              <w:rPr>
                <w:color w:val="000000"/>
              </w:rPr>
              <w:t>Truseq</w:t>
            </w:r>
            <w:proofErr w:type="spellEnd"/>
          </w:p>
        </w:tc>
        <w:tc>
          <w:tcPr>
            <w:tcW w:w="126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IDT </w:t>
            </w:r>
            <w:proofErr w:type="spellStart"/>
            <w:r>
              <w:rPr>
                <w:color w:val="000000"/>
              </w:rPr>
              <w:t>xGen</w:t>
            </w:r>
            <w:proofErr w:type="spellEnd"/>
            <w:r>
              <w:rPr>
                <w:color w:val="000000"/>
              </w:rPr>
              <w:t xml:space="preserve"> Exome Research Panel v1.0</w:t>
            </w:r>
          </w:p>
        </w:tc>
        <w:tc>
          <w:tcPr>
            <w:tcW w:w="76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Dual</w:t>
            </w:r>
          </w:p>
        </w:tc>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5</w:t>
            </w:r>
          </w:p>
        </w:tc>
        <w:tc>
          <w:tcPr>
            <w:tcW w:w="11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8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132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 V4 1Tb</w:t>
            </w:r>
          </w:p>
        </w:tc>
        <w:tc>
          <w:tcPr>
            <w:tcW w:w="114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2x125</w:t>
            </w:r>
          </w:p>
        </w:tc>
      </w:tr>
      <w:tr w:rsidR="00F57973">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2855140</w:t>
            </w:r>
          </w:p>
        </w:tc>
        <w:tc>
          <w:tcPr>
            <w:tcW w:w="136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 xml:space="preserve">Illumina </w:t>
            </w:r>
            <w:proofErr w:type="spellStart"/>
            <w:r>
              <w:rPr>
                <w:color w:val="000000"/>
              </w:rPr>
              <w:t>Truseq</w:t>
            </w:r>
            <w:proofErr w:type="spellEnd"/>
          </w:p>
        </w:tc>
        <w:tc>
          <w:tcPr>
            <w:tcW w:w="126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proofErr w:type="spellStart"/>
            <w:r>
              <w:rPr>
                <w:color w:val="000000"/>
              </w:rPr>
              <w:t>Nimblegen</w:t>
            </w:r>
            <w:proofErr w:type="spellEnd"/>
            <w:r>
              <w:rPr>
                <w:color w:val="000000"/>
              </w:rPr>
              <w:t xml:space="preserve"> </w:t>
            </w:r>
            <w:proofErr w:type="spellStart"/>
            <w:r>
              <w:rPr>
                <w:color w:val="000000"/>
              </w:rPr>
              <w:t>VCRome</w:t>
            </w:r>
            <w:proofErr w:type="spellEnd"/>
          </w:p>
        </w:tc>
        <w:tc>
          <w:tcPr>
            <w:tcW w:w="76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Dual</w:t>
            </w:r>
          </w:p>
        </w:tc>
        <w:tc>
          <w:tcPr>
            <w:tcW w:w="108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w:t>
            </w:r>
          </w:p>
        </w:tc>
        <w:tc>
          <w:tcPr>
            <w:tcW w:w="11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84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1</w:t>
            </w:r>
          </w:p>
        </w:tc>
        <w:tc>
          <w:tcPr>
            <w:tcW w:w="81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5</w:t>
            </w:r>
          </w:p>
        </w:tc>
        <w:tc>
          <w:tcPr>
            <w:tcW w:w="1320"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HiSeq4000</w:t>
            </w:r>
          </w:p>
        </w:tc>
        <w:tc>
          <w:tcPr>
            <w:tcW w:w="1145" w:type="dxa"/>
            <w:shd w:val="clear" w:color="auto" w:fill="auto"/>
            <w:tcMar>
              <w:top w:w="100" w:type="dxa"/>
              <w:left w:w="100" w:type="dxa"/>
              <w:bottom w:w="100" w:type="dxa"/>
              <w:right w:w="100" w:type="dxa"/>
            </w:tcMar>
          </w:tcPr>
          <w:p w:rsidR="00F57973" w:rsidRDefault="006024E1">
            <w:pPr>
              <w:widowControl w:val="0"/>
              <w:pBdr>
                <w:top w:val="nil"/>
                <w:left w:val="nil"/>
                <w:bottom w:val="nil"/>
                <w:right w:val="nil"/>
                <w:between w:val="nil"/>
              </w:pBdr>
              <w:spacing w:after="0"/>
              <w:rPr>
                <w:color w:val="000000"/>
              </w:rPr>
            </w:pPr>
            <w:r>
              <w:rPr>
                <w:color w:val="000000"/>
              </w:rPr>
              <w:t>2x150</w:t>
            </w:r>
          </w:p>
        </w:tc>
      </w:tr>
    </w:tbl>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color w:val="000000"/>
        </w:rPr>
        <w:t xml:space="preserve">RNA seq libraries were sequenced to a median depth of 347,311,447 reads (276,725,868-469,020,578); cDNA capture sequencing libraries were sequenced to a median depth of 165,001,122 reads (17,058,178-882,394,752). See </w:t>
      </w:r>
      <w:proofErr w:type="spellStart"/>
      <w:r>
        <w:rPr>
          <w:b/>
          <w:color w:val="000000"/>
        </w:rPr>
        <w:t>eTable</w:t>
      </w:r>
      <w:proofErr w:type="spellEnd"/>
      <w:r>
        <w:rPr>
          <w:b/>
          <w:color w:val="000000"/>
        </w:rPr>
        <w:t xml:space="preserve"> 16</w:t>
      </w:r>
      <w:r>
        <w:rPr>
          <w:color w:val="000000"/>
        </w:rPr>
        <w:t xml:space="preserve"> for further details.</w:t>
      </w:r>
    </w:p>
    <w:p w:rsidR="00F57973" w:rsidRDefault="00F57973">
      <w:pPr>
        <w:pStyle w:val="Heading4"/>
        <w:spacing w:after="0"/>
      </w:pPr>
      <w:bookmarkStart w:id="11" w:name="_heading=h.17dp8vu" w:colFirst="0" w:colLast="0"/>
      <w:bookmarkEnd w:id="11"/>
    </w:p>
    <w:p w:rsidR="00F57973" w:rsidRDefault="006024E1">
      <w:pPr>
        <w:pStyle w:val="Heading4"/>
        <w:spacing w:after="0"/>
      </w:pPr>
      <w:bookmarkStart w:id="12" w:name="_heading=h.3rdcrjn" w:colFirst="0" w:colLast="0"/>
      <w:bookmarkEnd w:id="12"/>
      <w:r>
        <w:t xml:space="preserve">T cell </w:t>
      </w:r>
      <w:r>
        <w:t>receptor sequencing</w:t>
      </w:r>
    </w:p>
    <w:p w:rsidR="00F57973" w:rsidRDefault="006024E1">
      <w:pPr>
        <w:pBdr>
          <w:top w:val="nil"/>
          <w:left w:val="nil"/>
          <w:bottom w:val="nil"/>
          <w:right w:val="nil"/>
          <w:between w:val="nil"/>
        </w:pBdr>
        <w:spacing w:after="0"/>
        <w:rPr>
          <w:color w:val="000000"/>
        </w:rPr>
      </w:pPr>
      <w:r>
        <w:rPr>
          <w:color w:val="000000"/>
        </w:rPr>
        <w:t xml:space="preserve">Genomic DNA was isolated from blood samples (n=50) using the </w:t>
      </w:r>
      <w:proofErr w:type="spellStart"/>
      <w:r>
        <w:rPr>
          <w:color w:val="000000"/>
        </w:rPr>
        <w:t>DNeasy</w:t>
      </w:r>
      <w:proofErr w:type="spellEnd"/>
      <w:r>
        <w:rPr>
          <w:color w:val="000000"/>
        </w:rPr>
        <w:t xml:space="preserve"> Blood and Tissue Kit (Qiagen, Venlo, Netherlands). Libraries were prepared using a hybridized capture designed to enrich for rearranged T cell receptor gene loci (</w:t>
      </w:r>
      <w:r>
        <w:rPr>
          <w:i/>
          <w:color w:val="000000"/>
        </w:rPr>
        <w:t xml:space="preserve">TRA, </w:t>
      </w:r>
      <w:r>
        <w:rPr>
          <w:i/>
          <w:color w:val="000000"/>
        </w:rPr>
        <w:t>TRB</w:t>
      </w:r>
      <w:r>
        <w:rPr>
          <w:color w:val="000000"/>
        </w:rPr>
        <w:t xml:space="preserve">) using </w:t>
      </w:r>
      <w:proofErr w:type="spellStart"/>
      <w:r>
        <w:rPr>
          <w:color w:val="000000"/>
        </w:rPr>
        <w:t>CapTCR</w:t>
      </w:r>
      <w:proofErr w:type="spellEnd"/>
      <w:r>
        <w:rPr>
          <w:color w:val="000000"/>
        </w:rPr>
        <w:t xml:space="preserve"> sequencing, as previously described.</w:t>
      </w:r>
      <w:hyperlink r:id="rId9">
        <w:r>
          <w:rPr>
            <w:color w:val="000000"/>
          </w:rPr>
          <w:t>(Mulder et al., 2018)</w:t>
        </w:r>
      </w:hyperlink>
      <w:r>
        <w:rPr>
          <w:color w:val="000000"/>
        </w:rPr>
        <w:t xml:space="preserve"> Single indexed libraries were pooled and sequenced on a single lane of the Illumina </w:t>
      </w:r>
      <w:proofErr w:type="spellStart"/>
      <w:r>
        <w:rPr>
          <w:color w:val="000000"/>
        </w:rPr>
        <w:t>HiSeq</w:t>
      </w:r>
      <w:proofErr w:type="spellEnd"/>
      <w:r>
        <w:rPr>
          <w:color w:val="000000"/>
        </w:rPr>
        <w:t xml:space="preserve"> 4000 platform with 2x150 bp reads </w:t>
      </w:r>
      <w:r>
        <w:rPr>
          <w:color w:val="000000"/>
        </w:rPr>
        <w:t xml:space="preserve">to a depth of 2,423-28,107,860 (median 6,379,349 reads). See </w:t>
      </w:r>
      <w:proofErr w:type="spellStart"/>
      <w:r>
        <w:rPr>
          <w:b/>
          <w:color w:val="000000"/>
        </w:rPr>
        <w:t>eTable</w:t>
      </w:r>
      <w:proofErr w:type="spellEnd"/>
      <w:r>
        <w:rPr>
          <w:b/>
          <w:color w:val="000000"/>
        </w:rPr>
        <w:t xml:space="preserve"> 17</w:t>
      </w:r>
      <w:r>
        <w:rPr>
          <w:color w:val="000000"/>
        </w:rPr>
        <w:t xml:space="preserve"> for further details</w:t>
      </w:r>
    </w:p>
    <w:p w:rsidR="00F57973" w:rsidRDefault="00F57973">
      <w:pPr>
        <w:pStyle w:val="Heading3"/>
        <w:spacing w:after="0"/>
      </w:pPr>
      <w:bookmarkStart w:id="13" w:name="_heading=h.26in1rg" w:colFirst="0" w:colLast="0"/>
      <w:bookmarkEnd w:id="13"/>
    </w:p>
    <w:p w:rsidR="00F57973" w:rsidRDefault="006024E1">
      <w:pPr>
        <w:pStyle w:val="Heading3"/>
        <w:spacing w:after="0"/>
        <w:rPr>
          <w:color w:val="000000"/>
        </w:rPr>
      </w:pPr>
      <w:bookmarkStart w:id="14" w:name="_heading=h.lnxbz9" w:colFirst="0" w:colLast="0"/>
      <w:bookmarkEnd w:id="14"/>
      <w:r>
        <w:rPr>
          <w:color w:val="000000"/>
        </w:rPr>
        <w:t>Somatic variant detection</w:t>
      </w:r>
    </w:p>
    <w:p w:rsidR="00F57973" w:rsidRDefault="006024E1">
      <w:pPr>
        <w:pBdr>
          <w:top w:val="nil"/>
          <w:left w:val="nil"/>
          <w:bottom w:val="nil"/>
          <w:right w:val="nil"/>
          <w:between w:val="nil"/>
        </w:pBdr>
        <w:spacing w:after="0"/>
        <w:rPr>
          <w:color w:val="000000"/>
        </w:rPr>
      </w:pPr>
      <w:r>
        <w:rPr>
          <w:color w:val="000000"/>
        </w:rPr>
        <w:t xml:space="preserve">The Genome Modeling System (GMS) was used for all analysis, including the somatic variant detection and </w:t>
      </w:r>
      <w:proofErr w:type="spellStart"/>
      <w:r>
        <w:rPr>
          <w:color w:val="000000"/>
        </w:rPr>
        <w:t>RNAseq</w:t>
      </w:r>
      <w:proofErr w:type="spellEnd"/>
      <w:r>
        <w:rPr>
          <w:color w:val="000000"/>
        </w:rPr>
        <w:t xml:space="preserve"> analysis.</w:t>
      </w:r>
      <w:hyperlink r:id="rId10">
        <w:r>
          <w:rPr>
            <w:color w:val="000000"/>
          </w:rPr>
          <w:t>(Griffith, Griffith, et al., 2015)</w:t>
        </w:r>
      </w:hyperlink>
      <w:r>
        <w:rPr>
          <w:color w:val="000000"/>
        </w:rPr>
        <w:t xml:space="preserve"> Briefly, WES data was processed through </w:t>
      </w:r>
      <w:proofErr w:type="spellStart"/>
      <w:r>
        <w:rPr>
          <w:color w:val="000000"/>
        </w:rPr>
        <w:t>Speed</w:t>
      </w:r>
      <w:r>
        <w:rPr>
          <w:color w:val="000000"/>
        </w:rPr>
        <w:t>Seq</w:t>
      </w:r>
      <w:proofErr w:type="spellEnd"/>
      <w:r>
        <w:rPr>
          <w:color w:val="000000"/>
        </w:rPr>
        <w:t xml:space="preserve"> v0.1.0</w:t>
      </w:r>
      <w:hyperlink r:id="rId11">
        <w:r>
          <w:rPr>
            <w:color w:val="000000"/>
          </w:rPr>
          <w:t>(Chiang et al., 2015; Griffith, Griffith, et al., 2015)</w:t>
        </w:r>
      </w:hyperlink>
      <w:r>
        <w:rPr>
          <w:color w:val="000000"/>
        </w:rPr>
        <w:t xml:space="preserve"> which uses BWA-MEM v0.7.10</w:t>
      </w:r>
      <w:hyperlink r:id="rId12">
        <w:r>
          <w:rPr>
            <w:color w:val="000000"/>
          </w:rPr>
          <w:t>(Heng Li, 2013)</w:t>
        </w:r>
      </w:hyperlink>
      <w:r>
        <w:rPr>
          <w:color w:val="000000"/>
        </w:rPr>
        <w:t xml:space="preserve"> alignment to the human referen</w:t>
      </w:r>
      <w:r>
        <w:rPr>
          <w:color w:val="000000"/>
        </w:rPr>
        <w:t>ce genome (NCBI build 38, GRCh38) and marks duplicates using SAMBLASTER v0·1·22.</w:t>
      </w:r>
      <w:hyperlink r:id="rId13">
        <w:r>
          <w:rPr>
            <w:color w:val="000000"/>
          </w:rPr>
          <w:t>(Chiang et al., 2015; Faust &amp; Hall, 2014; Griffith, Griffith, et al., 2015)</w:t>
        </w:r>
      </w:hyperlink>
      <w:r>
        <w:rPr>
          <w:color w:val="000000"/>
        </w:rPr>
        <w:t xml:space="preserve"> Single nucleotide variants (SNVs</w:t>
      </w:r>
      <w:r>
        <w:rPr>
          <w:color w:val="000000"/>
        </w:rPr>
        <w:t xml:space="preserve">) were detected by comparing tumors to matched blood WES by </w:t>
      </w:r>
      <w:proofErr w:type="spellStart"/>
      <w:r>
        <w:rPr>
          <w:color w:val="000000"/>
        </w:rPr>
        <w:t>SomaticSniper</w:t>
      </w:r>
      <w:proofErr w:type="spellEnd"/>
      <w:r>
        <w:rPr>
          <w:color w:val="000000"/>
        </w:rPr>
        <w:t xml:space="preserve"> v1.0.4,</w:t>
      </w:r>
      <w:hyperlink r:id="rId14">
        <w:r>
          <w:rPr>
            <w:color w:val="000000"/>
          </w:rPr>
          <w:t>(Chiang et al., 2015; Faust &amp; Hall, 2014; Griffith, Griffith, et al., 2015; Larson et al., 2014)</w:t>
        </w:r>
      </w:hyperlink>
      <w:r>
        <w:rPr>
          <w:color w:val="000000"/>
        </w:rPr>
        <w:t xml:space="preserve"> VarS</w:t>
      </w:r>
      <w:r>
        <w:rPr>
          <w:color w:val="000000"/>
        </w:rPr>
        <w:t>can2 v2.3.6,</w:t>
      </w:r>
      <w:hyperlink r:id="rId15">
        <w:r>
          <w:rPr>
            <w:color w:val="000000"/>
          </w:rPr>
          <w:t xml:space="preserve">(Chiang et al., 2015; Faust &amp; Hall, 2014; Griffith, Griffith, et al., 2015; Larson et al., 2014; </w:t>
        </w:r>
        <w:proofErr w:type="spellStart"/>
        <w:r>
          <w:rPr>
            <w:color w:val="000000"/>
          </w:rPr>
          <w:t>Reble</w:t>
        </w:r>
        <w:proofErr w:type="spellEnd"/>
        <w:r>
          <w:rPr>
            <w:color w:val="000000"/>
          </w:rPr>
          <w:t xml:space="preserve"> et al., 2017)</w:t>
        </w:r>
      </w:hyperlink>
      <w:r>
        <w:rPr>
          <w:color w:val="000000"/>
        </w:rPr>
        <w:t xml:space="preserve"> </w:t>
      </w:r>
      <w:proofErr w:type="spellStart"/>
      <w:r>
        <w:rPr>
          <w:color w:val="000000"/>
        </w:rPr>
        <w:t>Strelka</w:t>
      </w:r>
      <w:proofErr w:type="spellEnd"/>
      <w:r>
        <w:rPr>
          <w:color w:val="000000"/>
        </w:rPr>
        <w:t xml:space="preserve"> v1.0.11,</w:t>
      </w:r>
      <w:hyperlink r:id="rId16">
        <w:r>
          <w:rPr>
            <w:color w:val="000000"/>
          </w:rPr>
          <w:t>(Saunders et al., 2012)</w:t>
        </w:r>
      </w:hyperlink>
      <w:r>
        <w:rPr>
          <w:color w:val="000000"/>
        </w:rPr>
        <w:t xml:space="preserve"> </w:t>
      </w:r>
      <w:proofErr w:type="spellStart"/>
      <w:r>
        <w:rPr>
          <w:color w:val="000000"/>
        </w:rPr>
        <w:t>Samtools</w:t>
      </w:r>
      <w:proofErr w:type="spellEnd"/>
      <w:r>
        <w:rPr>
          <w:color w:val="000000"/>
        </w:rPr>
        <w:t xml:space="preserve"> r982,</w:t>
      </w:r>
      <w:hyperlink r:id="rId17">
        <w:r>
          <w:rPr>
            <w:color w:val="000000"/>
          </w:rPr>
          <w:t>(H. Li et al., 2009)</w:t>
        </w:r>
      </w:hyperlink>
      <w:r>
        <w:rPr>
          <w:color w:val="000000"/>
        </w:rPr>
        <w:t xml:space="preserve"> and </w:t>
      </w:r>
      <w:proofErr w:type="spellStart"/>
      <w:r>
        <w:rPr>
          <w:color w:val="000000"/>
        </w:rPr>
        <w:t>Mutect</w:t>
      </w:r>
      <w:proofErr w:type="spellEnd"/>
      <w:r>
        <w:rPr>
          <w:color w:val="000000"/>
        </w:rPr>
        <w:t xml:space="preserve"> v1.1.4.</w:t>
      </w:r>
      <w:hyperlink r:id="rId18">
        <w:r>
          <w:rPr>
            <w:color w:val="000000"/>
          </w:rPr>
          <w:t>(</w:t>
        </w:r>
        <w:proofErr w:type="spellStart"/>
        <w:r>
          <w:rPr>
            <w:color w:val="000000"/>
          </w:rPr>
          <w:t>Cibulskis</w:t>
        </w:r>
        <w:proofErr w:type="spellEnd"/>
        <w:r>
          <w:rPr>
            <w:color w:val="000000"/>
          </w:rPr>
          <w:t xml:space="preserve"> et al., 2013)</w:t>
        </w:r>
      </w:hyperlink>
      <w:r>
        <w:rPr>
          <w:color w:val="000000"/>
        </w:rPr>
        <w:t xml:space="preserve"> Small insertions </w:t>
      </w:r>
      <w:r>
        <w:rPr>
          <w:color w:val="000000"/>
        </w:rPr>
        <w:t>and deletions (indels) were detected by GATK v5336,</w:t>
      </w:r>
      <w:hyperlink r:id="rId19">
        <w:r>
          <w:rPr>
            <w:color w:val="000000"/>
          </w:rPr>
          <w:t>(Huang, 2018)</w:t>
        </w:r>
      </w:hyperlink>
      <w:r>
        <w:rPr>
          <w:color w:val="000000"/>
        </w:rPr>
        <w:t xml:space="preserve"> VarScan2,</w:t>
      </w:r>
      <w:hyperlink r:id="rId20">
        <w:r>
          <w:rPr>
            <w:color w:val="000000"/>
          </w:rPr>
          <w:t>(</w:t>
        </w:r>
        <w:proofErr w:type="spellStart"/>
        <w:r>
          <w:rPr>
            <w:color w:val="000000"/>
          </w:rPr>
          <w:t>Reble</w:t>
        </w:r>
        <w:proofErr w:type="spellEnd"/>
        <w:r>
          <w:rPr>
            <w:color w:val="000000"/>
          </w:rPr>
          <w:t xml:space="preserve"> et al., 2017)</w:t>
        </w:r>
      </w:hyperlink>
      <w:r>
        <w:rPr>
          <w:color w:val="000000"/>
        </w:rPr>
        <w:t xml:space="preserve"> </w:t>
      </w:r>
      <w:proofErr w:type="spellStart"/>
      <w:r>
        <w:rPr>
          <w:color w:val="000000"/>
        </w:rPr>
        <w:t>Strelka</w:t>
      </w:r>
      <w:proofErr w:type="spellEnd"/>
      <w:r>
        <w:rPr>
          <w:color w:val="000000"/>
        </w:rPr>
        <w:t>,</w:t>
      </w:r>
      <w:hyperlink r:id="rId21">
        <w:r>
          <w:rPr>
            <w:color w:val="000000"/>
          </w:rPr>
          <w:t>(Saunders et al., 2012)</w:t>
        </w:r>
      </w:hyperlink>
      <w:r>
        <w:rPr>
          <w:color w:val="000000"/>
        </w:rPr>
        <w:t xml:space="preserve"> and </w:t>
      </w:r>
      <w:proofErr w:type="spellStart"/>
      <w:r>
        <w:rPr>
          <w:color w:val="000000"/>
        </w:rPr>
        <w:t>Mutect</w:t>
      </w:r>
      <w:proofErr w:type="spellEnd"/>
      <w:r>
        <w:rPr>
          <w:color w:val="000000"/>
        </w:rPr>
        <w:t xml:space="preserve">. Variants were annotated using the GMS transcript variant annotator against </w:t>
      </w:r>
      <w:proofErr w:type="spellStart"/>
      <w:r>
        <w:rPr>
          <w:color w:val="000000"/>
        </w:rPr>
        <w:t>Ensembl</w:t>
      </w:r>
      <w:proofErr w:type="spellEnd"/>
      <w:r>
        <w:rPr>
          <w:color w:val="000000"/>
        </w:rPr>
        <w:t xml:space="preserve"> v79 and VEP. False positives were further removed by manual reviewing all filtered, nonsynonymous SNVs and indels, accordi</w:t>
      </w:r>
      <w:r>
        <w:rPr>
          <w:color w:val="000000"/>
        </w:rPr>
        <w:t>ng to previously defined guidelines.</w:t>
      </w:r>
      <w:hyperlink r:id="rId22">
        <w:r>
          <w:rPr>
            <w:color w:val="000000"/>
          </w:rPr>
          <w:t>(</w:t>
        </w:r>
        <w:proofErr w:type="spellStart"/>
        <w:r>
          <w:rPr>
            <w:color w:val="000000"/>
          </w:rPr>
          <w:t>Barnell</w:t>
        </w:r>
        <w:proofErr w:type="spellEnd"/>
        <w:r>
          <w:rPr>
            <w:color w:val="000000"/>
          </w:rPr>
          <w:t xml:space="preserve"> et al., 2018)</w:t>
        </w:r>
      </w:hyperlink>
      <w:r>
        <w:rPr>
          <w:color w:val="000000"/>
        </w:rPr>
        <w:t xml:space="preserve"> Somatic mutations and alterations were detected in individual tumor samples; the union of variants in matched baseline/post-treatment samples</w:t>
      </w:r>
      <w:r>
        <w:rPr>
          <w:color w:val="000000"/>
        </w:rPr>
        <w:t xml:space="preserve"> were interrogated to recover low-frequency or low-coverage variants. Somatic copy number alterations (CNAs) were detected by </w:t>
      </w:r>
      <w:proofErr w:type="spellStart"/>
      <w:r>
        <w:rPr>
          <w:color w:val="000000"/>
        </w:rPr>
        <w:t>CopyCat</w:t>
      </w:r>
      <w:proofErr w:type="spellEnd"/>
      <w:r>
        <w:rPr>
          <w:color w:val="000000"/>
        </w:rPr>
        <w:t xml:space="preserve"> </w:t>
      </w:r>
      <w:r>
        <w:rPr>
          <w:color w:val="000000"/>
        </w:rPr>
        <w:lastRenderedPageBreak/>
        <w:t>v0.1 [</w:t>
      </w:r>
      <w:hyperlink r:id="rId23">
        <w:r>
          <w:rPr>
            <w:color w:val="1155CC"/>
            <w:u w:val="single"/>
          </w:rPr>
          <w:t>https://github.com/chrisamiller/copyCat</w:t>
        </w:r>
      </w:hyperlink>
      <w:r>
        <w:rPr>
          <w:color w:val="000000"/>
        </w:rPr>
        <w:t xml:space="preserve">], and structural </w:t>
      </w:r>
      <w:r>
        <w:rPr>
          <w:color w:val="000000"/>
        </w:rPr>
        <w:t>variations (SVs) were detected by Manta v0.29.6.</w:t>
      </w:r>
      <w:hyperlink r:id="rId24">
        <w:r>
          <w:rPr>
            <w:color w:val="000000"/>
          </w:rPr>
          <w:t>(Chen et al., 2016; Saunders et al., 2012)</w:t>
        </w:r>
      </w:hyperlink>
      <w:r>
        <w:rPr>
          <w:color w:val="000000"/>
        </w:rPr>
        <w:t xml:space="preserve"> </w:t>
      </w:r>
    </w:p>
    <w:p w:rsidR="00F57973" w:rsidRDefault="00F57973">
      <w:pPr>
        <w:pStyle w:val="Heading4"/>
        <w:spacing w:after="0"/>
      </w:pPr>
      <w:bookmarkStart w:id="15" w:name="_heading=h.35nkun2" w:colFirst="0" w:colLast="0"/>
      <w:bookmarkEnd w:id="15"/>
    </w:p>
    <w:p w:rsidR="00F57973" w:rsidRDefault="006024E1">
      <w:pPr>
        <w:pStyle w:val="Heading4"/>
        <w:spacing w:after="0"/>
      </w:pPr>
      <w:bookmarkStart w:id="16" w:name="_heading=h.1ksv4uv" w:colFirst="0" w:colLast="0"/>
      <w:bookmarkEnd w:id="16"/>
      <w:r>
        <w:t>Targeted Capture Sequencing</w:t>
      </w:r>
    </w:p>
    <w:p w:rsidR="00F57973" w:rsidRDefault="006024E1">
      <w:pPr>
        <w:pBdr>
          <w:top w:val="nil"/>
          <w:left w:val="nil"/>
          <w:bottom w:val="nil"/>
          <w:right w:val="nil"/>
          <w:between w:val="nil"/>
        </w:pBdr>
        <w:spacing w:after="0"/>
        <w:rPr>
          <w:color w:val="000000"/>
        </w:rPr>
      </w:pPr>
      <w:r>
        <w:rPr>
          <w:color w:val="000000"/>
        </w:rPr>
        <w:t>A custom capture reagent (</w:t>
      </w:r>
      <w:proofErr w:type="spellStart"/>
      <w:r>
        <w:rPr>
          <w:color w:val="000000"/>
        </w:rPr>
        <w:t>NimbleGen</w:t>
      </w:r>
      <w:proofErr w:type="spellEnd"/>
      <w:r>
        <w:rPr>
          <w:color w:val="000000"/>
        </w:rPr>
        <w:t xml:space="preserve"> </w:t>
      </w:r>
      <w:proofErr w:type="spellStart"/>
      <w:r>
        <w:rPr>
          <w:color w:val="000000"/>
        </w:rPr>
        <w:t>SeqCap</w:t>
      </w:r>
      <w:proofErr w:type="spellEnd"/>
      <w:r>
        <w:rPr>
          <w:color w:val="000000"/>
        </w:rPr>
        <w:t xml:space="preserve"> EZ Choice) was designed, targe</w:t>
      </w:r>
      <w:r>
        <w:rPr>
          <w:color w:val="000000"/>
        </w:rPr>
        <w:t>ting all SNVs and Indels detected by WES across pre- and post-treatment tumor tissue. WES libraries (including 25 normal blood, 24 pre-treatment tumor tissue, and 23 post-treatment tumor tissue samples) were pooled and captured across one lane on the Illum</w:t>
      </w:r>
      <w:r>
        <w:rPr>
          <w:color w:val="000000"/>
        </w:rPr>
        <w:t xml:space="preserve">ina </w:t>
      </w:r>
      <w:proofErr w:type="spellStart"/>
      <w:r>
        <w:rPr>
          <w:color w:val="000000"/>
        </w:rPr>
        <w:t>Novaseq</w:t>
      </w:r>
      <w:proofErr w:type="spellEnd"/>
      <w:r>
        <w:rPr>
          <w:color w:val="000000"/>
        </w:rPr>
        <w:t xml:space="preserve"> platform (S4 Flow Cell). Additional FFPE samples acquired from post-treatment surgical specimen slides were pooled and captured across one lane on the Illumina </w:t>
      </w:r>
      <w:proofErr w:type="spellStart"/>
      <w:r>
        <w:rPr>
          <w:color w:val="000000"/>
        </w:rPr>
        <w:t>NovaSeq</w:t>
      </w:r>
      <w:proofErr w:type="spellEnd"/>
      <w:r>
        <w:rPr>
          <w:color w:val="000000"/>
        </w:rPr>
        <w:t xml:space="preserve"> platform (S4 Flow Cell). There was median 658.02X coverage (224.94-1139.76X)</w:t>
      </w:r>
      <w:r>
        <w:rPr>
          <w:color w:val="000000"/>
        </w:rPr>
        <w:t xml:space="preserve"> spanning the targeted capture region in blood samples, and 651.88X coverage (289.38-1108.58X) in tumor samples. See </w:t>
      </w:r>
      <w:proofErr w:type="spellStart"/>
      <w:r>
        <w:rPr>
          <w:color w:val="000000"/>
        </w:rPr>
        <w:t>e</w:t>
      </w:r>
      <w:r>
        <w:rPr>
          <w:b/>
          <w:color w:val="000000"/>
        </w:rPr>
        <w:t>Table</w:t>
      </w:r>
      <w:proofErr w:type="spellEnd"/>
      <w:r>
        <w:rPr>
          <w:b/>
          <w:color w:val="000000"/>
        </w:rPr>
        <w:t xml:space="preserve"> 13</w:t>
      </w:r>
      <w:r>
        <w:rPr>
          <w:color w:val="000000"/>
        </w:rPr>
        <w:t xml:space="preserve"> for further details.</w:t>
      </w: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color w:val="000000"/>
        </w:rPr>
        <w:t xml:space="preserve">HLA typing for MHC Class I and II alleles were performed by </w:t>
      </w:r>
      <w:proofErr w:type="spellStart"/>
      <w:r>
        <w:rPr>
          <w:color w:val="000000"/>
        </w:rPr>
        <w:t>xHLA</w:t>
      </w:r>
      <w:proofErr w:type="spellEnd"/>
      <w:r>
        <w:rPr>
          <w:color w:val="000000"/>
        </w:rPr>
        <w:t xml:space="preserve"> </w:t>
      </w:r>
      <w:hyperlink r:id="rId25">
        <w:r>
          <w:rPr>
            <w:color w:val="000000"/>
          </w:rPr>
          <w:t>(</w:t>
        </w:r>
        <w:proofErr w:type="spellStart"/>
        <w:r>
          <w:rPr>
            <w:color w:val="000000"/>
          </w:rPr>
          <w:t>Xie</w:t>
        </w:r>
        <w:proofErr w:type="spellEnd"/>
        <w:r>
          <w:rPr>
            <w:color w:val="000000"/>
          </w:rPr>
          <w:t xml:space="preserve"> et al., 2017)</w:t>
        </w:r>
      </w:hyperlink>
      <w:r>
        <w:rPr>
          <w:color w:val="000000"/>
        </w:rPr>
        <w:t xml:space="preserve">. Class I and II peptide predictions were performed using all peptide lengths (8-11 for Class I and 13-17 for Class II) and all prediction algorithms available in the </w:t>
      </w:r>
      <w:proofErr w:type="spellStart"/>
      <w:r>
        <w:rPr>
          <w:color w:val="000000"/>
        </w:rPr>
        <w:t>pVACtools</w:t>
      </w:r>
      <w:proofErr w:type="spellEnd"/>
      <w:r>
        <w:rPr>
          <w:color w:val="000000"/>
        </w:rPr>
        <w:t xml:space="preserve"> pipeline, with each patient’s corresponding HLA</w:t>
      </w:r>
      <w:r>
        <w:rPr>
          <w:color w:val="000000"/>
        </w:rPr>
        <w:t xml:space="preserve"> types and somatic mutations.</w:t>
      </w:r>
      <w:hyperlink r:id="rId26">
        <w:r>
          <w:rPr>
            <w:color w:val="000000"/>
          </w:rPr>
          <w:t>(</w:t>
        </w:r>
        <w:proofErr w:type="spellStart"/>
        <w:r>
          <w:rPr>
            <w:color w:val="000000"/>
          </w:rPr>
          <w:t>Hundal</w:t>
        </w:r>
        <w:proofErr w:type="spellEnd"/>
        <w:r>
          <w:rPr>
            <w:color w:val="000000"/>
          </w:rPr>
          <w:t xml:space="preserve"> et al., 2016)</w:t>
        </w:r>
      </w:hyperlink>
      <w:r>
        <w:rPr>
          <w:color w:val="000000"/>
        </w:rPr>
        <w:t xml:space="preserve"> Mutant peptides were included in subsequent analysis as “neoantigens” if they had a predicted binding affinity to at least one corresponding HLA alle</w:t>
      </w:r>
      <w:r>
        <w:rPr>
          <w:color w:val="000000"/>
        </w:rPr>
        <w:t>le of less than 500nM. Neoantigens were further filtered by DNA variant allele fraction (VAF&gt;5%) and expression. If matched RNA was available, neoantigens were filtered by variant expression (RNA VAF&gt;5%) and overall gene expression (RNA FPKM&gt;1). If matched</w:t>
      </w:r>
      <w:r>
        <w:rPr>
          <w:color w:val="000000"/>
        </w:rPr>
        <w:t xml:space="preserve"> RNA was not available, neoantigens were filtered by predicted gene expression by the tumor, where the average expression of the gene was summarized across all baseline </w:t>
      </w:r>
      <w:proofErr w:type="spellStart"/>
      <w:r>
        <w:rPr>
          <w:color w:val="000000"/>
        </w:rPr>
        <w:t>RNAseq</w:t>
      </w:r>
      <w:proofErr w:type="spellEnd"/>
      <w:r>
        <w:rPr>
          <w:color w:val="000000"/>
        </w:rPr>
        <w:t xml:space="preserve"> data (n=19; average FPKM&gt;1).</w:t>
      </w:r>
    </w:p>
    <w:p w:rsidR="00F57973" w:rsidRDefault="00F57973">
      <w:pPr>
        <w:pStyle w:val="Heading3"/>
        <w:spacing w:after="0"/>
        <w:rPr>
          <w:color w:val="000000"/>
        </w:rPr>
      </w:pPr>
      <w:bookmarkStart w:id="17" w:name="_heading=h.44sinio" w:colFirst="0" w:colLast="0"/>
      <w:bookmarkEnd w:id="17"/>
    </w:p>
    <w:p w:rsidR="00F57973" w:rsidRDefault="006024E1">
      <w:pPr>
        <w:pStyle w:val="Heading3"/>
        <w:spacing w:after="0"/>
        <w:rPr>
          <w:color w:val="000000"/>
        </w:rPr>
      </w:pPr>
      <w:bookmarkStart w:id="18" w:name="_heading=h.2jxsxqh" w:colFirst="0" w:colLast="0"/>
      <w:bookmarkEnd w:id="18"/>
      <w:r>
        <w:rPr>
          <w:color w:val="000000"/>
        </w:rPr>
        <w:t>Gene expression</w:t>
      </w:r>
    </w:p>
    <w:p w:rsidR="00F57973" w:rsidRDefault="006024E1">
      <w:pPr>
        <w:pBdr>
          <w:top w:val="nil"/>
          <w:left w:val="nil"/>
          <w:bottom w:val="nil"/>
          <w:right w:val="nil"/>
          <w:between w:val="nil"/>
        </w:pBdr>
        <w:spacing w:after="0"/>
        <w:rPr>
          <w:color w:val="000000"/>
        </w:rPr>
      </w:pPr>
      <w:r>
        <w:rPr>
          <w:color w:val="000000"/>
        </w:rPr>
        <w:t xml:space="preserve">RNA reads were aligned to GRCh38 by </w:t>
      </w:r>
      <w:proofErr w:type="spellStart"/>
      <w:r>
        <w:rPr>
          <w:color w:val="000000"/>
        </w:rPr>
        <w:t>TopHat</w:t>
      </w:r>
      <w:proofErr w:type="spellEnd"/>
      <w:r>
        <w:rPr>
          <w:color w:val="000000"/>
        </w:rPr>
        <w:t xml:space="preserve"> v2.0.8. Gene and transcript expression levels were quantified using Cufflinks v2.1.1 (FPKM)</w:t>
      </w:r>
      <w:hyperlink r:id="rId27">
        <w:r>
          <w:rPr>
            <w:color w:val="000000"/>
          </w:rPr>
          <w:t>(Chen et al., 2016)</w:t>
        </w:r>
      </w:hyperlink>
      <w:r>
        <w:rPr>
          <w:color w:val="000000"/>
        </w:rPr>
        <w:t xml:space="preserve"> and </w:t>
      </w:r>
      <w:proofErr w:type="spellStart"/>
      <w:r>
        <w:rPr>
          <w:color w:val="000000"/>
        </w:rPr>
        <w:t>HTSeq</w:t>
      </w:r>
      <w:proofErr w:type="spellEnd"/>
      <w:r>
        <w:rPr>
          <w:color w:val="000000"/>
        </w:rPr>
        <w:t>-count v0.5.4p1 (raw counts).</w:t>
      </w:r>
      <w:hyperlink r:id="rId28">
        <w:r>
          <w:rPr>
            <w:color w:val="000000"/>
          </w:rPr>
          <w:t>(Anders et al., 2015)</w:t>
        </w:r>
      </w:hyperlink>
      <w:r>
        <w:rPr>
          <w:color w:val="000000"/>
        </w:rPr>
        <w:t xml:space="preserve"> Samples sequenced using cDNA capture sequencing were not used in gene expression analysis due to their lower input quality. Differential expression analysis was performed using the DESeq</w:t>
      </w:r>
      <w:r>
        <w:rPr>
          <w:color w:val="000000"/>
        </w:rPr>
        <w:t>2 R package</w:t>
      </w:r>
      <w:hyperlink r:id="rId29">
        <w:r>
          <w:rPr>
            <w:color w:val="000000"/>
          </w:rPr>
          <w:t>(Love et al., 2014)</w:t>
        </w:r>
      </w:hyperlink>
      <w:r>
        <w:rPr>
          <w:color w:val="000000"/>
        </w:rPr>
        <w:t xml:space="preserve"> on gene raw counts, and gene set enrichment (GSEA) analysis was performed by the </w:t>
      </w:r>
      <w:proofErr w:type="spellStart"/>
      <w:r>
        <w:rPr>
          <w:color w:val="000000"/>
        </w:rPr>
        <w:t>fgsea</w:t>
      </w:r>
      <w:proofErr w:type="spellEnd"/>
      <w:r>
        <w:rPr>
          <w:color w:val="000000"/>
        </w:rPr>
        <w:t xml:space="preserve"> R package.</w:t>
      </w:r>
      <w:hyperlink r:id="rId30">
        <w:r>
          <w:rPr>
            <w:color w:val="000000"/>
          </w:rPr>
          <w:t>(</w:t>
        </w:r>
        <w:proofErr w:type="spellStart"/>
        <w:r>
          <w:rPr>
            <w:color w:val="000000"/>
          </w:rPr>
          <w:t>Sergushichev</w:t>
        </w:r>
        <w:proofErr w:type="spellEnd"/>
        <w:r>
          <w:rPr>
            <w:color w:val="000000"/>
          </w:rPr>
          <w:t>, 2</w:t>
        </w:r>
        <w:r>
          <w:rPr>
            <w:color w:val="000000"/>
          </w:rPr>
          <w:t>016)</w:t>
        </w:r>
      </w:hyperlink>
      <w:r>
        <w:rPr>
          <w:color w:val="000000"/>
        </w:rPr>
        <w:t xml:space="preserve"> Deconvolution of infiltrating immune populations was estimated on each tumor RNA sample by CIBERSORT</w:t>
      </w:r>
      <w:hyperlink r:id="rId31">
        <w:r>
          <w:rPr>
            <w:color w:val="000000"/>
          </w:rPr>
          <w:t>(Newman et al., 2015)</w:t>
        </w:r>
      </w:hyperlink>
      <w:r>
        <w:rPr>
          <w:color w:val="000000"/>
        </w:rPr>
        <w:t>. CIBERSORT was run in Relative and Absolute modes, with 1000 permutations</w:t>
      </w:r>
      <w:r>
        <w:rPr>
          <w:color w:val="000000"/>
        </w:rPr>
        <w:t xml:space="preserve"> against the reference LM22 mixtures file. Quantile normalization was disabled. Statistics were performed on the Absolute abundances. Unpaired </w:t>
      </w:r>
      <w:r>
        <w:rPr>
          <w:color w:val="242729"/>
          <w:highlight w:val="white"/>
        </w:rPr>
        <w:t xml:space="preserve">Mann-Whitney/Wilcoxon rank-sum </w:t>
      </w:r>
      <w:r>
        <w:rPr>
          <w:color w:val="000000"/>
        </w:rPr>
        <w:t>tests were used to compare groups of patients, and paired Wilcoxon signed-rank tes</w:t>
      </w:r>
      <w:r>
        <w:rPr>
          <w:color w:val="000000"/>
        </w:rPr>
        <w:t>ts were used to compare matched baseline and post-treatment tumor samples.</w:t>
      </w:r>
    </w:p>
    <w:p w:rsidR="00F57973" w:rsidRDefault="00F57973">
      <w:pPr>
        <w:pStyle w:val="Heading2"/>
        <w:spacing w:after="0"/>
        <w:rPr>
          <w:sz w:val="20"/>
          <w:szCs w:val="20"/>
        </w:rPr>
      </w:pPr>
      <w:bookmarkStart w:id="19" w:name="_heading=h.z337ya" w:colFirst="0" w:colLast="0"/>
      <w:bookmarkEnd w:id="19"/>
    </w:p>
    <w:p w:rsidR="00F57973" w:rsidRDefault="006024E1">
      <w:pPr>
        <w:pStyle w:val="Heading2"/>
        <w:spacing w:after="0"/>
        <w:rPr>
          <w:sz w:val="20"/>
          <w:szCs w:val="20"/>
        </w:rPr>
      </w:pPr>
      <w:bookmarkStart w:id="20" w:name="_heading=h.3j2qqm3" w:colFirst="0" w:colLast="0"/>
      <w:bookmarkEnd w:id="20"/>
      <w:r>
        <w:rPr>
          <w:sz w:val="20"/>
          <w:szCs w:val="20"/>
        </w:rPr>
        <w:t>T cell receptor (TCR) analysis</w:t>
      </w:r>
    </w:p>
    <w:p w:rsidR="00F57973" w:rsidRDefault="006024E1">
      <w:pPr>
        <w:pBdr>
          <w:top w:val="nil"/>
          <w:left w:val="nil"/>
          <w:bottom w:val="nil"/>
          <w:right w:val="nil"/>
          <w:between w:val="nil"/>
        </w:pBdr>
        <w:spacing w:after="0"/>
        <w:rPr>
          <w:color w:val="000000"/>
        </w:rPr>
      </w:pPr>
      <w:r>
        <w:rPr>
          <w:color w:val="000000"/>
        </w:rPr>
        <w:t xml:space="preserve">Reads were aligned to the TCR gene loci and assembled using </w:t>
      </w:r>
      <w:proofErr w:type="spellStart"/>
      <w:r>
        <w:rPr>
          <w:color w:val="000000"/>
        </w:rPr>
        <w:t>MixCr</w:t>
      </w:r>
      <w:proofErr w:type="spellEnd"/>
      <w:r>
        <w:rPr>
          <w:color w:val="000000"/>
        </w:rPr>
        <w:t xml:space="preserve"> [2.1.11], with the following parameters: </w:t>
      </w:r>
      <w:proofErr w:type="spellStart"/>
      <w:r>
        <w:rPr>
          <w:color w:val="000000"/>
        </w:rPr>
        <w:t>mixcr</w:t>
      </w:r>
      <w:proofErr w:type="spellEnd"/>
      <w:r>
        <w:rPr>
          <w:color w:val="000000"/>
        </w:rPr>
        <w:t xml:space="preserve"> align --force --species </w:t>
      </w:r>
      <w:proofErr w:type="spellStart"/>
      <w:r>
        <w:rPr>
          <w:color w:val="000000"/>
        </w:rPr>
        <w:t>HomoSapiens</w:t>
      </w:r>
      <w:proofErr w:type="spellEnd"/>
      <w:r>
        <w:rPr>
          <w:color w:val="000000"/>
        </w:rPr>
        <w:t xml:space="preserve"> </w:t>
      </w:r>
      <w:r>
        <w:rPr>
          <w:color w:val="000000"/>
        </w:rPr>
        <w:t>-</w:t>
      </w:r>
      <w:proofErr w:type="spellStart"/>
      <w:r>
        <w:rPr>
          <w:color w:val="000000"/>
        </w:rPr>
        <w:t>OvParameters.geneFeatureToAlign</w:t>
      </w:r>
      <w:proofErr w:type="spellEnd"/>
      <w:r>
        <w:rPr>
          <w:color w:val="000000"/>
        </w:rPr>
        <w:t>=</w:t>
      </w:r>
      <w:proofErr w:type="spellStart"/>
      <w:r>
        <w:rPr>
          <w:color w:val="000000"/>
        </w:rPr>
        <w:t>VGene</w:t>
      </w:r>
      <w:proofErr w:type="spellEnd"/>
      <w:r>
        <w:rPr>
          <w:color w:val="000000"/>
        </w:rPr>
        <w:t xml:space="preserve"> --chains TCR. The number of successfully aligned reads ranged from 57-935,780 (median 467,569), for an overall alignment rate of 1.35-11.32% (median 7·43%). </w:t>
      </w:r>
      <w:proofErr w:type="spellStart"/>
      <w:r>
        <w:rPr>
          <w:color w:val="000000"/>
        </w:rPr>
        <w:t>MixCr</w:t>
      </w:r>
      <w:proofErr w:type="spellEnd"/>
      <w:r>
        <w:rPr>
          <w:color w:val="000000"/>
        </w:rPr>
        <w:t xml:space="preserve"> was used to assemble and export clones, filtered to ex</w:t>
      </w:r>
      <w:r>
        <w:rPr>
          <w:color w:val="000000"/>
        </w:rPr>
        <w:t>clude out-of-frame and truncating clones (containing stop codons). Clonality and diversity calculations were generated, as previously described, on reads associated with functional T cell clonotypes.</w:t>
      </w:r>
      <w:hyperlink r:id="rId32">
        <w:r>
          <w:rPr>
            <w:color w:val="000000"/>
          </w:rPr>
          <w:t>(</w:t>
        </w:r>
        <w:r>
          <w:rPr>
            <w:color w:val="000000"/>
          </w:rPr>
          <w:t>Zhang et al., 2017)</w:t>
        </w:r>
      </w:hyperlink>
      <w:r>
        <w:rPr>
          <w:color w:val="000000"/>
        </w:rPr>
        <w:t xml:space="preserve"> These calculations were individually performed on alpha and beta clones.</w:t>
      </w:r>
    </w:p>
    <w:p w:rsidR="00F57973" w:rsidRDefault="00F57973">
      <w:pPr>
        <w:pStyle w:val="Heading2"/>
        <w:spacing w:after="0"/>
        <w:rPr>
          <w:sz w:val="20"/>
          <w:szCs w:val="20"/>
        </w:rPr>
      </w:pPr>
      <w:bookmarkStart w:id="21" w:name="_heading=h.1y810tw" w:colFirst="0" w:colLast="0"/>
      <w:bookmarkEnd w:id="21"/>
    </w:p>
    <w:p w:rsidR="00F57973" w:rsidRDefault="006024E1">
      <w:pPr>
        <w:pStyle w:val="Heading2"/>
        <w:spacing w:after="0"/>
        <w:rPr>
          <w:sz w:val="20"/>
          <w:szCs w:val="20"/>
        </w:rPr>
      </w:pPr>
      <w:bookmarkStart w:id="22" w:name="_heading=h.4i7ojhp" w:colFirst="0" w:colLast="0"/>
      <w:bookmarkEnd w:id="22"/>
      <w:r>
        <w:rPr>
          <w:sz w:val="20"/>
          <w:szCs w:val="20"/>
        </w:rPr>
        <w:t xml:space="preserve">PD-L1 Immunohistochemistry </w:t>
      </w:r>
    </w:p>
    <w:p w:rsidR="00F57973" w:rsidRDefault="006024E1">
      <w:pPr>
        <w:pBdr>
          <w:top w:val="nil"/>
          <w:left w:val="nil"/>
          <w:bottom w:val="nil"/>
          <w:right w:val="nil"/>
          <w:between w:val="nil"/>
        </w:pBdr>
        <w:spacing w:after="0"/>
        <w:rPr>
          <w:color w:val="000000"/>
        </w:rPr>
      </w:pPr>
      <w:r>
        <w:rPr>
          <w:color w:val="000000"/>
        </w:rPr>
        <w:t xml:space="preserve">IHC using clone 9A11 mouse anti-human PD-L1 monoclonal antibody (IgG1, 10.4 </w:t>
      </w:r>
      <w:proofErr w:type="spellStart"/>
      <w:r>
        <w:rPr>
          <w:color w:val="000000"/>
        </w:rPr>
        <w:t>μg</w:t>
      </w:r>
      <w:proofErr w:type="spellEnd"/>
      <w:r>
        <w:rPr>
          <w:color w:val="000000"/>
        </w:rPr>
        <w:t>/ml final concentration) was performed on a Bond III aut</w:t>
      </w:r>
      <w:r>
        <w:rPr>
          <w:color w:val="000000"/>
        </w:rPr>
        <w:t>omated staining system (Leica Biosystems) following the manufacturer’s protocol as previously described.</w:t>
      </w:r>
      <w:hyperlink r:id="rId33">
        <w:r>
          <w:rPr>
            <w:color w:val="000000"/>
          </w:rPr>
          <w:t>(Howitt et al., 2016)</w:t>
        </w:r>
      </w:hyperlink>
      <w:r>
        <w:rPr>
          <w:color w:val="000000"/>
        </w:rPr>
        <w:t xml:space="preserve"> Heat-induced antigen retrieval was performed using Epitope Retrieval Soluti</w:t>
      </w:r>
      <w:r>
        <w:rPr>
          <w:color w:val="000000"/>
        </w:rPr>
        <w:t>on 2 (ER2) (pH8) (Leica) for 30 minutes. Primary antibody was incubated for total of 2 hours with two separate applications, follow by 8 minutes of post-primary blocking reagent, 12 minutes of horseradish peroxidase-labeled polymer, 5 minutes of peroxidase</w:t>
      </w:r>
      <w:r>
        <w:rPr>
          <w:color w:val="000000"/>
        </w:rPr>
        <w:t xml:space="preserve"> block, 15 minutes of 3,3’-diaminobenzidine (DAB) developing, and 10 minutes of hematoxylin staining. Stained slides were scored by a pathologist (SR) for percentage of malignant cells with positive staining over background (0-100%) and the average intensi</w:t>
      </w:r>
      <w:r>
        <w:rPr>
          <w:color w:val="000000"/>
        </w:rPr>
        <w:t>ty of staining (0= no staining, 1=weak staining above background, 2=moderate staining, 3=strong staining) without knowledge of the genetic status of the tumors. A modified H-score was generated by multiplying percentage of malignant cells with positive sta</w:t>
      </w:r>
      <w:r>
        <w:rPr>
          <w:color w:val="000000"/>
        </w:rPr>
        <w:t xml:space="preserve">ining and the average intensity of positive staining (0-300). </w:t>
      </w:r>
      <w:r>
        <w:rPr>
          <w:color w:val="000000"/>
        </w:rPr>
        <w:br/>
      </w:r>
    </w:p>
    <w:p w:rsidR="00F57973" w:rsidRDefault="006024E1">
      <w:pPr>
        <w:pBdr>
          <w:top w:val="nil"/>
          <w:left w:val="nil"/>
          <w:bottom w:val="nil"/>
          <w:right w:val="nil"/>
          <w:between w:val="nil"/>
        </w:pBdr>
        <w:spacing w:after="0"/>
        <w:rPr>
          <w:color w:val="000000"/>
        </w:rPr>
      </w:pPr>
      <w:r>
        <w:rPr>
          <w:b/>
          <w:color w:val="000000"/>
        </w:rPr>
        <w:t>Multiplex Immunofluorescence Staining</w:t>
      </w:r>
      <w:r>
        <w:rPr>
          <w:color w:val="000000"/>
        </w:rPr>
        <w:br/>
        <w:t xml:space="preserve">Multiplex Immunofluorescent staining was performed overnight on BOND RX fully automated </w:t>
      </w:r>
      <w:proofErr w:type="spellStart"/>
      <w:r>
        <w:rPr>
          <w:color w:val="000000"/>
        </w:rPr>
        <w:t>stainers</w:t>
      </w:r>
      <w:proofErr w:type="spellEnd"/>
      <w:r>
        <w:rPr>
          <w:color w:val="000000"/>
        </w:rPr>
        <w:t xml:space="preserve"> (Leica Biosystems) as previously described.</w:t>
      </w:r>
      <w:hyperlink r:id="rId34">
        <w:r>
          <w:rPr>
            <w:color w:val="000000"/>
          </w:rPr>
          <w:t>(Carey et al., 2017)</w:t>
        </w:r>
      </w:hyperlink>
      <w:r>
        <w:rPr>
          <w:color w:val="000000"/>
        </w:rPr>
        <w:t xml:space="preserve"> Briefly, tissue sections of 5-μm thick FFPE were baked for 3 hours at 60°C before loading into the BOND RX (Leica Biosystems). Slides were deparaffinized using BOND </w:t>
      </w:r>
      <w:proofErr w:type="spellStart"/>
      <w:r>
        <w:rPr>
          <w:color w:val="000000"/>
        </w:rPr>
        <w:t>DeWax</w:t>
      </w:r>
      <w:proofErr w:type="spellEnd"/>
      <w:r>
        <w:rPr>
          <w:color w:val="000000"/>
        </w:rPr>
        <w:t xml:space="preserve"> Solution (Leica Biosys</w:t>
      </w:r>
      <w:r>
        <w:rPr>
          <w:color w:val="000000"/>
        </w:rPr>
        <w:t>tems) and then rehydrated with series of graded ethanol to deionized water. Antigen retrieval was performed in BOND Epitope Retrieval Solution 1 (ER1, Leica Biosystems) at pH 6 for 10 minutes at 98°C. Deparaffinization, rehydration and antigen retrieval we</w:t>
      </w:r>
      <w:r>
        <w:rPr>
          <w:color w:val="000000"/>
        </w:rPr>
        <w:t>re all preprogrammed and executed by the BOND RX (Leica Biosystems). Next, slides were serially stained with primary antibodies, such as anti-CD8 (clone C8/144B; DAKO, dilution 1:5000). Incubation time per primary antibody was 40 minutes. Subsequently, ant</w:t>
      </w:r>
      <w:r>
        <w:rPr>
          <w:color w:val="000000"/>
        </w:rPr>
        <w:t>i-rabbit Polymeric Horseradish Peroxidase (Poly-HRP, BOND Polymer Refine Detection Kit, Leica Biosystems) was applied as a secondary label with an incubation time of 10 minutes. Signal for antibody complexes was labeled and visualized by their correspondin</w:t>
      </w:r>
      <w:r>
        <w:rPr>
          <w:color w:val="000000"/>
        </w:rPr>
        <w:t xml:space="preserve">g Opal Fluorophore Reagents (PerkinElmer) by incubating the slides for 5 minutes. The same process was repeated for the following antibodies / </w:t>
      </w:r>
      <w:r>
        <w:rPr>
          <w:color w:val="000000"/>
        </w:rPr>
        <w:lastRenderedPageBreak/>
        <w:t>fluorescent dyes. Slides were air dried, mounted with Prolong Diamond Anti-fade mounting medium (#P36965, Life Te</w:t>
      </w:r>
      <w:r>
        <w:rPr>
          <w:color w:val="000000"/>
        </w:rPr>
        <w:t>chnologies) and stored in a light-proof box at 4 ̊C prior to imaging. Image acquisition and cell identification was performed at 20x using the Mantra multispectral imaging platform (Vectra 3, PerkinElmer, Hopkinton, MA). The target antigens, antibody clone</w:t>
      </w:r>
      <w:r>
        <w:rPr>
          <w:color w:val="000000"/>
        </w:rPr>
        <w:t>s, and dilutions for markers included in this report and details of controls are listed in the Table below.</w:t>
      </w:r>
    </w:p>
    <w:p w:rsidR="00F57973" w:rsidRDefault="00F57973">
      <w:pPr>
        <w:pBdr>
          <w:top w:val="nil"/>
          <w:left w:val="nil"/>
          <w:bottom w:val="nil"/>
          <w:right w:val="nil"/>
          <w:between w:val="nil"/>
        </w:pBdr>
        <w:spacing w:after="0"/>
        <w:rPr>
          <w:color w:val="000000"/>
        </w:rPr>
      </w:pPr>
    </w:p>
    <w:tbl>
      <w:tblPr>
        <w:tblStyle w:val="af2"/>
        <w:tblW w:w="9600" w:type="dxa"/>
        <w:tblBorders>
          <w:top w:val="nil"/>
          <w:left w:val="nil"/>
          <w:bottom w:val="nil"/>
          <w:right w:val="nil"/>
          <w:insideH w:val="nil"/>
          <w:insideV w:val="nil"/>
        </w:tblBorders>
        <w:tblLayout w:type="fixed"/>
        <w:tblLook w:val="0600" w:firstRow="0" w:lastRow="0" w:firstColumn="0" w:lastColumn="0" w:noHBand="1" w:noVBand="1"/>
      </w:tblPr>
      <w:tblGrid>
        <w:gridCol w:w="1890"/>
        <w:gridCol w:w="2880"/>
        <w:gridCol w:w="1200"/>
        <w:gridCol w:w="1500"/>
        <w:gridCol w:w="2130"/>
      </w:tblGrid>
      <w:tr w:rsidR="00F57973">
        <w:trPr>
          <w:trHeight w:val="680"/>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Primary Antibody</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Clone ID/Company</w:t>
            </w:r>
          </w:p>
        </w:tc>
        <w:tc>
          <w:tcPr>
            <w:tcW w:w="1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Dilution</w:t>
            </w:r>
          </w:p>
        </w:tc>
        <w:tc>
          <w:tcPr>
            <w:tcW w:w="1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Opal Kit Fluor</w:t>
            </w:r>
          </w:p>
        </w:tc>
        <w:tc>
          <w:tcPr>
            <w:tcW w:w="21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Opal Fluor Dilution</w:t>
            </w:r>
          </w:p>
        </w:tc>
      </w:tr>
      <w:tr w:rsidR="00F57973">
        <w:trPr>
          <w:trHeight w:val="660"/>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Anti-CD8</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C8/144B, DAKO</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1:5,000</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Opal 520</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1:100</w:t>
            </w:r>
          </w:p>
        </w:tc>
      </w:tr>
      <w:tr w:rsidR="00F57973">
        <w:trPr>
          <w:trHeight w:val="680"/>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Anti-human CD274 (PD-L1)</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405·9A11, Cell Signaling Technologies</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1:500</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Opal 540</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1:200</w:t>
            </w:r>
          </w:p>
        </w:tc>
      </w:tr>
      <w:tr w:rsidR="00F57973">
        <w:trPr>
          <w:trHeight w:val="660"/>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Anti-CD4</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4B12, DAKO</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1:250</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Opal 540</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1:200</w:t>
            </w:r>
          </w:p>
        </w:tc>
      </w:tr>
      <w:tr w:rsidR="00F57973">
        <w:trPr>
          <w:trHeight w:val="680"/>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Anti-PD-1</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EH33, Cell Signaling Technologies</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1:11,000</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Opal 620</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1:200</w:t>
            </w:r>
          </w:p>
        </w:tc>
      </w:tr>
      <w:tr w:rsidR="00F57973">
        <w:trPr>
          <w:trHeight w:val="660"/>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Cytokeratin</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AEI/AE3/ DAKO</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1:2000</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Opal 690</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F57973" w:rsidRDefault="006024E1">
            <w:pPr>
              <w:pBdr>
                <w:top w:val="nil"/>
                <w:left w:val="nil"/>
                <w:bottom w:val="nil"/>
                <w:right w:val="nil"/>
                <w:between w:val="nil"/>
              </w:pBdr>
              <w:spacing w:after="0"/>
              <w:rPr>
                <w:color w:val="000000"/>
              </w:rPr>
            </w:pPr>
            <w:r>
              <w:rPr>
                <w:color w:val="000000"/>
              </w:rPr>
              <w:t>1:50</w:t>
            </w:r>
          </w:p>
        </w:tc>
      </w:tr>
    </w:tbl>
    <w:p w:rsidR="00F57973" w:rsidRDefault="006024E1">
      <w:pPr>
        <w:pBdr>
          <w:top w:val="nil"/>
          <w:left w:val="nil"/>
          <w:bottom w:val="nil"/>
          <w:right w:val="nil"/>
          <w:between w:val="nil"/>
        </w:pBdr>
        <w:spacing w:after="0"/>
        <w:rPr>
          <w:color w:val="000000"/>
        </w:rPr>
      </w:pPr>
      <w:r>
        <w:rPr>
          <w:color w:val="000000"/>
        </w:rPr>
        <w:br/>
      </w:r>
      <w:r>
        <w:rPr>
          <w:b/>
          <w:color w:val="000000"/>
        </w:rPr>
        <w:t>Multiplex Image Acquisition and Analysis</w:t>
      </w:r>
      <w:r>
        <w:rPr>
          <w:color w:val="000000"/>
        </w:rPr>
        <w:br/>
        <w:t>Image acquisition was performed using the Mantra multispectral imaging platform (Vectra 3, PerkinElmer, Hopkinton, MA) as previously described.</w:t>
      </w:r>
      <w:hyperlink r:id="rId35">
        <w:r>
          <w:rPr>
            <w:color w:val="000000"/>
          </w:rPr>
          <w:t>(Carey et al., 2</w:t>
        </w:r>
        <w:r>
          <w:rPr>
            <w:color w:val="000000"/>
          </w:rPr>
          <w:t>017)</w:t>
        </w:r>
      </w:hyperlink>
      <w:r>
        <w:rPr>
          <w:color w:val="000000"/>
        </w:rPr>
        <w:t xml:space="preserve"> Areas with non-tumor or residual normal tissue (i.e. residual lymph node) were excluded from the analysis. Representative regions of interest were chosen by the pathologist, and 3-5 fields of view (FOVs) were acquired at 20x resolution as multispectra</w:t>
      </w:r>
      <w:r>
        <w:rPr>
          <w:color w:val="000000"/>
        </w:rPr>
        <w:t xml:space="preserve">l images. Image Analysis was performed using the Inform 2.3 Image Analysis Software (PerkinElmer, Hopkinton, MA). </w:t>
      </w:r>
      <w:r>
        <w:rPr>
          <w:color w:val="000000"/>
        </w:rPr>
        <w:br/>
      </w:r>
      <w:r>
        <w:rPr>
          <w:color w:val="000000"/>
        </w:rPr>
        <w:br/>
      </w:r>
      <w:r>
        <w:rPr>
          <w:b/>
          <w:color w:val="000000"/>
        </w:rPr>
        <w:t>Multiplex Immunofluorescence Cell Identification</w:t>
      </w:r>
      <w:r>
        <w:rPr>
          <w:color w:val="000000"/>
        </w:rPr>
        <w:br/>
        <w:t>Cell identification was performed as described.</w:t>
      </w:r>
      <w:hyperlink r:id="rId36">
        <w:r>
          <w:rPr>
            <w:color w:val="000000"/>
          </w:rPr>
          <w:t>(Carey et al., 2017)</w:t>
        </w:r>
      </w:hyperlink>
      <w:r>
        <w:rPr>
          <w:color w:val="000000"/>
        </w:rPr>
        <w:t xml:space="preserve"> In short, after image capture, the FOVs were spectrally unmixed and then analyzed using supervised machine learning algorithms within Inform 2·3 (PerkinElmer). The Inform 2·3 image analysis software assigns phenotypes to al</w:t>
      </w:r>
      <w:r>
        <w:rPr>
          <w:color w:val="000000"/>
        </w:rPr>
        <w:t>l cells in the image, based on a combination of immunofluorescence characteristics associated with segmented nuclei (DAPI signal). Each cell-phenotype specific algorithm is based upon an iterative training / test process, whereby a small number of cells (t</w:t>
      </w:r>
      <w:r>
        <w:rPr>
          <w:color w:val="000000"/>
        </w:rPr>
        <w:t>raining phase, typically 20-30 cells) are manually selected as being most representative of each phenotype of interest and the algorithm then predicts the phenotype for all remaining cells (testing phase). The pathologist can over-rule the decisions made b</w:t>
      </w:r>
      <w:r>
        <w:rPr>
          <w:color w:val="000000"/>
        </w:rPr>
        <w:t xml:space="preserve">y the software to improve accuracy, until phenotyping is optimized. Thresholds for "positive" staining and the accuracy of phenotypic algorithms were optimized and confirmed by the pathologist (SR) for each case. </w:t>
      </w:r>
    </w:p>
    <w:p w:rsidR="00F57973" w:rsidRDefault="00F57973">
      <w:pPr>
        <w:pStyle w:val="Heading2"/>
        <w:spacing w:after="0"/>
        <w:rPr>
          <w:sz w:val="20"/>
          <w:szCs w:val="20"/>
        </w:rPr>
      </w:pPr>
      <w:bookmarkStart w:id="23" w:name="_heading=h.2xcytpi" w:colFirst="0" w:colLast="0"/>
      <w:bookmarkEnd w:id="23"/>
    </w:p>
    <w:p w:rsidR="00F57973" w:rsidRDefault="006024E1">
      <w:pPr>
        <w:pStyle w:val="Heading2"/>
        <w:spacing w:after="0"/>
        <w:rPr>
          <w:sz w:val="20"/>
          <w:szCs w:val="20"/>
        </w:rPr>
      </w:pPr>
      <w:bookmarkStart w:id="24" w:name="_heading=h.1ci93xb" w:colFirst="0" w:colLast="0"/>
      <w:bookmarkEnd w:id="24"/>
      <w:r>
        <w:rPr>
          <w:sz w:val="20"/>
          <w:szCs w:val="20"/>
        </w:rPr>
        <w:t>Statistical analysis</w:t>
      </w:r>
    </w:p>
    <w:p w:rsidR="00F57973" w:rsidRDefault="006024E1">
      <w:pPr>
        <w:pBdr>
          <w:top w:val="nil"/>
          <w:left w:val="nil"/>
          <w:bottom w:val="nil"/>
          <w:right w:val="nil"/>
          <w:between w:val="nil"/>
        </w:pBdr>
        <w:spacing w:after="0"/>
        <w:rPr>
          <w:color w:val="000000"/>
        </w:rPr>
      </w:pPr>
      <w:r>
        <w:rPr>
          <w:color w:val="000000"/>
        </w:rPr>
        <w:t>Sequencing data anal</w:t>
      </w:r>
      <w:r>
        <w:rPr>
          <w:color w:val="000000"/>
        </w:rPr>
        <w:t>ysis and visualization were performed in R v.3.3.2 using the ggplot2 R package v2.2.1</w:t>
      </w:r>
      <w:hyperlink r:id="rId37">
        <w:r>
          <w:rPr>
            <w:color w:val="000000"/>
          </w:rPr>
          <w:t>(Wickham, 2016)</w:t>
        </w:r>
      </w:hyperlink>
      <w:r>
        <w:rPr>
          <w:color w:val="000000"/>
        </w:rPr>
        <w:t xml:space="preserve"> and </w:t>
      </w:r>
      <w:proofErr w:type="spellStart"/>
      <w:r>
        <w:rPr>
          <w:color w:val="000000"/>
        </w:rPr>
        <w:t>GenVisR</w:t>
      </w:r>
      <w:proofErr w:type="spellEnd"/>
      <w:r>
        <w:rPr>
          <w:color w:val="000000"/>
        </w:rPr>
        <w:t xml:space="preserve"> v1.8.0.</w:t>
      </w:r>
      <w:hyperlink r:id="rId38">
        <w:r>
          <w:rPr>
            <w:color w:val="000000"/>
          </w:rPr>
          <w:t>(Skidmore et al., 2016)</w:t>
        </w:r>
      </w:hyperlink>
      <w:r>
        <w:rPr>
          <w:color w:val="000000"/>
        </w:rPr>
        <w:t xml:space="preserve"> </w:t>
      </w:r>
      <w:r>
        <w:rPr>
          <w:color w:val="000000"/>
        </w:rPr>
        <w:t xml:space="preserve">For box-plots, center line indicates median, box limits are upper and lower quartiles, whiskers indicate 1.5 x interquartile range and outliers are presented. </w:t>
      </w:r>
    </w:p>
    <w:p w:rsidR="00F57973" w:rsidRDefault="006024E1">
      <w:pPr>
        <w:pBdr>
          <w:top w:val="nil"/>
          <w:left w:val="nil"/>
          <w:bottom w:val="nil"/>
          <w:right w:val="nil"/>
          <w:between w:val="nil"/>
        </w:pBdr>
        <w:spacing w:after="0"/>
        <w:rPr>
          <w:color w:val="000000"/>
        </w:rPr>
      </w:pPr>
      <w:r>
        <w:br w:type="page"/>
      </w:r>
    </w:p>
    <w:p w:rsidR="00F57973" w:rsidRDefault="006024E1">
      <w:pPr>
        <w:pStyle w:val="Heading1"/>
        <w:widowControl w:val="0"/>
        <w:spacing w:before="0" w:after="0"/>
      </w:pPr>
      <w:bookmarkStart w:id="25" w:name="_heading=h.3whwml4" w:colFirst="0" w:colLast="0"/>
      <w:bookmarkEnd w:id="25"/>
      <w:r>
        <w:lastRenderedPageBreak/>
        <w:t>Supplementary Figures</w:t>
      </w:r>
    </w:p>
    <w:p w:rsidR="00F57973" w:rsidRDefault="00F57973">
      <w:pPr>
        <w:pBdr>
          <w:top w:val="nil"/>
          <w:left w:val="nil"/>
          <w:bottom w:val="nil"/>
          <w:right w:val="nil"/>
          <w:between w:val="nil"/>
        </w:pBdr>
        <w:spacing w:after="0"/>
        <w:jc w:val="center"/>
        <w:rPr>
          <w:color w:val="000000"/>
        </w:rPr>
      </w:pPr>
    </w:p>
    <w:p w:rsidR="00F57973" w:rsidRDefault="006024E1">
      <w:pPr>
        <w:pStyle w:val="Heading1"/>
        <w:widowControl w:val="0"/>
        <w:spacing w:before="0" w:after="0"/>
        <w:ind w:left="90" w:hanging="435"/>
        <w:jc w:val="both"/>
      </w:pPr>
      <w:bookmarkStart w:id="26" w:name="_heading=h.qsh70q" w:colFirst="0" w:colLast="0"/>
      <w:bookmarkEnd w:id="26"/>
      <w:r>
        <w:rPr>
          <w:noProof/>
        </w:rPr>
        <w:drawing>
          <wp:inline distT="114300" distB="114300" distL="114300" distR="114300">
            <wp:extent cx="6858000" cy="3378200"/>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6858000" cy="3378200"/>
                    </a:xfrm>
                    <a:prstGeom prst="rect">
                      <a:avLst/>
                    </a:prstGeom>
                    <a:ln/>
                  </pic:spPr>
                </pic:pic>
              </a:graphicData>
            </a:graphic>
          </wp:inline>
        </w:drawing>
      </w:r>
      <w:r>
        <w:tab/>
      </w:r>
    </w:p>
    <w:p w:rsidR="00F57973" w:rsidRDefault="00F57973">
      <w:pPr>
        <w:pStyle w:val="Heading1"/>
        <w:widowControl w:val="0"/>
        <w:spacing w:before="0" w:after="0"/>
        <w:ind w:left="-270" w:hanging="90"/>
        <w:jc w:val="both"/>
      </w:pPr>
      <w:bookmarkStart w:id="27" w:name="_heading=h.3as4poj" w:colFirst="0" w:colLast="0"/>
      <w:bookmarkEnd w:id="27"/>
    </w:p>
    <w:p w:rsidR="00F57973" w:rsidRDefault="00F57973">
      <w:pPr>
        <w:pStyle w:val="Heading1"/>
        <w:widowControl w:val="0"/>
        <w:spacing w:before="0" w:after="0"/>
        <w:ind w:left="-270" w:hanging="90"/>
        <w:jc w:val="both"/>
      </w:pPr>
      <w:bookmarkStart w:id="28" w:name="_heading=h.1pxezwc" w:colFirst="0" w:colLast="0"/>
      <w:bookmarkEnd w:id="28"/>
    </w:p>
    <w:p w:rsidR="00F57973" w:rsidRDefault="00F57973"/>
    <w:p w:rsidR="00F57973" w:rsidRDefault="006024E1">
      <w:r>
        <w:rPr>
          <w:noProof/>
        </w:rPr>
        <w:drawing>
          <wp:inline distT="114300" distB="114300" distL="114300" distR="114300">
            <wp:extent cx="6900863" cy="1950446"/>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6900863" cy="1950446"/>
                    </a:xfrm>
                    <a:prstGeom prst="rect">
                      <a:avLst/>
                    </a:prstGeom>
                    <a:ln/>
                  </pic:spPr>
                </pic:pic>
              </a:graphicData>
            </a:graphic>
          </wp:inline>
        </w:drawing>
      </w:r>
    </w:p>
    <w:p w:rsidR="00F57973" w:rsidRDefault="00F57973">
      <w:pPr>
        <w:pStyle w:val="Heading1"/>
        <w:widowControl w:val="0"/>
        <w:spacing w:before="0" w:after="0"/>
        <w:ind w:left="-270"/>
      </w:pPr>
    </w:p>
    <w:p w:rsidR="00F57973" w:rsidRDefault="006024E1">
      <w:pPr>
        <w:pStyle w:val="Heading1"/>
        <w:widowControl w:val="0"/>
        <w:spacing w:before="0" w:after="0"/>
        <w:ind w:left="-270"/>
      </w:pPr>
      <w:r>
        <w:t>Supplementary</w:t>
      </w:r>
      <w:r>
        <w:rPr>
          <w:sz w:val="22"/>
          <w:szCs w:val="22"/>
        </w:rPr>
        <w:t xml:space="preserve"> </w:t>
      </w:r>
      <w:r>
        <w:t>Figure 1. pTR related clinical outcomes</w:t>
      </w:r>
      <w:r>
        <w:tab/>
      </w:r>
      <w:r>
        <w:tab/>
      </w:r>
      <w:r>
        <w:tab/>
      </w:r>
      <w:r>
        <w:tab/>
      </w:r>
      <w:r>
        <w:br/>
      </w:r>
      <w:r>
        <w:rPr>
          <w:b w:val="0"/>
        </w:rPr>
        <w:t>(A) Kaplan-Meier (KM) curves for overall survival (OS), progression-free survival (PFS) and relapse-free survival (RFS) by pTR category (pTR-0, pTR-1, and pTR-2) suggested better survival among patients with pTR-2 but did not reach statistical significance</w:t>
      </w:r>
      <w:r>
        <w:rPr>
          <w:b w:val="0"/>
        </w:rPr>
        <w:t xml:space="preserve"> (Log rank p-values comparing 3 groups is shown). (B) K-M curves for comparing pTR-0 to pTR-1/2 shows association of any PTR with improved RFS. </w:t>
      </w:r>
      <w:r>
        <w:br/>
        <w:t xml:space="preserve"> </w:t>
      </w:r>
      <w:r>
        <w:tab/>
      </w:r>
      <w:r>
        <w:tab/>
      </w:r>
      <w:r>
        <w:tab/>
      </w:r>
      <w:r>
        <w:tab/>
      </w:r>
      <w:r>
        <w:tab/>
      </w:r>
      <w:r>
        <w:tab/>
      </w:r>
    </w:p>
    <w:p w:rsidR="00F57973" w:rsidRDefault="006024E1">
      <w:pPr>
        <w:pBdr>
          <w:top w:val="nil"/>
          <w:left w:val="nil"/>
          <w:bottom w:val="nil"/>
          <w:right w:val="nil"/>
          <w:between w:val="nil"/>
        </w:pBdr>
        <w:spacing w:after="0"/>
        <w:rPr>
          <w:color w:val="000000"/>
        </w:rPr>
      </w:pP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p>
    <w:p w:rsidR="00F57973" w:rsidRDefault="006024E1">
      <w:pPr>
        <w:pBdr>
          <w:top w:val="nil"/>
          <w:left w:val="nil"/>
          <w:bottom w:val="nil"/>
          <w:right w:val="nil"/>
          <w:between w:val="nil"/>
        </w:pBdr>
        <w:spacing w:after="0"/>
        <w:rPr>
          <w:color w:val="000000"/>
        </w:rPr>
      </w:pPr>
      <w:r>
        <w:rPr>
          <w:color w:val="000000"/>
        </w:rPr>
        <w:tab/>
      </w:r>
      <w:r>
        <w:rPr>
          <w:color w:val="000000"/>
        </w:rPr>
        <w:tab/>
      </w:r>
      <w:r>
        <w:rPr>
          <w:color w:val="000000"/>
        </w:rPr>
        <w:tab/>
      </w:r>
    </w:p>
    <w:p w:rsidR="00F57973" w:rsidRDefault="006024E1">
      <w:pPr>
        <w:pBdr>
          <w:top w:val="nil"/>
          <w:left w:val="nil"/>
          <w:bottom w:val="nil"/>
          <w:right w:val="nil"/>
          <w:between w:val="nil"/>
        </w:pBdr>
        <w:spacing w:after="0"/>
        <w:rPr>
          <w:color w:val="000000"/>
        </w:rPr>
      </w:pPr>
      <w:r>
        <w:rPr>
          <w:color w:val="000000"/>
        </w:rPr>
        <w:tab/>
      </w:r>
      <w:r>
        <w:rPr>
          <w:color w:val="000000"/>
        </w:rPr>
        <w:tab/>
      </w: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noProof/>
          <w:color w:val="000000"/>
        </w:rPr>
        <w:lastRenderedPageBreak/>
        <w:drawing>
          <wp:inline distT="114300" distB="114300" distL="114300" distR="114300">
            <wp:extent cx="6858000" cy="1714500"/>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6858000" cy="1714500"/>
                    </a:xfrm>
                    <a:prstGeom prst="rect">
                      <a:avLst/>
                    </a:prstGeom>
                    <a:ln/>
                  </pic:spPr>
                </pic:pic>
              </a:graphicData>
            </a:graphic>
          </wp:inline>
        </w:drawing>
      </w:r>
    </w:p>
    <w:p w:rsidR="00F57973" w:rsidRDefault="006024E1">
      <w:pPr>
        <w:pBdr>
          <w:top w:val="nil"/>
          <w:left w:val="nil"/>
          <w:bottom w:val="nil"/>
          <w:right w:val="nil"/>
          <w:between w:val="nil"/>
        </w:pBdr>
        <w:spacing w:after="0"/>
        <w:rPr>
          <w:color w:val="000000"/>
        </w:rPr>
      </w:pPr>
      <w:r>
        <w:rPr>
          <w:noProof/>
          <w:color w:val="000000"/>
        </w:rPr>
        <w:drawing>
          <wp:inline distT="114300" distB="114300" distL="114300" distR="114300">
            <wp:extent cx="6858000" cy="1066800"/>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6858000" cy="1066800"/>
                    </a:xfrm>
                    <a:prstGeom prst="rect">
                      <a:avLst/>
                    </a:prstGeom>
                    <a:ln/>
                  </pic:spPr>
                </pic:pic>
              </a:graphicData>
            </a:graphic>
          </wp:inline>
        </w:drawing>
      </w:r>
    </w:p>
    <w:p w:rsidR="00F57973" w:rsidRDefault="006024E1">
      <w:pPr>
        <w:pStyle w:val="Heading2"/>
        <w:spacing w:after="0"/>
        <w:rPr>
          <w:sz w:val="20"/>
          <w:szCs w:val="20"/>
        </w:rPr>
      </w:pPr>
      <w:bookmarkStart w:id="29" w:name="_heading=h.49x2ik5" w:colFirst="0" w:colLast="0"/>
      <w:bookmarkEnd w:id="29"/>
      <w:r>
        <w:rPr>
          <w:sz w:val="20"/>
          <w:szCs w:val="20"/>
        </w:rPr>
        <w:t>Supplementary Figure 2. Overall, progression-free and relapse-free survival by pathology risk category</w:t>
      </w:r>
    </w:p>
    <w:p w:rsidR="00F57973" w:rsidRDefault="006024E1">
      <w:pPr>
        <w:pBdr>
          <w:top w:val="nil"/>
          <w:left w:val="nil"/>
          <w:bottom w:val="nil"/>
          <w:right w:val="nil"/>
          <w:between w:val="nil"/>
        </w:pBdr>
        <w:spacing w:after="0"/>
        <w:rPr>
          <w:color w:val="000000"/>
        </w:rPr>
      </w:pPr>
      <w:r>
        <w:rPr>
          <w:color w:val="000000"/>
        </w:rPr>
        <w:t>High-risk pathology defined as extranodal extension (ENE) and/or positive margins. Low/Intermediate-risk cases lacked ENE and had negative margins. Log r</w:t>
      </w:r>
      <w:r>
        <w:rPr>
          <w:color w:val="000000"/>
        </w:rPr>
        <w:t>ank p-values are provided.</w:t>
      </w: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br w:type="page"/>
      </w: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noProof/>
          <w:color w:val="000000"/>
        </w:rPr>
        <w:drawing>
          <wp:inline distT="114300" distB="114300" distL="114300" distR="114300">
            <wp:extent cx="6858000" cy="5346700"/>
            <wp:effectExtent l="12700" t="12700" r="12700" b="12700"/>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3"/>
                    <a:srcRect l="1899" r="1898"/>
                    <a:stretch>
                      <a:fillRect/>
                    </a:stretch>
                  </pic:blipFill>
                  <pic:spPr>
                    <a:xfrm>
                      <a:off x="0" y="0"/>
                      <a:ext cx="6858000" cy="5346700"/>
                    </a:xfrm>
                    <a:prstGeom prst="rect">
                      <a:avLst/>
                    </a:prstGeom>
                    <a:ln w="12700">
                      <a:solidFill>
                        <a:srgbClr val="000000"/>
                      </a:solidFill>
                      <a:prstDash val="solid"/>
                    </a:ln>
                  </pic:spPr>
                </pic:pic>
              </a:graphicData>
            </a:graphic>
          </wp:inline>
        </w:drawing>
      </w:r>
    </w:p>
    <w:p w:rsidR="00F57973" w:rsidRDefault="006024E1">
      <w:pPr>
        <w:pStyle w:val="Heading2"/>
        <w:spacing w:after="0"/>
        <w:rPr>
          <w:sz w:val="20"/>
          <w:szCs w:val="20"/>
        </w:rPr>
      </w:pPr>
      <w:bookmarkStart w:id="30" w:name="_heading=h.2p2csry" w:colFirst="0" w:colLast="0"/>
      <w:bookmarkEnd w:id="30"/>
      <w:r>
        <w:rPr>
          <w:sz w:val="20"/>
          <w:szCs w:val="20"/>
        </w:rPr>
        <w:t xml:space="preserve">Supplementary Figure 3. Baseline immune multiplex IF correlates of pathologic tumor response. </w:t>
      </w:r>
    </w:p>
    <w:p w:rsidR="00F57973" w:rsidRDefault="006024E1">
      <w:pPr>
        <w:pBdr>
          <w:top w:val="nil"/>
          <w:left w:val="nil"/>
          <w:bottom w:val="nil"/>
          <w:right w:val="nil"/>
          <w:between w:val="nil"/>
        </w:pBdr>
        <w:spacing w:after="0"/>
        <w:rPr>
          <w:color w:val="000000"/>
        </w:rPr>
      </w:pPr>
      <w:r>
        <w:rPr>
          <w:color w:val="000000"/>
        </w:rPr>
        <w:t>(A) Numbers of CD8+ T cells and (B) CD4+ T cells per mm</w:t>
      </w:r>
      <w:r>
        <w:rPr>
          <w:color w:val="000000"/>
          <w:vertAlign w:val="superscript"/>
        </w:rPr>
        <w:t>2</w:t>
      </w:r>
      <w:r>
        <w:rPr>
          <w:color w:val="000000"/>
        </w:rPr>
        <w:t xml:space="preserve"> in the baseline biopsy tumor microenvironment (TME) were evaluated se</w:t>
      </w:r>
      <w:r>
        <w:rPr>
          <w:color w:val="000000"/>
        </w:rPr>
        <w:t>parately for correlation with pTR. The maximum pTR, whether detected in the primary tumor, lymph node or both, was used for the analyses, which were performed using for subjects as well as stratified by pathology risk category. Spearman correlation coeffic</w:t>
      </w:r>
      <w:r>
        <w:rPr>
          <w:color w:val="000000"/>
        </w:rPr>
        <w:t xml:space="preserve">ient and associated p values are provided. (C) Numbers of CD8+ and (D) CD4+ T cells in the baseline biopsy TME were evaluated by pTR category. Nonparametric test of trend p values </w:t>
      </w:r>
      <w:proofErr w:type="gramStart"/>
      <w:r>
        <w:rPr>
          <w:color w:val="000000"/>
        </w:rPr>
        <w:t>are</w:t>
      </w:r>
      <w:proofErr w:type="gramEnd"/>
      <w:r>
        <w:rPr>
          <w:color w:val="000000"/>
        </w:rPr>
        <w:t xml:space="preserve"> provided. </w:t>
      </w:r>
    </w:p>
    <w:p w:rsidR="00F57973" w:rsidRDefault="006024E1">
      <w:pPr>
        <w:pStyle w:val="Heading2"/>
        <w:spacing w:after="0"/>
        <w:rPr>
          <w:sz w:val="20"/>
          <w:szCs w:val="20"/>
        </w:rPr>
      </w:pPr>
      <w:bookmarkStart w:id="31" w:name="_heading=h.147n2zr" w:colFirst="0" w:colLast="0"/>
      <w:bookmarkEnd w:id="31"/>
      <w:r>
        <w:br w:type="page"/>
      </w:r>
    </w:p>
    <w:p w:rsidR="00F57973" w:rsidRDefault="006024E1">
      <w:pPr>
        <w:spacing w:after="0"/>
        <w:rPr>
          <w:color w:val="000000"/>
        </w:rPr>
      </w:pPr>
      <w:r>
        <w:rPr>
          <w:b/>
          <w:noProof/>
        </w:rPr>
        <w:lastRenderedPageBreak/>
        <w:drawing>
          <wp:inline distT="114300" distB="114300" distL="114300" distR="114300">
            <wp:extent cx="5736290" cy="6843713"/>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5736290" cy="6843713"/>
                    </a:xfrm>
                    <a:prstGeom prst="rect">
                      <a:avLst/>
                    </a:prstGeom>
                    <a:ln/>
                  </pic:spPr>
                </pic:pic>
              </a:graphicData>
            </a:graphic>
          </wp:inline>
        </w:drawing>
      </w:r>
    </w:p>
    <w:p w:rsidR="00F57973" w:rsidRDefault="006024E1">
      <w:pPr>
        <w:pBdr>
          <w:top w:val="nil"/>
          <w:left w:val="nil"/>
          <w:bottom w:val="nil"/>
          <w:right w:val="nil"/>
          <w:between w:val="nil"/>
        </w:pBdr>
        <w:spacing w:after="0"/>
        <w:rPr>
          <w:b/>
          <w:color w:val="000000"/>
        </w:rPr>
      </w:pPr>
      <w:r>
        <w:rPr>
          <w:b/>
          <w:color w:val="000000"/>
        </w:rPr>
        <w:t>Supplementary</w:t>
      </w:r>
      <w:r>
        <w:rPr>
          <w:color w:val="000000"/>
          <w:sz w:val="22"/>
          <w:szCs w:val="22"/>
        </w:rPr>
        <w:t xml:space="preserve"> </w:t>
      </w:r>
      <w:r>
        <w:rPr>
          <w:b/>
          <w:color w:val="000000"/>
        </w:rPr>
        <w:t xml:space="preserve">Figure </w:t>
      </w:r>
      <w:r>
        <w:rPr>
          <w:b/>
        </w:rPr>
        <w:t>4</w:t>
      </w:r>
      <w:r>
        <w:rPr>
          <w:b/>
          <w:color w:val="000000"/>
        </w:rPr>
        <w:t>. Immune cell expression patterns i</w:t>
      </w:r>
      <w:r>
        <w:rPr>
          <w:b/>
          <w:color w:val="000000"/>
        </w:rPr>
        <w:t>n post-treatment tumor RNA</w:t>
      </w:r>
    </w:p>
    <w:p w:rsidR="00F57973" w:rsidRDefault="006024E1">
      <w:pPr>
        <w:pBdr>
          <w:top w:val="nil"/>
          <w:left w:val="nil"/>
          <w:bottom w:val="nil"/>
          <w:right w:val="nil"/>
          <w:between w:val="nil"/>
        </w:pBdr>
        <w:spacing w:after="0"/>
        <w:rPr>
          <w:color w:val="000000"/>
        </w:rPr>
      </w:pPr>
      <w:r>
        <w:rPr>
          <w:color w:val="000000"/>
        </w:rPr>
        <w:t xml:space="preserve">This heatmap shows genes (n=41) associated with hallmark gene sets (right panel) that were differentially expressed at baseline (p&lt;0·01, FDR&lt;0·25) between patients with pTR-1/2 and those with pTR-0. Genes are sorted in the order </w:t>
      </w:r>
      <w:r>
        <w:rPr>
          <w:color w:val="000000"/>
        </w:rPr>
        <w:t xml:space="preserve">shown in </w:t>
      </w:r>
      <w:r>
        <w:rPr>
          <w:b/>
          <w:color w:val="000000"/>
        </w:rPr>
        <w:t>Figure 3</w:t>
      </w:r>
      <w:r>
        <w:rPr>
          <w:color w:val="000000"/>
        </w:rPr>
        <w:t>. Patients are sorted by decreasing maximum pTR (at either the tumor or lymph node site), then by Ward’s hierarchical clustering. Patients who did not have matched baseline samples are indicated by an asterisk by the Patient No (*, x-axis)</w:t>
      </w:r>
      <w:r>
        <w:rPr>
          <w:color w:val="000000"/>
        </w:rPr>
        <w:t>. Expression is displayed as the gene-normalized expression across all RNA sequencing samples. The Normalized Enrichment Score (NES) depicted in the top right panel indicates the enrichment of hallmark gene sets by comparing matched Post-treatment to Pre-t</w:t>
      </w:r>
      <w:r>
        <w:rPr>
          <w:color w:val="000000"/>
        </w:rPr>
        <w:t>reatment RNA in either patients with pTR (pink) or no pTR (blue). The opacity of the bar indicates that the comparison was statistically significant (p&lt;0·01, FDR&lt;0·2). Positive values indicate that expression of the corresponding gene sets was enriched pos</w:t>
      </w:r>
      <w:r>
        <w:rPr>
          <w:color w:val="000000"/>
        </w:rPr>
        <w:t>t-treatment; negative values indicate that expression of the corresponding gene set was enriched at baseline.</w:t>
      </w:r>
    </w:p>
    <w:p w:rsidR="00F57973" w:rsidRDefault="006024E1">
      <w:pPr>
        <w:pBdr>
          <w:top w:val="nil"/>
          <w:left w:val="nil"/>
          <w:bottom w:val="nil"/>
          <w:right w:val="nil"/>
          <w:between w:val="nil"/>
        </w:pBdr>
        <w:spacing w:after="0"/>
        <w:jc w:val="center"/>
        <w:rPr>
          <w:color w:val="000000"/>
        </w:rPr>
      </w:pPr>
      <w:r>
        <w:rPr>
          <w:noProof/>
          <w:color w:val="000000"/>
        </w:rPr>
        <w:lastRenderedPageBreak/>
        <w:drawing>
          <wp:inline distT="114300" distB="114300" distL="114300" distR="114300">
            <wp:extent cx="6858000" cy="1905000"/>
            <wp:effectExtent l="12700" t="12700" r="12700" b="1270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6858000" cy="1905000"/>
                    </a:xfrm>
                    <a:prstGeom prst="rect">
                      <a:avLst/>
                    </a:prstGeom>
                    <a:ln w="12700">
                      <a:solidFill>
                        <a:srgbClr val="000000"/>
                      </a:solidFill>
                      <a:prstDash val="solid"/>
                    </a:ln>
                  </pic:spPr>
                </pic:pic>
              </a:graphicData>
            </a:graphic>
          </wp:inline>
        </w:drawing>
      </w:r>
    </w:p>
    <w:p w:rsidR="00F57973" w:rsidRDefault="006024E1">
      <w:pPr>
        <w:pStyle w:val="Heading2"/>
        <w:spacing w:after="0"/>
        <w:rPr>
          <w:sz w:val="20"/>
          <w:szCs w:val="20"/>
        </w:rPr>
      </w:pPr>
      <w:bookmarkStart w:id="32" w:name="_heading=h.3o7alnk" w:colFirst="0" w:colLast="0"/>
      <w:bookmarkEnd w:id="32"/>
      <w:r>
        <w:rPr>
          <w:sz w:val="20"/>
          <w:szCs w:val="20"/>
        </w:rPr>
        <w:t xml:space="preserve">Supplementary Figure 5. Significant changes in T cell receptor diversity between response groups </w:t>
      </w:r>
    </w:p>
    <w:p w:rsidR="00F57973" w:rsidRDefault="006024E1">
      <w:pPr>
        <w:pBdr>
          <w:top w:val="nil"/>
          <w:left w:val="nil"/>
          <w:bottom w:val="nil"/>
          <w:right w:val="nil"/>
          <w:between w:val="nil"/>
        </w:pBdr>
        <w:spacing w:after="0"/>
        <w:rPr>
          <w:color w:val="000000"/>
        </w:rPr>
      </w:pPr>
      <w:r>
        <w:rPr>
          <w:color w:val="000000"/>
        </w:rPr>
        <w:t>The geometric coefficient of variance (GCV) and the Gini Simpson, Inverse Simpson, and Shannon Diversity indices were used to quantify the TRB clones detected</w:t>
      </w:r>
      <w:r>
        <w:rPr>
          <w:color w:val="000000"/>
        </w:rPr>
        <w:t xml:space="preserve"> by TCR sequencing in the peripheral blood DNA. Wilcoxon tests were used to evaluate statistical significance across responder groups and timepoints; * indicates p&lt;0.05. </w:t>
      </w:r>
      <w:r>
        <w:br w:type="page"/>
      </w: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jc w:val="center"/>
        <w:rPr>
          <w:b/>
          <w:color w:val="000000"/>
        </w:rPr>
      </w:pPr>
      <w:r>
        <w:rPr>
          <w:b/>
          <w:noProof/>
          <w:color w:val="000000"/>
        </w:rPr>
        <w:drawing>
          <wp:inline distT="114300" distB="114300" distL="114300" distR="114300">
            <wp:extent cx="3400594" cy="5986463"/>
            <wp:effectExtent l="12700" t="12700" r="12700" b="1270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3400594" cy="5986463"/>
                    </a:xfrm>
                    <a:prstGeom prst="rect">
                      <a:avLst/>
                    </a:prstGeom>
                    <a:ln w="12700">
                      <a:solidFill>
                        <a:srgbClr val="000000"/>
                      </a:solidFill>
                      <a:prstDash val="solid"/>
                    </a:ln>
                  </pic:spPr>
                </pic:pic>
              </a:graphicData>
            </a:graphic>
          </wp:inline>
        </w:drawing>
      </w:r>
    </w:p>
    <w:p w:rsidR="00F57973" w:rsidRDefault="006024E1">
      <w:pPr>
        <w:pStyle w:val="Heading2"/>
        <w:spacing w:after="0"/>
        <w:rPr>
          <w:sz w:val="20"/>
          <w:szCs w:val="20"/>
        </w:rPr>
      </w:pPr>
      <w:bookmarkStart w:id="33" w:name="_heading=h.23ckvvd" w:colFirst="0" w:colLast="0"/>
      <w:bookmarkEnd w:id="33"/>
      <w:r>
        <w:rPr>
          <w:sz w:val="20"/>
          <w:szCs w:val="20"/>
        </w:rPr>
        <w:t>Supplementary Figure</w:t>
      </w:r>
      <w:r>
        <w:rPr>
          <w:b w:val="0"/>
          <w:sz w:val="20"/>
          <w:szCs w:val="20"/>
        </w:rPr>
        <w:t xml:space="preserve"> </w:t>
      </w:r>
      <w:r>
        <w:rPr>
          <w:sz w:val="20"/>
          <w:szCs w:val="20"/>
        </w:rPr>
        <w:t>6</w:t>
      </w:r>
      <w:r>
        <w:rPr>
          <w:sz w:val="20"/>
          <w:szCs w:val="20"/>
        </w:rPr>
        <w:t>. Global summary of the peripheral T cell repertoire</w:t>
      </w:r>
    </w:p>
    <w:p w:rsidR="00F57973" w:rsidRDefault="006024E1">
      <w:pPr>
        <w:pBdr>
          <w:top w:val="nil"/>
          <w:left w:val="nil"/>
          <w:bottom w:val="nil"/>
          <w:right w:val="nil"/>
          <w:between w:val="nil"/>
        </w:pBdr>
        <w:spacing w:after="0"/>
        <w:rPr>
          <w:color w:val="000000"/>
        </w:rPr>
      </w:pPr>
      <w:r>
        <w:rPr>
          <w:color w:val="000000"/>
        </w:rPr>
        <w:t xml:space="preserve">The T cell repertoire was assessed in DNA derived from the peripheral blood using </w:t>
      </w:r>
      <w:proofErr w:type="spellStart"/>
      <w:r>
        <w:rPr>
          <w:color w:val="000000"/>
        </w:rPr>
        <w:t>CapTCR</w:t>
      </w:r>
      <w:proofErr w:type="spellEnd"/>
      <w:r>
        <w:rPr>
          <w:color w:val="000000"/>
        </w:rPr>
        <w:t xml:space="preserve"> sequencing. A. Count distribution of unique TCR clones detected in each peripheral blood sample, corresponding to </w:t>
      </w:r>
      <w:r>
        <w:rPr>
          <w:color w:val="000000"/>
        </w:rPr>
        <w:t xml:space="preserve">either the </w:t>
      </w:r>
      <w:r>
        <w:rPr>
          <w:i/>
          <w:color w:val="000000"/>
        </w:rPr>
        <w:t xml:space="preserve">TRA </w:t>
      </w:r>
      <w:r>
        <w:rPr>
          <w:color w:val="000000"/>
        </w:rPr>
        <w:t xml:space="preserve">(top panel) or </w:t>
      </w:r>
      <w:r>
        <w:rPr>
          <w:i/>
          <w:color w:val="000000"/>
        </w:rPr>
        <w:t>TRB</w:t>
      </w:r>
      <w:r>
        <w:rPr>
          <w:color w:val="000000"/>
        </w:rPr>
        <w:t xml:space="preserve"> (bottom panel) gene. Line color indicates whether the patient showed pTR following neoadjuvant pembrolizumab (pink) or not (dark blue). B. Reads were divided into those corresponding to either </w:t>
      </w:r>
      <w:r>
        <w:rPr>
          <w:i/>
          <w:color w:val="000000"/>
        </w:rPr>
        <w:t>TRA</w:t>
      </w:r>
      <w:r>
        <w:rPr>
          <w:color w:val="000000"/>
        </w:rPr>
        <w:t xml:space="preserve"> (left panel) or </w:t>
      </w:r>
      <w:r>
        <w:rPr>
          <w:i/>
          <w:color w:val="000000"/>
        </w:rPr>
        <w:t>TRB</w:t>
      </w:r>
      <w:r>
        <w:rPr>
          <w:color w:val="000000"/>
        </w:rPr>
        <w:t xml:space="preserve"> (righ</w:t>
      </w:r>
      <w:r>
        <w:rPr>
          <w:color w:val="000000"/>
        </w:rPr>
        <w:t xml:space="preserve">t panel) to quantify characteristics of the peripheral T cell repertoire. The calculations for clonality, geometric coefficient of variance (GCV), Gini Simpson Index, Inverse Simpson Index, richness (total number of clones detected), and Shannon Diversity </w:t>
      </w:r>
      <w:r>
        <w:rPr>
          <w:color w:val="000000"/>
        </w:rPr>
        <w:t>Index were performed as previously described, and are provided in the Supplementary Methods. Wilcoxon signed rank tests were used to compare metrics across (paired) timepoints, within each response group. Mann-Whitney tests were used to compare the metrics</w:t>
      </w:r>
      <w:r>
        <w:rPr>
          <w:color w:val="000000"/>
        </w:rPr>
        <w:t xml:space="preserve"> across response groups, within each timepoint. * indicates comparisons with p&lt;0·05.</w:t>
      </w:r>
      <w:r>
        <w:br w:type="page"/>
      </w:r>
    </w:p>
    <w:p w:rsidR="00F57973" w:rsidRDefault="006024E1">
      <w:pPr>
        <w:pBdr>
          <w:top w:val="nil"/>
          <w:left w:val="nil"/>
          <w:bottom w:val="nil"/>
          <w:right w:val="nil"/>
          <w:between w:val="nil"/>
        </w:pBdr>
        <w:spacing w:after="0"/>
        <w:jc w:val="center"/>
        <w:rPr>
          <w:b/>
        </w:rPr>
      </w:pPr>
      <w:r>
        <w:rPr>
          <w:b/>
          <w:noProof/>
        </w:rPr>
        <w:lastRenderedPageBreak/>
        <w:drawing>
          <wp:inline distT="114300" distB="114300" distL="114300" distR="114300">
            <wp:extent cx="6858000" cy="7848600"/>
            <wp:effectExtent l="0" t="0" r="0" b="0"/>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6858000" cy="7848600"/>
                    </a:xfrm>
                    <a:prstGeom prst="rect">
                      <a:avLst/>
                    </a:prstGeom>
                    <a:ln/>
                  </pic:spPr>
                </pic:pic>
              </a:graphicData>
            </a:graphic>
          </wp:inline>
        </w:drawing>
      </w:r>
    </w:p>
    <w:p w:rsidR="00F57973" w:rsidRDefault="006024E1">
      <w:pPr>
        <w:pBdr>
          <w:top w:val="nil"/>
          <w:left w:val="nil"/>
          <w:bottom w:val="nil"/>
          <w:right w:val="nil"/>
          <w:between w:val="nil"/>
        </w:pBdr>
        <w:spacing w:after="0"/>
        <w:rPr>
          <w:b/>
        </w:rPr>
      </w:pPr>
      <w:r>
        <w:rPr>
          <w:b/>
        </w:rPr>
        <w:t>Supplementary Figure 7. T cell clones detected in bulk tumor RNA and peripheral blood</w:t>
      </w:r>
    </w:p>
    <w:p w:rsidR="00F57973" w:rsidRDefault="006024E1">
      <w:pPr>
        <w:pBdr>
          <w:top w:val="nil"/>
          <w:left w:val="nil"/>
          <w:bottom w:val="nil"/>
          <w:right w:val="nil"/>
          <w:between w:val="nil"/>
        </w:pBdr>
        <w:spacing w:after="0"/>
        <w:rPr>
          <w:color w:val="000000"/>
        </w:rPr>
      </w:pPr>
      <w:r>
        <w:t>T cell clones detected in the peripheral blood DNA were ordered by decreasing rank</w:t>
      </w:r>
      <w:r>
        <w:t xml:space="preserve"> based upon their frequency, with respect to each sample and gene (TRA, TRB). They are indicated by their percentile rank (x-axis) and colored by their frequency. Samples are indicated by patient number (y-axis, right-side labels) and their corresponding t</w:t>
      </w:r>
      <w:r>
        <w:t xml:space="preserve">imepoint (y-axis, left-side labels). Clones that were detected in bulk tumor RNA  and also detected in the peripheral blood DNA, are shown by lines at their corresponding percentile rank. The color of these lines </w:t>
      </w:r>
      <w:proofErr w:type="gramStart"/>
      <w:r>
        <w:t>designate</w:t>
      </w:r>
      <w:proofErr w:type="gramEnd"/>
      <w:r>
        <w:t xml:space="preserve"> whether the clone was detected at</w:t>
      </w:r>
      <w:r>
        <w:t xml:space="preserve"> only one or both timepoints, in the tumor RNA.</w:t>
      </w:r>
    </w:p>
    <w:p w:rsidR="00F57973" w:rsidRDefault="006024E1">
      <w:pPr>
        <w:spacing w:after="0"/>
        <w:jc w:val="center"/>
        <w:rPr>
          <w:color w:val="000000"/>
        </w:rPr>
      </w:pPr>
      <w:r>
        <w:rPr>
          <w:noProof/>
        </w:rPr>
        <w:lastRenderedPageBreak/>
        <w:drawing>
          <wp:inline distT="114300" distB="114300" distL="114300" distR="114300">
            <wp:extent cx="6215063" cy="7465955"/>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6215063" cy="7465955"/>
                    </a:xfrm>
                    <a:prstGeom prst="rect">
                      <a:avLst/>
                    </a:prstGeom>
                    <a:ln/>
                  </pic:spPr>
                </pic:pic>
              </a:graphicData>
            </a:graphic>
          </wp:inline>
        </w:drawing>
      </w:r>
    </w:p>
    <w:p w:rsidR="00F57973" w:rsidRDefault="006024E1">
      <w:pPr>
        <w:pBdr>
          <w:top w:val="nil"/>
          <w:left w:val="nil"/>
          <w:bottom w:val="nil"/>
          <w:right w:val="nil"/>
          <w:between w:val="nil"/>
        </w:pBdr>
        <w:spacing w:after="0"/>
        <w:rPr>
          <w:b/>
          <w:color w:val="000000"/>
        </w:rPr>
      </w:pPr>
      <w:r>
        <w:rPr>
          <w:b/>
          <w:color w:val="000000"/>
        </w:rPr>
        <w:t xml:space="preserve">Supplementary Figure </w:t>
      </w:r>
      <w:r>
        <w:rPr>
          <w:b/>
        </w:rPr>
        <w:t>8</w:t>
      </w:r>
      <w:r>
        <w:rPr>
          <w:b/>
          <w:color w:val="000000"/>
        </w:rPr>
        <w:t>. Baseline mutational profile does not correlate to pathological response to anti-PD-1 therapy</w:t>
      </w:r>
    </w:p>
    <w:p w:rsidR="00F57973" w:rsidRDefault="006024E1">
      <w:pPr>
        <w:pBdr>
          <w:top w:val="nil"/>
          <w:left w:val="nil"/>
          <w:bottom w:val="nil"/>
          <w:right w:val="nil"/>
          <w:between w:val="nil"/>
        </w:pBdr>
        <w:spacing w:after="0"/>
        <w:rPr>
          <w:color w:val="000000"/>
        </w:rPr>
      </w:pPr>
      <w:r>
        <w:rPr>
          <w:color w:val="000000"/>
        </w:rPr>
        <w:t>Bar plot showing pathologic tumor response (lower panel), bar plot showing tumor mutation</w:t>
      </w:r>
      <w:r>
        <w:rPr>
          <w:color w:val="000000"/>
        </w:rPr>
        <w:t>al burden (upper panel), waterfall showing recurrently mutated genes (middle panel). Genes were filtered to those that were altered in at least 16% (4/25) of patients. Of note, none of these genes were significantly mutated across the cohort, due to the lo</w:t>
      </w:r>
      <w:r>
        <w:rPr>
          <w:color w:val="000000"/>
        </w:rPr>
        <w:t>w number of patients. Mutations that have a putative neoantigen &lt;500 nM (either a Class I, Class II, or both) are indicated. Mutations are defined whether they have a Class I, Class II, or at least one of each Class of neoantigen. Individuals are sorted by</w:t>
      </w:r>
      <w:r>
        <w:rPr>
          <w:color w:val="000000"/>
        </w:rPr>
        <w:t xml:space="preserve"> decreasing pathologic response (at the primary site, followed by the lymph node), and by decreasing mutational burden in the remainder of the cohort.</w:t>
      </w: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jc w:val="center"/>
      </w:pPr>
      <w:r>
        <w:rPr>
          <w:noProof/>
        </w:rPr>
        <w:lastRenderedPageBreak/>
        <w:drawing>
          <wp:inline distT="114300" distB="114300" distL="114300" distR="114300">
            <wp:extent cx="6858000" cy="6845300"/>
            <wp:effectExtent l="12700" t="12700" r="12700" b="12700"/>
            <wp:docPr id="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6858000" cy="6845300"/>
                    </a:xfrm>
                    <a:prstGeom prst="rect">
                      <a:avLst/>
                    </a:prstGeom>
                    <a:ln w="12700">
                      <a:solidFill>
                        <a:srgbClr val="000000"/>
                      </a:solidFill>
                      <a:prstDash val="solid"/>
                    </a:ln>
                  </pic:spPr>
                </pic:pic>
              </a:graphicData>
            </a:graphic>
          </wp:inline>
        </w:drawing>
      </w:r>
    </w:p>
    <w:p w:rsidR="00F57973" w:rsidRDefault="006024E1">
      <w:pPr>
        <w:pBdr>
          <w:top w:val="nil"/>
          <w:left w:val="nil"/>
          <w:bottom w:val="nil"/>
          <w:right w:val="nil"/>
          <w:between w:val="nil"/>
        </w:pBdr>
        <w:spacing w:after="0"/>
        <w:rPr>
          <w:b/>
        </w:rPr>
      </w:pPr>
      <w:r>
        <w:rPr>
          <w:b/>
        </w:rPr>
        <w:t>Supplementary Figure 9. Clonality plots comparing variants in matched baseline and post-treatment tum</w:t>
      </w:r>
      <w:r>
        <w:rPr>
          <w:b/>
        </w:rPr>
        <w:t>or DNA</w:t>
      </w:r>
    </w:p>
    <w:p w:rsidR="00F57973" w:rsidRDefault="006024E1">
      <w:pPr>
        <w:pBdr>
          <w:top w:val="nil"/>
          <w:left w:val="nil"/>
          <w:bottom w:val="nil"/>
          <w:right w:val="nil"/>
          <w:between w:val="nil"/>
        </w:pBdr>
        <w:spacing w:after="0"/>
      </w:pPr>
      <w:r>
        <w:t>Matched DNA samples were available for 22 patients. The variant allele fraction (VAF) reflects the aggregate metric determined by the combination of whole exome and high-depth (targeted) sequencing data in pre-treatment tumor biopsies (x-axis) and post-tre</w:t>
      </w:r>
      <w:r>
        <w:t xml:space="preserve">atment surgical resections (y-axis). Variant clustering was performed using the combination of exome and high-depth (targeted) sequencing data by </w:t>
      </w:r>
      <w:proofErr w:type="spellStart"/>
      <w:r>
        <w:t>SciClone</w:t>
      </w:r>
      <w:proofErr w:type="spellEnd"/>
      <w:r>
        <w:t>, and each color indicates a cluster of variants within each patient (i.e. similar colors across patie</w:t>
      </w:r>
      <w:r>
        <w:t>nts are not related). Clonal gain (variants commonly colored in turquoise) was defined by at least five variants that were detected in post-treatment, but not pre-treatment tumor DNA. Clonal loss (variants commonly colored in orange) was defined by at leas</w:t>
      </w:r>
      <w:r>
        <w:t xml:space="preserve">t five variants that were detected in pre-treatment, but not post-treatment tumor DNA. Variants in regions containing copy number alterations or loss-of-heterozygosity were excluded from clustering (open circles). Patients are organized by observed clonal </w:t>
      </w:r>
      <w:r>
        <w:t xml:space="preserve">dynamics: A. Neither clonal gain nor loss, B. Both clonal gain and loss, C. Clonal gain only, and D. Clonal loss only. Patients 20, 21, and 26 are not included because only one timepoint was assessed by DNA sequencing. </w:t>
      </w:r>
    </w:p>
    <w:p w:rsidR="00F57973" w:rsidRDefault="00F57973">
      <w:pPr>
        <w:pBdr>
          <w:top w:val="nil"/>
          <w:left w:val="nil"/>
          <w:bottom w:val="nil"/>
          <w:right w:val="nil"/>
          <w:between w:val="nil"/>
        </w:pBdr>
        <w:spacing w:after="0"/>
      </w:pP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color w:val="000000"/>
        </w:rPr>
      </w:pPr>
      <w:r>
        <w:rPr>
          <w:color w:val="000000"/>
        </w:rPr>
        <w:t xml:space="preserve"> </w:t>
      </w:r>
      <w:r>
        <w:t xml:space="preserve">          </w:t>
      </w: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jc w:val="center"/>
        <w:rPr>
          <w:color w:val="000000"/>
        </w:rPr>
      </w:pPr>
      <w:r>
        <w:rPr>
          <w:noProof/>
          <w:color w:val="000000"/>
        </w:rPr>
        <w:drawing>
          <wp:inline distT="114300" distB="114300" distL="114300" distR="114300">
            <wp:extent cx="5143500" cy="4343400"/>
            <wp:effectExtent l="0" t="0" r="0" b="0"/>
            <wp:docPr id="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5143500" cy="4343400"/>
                    </a:xfrm>
                    <a:prstGeom prst="rect">
                      <a:avLst/>
                    </a:prstGeom>
                    <a:ln/>
                  </pic:spPr>
                </pic:pic>
              </a:graphicData>
            </a:graphic>
          </wp:inline>
        </w:drawing>
      </w: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rPr>
          <w:b/>
          <w:color w:val="000000"/>
        </w:rPr>
      </w:pPr>
      <w:r>
        <w:rPr>
          <w:b/>
          <w:color w:val="000000"/>
        </w:rPr>
        <w:t>Supplementary Fig</w:t>
      </w:r>
      <w:r>
        <w:rPr>
          <w:b/>
          <w:color w:val="000000"/>
        </w:rPr>
        <w:t>ure 1</w:t>
      </w:r>
      <w:r>
        <w:rPr>
          <w:b/>
        </w:rPr>
        <w:t>0</w:t>
      </w:r>
      <w:r>
        <w:rPr>
          <w:b/>
          <w:color w:val="000000"/>
        </w:rPr>
        <w:t xml:space="preserve">. Representative tumor regions evaluated in spatial heterogeneity study. </w:t>
      </w:r>
    </w:p>
    <w:p w:rsidR="00F57973" w:rsidRDefault="006024E1">
      <w:pPr>
        <w:pBdr>
          <w:top w:val="nil"/>
          <w:left w:val="nil"/>
          <w:bottom w:val="nil"/>
          <w:right w:val="nil"/>
          <w:between w:val="nil"/>
        </w:pBdr>
        <w:spacing w:after="0"/>
        <w:rPr>
          <w:color w:val="000000"/>
        </w:rPr>
      </w:pPr>
      <w:r>
        <w:rPr>
          <w:color w:val="000000"/>
        </w:rPr>
        <w:t>Non-overlapping regions, demarcated in blue, from surgically resected tumor from Patients 2,10 and 16 were individually evaluated in spatial heterogeneity sequencing analyses.</w:t>
      </w: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6024E1">
      <w:pPr>
        <w:pBdr>
          <w:top w:val="nil"/>
          <w:left w:val="nil"/>
          <w:bottom w:val="nil"/>
          <w:right w:val="nil"/>
          <w:between w:val="nil"/>
        </w:pBdr>
        <w:spacing w:after="0"/>
        <w:jc w:val="center"/>
        <w:rPr>
          <w:color w:val="000000"/>
        </w:rPr>
      </w:pPr>
      <w:r>
        <w:rPr>
          <w:noProof/>
          <w:color w:val="000000"/>
        </w:rPr>
        <w:lastRenderedPageBreak/>
        <w:drawing>
          <wp:inline distT="114300" distB="114300" distL="114300" distR="114300">
            <wp:extent cx="5109907" cy="8911772"/>
            <wp:effectExtent l="0" t="0" r="0" b="0"/>
            <wp:docPr id="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5109907" cy="8911772"/>
                    </a:xfrm>
                    <a:prstGeom prst="rect">
                      <a:avLst/>
                    </a:prstGeom>
                    <a:ln/>
                  </pic:spPr>
                </pic:pic>
              </a:graphicData>
            </a:graphic>
          </wp:inline>
        </w:drawing>
      </w:r>
    </w:p>
    <w:p w:rsidR="00F57973" w:rsidRDefault="006024E1">
      <w:pPr>
        <w:pBdr>
          <w:top w:val="nil"/>
          <w:left w:val="nil"/>
          <w:bottom w:val="nil"/>
          <w:right w:val="nil"/>
          <w:between w:val="nil"/>
        </w:pBdr>
        <w:spacing w:after="0"/>
        <w:rPr>
          <w:b/>
          <w:color w:val="000000"/>
        </w:rPr>
      </w:pPr>
      <w:r>
        <w:rPr>
          <w:b/>
          <w:color w:val="000000"/>
        </w:rPr>
        <w:lastRenderedPageBreak/>
        <w:t>Supplementary Figure 1</w:t>
      </w:r>
      <w:r>
        <w:rPr>
          <w:b/>
        </w:rPr>
        <w:t>1</w:t>
      </w:r>
      <w:r>
        <w:rPr>
          <w:b/>
          <w:color w:val="000000"/>
        </w:rPr>
        <w:t xml:space="preserve">. Additional patients with multiple post-treatment samples. </w:t>
      </w:r>
    </w:p>
    <w:p w:rsidR="00F57973" w:rsidRDefault="006024E1">
      <w:pPr>
        <w:pBdr>
          <w:top w:val="nil"/>
          <w:left w:val="nil"/>
          <w:bottom w:val="nil"/>
          <w:right w:val="nil"/>
          <w:between w:val="nil"/>
        </w:pBdr>
        <w:spacing w:after="0"/>
        <w:rPr>
          <w:color w:val="000000"/>
        </w:rPr>
      </w:pPr>
      <w:r>
        <w:rPr>
          <w:color w:val="000000"/>
        </w:rPr>
        <w:t>A) Clonality plots comparing VAF of SNVs and Indels at baseline (x-axis) and resection (y-axis). These values represent aggregate metrics of all post-treatment samples</w:t>
      </w:r>
      <w:r>
        <w:rPr>
          <w:color w:val="000000"/>
        </w:rPr>
        <w:t xml:space="preserve"> available, and colors represent variants that clustered together by comparing these aggregate metrics per individual. Open circles represent variants that were either unassigned or were assigned to clusters with less than 5 variants. B) The scaled allelic</w:t>
      </w:r>
      <w:r>
        <w:rPr>
          <w:color w:val="000000"/>
        </w:rPr>
        <w:t xml:space="preserve"> frequency (AF) is depicted on the y-axis of each variant (point) that was assigned a cluster in (A). The solid line represents the average scaled AF of the cluster. Shaded ribbons represent the standard error from the mean of the scaled AF of the cluster.</w:t>
      </w: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F57973">
      <w:pPr>
        <w:pBdr>
          <w:top w:val="nil"/>
          <w:left w:val="nil"/>
          <w:bottom w:val="nil"/>
          <w:right w:val="nil"/>
          <w:between w:val="nil"/>
        </w:pBdr>
        <w:spacing w:after="0"/>
        <w:rPr>
          <w:color w:val="000000"/>
        </w:rPr>
      </w:pPr>
    </w:p>
    <w:p w:rsidR="00F57973" w:rsidRDefault="006024E1">
      <w:pPr>
        <w:pStyle w:val="Heading1"/>
        <w:spacing w:before="0" w:after="0"/>
      </w:pPr>
      <w:bookmarkStart w:id="34" w:name="_heading=h.1hmsyys" w:colFirst="0" w:colLast="0"/>
      <w:bookmarkEnd w:id="34"/>
      <w:r>
        <w:br w:type="page"/>
      </w:r>
    </w:p>
    <w:p w:rsidR="00F57973" w:rsidRDefault="006024E1">
      <w:pPr>
        <w:pStyle w:val="Heading1"/>
        <w:spacing w:before="0" w:after="0"/>
      </w:pPr>
      <w:bookmarkStart w:id="35" w:name="_heading=h.41mghml" w:colFirst="0" w:colLast="0"/>
      <w:bookmarkEnd w:id="35"/>
      <w:r>
        <w:lastRenderedPageBreak/>
        <w:t>SUPPLEMENTARY TABLES</w:t>
      </w:r>
    </w:p>
    <w:p w:rsidR="00F57973" w:rsidRDefault="00F57973">
      <w:pPr>
        <w:pStyle w:val="Heading2"/>
        <w:widowControl w:val="0"/>
        <w:spacing w:after="0"/>
        <w:ind w:firstLine="15"/>
        <w:rPr>
          <w:sz w:val="20"/>
          <w:szCs w:val="20"/>
        </w:rPr>
      </w:pPr>
      <w:bookmarkStart w:id="36" w:name="_heading=h.2grqrue" w:colFirst="0" w:colLast="0"/>
      <w:bookmarkEnd w:id="36"/>
    </w:p>
    <w:p w:rsidR="00F57973" w:rsidRDefault="006024E1">
      <w:pPr>
        <w:pStyle w:val="Heading2"/>
        <w:widowControl w:val="0"/>
        <w:spacing w:after="0"/>
        <w:ind w:firstLine="15"/>
        <w:rPr>
          <w:sz w:val="20"/>
          <w:szCs w:val="20"/>
        </w:rPr>
      </w:pPr>
      <w:bookmarkStart w:id="37" w:name="_heading=h.vx1227" w:colFirst="0" w:colLast="0"/>
      <w:bookmarkEnd w:id="37"/>
      <w:r>
        <w:rPr>
          <w:sz w:val="20"/>
          <w:szCs w:val="20"/>
        </w:rPr>
        <w:t xml:space="preserve">Supplementary Table 1. Correlative assays performed by subject </w:t>
      </w:r>
    </w:p>
    <w:p w:rsidR="00F57973" w:rsidRDefault="006024E1">
      <w:pPr>
        <w:pBdr>
          <w:top w:val="nil"/>
          <w:left w:val="nil"/>
          <w:bottom w:val="nil"/>
          <w:right w:val="nil"/>
          <w:between w:val="nil"/>
        </w:pBdr>
        <w:spacing w:after="0"/>
        <w:rPr>
          <w:color w:val="000000"/>
        </w:rPr>
      </w:pPr>
      <w:r>
        <w:rPr>
          <w:color w:val="000000"/>
        </w:rPr>
        <w:t xml:space="preserve">WES, Whole exome sequencing. </w:t>
      </w:r>
      <w:proofErr w:type="spellStart"/>
      <w:r>
        <w:rPr>
          <w:color w:val="000000"/>
        </w:rPr>
        <w:t>RNAseq</w:t>
      </w:r>
      <w:proofErr w:type="spellEnd"/>
      <w:r>
        <w:rPr>
          <w:color w:val="000000"/>
        </w:rPr>
        <w:t xml:space="preserve"> indicates either RNA sequencing or cDNA capture sequencing. (X = assay performed, NA = assay not performed) </w:t>
      </w:r>
    </w:p>
    <w:p w:rsidR="00F57973" w:rsidRDefault="00F57973">
      <w:pPr>
        <w:pBdr>
          <w:top w:val="nil"/>
          <w:left w:val="nil"/>
          <w:bottom w:val="nil"/>
          <w:right w:val="nil"/>
          <w:between w:val="nil"/>
        </w:pBdr>
        <w:spacing w:after="0"/>
        <w:rPr>
          <w:color w:val="000000"/>
        </w:rPr>
      </w:pPr>
    </w:p>
    <w:p w:rsidR="00F57973" w:rsidRDefault="006024E1">
      <w:pPr>
        <w:pStyle w:val="Heading2"/>
        <w:widowControl w:val="0"/>
        <w:spacing w:after="0"/>
        <w:ind w:firstLine="15"/>
        <w:rPr>
          <w:sz w:val="20"/>
          <w:szCs w:val="20"/>
        </w:rPr>
      </w:pPr>
      <w:bookmarkStart w:id="38" w:name="_heading=h.3fwokq0" w:colFirst="0" w:colLast="0"/>
      <w:bookmarkEnd w:id="38"/>
      <w:r>
        <w:rPr>
          <w:sz w:val="20"/>
          <w:szCs w:val="20"/>
        </w:rPr>
        <w:t>Supplementary Table 2. Adjuvant treatment by pathology risk category</w:t>
      </w:r>
    </w:p>
    <w:p w:rsidR="00F57973" w:rsidRDefault="00F57973" w:rsidP="009552F7">
      <w:pPr>
        <w:pStyle w:val="Heading2"/>
        <w:widowControl w:val="0"/>
        <w:spacing w:after="0"/>
        <w:rPr>
          <w:sz w:val="20"/>
          <w:szCs w:val="20"/>
        </w:rPr>
      </w:pPr>
      <w:bookmarkStart w:id="39" w:name="_heading=h.1v1yuxt" w:colFirst="0" w:colLast="0"/>
      <w:bookmarkEnd w:id="39"/>
    </w:p>
    <w:p w:rsidR="00F57973" w:rsidRDefault="006024E1">
      <w:pPr>
        <w:pStyle w:val="Heading2"/>
        <w:widowControl w:val="0"/>
        <w:spacing w:after="0"/>
        <w:ind w:firstLine="15"/>
        <w:rPr>
          <w:sz w:val="20"/>
          <w:szCs w:val="20"/>
        </w:rPr>
      </w:pPr>
      <w:bookmarkStart w:id="40" w:name="_heading=h.4f1mdlm" w:colFirst="0" w:colLast="0"/>
      <w:bookmarkEnd w:id="40"/>
      <w:r>
        <w:rPr>
          <w:sz w:val="20"/>
          <w:szCs w:val="20"/>
        </w:rPr>
        <w:t xml:space="preserve">Supplementary Table 3. </w:t>
      </w:r>
      <w:proofErr w:type="spellStart"/>
      <w:r>
        <w:rPr>
          <w:sz w:val="20"/>
          <w:szCs w:val="20"/>
        </w:rPr>
        <w:t>Perisurgical</w:t>
      </w:r>
      <w:proofErr w:type="spellEnd"/>
      <w:r>
        <w:rPr>
          <w:sz w:val="20"/>
          <w:szCs w:val="20"/>
        </w:rPr>
        <w:t xml:space="preserve"> adv</w:t>
      </w:r>
      <w:r>
        <w:rPr>
          <w:sz w:val="20"/>
          <w:szCs w:val="20"/>
        </w:rPr>
        <w:t xml:space="preserve">erse events by </w:t>
      </w:r>
      <w:proofErr w:type="spellStart"/>
      <w:r>
        <w:rPr>
          <w:sz w:val="20"/>
          <w:szCs w:val="20"/>
        </w:rPr>
        <w:t>Clavien-Dindo</w:t>
      </w:r>
      <w:proofErr w:type="spellEnd"/>
      <w:r>
        <w:rPr>
          <w:sz w:val="20"/>
          <w:szCs w:val="20"/>
        </w:rPr>
        <w:t xml:space="preserve"> Classification</w:t>
      </w:r>
    </w:p>
    <w:p w:rsidR="00F57973" w:rsidRDefault="00F57973" w:rsidP="009552F7">
      <w:pPr>
        <w:pStyle w:val="Heading2"/>
        <w:widowControl w:val="0"/>
        <w:spacing w:after="0"/>
        <w:rPr>
          <w:sz w:val="20"/>
          <w:szCs w:val="20"/>
        </w:rPr>
      </w:pPr>
      <w:bookmarkStart w:id="41" w:name="_heading=h.2u6wntf" w:colFirst="0" w:colLast="0"/>
      <w:bookmarkEnd w:id="41"/>
    </w:p>
    <w:p w:rsidR="00F57973" w:rsidRDefault="006024E1">
      <w:pPr>
        <w:pStyle w:val="Heading2"/>
        <w:widowControl w:val="0"/>
        <w:spacing w:after="0"/>
        <w:ind w:firstLine="15"/>
        <w:rPr>
          <w:sz w:val="20"/>
          <w:szCs w:val="20"/>
        </w:rPr>
      </w:pPr>
      <w:bookmarkStart w:id="42" w:name="_heading=h.19c6y18" w:colFirst="0" w:colLast="0"/>
      <w:bookmarkEnd w:id="42"/>
      <w:r>
        <w:rPr>
          <w:sz w:val="20"/>
          <w:szCs w:val="20"/>
        </w:rPr>
        <w:t>Supplementary Table 4. Patient clinical and pathologic staging and pathologic tumor response</w:t>
      </w:r>
    </w:p>
    <w:p w:rsidR="00F57973" w:rsidRDefault="006024E1">
      <w:pPr>
        <w:pBdr>
          <w:top w:val="nil"/>
          <w:left w:val="nil"/>
          <w:bottom w:val="nil"/>
          <w:right w:val="nil"/>
          <w:between w:val="nil"/>
        </w:pBdr>
        <w:spacing w:after="0"/>
        <w:rPr>
          <w:color w:val="000000"/>
        </w:rPr>
      </w:pPr>
      <w:r>
        <w:rPr>
          <w:color w:val="000000"/>
        </w:rPr>
        <w:t>Patients were clinically staged (TNM) prior to treatment and pathologically staged at the time of surgical resection.</w:t>
      </w:r>
      <w:r>
        <w:rPr>
          <w:color w:val="000000"/>
        </w:rPr>
        <w:t xml:space="preserve"> Quantification of treatment effect is defined by the percentage of sample containing keratinous debris, necrotic tumor, and histiocytic reactions. Surgical specimens defined as having PTR had pathologic findings of tumor cell necrosis and keratinous debri</w:t>
      </w:r>
      <w:r>
        <w:rPr>
          <w:color w:val="000000"/>
        </w:rPr>
        <w:t>s with giant cell/histiocytic reaction present in the tumor bed of surgery specimens but not in pretreatment biopsy specimen.  PTR was scored for the primary tumor and lymph node resection at the first surgery (13-22 days post-treatment). Downstaging is de</w:t>
      </w:r>
      <w:r>
        <w:rPr>
          <w:color w:val="000000"/>
        </w:rPr>
        <w:t>fined by reduced TNM staging over the course of treatment, comparing baseline clinical to post-treatment pathologic staging.</w:t>
      </w:r>
    </w:p>
    <w:p w:rsidR="00F57973" w:rsidRDefault="00F57973">
      <w:pPr>
        <w:pStyle w:val="Heading2"/>
        <w:widowControl w:val="0"/>
        <w:spacing w:after="0"/>
        <w:ind w:firstLine="15"/>
        <w:rPr>
          <w:sz w:val="20"/>
          <w:szCs w:val="20"/>
        </w:rPr>
      </w:pPr>
      <w:bookmarkStart w:id="43" w:name="_heading=h.3tbugp1" w:colFirst="0" w:colLast="0"/>
      <w:bookmarkEnd w:id="43"/>
    </w:p>
    <w:p w:rsidR="00F57973" w:rsidRDefault="006024E1">
      <w:pPr>
        <w:pStyle w:val="Heading2"/>
        <w:widowControl w:val="0"/>
        <w:spacing w:after="0"/>
        <w:ind w:firstLine="15"/>
        <w:rPr>
          <w:sz w:val="20"/>
          <w:szCs w:val="20"/>
        </w:rPr>
      </w:pPr>
      <w:bookmarkStart w:id="44" w:name="_heading=h.28h4qwu" w:colFirst="0" w:colLast="0"/>
      <w:bookmarkEnd w:id="44"/>
      <w:r>
        <w:rPr>
          <w:sz w:val="20"/>
          <w:szCs w:val="20"/>
        </w:rPr>
        <w:t>Supplementary Table 5. Patient characteristics by pathologic tumor response status</w:t>
      </w:r>
    </w:p>
    <w:p w:rsidR="00F57973" w:rsidRDefault="00F57973" w:rsidP="009552F7">
      <w:pPr>
        <w:pStyle w:val="Heading2"/>
        <w:widowControl w:val="0"/>
        <w:spacing w:after="0"/>
        <w:rPr>
          <w:sz w:val="20"/>
          <w:szCs w:val="20"/>
        </w:rPr>
      </w:pPr>
      <w:bookmarkStart w:id="45" w:name="_heading=h.nmf14n" w:colFirst="0" w:colLast="0"/>
      <w:bookmarkEnd w:id="45"/>
    </w:p>
    <w:p w:rsidR="00F57973" w:rsidRDefault="006024E1">
      <w:pPr>
        <w:pStyle w:val="Heading2"/>
        <w:widowControl w:val="0"/>
        <w:spacing w:after="0"/>
        <w:ind w:firstLine="15"/>
        <w:rPr>
          <w:sz w:val="20"/>
          <w:szCs w:val="20"/>
        </w:rPr>
      </w:pPr>
      <w:bookmarkStart w:id="46" w:name="_heading=h.37m2jsg" w:colFirst="0" w:colLast="0"/>
      <w:bookmarkEnd w:id="46"/>
      <w:r>
        <w:rPr>
          <w:sz w:val="20"/>
          <w:szCs w:val="20"/>
        </w:rPr>
        <w:t>Supplementary Table 6. Comparison of trial pa</w:t>
      </w:r>
      <w:r>
        <w:rPr>
          <w:sz w:val="20"/>
          <w:szCs w:val="20"/>
        </w:rPr>
        <w:t>tients with prior institutional HNSCC cohort</w:t>
      </w:r>
    </w:p>
    <w:p w:rsidR="00F57973" w:rsidRDefault="00F57973">
      <w:pPr>
        <w:widowControl w:val="0"/>
        <w:pBdr>
          <w:top w:val="nil"/>
          <w:left w:val="nil"/>
          <w:bottom w:val="nil"/>
          <w:right w:val="nil"/>
          <w:between w:val="nil"/>
        </w:pBdr>
        <w:spacing w:after="0"/>
        <w:rPr>
          <w:color w:val="000000"/>
        </w:rPr>
      </w:pPr>
    </w:p>
    <w:p w:rsidR="00F57973" w:rsidRDefault="006024E1">
      <w:pPr>
        <w:pStyle w:val="Heading2"/>
        <w:spacing w:after="0"/>
        <w:rPr>
          <w:sz w:val="20"/>
          <w:szCs w:val="20"/>
        </w:rPr>
      </w:pPr>
      <w:bookmarkStart w:id="47" w:name="_heading=h.1mrcu09" w:colFirst="0" w:colLast="0"/>
      <w:bookmarkEnd w:id="47"/>
      <w:r>
        <w:rPr>
          <w:sz w:val="20"/>
          <w:szCs w:val="20"/>
        </w:rPr>
        <w:t>Supplementary Table 7. Immune cell populations detected by deconvolution (Absolute scores)</w:t>
      </w:r>
    </w:p>
    <w:p w:rsidR="00F57973" w:rsidRDefault="006024E1">
      <w:pPr>
        <w:pBdr>
          <w:top w:val="nil"/>
          <w:left w:val="nil"/>
          <w:bottom w:val="nil"/>
          <w:right w:val="nil"/>
          <w:between w:val="nil"/>
        </w:pBdr>
        <w:spacing w:after="0"/>
        <w:rPr>
          <w:color w:val="000000"/>
        </w:rPr>
      </w:pPr>
      <w:r>
        <w:rPr>
          <w:color w:val="000000"/>
        </w:rPr>
        <w:t xml:space="preserve">CIBERSORT was used to perform immune cell deconvolution on RNA sequencing data. CIBERSORT was run in Relative and Absolute modes, with 1000 permutations against the reference LM22 mixtures file. Quantile normalization was disabled. This table includes the </w:t>
      </w:r>
      <w:r>
        <w:rPr>
          <w:color w:val="000000"/>
        </w:rPr>
        <w:t>Absolute scores associated with each immune cell population. Absolute values were also used for statistical analysis and visual display in the main text.</w:t>
      </w:r>
    </w:p>
    <w:p w:rsidR="00F57973" w:rsidRDefault="00F57973">
      <w:pPr>
        <w:pStyle w:val="Heading2"/>
        <w:spacing w:after="0"/>
        <w:rPr>
          <w:sz w:val="20"/>
          <w:szCs w:val="20"/>
        </w:rPr>
      </w:pPr>
      <w:bookmarkStart w:id="48" w:name="_heading=h.46r0co2" w:colFirst="0" w:colLast="0"/>
      <w:bookmarkEnd w:id="48"/>
    </w:p>
    <w:p w:rsidR="00F57973" w:rsidRDefault="006024E1">
      <w:pPr>
        <w:pStyle w:val="Heading2"/>
        <w:spacing w:after="0"/>
        <w:rPr>
          <w:sz w:val="20"/>
          <w:szCs w:val="20"/>
        </w:rPr>
      </w:pPr>
      <w:bookmarkStart w:id="49" w:name="_heading=h.2lwamvv" w:colFirst="0" w:colLast="0"/>
      <w:bookmarkEnd w:id="49"/>
      <w:r>
        <w:rPr>
          <w:sz w:val="20"/>
          <w:szCs w:val="20"/>
        </w:rPr>
        <w:t>Supplementary Table 8. Differential gene expression analysis</w:t>
      </w:r>
    </w:p>
    <w:p w:rsidR="00F57973" w:rsidRDefault="006024E1">
      <w:pPr>
        <w:pBdr>
          <w:top w:val="nil"/>
          <w:left w:val="nil"/>
          <w:bottom w:val="nil"/>
          <w:right w:val="nil"/>
          <w:between w:val="nil"/>
        </w:pBdr>
        <w:spacing w:after="0"/>
        <w:rPr>
          <w:color w:val="000000"/>
        </w:rPr>
      </w:pPr>
      <w:r>
        <w:rPr>
          <w:color w:val="000000"/>
        </w:rPr>
        <w:t>Differential gene expression analysis wa</w:t>
      </w:r>
      <w:r>
        <w:rPr>
          <w:color w:val="000000"/>
        </w:rPr>
        <w:t>s performed using the R package DESeq2 across the following comparisons: (Columns B-D) Pre-treatment tumor biopsies in patients with pTR (n=6) vs. those without pTR (n=10), (Columns E-G) Matched post-treatment vs. pre-treatment tumor samples in patients wi</w:t>
      </w:r>
      <w:r>
        <w:rPr>
          <w:color w:val="000000"/>
        </w:rPr>
        <w:t xml:space="preserve">th pTR (n=4), and (Columns H-J) Matched post-treatment vs. pre-treatment tumor samples in patients without pTR (n=10). Genes (Column A) that are shown are those that were significantly differentially expressed (p&lt;0·01, </w:t>
      </w:r>
      <w:proofErr w:type="spellStart"/>
      <w:r>
        <w:rPr>
          <w:color w:val="000000"/>
        </w:rPr>
        <w:t>padj</w:t>
      </w:r>
      <w:proofErr w:type="spellEnd"/>
      <w:r>
        <w:rPr>
          <w:color w:val="000000"/>
        </w:rPr>
        <w:t>&lt;0·2) in at least one of the comp</w:t>
      </w:r>
      <w:r>
        <w:rPr>
          <w:color w:val="000000"/>
        </w:rPr>
        <w:t>arisons.</w:t>
      </w:r>
    </w:p>
    <w:p w:rsidR="00F57973" w:rsidRDefault="00F57973">
      <w:pPr>
        <w:pStyle w:val="Heading2"/>
        <w:spacing w:after="0"/>
        <w:rPr>
          <w:sz w:val="20"/>
          <w:szCs w:val="20"/>
        </w:rPr>
      </w:pPr>
      <w:bookmarkStart w:id="50" w:name="_heading=h.111kx3o" w:colFirst="0" w:colLast="0"/>
      <w:bookmarkStart w:id="51" w:name="_heading=h.206ipza" w:colFirst="0" w:colLast="0"/>
      <w:bookmarkEnd w:id="50"/>
      <w:bookmarkEnd w:id="51"/>
    </w:p>
    <w:p w:rsidR="00F57973" w:rsidRDefault="006024E1">
      <w:pPr>
        <w:pStyle w:val="Heading2"/>
        <w:spacing w:after="0"/>
        <w:rPr>
          <w:sz w:val="20"/>
          <w:szCs w:val="20"/>
        </w:rPr>
      </w:pPr>
      <w:bookmarkStart w:id="52" w:name="_heading=h.4k668n3" w:colFirst="0" w:colLast="0"/>
      <w:bookmarkEnd w:id="52"/>
      <w:r>
        <w:rPr>
          <w:sz w:val="20"/>
          <w:szCs w:val="20"/>
        </w:rPr>
        <w:t>Supplementary Table 9. SNVs and indels detected across all patients (Exome sequencing)</w:t>
      </w:r>
    </w:p>
    <w:p w:rsidR="00F57973" w:rsidRDefault="006024E1">
      <w:pPr>
        <w:pBdr>
          <w:top w:val="nil"/>
          <w:left w:val="nil"/>
          <w:bottom w:val="nil"/>
          <w:right w:val="nil"/>
          <w:between w:val="nil"/>
        </w:pBdr>
        <w:spacing w:after="0"/>
        <w:rPr>
          <w:color w:val="000000"/>
        </w:rPr>
      </w:pPr>
      <w:r>
        <w:rPr>
          <w:color w:val="000000"/>
        </w:rPr>
        <w:t xml:space="preserve">This table includes all </w:t>
      </w:r>
      <w:proofErr w:type="spellStart"/>
      <w:r>
        <w:rPr>
          <w:color w:val="000000"/>
        </w:rPr>
        <w:t>nonsilent</w:t>
      </w:r>
      <w:proofErr w:type="spellEnd"/>
      <w:r>
        <w:rPr>
          <w:color w:val="000000"/>
        </w:rPr>
        <w:t xml:space="preserve"> SNVs and Indels detected within each patient (Columns A-B), the coordinates and annotation (Columns C-N), and the presence </w:t>
      </w:r>
      <w:r>
        <w:rPr>
          <w:color w:val="000000"/>
        </w:rPr>
        <w:t>of the variant across samples (Columns O-Z). The last column, ‘category,’ indicates whether there was at least one Class I and/or Class II neoantigen predicted for the corresponding patient, based upon their predicted HLA type.</w:t>
      </w:r>
    </w:p>
    <w:p w:rsidR="00F57973" w:rsidRDefault="00F57973">
      <w:pPr>
        <w:pStyle w:val="Heading2"/>
        <w:spacing w:after="0"/>
        <w:rPr>
          <w:sz w:val="20"/>
          <w:szCs w:val="20"/>
        </w:rPr>
      </w:pPr>
      <w:bookmarkStart w:id="53" w:name="_heading=h.2zbgiuw" w:colFirst="0" w:colLast="0"/>
      <w:bookmarkEnd w:id="53"/>
    </w:p>
    <w:p w:rsidR="00F57973" w:rsidRDefault="006024E1">
      <w:pPr>
        <w:pBdr>
          <w:top w:val="nil"/>
          <w:left w:val="nil"/>
          <w:bottom w:val="nil"/>
          <w:right w:val="nil"/>
          <w:between w:val="nil"/>
        </w:pBdr>
        <w:spacing w:after="0"/>
        <w:rPr>
          <w:b/>
          <w:color w:val="000000"/>
        </w:rPr>
      </w:pPr>
      <w:r>
        <w:br w:type="page"/>
      </w:r>
    </w:p>
    <w:p w:rsidR="00F57973" w:rsidRDefault="00F57973">
      <w:pPr>
        <w:pBdr>
          <w:top w:val="nil"/>
          <w:left w:val="nil"/>
          <w:bottom w:val="nil"/>
          <w:right w:val="nil"/>
          <w:between w:val="nil"/>
        </w:pBdr>
        <w:spacing w:after="0"/>
        <w:rPr>
          <w:b/>
          <w:color w:val="000000"/>
        </w:rPr>
      </w:pPr>
    </w:p>
    <w:p w:rsidR="00F57973" w:rsidRDefault="006024E1">
      <w:pPr>
        <w:pStyle w:val="Heading1"/>
        <w:spacing w:before="0" w:after="0"/>
      </w:pPr>
      <w:bookmarkStart w:id="54" w:name="_heading=h.1jlao46" w:colFirst="0" w:colLast="0"/>
      <w:bookmarkEnd w:id="54"/>
      <w:r>
        <w:t>REFERENCES (SUPPLEMENTAR</w:t>
      </w:r>
      <w:r>
        <w:t>Y APPENDIX)</w:t>
      </w:r>
    </w:p>
    <w:p w:rsidR="00F57973" w:rsidRDefault="006024E1">
      <w:pPr>
        <w:widowControl w:val="0"/>
        <w:numPr>
          <w:ilvl w:val="0"/>
          <w:numId w:val="1"/>
        </w:numPr>
        <w:pBdr>
          <w:top w:val="nil"/>
          <w:left w:val="nil"/>
          <w:bottom w:val="nil"/>
          <w:right w:val="nil"/>
          <w:between w:val="nil"/>
        </w:pBdr>
        <w:spacing w:after="0"/>
      </w:pPr>
      <w:hyperlink r:id="rId52">
        <w:r>
          <w:rPr>
            <w:color w:val="000000"/>
          </w:rPr>
          <w:t xml:space="preserve">Anders, S., </w:t>
        </w:r>
        <w:proofErr w:type="spellStart"/>
        <w:r>
          <w:rPr>
            <w:color w:val="000000"/>
          </w:rPr>
          <w:t>Pyl</w:t>
        </w:r>
        <w:proofErr w:type="spellEnd"/>
        <w:r>
          <w:rPr>
            <w:color w:val="000000"/>
          </w:rPr>
          <w:t xml:space="preserve">, P. T., &amp; Huber, W. (2015). </w:t>
        </w:r>
        <w:proofErr w:type="spellStart"/>
        <w:r>
          <w:rPr>
            <w:color w:val="000000"/>
          </w:rPr>
          <w:t>HTSeq</w:t>
        </w:r>
        <w:proofErr w:type="spellEnd"/>
        <w:r>
          <w:rPr>
            <w:color w:val="000000"/>
          </w:rPr>
          <w:t xml:space="preserve">--a Python framework to work with high-throughput sequencing data. </w:t>
        </w:r>
      </w:hyperlink>
      <w:hyperlink r:id="rId53">
        <w:r>
          <w:rPr>
            <w:i/>
            <w:color w:val="000000"/>
          </w:rPr>
          <w:t xml:space="preserve">Bioinformatics </w:t>
        </w:r>
      </w:hyperlink>
      <w:hyperlink r:id="rId54">
        <w:r>
          <w:rPr>
            <w:color w:val="000000"/>
          </w:rPr>
          <w:t xml:space="preserve">, </w:t>
        </w:r>
      </w:hyperlink>
      <w:hyperlink r:id="rId55">
        <w:r>
          <w:rPr>
            <w:i/>
            <w:color w:val="000000"/>
          </w:rPr>
          <w:t>31</w:t>
        </w:r>
      </w:hyperlink>
      <w:hyperlink r:id="rId56">
        <w:r>
          <w:rPr>
            <w:color w:val="000000"/>
          </w:rPr>
          <w:t>(2), 166–169.</w:t>
        </w:r>
      </w:hyperlink>
    </w:p>
    <w:p w:rsidR="00F57973" w:rsidRDefault="006024E1">
      <w:pPr>
        <w:widowControl w:val="0"/>
        <w:numPr>
          <w:ilvl w:val="0"/>
          <w:numId w:val="1"/>
        </w:numPr>
        <w:pBdr>
          <w:top w:val="nil"/>
          <w:left w:val="nil"/>
          <w:bottom w:val="nil"/>
          <w:right w:val="nil"/>
          <w:between w:val="nil"/>
        </w:pBdr>
        <w:spacing w:after="0"/>
      </w:pPr>
      <w:hyperlink r:id="rId57">
        <w:r>
          <w:rPr>
            <w:color w:val="000000"/>
          </w:rPr>
          <w:t>Barnell, E. K., Ronning, P., Campbell, K. M., Krysiak, K., Ainscough, B. J., Ramirez, C.</w:t>
        </w:r>
        <w:r>
          <w:rPr>
            <w:color w:val="000000"/>
          </w:rPr>
          <w:t>, Spies, N., Kunisaki, J., Hundal, J., Skidmore, Z. L., Gomez, F., Trani, L., Matlock, M., Wagner, A. H., Joshua Swamidass, S., Griffith, M., &amp; Griffith, O. L. (2018). Standard operating procedure for somatic variant refinement of tumor sequencing data. In</w:t>
        </w:r>
        <w:r>
          <w:rPr>
            <w:color w:val="000000"/>
          </w:rPr>
          <w:t xml:space="preserve"> </w:t>
        </w:r>
      </w:hyperlink>
      <w:hyperlink r:id="rId58">
        <w:r>
          <w:rPr>
            <w:i/>
            <w:color w:val="000000"/>
          </w:rPr>
          <w:t>bioRxiv</w:t>
        </w:r>
      </w:hyperlink>
      <w:hyperlink r:id="rId59">
        <w:r>
          <w:rPr>
            <w:color w:val="000000"/>
          </w:rPr>
          <w:t xml:space="preserve"> (p. 266262). https://doi.org/</w:t>
        </w:r>
      </w:hyperlink>
      <w:hyperlink r:id="rId60">
        <w:r>
          <w:rPr>
            <w:color w:val="000000"/>
          </w:rPr>
          <w:t>10.1101/266262</w:t>
        </w:r>
      </w:hyperlink>
    </w:p>
    <w:p w:rsidR="00F57973" w:rsidRDefault="006024E1">
      <w:pPr>
        <w:widowControl w:val="0"/>
        <w:numPr>
          <w:ilvl w:val="0"/>
          <w:numId w:val="1"/>
        </w:numPr>
        <w:pBdr>
          <w:top w:val="nil"/>
          <w:left w:val="nil"/>
          <w:bottom w:val="nil"/>
          <w:right w:val="nil"/>
          <w:between w:val="nil"/>
        </w:pBdr>
        <w:spacing w:after="0"/>
      </w:pPr>
      <w:hyperlink r:id="rId61">
        <w:r>
          <w:rPr>
            <w:color w:val="000000"/>
          </w:rPr>
          <w:t xml:space="preserve">Carey, C. D., </w:t>
        </w:r>
        <w:proofErr w:type="spellStart"/>
        <w:r>
          <w:rPr>
            <w:color w:val="000000"/>
          </w:rPr>
          <w:t>Gusenleitner</w:t>
        </w:r>
        <w:proofErr w:type="spellEnd"/>
        <w:r>
          <w:rPr>
            <w:color w:val="000000"/>
          </w:rPr>
          <w:t xml:space="preserve">, D., Lipschitz, M., Roemer, M. G. M., Stack, E. C., </w:t>
        </w:r>
        <w:proofErr w:type="spellStart"/>
        <w:r>
          <w:rPr>
            <w:color w:val="000000"/>
          </w:rPr>
          <w:t>Gjini</w:t>
        </w:r>
        <w:proofErr w:type="spellEnd"/>
        <w:r>
          <w:rPr>
            <w:color w:val="000000"/>
          </w:rPr>
          <w:t xml:space="preserve">, E., Hu, X., Redd, R., Freeman, G. J., </w:t>
        </w:r>
        <w:proofErr w:type="spellStart"/>
        <w:r>
          <w:rPr>
            <w:color w:val="000000"/>
          </w:rPr>
          <w:t>Neuberg</w:t>
        </w:r>
        <w:proofErr w:type="spellEnd"/>
        <w:r>
          <w:rPr>
            <w:color w:val="000000"/>
          </w:rPr>
          <w:t xml:space="preserve">, D., Hodi, F. S., Liu, X. S., Shipp, M. A., &amp; </w:t>
        </w:r>
        <w:proofErr w:type="spellStart"/>
        <w:r>
          <w:rPr>
            <w:color w:val="000000"/>
          </w:rPr>
          <w:t>Rodig</w:t>
        </w:r>
        <w:proofErr w:type="spellEnd"/>
        <w:r>
          <w:rPr>
            <w:color w:val="000000"/>
          </w:rPr>
          <w:t>, S. J. (2017). Topo</w:t>
        </w:r>
        <w:r>
          <w:rPr>
            <w:color w:val="000000"/>
          </w:rPr>
          <w:t xml:space="preserve">logical analysis reveals a PD-L1-associated microenvironmental niche for Reed-Sternberg cells in Hodgkin lymphoma. </w:t>
        </w:r>
      </w:hyperlink>
      <w:hyperlink r:id="rId62">
        <w:r>
          <w:rPr>
            <w:i/>
            <w:color w:val="000000"/>
          </w:rPr>
          <w:t>Blood</w:t>
        </w:r>
      </w:hyperlink>
      <w:hyperlink r:id="rId63">
        <w:r>
          <w:rPr>
            <w:color w:val="000000"/>
          </w:rPr>
          <w:t xml:space="preserve">, </w:t>
        </w:r>
      </w:hyperlink>
      <w:hyperlink r:id="rId64">
        <w:r>
          <w:rPr>
            <w:i/>
            <w:color w:val="000000"/>
          </w:rPr>
          <w:t>130</w:t>
        </w:r>
      </w:hyperlink>
      <w:hyperlink r:id="rId65">
        <w:r>
          <w:rPr>
            <w:color w:val="000000"/>
          </w:rPr>
          <w:t>(22), 2420–2430.</w:t>
        </w:r>
      </w:hyperlink>
    </w:p>
    <w:p w:rsidR="00F57973" w:rsidRDefault="006024E1">
      <w:pPr>
        <w:widowControl w:val="0"/>
        <w:numPr>
          <w:ilvl w:val="0"/>
          <w:numId w:val="1"/>
        </w:numPr>
        <w:pBdr>
          <w:top w:val="nil"/>
          <w:left w:val="nil"/>
          <w:bottom w:val="nil"/>
          <w:right w:val="nil"/>
          <w:between w:val="nil"/>
        </w:pBdr>
        <w:spacing w:after="0"/>
      </w:pPr>
      <w:hyperlink r:id="rId66">
        <w:r>
          <w:rPr>
            <w:color w:val="000000"/>
          </w:rPr>
          <w:t>Chen, X., Schulz-</w:t>
        </w:r>
        <w:proofErr w:type="spellStart"/>
        <w:r>
          <w:rPr>
            <w:color w:val="000000"/>
          </w:rPr>
          <w:t>Trieglaff</w:t>
        </w:r>
        <w:proofErr w:type="spellEnd"/>
        <w:r>
          <w:rPr>
            <w:color w:val="000000"/>
          </w:rPr>
          <w:t xml:space="preserve">, O., Shaw, R., Barnes, B., Schlesinger, F., </w:t>
        </w:r>
        <w:proofErr w:type="spellStart"/>
        <w:r>
          <w:rPr>
            <w:color w:val="000000"/>
          </w:rPr>
          <w:t>Källberg</w:t>
        </w:r>
        <w:proofErr w:type="spellEnd"/>
        <w:r>
          <w:rPr>
            <w:color w:val="000000"/>
          </w:rPr>
          <w:t>, M., Cox, A. J.</w:t>
        </w:r>
        <w:r>
          <w:rPr>
            <w:color w:val="000000"/>
          </w:rPr>
          <w:t xml:space="preserve">, </w:t>
        </w:r>
        <w:proofErr w:type="spellStart"/>
        <w:r>
          <w:rPr>
            <w:color w:val="000000"/>
          </w:rPr>
          <w:t>Kruglyak</w:t>
        </w:r>
        <w:proofErr w:type="spellEnd"/>
        <w:r>
          <w:rPr>
            <w:color w:val="000000"/>
          </w:rPr>
          <w:t xml:space="preserve">, S., &amp; Saunders, C. T. (2016). Manta: rapid detection of structural variants and indels for germline and cancer sequencing applications. </w:t>
        </w:r>
      </w:hyperlink>
      <w:hyperlink r:id="rId67">
        <w:r>
          <w:rPr>
            <w:i/>
            <w:color w:val="000000"/>
          </w:rPr>
          <w:t xml:space="preserve">Bioinformatics </w:t>
        </w:r>
      </w:hyperlink>
      <w:hyperlink r:id="rId68">
        <w:r>
          <w:rPr>
            <w:color w:val="000000"/>
          </w:rPr>
          <w:t xml:space="preserve">, </w:t>
        </w:r>
      </w:hyperlink>
      <w:hyperlink r:id="rId69">
        <w:r>
          <w:rPr>
            <w:i/>
            <w:color w:val="000000"/>
          </w:rPr>
          <w:t>32</w:t>
        </w:r>
      </w:hyperlink>
      <w:hyperlink r:id="rId70">
        <w:r>
          <w:rPr>
            <w:color w:val="000000"/>
          </w:rPr>
          <w:t>(8), 1220–1222.</w:t>
        </w:r>
      </w:hyperlink>
    </w:p>
    <w:p w:rsidR="00F57973" w:rsidRDefault="006024E1">
      <w:pPr>
        <w:widowControl w:val="0"/>
        <w:numPr>
          <w:ilvl w:val="0"/>
          <w:numId w:val="1"/>
        </w:numPr>
        <w:pBdr>
          <w:top w:val="nil"/>
          <w:left w:val="nil"/>
          <w:bottom w:val="nil"/>
          <w:right w:val="nil"/>
          <w:between w:val="nil"/>
        </w:pBdr>
        <w:spacing w:after="0"/>
      </w:pPr>
      <w:hyperlink r:id="rId71">
        <w:r>
          <w:rPr>
            <w:color w:val="000000"/>
          </w:rPr>
          <w:t>Chiang, C., Layer, R. M., Faust, G. G., Lindberg, M. R</w:t>
        </w:r>
        <w:r>
          <w:rPr>
            <w:color w:val="000000"/>
          </w:rPr>
          <w:t xml:space="preserve">., Rose, D. B., Garrison, E. P., Marth, G. T., Quinlan, A. R., &amp; Hall, I. M. (2015). </w:t>
        </w:r>
        <w:proofErr w:type="spellStart"/>
        <w:r>
          <w:rPr>
            <w:color w:val="000000"/>
          </w:rPr>
          <w:t>SpeedSeq</w:t>
        </w:r>
        <w:proofErr w:type="spellEnd"/>
        <w:r>
          <w:rPr>
            <w:color w:val="000000"/>
          </w:rPr>
          <w:t xml:space="preserve">: ultra-fast personal genome analysis and interpretation. </w:t>
        </w:r>
      </w:hyperlink>
      <w:hyperlink r:id="rId72">
        <w:r>
          <w:rPr>
            <w:i/>
            <w:color w:val="000000"/>
          </w:rPr>
          <w:t>Nature Methods</w:t>
        </w:r>
      </w:hyperlink>
      <w:hyperlink r:id="rId73">
        <w:r>
          <w:rPr>
            <w:color w:val="000000"/>
          </w:rPr>
          <w:t xml:space="preserve">, </w:t>
        </w:r>
      </w:hyperlink>
      <w:hyperlink r:id="rId74">
        <w:r>
          <w:rPr>
            <w:i/>
            <w:color w:val="000000"/>
          </w:rPr>
          <w:t>12</w:t>
        </w:r>
      </w:hyperlink>
      <w:hyperlink r:id="rId75">
        <w:r>
          <w:rPr>
            <w:color w:val="000000"/>
          </w:rPr>
          <w:t>(10), 966–968.</w:t>
        </w:r>
      </w:hyperlink>
    </w:p>
    <w:p w:rsidR="00F57973" w:rsidRDefault="006024E1">
      <w:pPr>
        <w:widowControl w:val="0"/>
        <w:numPr>
          <w:ilvl w:val="0"/>
          <w:numId w:val="1"/>
        </w:numPr>
        <w:pBdr>
          <w:top w:val="nil"/>
          <w:left w:val="nil"/>
          <w:bottom w:val="nil"/>
          <w:right w:val="nil"/>
          <w:between w:val="nil"/>
        </w:pBdr>
        <w:spacing w:after="0"/>
      </w:pPr>
      <w:hyperlink r:id="rId76">
        <w:proofErr w:type="spellStart"/>
        <w:r>
          <w:rPr>
            <w:color w:val="000000"/>
          </w:rPr>
          <w:t>Cibulskis</w:t>
        </w:r>
        <w:proofErr w:type="spellEnd"/>
        <w:r>
          <w:rPr>
            <w:color w:val="000000"/>
          </w:rPr>
          <w:t xml:space="preserve">, K., Lawrence, M. S., Carter, S. L., </w:t>
        </w:r>
        <w:proofErr w:type="spellStart"/>
        <w:r>
          <w:rPr>
            <w:color w:val="000000"/>
          </w:rPr>
          <w:t>Sivach</w:t>
        </w:r>
        <w:r>
          <w:rPr>
            <w:color w:val="000000"/>
          </w:rPr>
          <w:t>enko</w:t>
        </w:r>
        <w:proofErr w:type="spellEnd"/>
        <w:r>
          <w:rPr>
            <w:color w:val="000000"/>
          </w:rPr>
          <w:t xml:space="preserve">, A., Jaffe, D., </w:t>
        </w:r>
        <w:proofErr w:type="spellStart"/>
        <w:r>
          <w:rPr>
            <w:color w:val="000000"/>
          </w:rPr>
          <w:t>Sougnez</w:t>
        </w:r>
        <w:proofErr w:type="spellEnd"/>
        <w:r>
          <w:rPr>
            <w:color w:val="000000"/>
          </w:rPr>
          <w:t xml:space="preserve">, C., Gabriel, S., Meyerson, M., Lander, E. S., &amp; Getz, G. (2013). Sensitive detection of somatic point mutations in impure and heterogeneous cancer samples. </w:t>
        </w:r>
      </w:hyperlink>
      <w:hyperlink r:id="rId77">
        <w:r>
          <w:rPr>
            <w:i/>
            <w:color w:val="000000"/>
          </w:rPr>
          <w:t>Nature Biotechn</w:t>
        </w:r>
        <w:r>
          <w:rPr>
            <w:i/>
            <w:color w:val="000000"/>
          </w:rPr>
          <w:t>ology</w:t>
        </w:r>
      </w:hyperlink>
      <w:hyperlink r:id="rId78">
        <w:r>
          <w:rPr>
            <w:color w:val="000000"/>
          </w:rPr>
          <w:t xml:space="preserve">, </w:t>
        </w:r>
      </w:hyperlink>
      <w:hyperlink r:id="rId79">
        <w:r>
          <w:rPr>
            <w:i/>
            <w:color w:val="000000"/>
          </w:rPr>
          <w:t>31</w:t>
        </w:r>
      </w:hyperlink>
      <w:hyperlink r:id="rId80">
        <w:r>
          <w:rPr>
            <w:color w:val="000000"/>
          </w:rPr>
          <w:t>(3), 213–219.</w:t>
        </w:r>
      </w:hyperlink>
    </w:p>
    <w:p w:rsidR="00F57973" w:rsidRDefault="006024E1">
      <w:pPr>
        <w:widowControl w:val="0"/>
        <w:numPr>
          <w:ilvl w:val="0"/>
          <w:numId w:val="1"/>
        </w:numPr>
        <w:pBdr>
          <w:top w:val="nil"/>
          <w:left w:val="nil"/>
          <w:bottom w:val="nil"/>
          <w:right w:val="nil"/>
          <w:between w:val="nil"/>
        </w:pBdr>
        <w:spacing w:after="0"/>
      </w:pPr>
      <w:hyperlink r:id="rId81">
        <w:r>
          <w:rPr>
            <w:color w:val="000000"/>
          </w:rPr>
          <w:t>Faust, G. G.,</w:t>
        </w:r>
        <w:r>
          <w:rPr>
            <w:color w:val="000000"/>
          </w:rPr>
          <w:t xml:space="preserve"> &amp; Hall, I. M. (2014). SAMBLASTER: fast duplicate </w:t>
        </w:r>
        <w:proofErr w:type="gramStart"/>
        <w:r>
          <w:rPr>
            <w:color w:val="000000"/>
          </w:rPr>
          <w:t>marking</w:t>
        </w:r>
        <w:proofErr w:type="gramEnd"/>
        <w:r>
          <w:rPr>
            <w:color w:val="000000"/>
          </w:rPr>
          <w:t xml:space="preserve"> and structural variant read extraction. </w:t>
        </w:r>
      </w:hyperlink>
      <w:hyperlink r:id="rId82">
        <w:r>
          <w:rPr>
            <w:i/>
            <w:color w:val="000000"/>
          </w:rPr>
          <w:t xml:space="preserve">Bioinformatics </w:t>
        </w:r>
      </w:hyperlink>
      <w:hyperlink r:id="rId83">
        <w:r>
          <w:rPr>
            <w:color w:val="000000"/>
          </w:rPr>
          <w:t xml:space="preserve">, </w:t>
        </w:r>
      </w:hyperlink>
      <w:hyperlink r:id="rId84">
        <w:r>
          <w:rPr>
            <w:i/>
            <w:color w:val="000000"/>
          </w:rPr>
          <w:t>30</w:t>
        </w:r>
      </w:hyperlink>
      <w:hyperlink r:id="rId85">
        <w:r>
          <w:rPr>
            <w:color w:val="000000"/>
          </w:rPr>
          <w:t>(17), 2503–2505.</w:t>
        </w:r>
      </w:hyperlink>
    </w:p>
    <w:p w:rsidR="00F57973" w:rsidRDefault="006024E1">
      <w:pPr>
        <w:widowControl w:val="0"/>
        <w:numPr>
          <w:ilvl w:val="0"/>
          <w:numId w:val="1"/>
        </w:numPr>
        <w:pBdr>
          <w:top w:val="nil"/>
          <w:left w:val="nil"/>
          <w:bottom w:val="nil"/>
          <w:right w:val="nil"/>
          <w:between w:val="nil"/>
        </w:pBdr>
        <w:spacing w:after="0"/>
      </w:pPr>
      <w:hyperlink r:id="rId86">
        <w:r>
          <w:rPr>
            <w:color w:val="000000"/>
          </w:rPr>
          <w:t>Griffith, M., Gri</w:t>
        </w:r>
        <w:r>
          <w:rPr>
            <w:color w:val="000000"/>
          </w:rPr>
          <w:t xml:space="preserve">ffith, O. L., Smith, S. M., </w:t>
        </w:r>
        <w:proofErr w:type="spellStart"/>
        <w:r>
          <w:rPr>
            <w:color w:val="000000"/>
          </w:rPr>
          <w:t>Ramu</w:t>
        </w:r>
        <w:proofErr w:type="spellEnd"/>
        <w:r>
          <w:rPr>
            <w:color w:val="000000"/>
          </w:rPr>
          <w:t xml:space="preserve">, A., Callaway, M. B., Brummett, A. M., </w:t>
        </w:r>
        <w:proofErr w:type="spellStart"/>
        <w:r>
          <w:rPr>
            <w:color w:val="000000"/>
          </w:rPr>
          <w:t>Kiwala</w:t>
        </w:r>
        <w:proofErr w:type="spellEnd"/>
        <w:r>
          <w:rPr>
            <w:color w:val="000000"/>
          </w:rPr>
          <w:t xml:space="preserve">, M. J., Coffman, A. C., </w:t>
        </w:r>
        <w:proofErr w:type="spellStart"/>
        <w:r>
          <w:rPr>
            <w:color w:val="000000"/>
          </w:rPr>
          <w:t>Regier</w:t>
        </w:r>
        <w:proofErr w:type="spellEnd"/>
        <w:r>
          <w:rPr>
            <w:color w:val="000000"/>
          </w:rPr>
          <w:t xml:space="preserve">, A. A., </w:t>
        </w:r>
        <w:proofErr w:type="spellStart"/>
        <w:r>
          <w:rPr>
            <w:color w:val="000000"/>
          </w:rPr>
          <w:t>Oberkfell</w:t>
        </w:r>
        <w:proofErr w:type="spellEnd"/>
        <w:r>
          <w:rPr>
            <w:color w:val="000000"/>
          </w:rPr>
          <w:t xml:space="preserve">, B. J., Sanderson, G. E., Mooney, T. P., </w:t>
        </w:r>
        <w:proofErr w:type="spellStart"/>
        <w:r>
          <w:rPr>
            <w:color w:val="000000"/>
          </w:rPr>
          <w:t>Nutter</w:t>
        </w:r>
        <w:proofErr w:type="spellEnd"/>
        <w:r>
          <w:rPr>
            <w:color w:val="000000"/>
          </w:rPr>
          <w:t>, N. G., Belter, E. A., Du, F., Long, R. L., Abbott, T. E., Ferguson, I. T., Mort</w:t>
        </w:r>
        <w:r>
          <w:rPr>
            <w:color w:val="000000"/>
          </w:rPr>
          <w:t xml:space="preserve">on, D. L., … Wilson, R. K. (2015). Genome Modeling System: A Knowledge Management Platform for Genomics. </w:t>
        </w:r>
      </w:hyperlink>
      <w:hyperlink r:id="rId87">
        <w:proofErr w:type="spellStart"/>
        <w:r>
          <w:rPr>
            <w:i/>
            <w:color w:val="000000"/>
          </w:rPr>
          <w:t>PLoS</w:t>
        </w:r>
        <w:proofErr w:type="spellEnd"/>
        <w:r>
          <w:rPr>
            <w:i/>
            <w:color w:val="000000"/>
          </w:rPr>
          <w:t xml:space="preserve"> Computational Biology</w:t>
        </w:r>
      </w:hyperlink>
      <w:hyperlink r:id="rId88">
        <w:r>
          <w:rPr>
            <w:color w:val="000000"/>
          </w:rPr>
          <w:t xml:space="preserve">, </w:t>
        </w:r>
      </w:hyperlink>
      <w:hyperlink r:id="rId89">
        <w:r>
          <w:rPr>
            <w:i/>
            <w:color w:val="000000"/>
          </w:rPr>
          <w:t>11</w:t>
        </w:r>
      </w:hyperlink>
      <w:hyperlink r:id="rId90">
        <w:r>
          <w:rPr>
            <w:color w:val="000000"/>
          </w:rPr>
          <w:t>(7), e1004274.</w:t>
        </w:r>
      </w:hyperlink>
    </w:p>
    <w:p w:rsidR="00F57973" w:rsidRDefault="006024E1">
      <w:pPr>
        <w:widowControl w:val="0"/>
        <w:numPr>
          <w:ilvl w:val="0"/>
          <w:numId w:val="1"/>
        </w:numPr>
        <w:pBdr>
          <w:top w:val="nil"/>
          <w:left w:val="nil"/>
          <w:bottom w:val="nil"/>
          <w:right w:val="nil"/>
          <w:between w:val="nil"/>
        </w:pBdr>
        <w:spacing w:after="0"/>
      </w:pPr>
      <w:hyperlink r:id="rId91">
        <w:r>
          <w:rPr>
            <w:color w:val="000000"/>
          </w:rPr>
          <w:t xml:space="preserve">Griffith, M., Miller, C. A., Griffith, O. L., </w:t>
        </w:r>
        <w:proofErr w:type="spellStart"/>
        <w:r>
          <w:rPr>
            <w:color w:val="000000"/>
          </w:rPr>
          <w:t>Krysiak</w:t>
        </w:r>
        <w:proofErr w:type="spellEnd"/>
        <w:r>
          <w:rPr>
            <w:color w:val="000000"/>
          </w:rPr>
          <w:t xml:space="preserve">, K., Skidmore, Z. L., </w:t>
        </w:r>
        <w:proofErr w:type="spellStart"/>
        <w:r>
          <w:rPr>
            <w:color w:val="000000"/>
          </w:rPr>
          <w:t>Ramu</w:t>
        </w:r>
        <w:proofErr w:type="spellEnd"/>
        <w:r>
          <w:rPr>
            <w:color w:val="000000"/>
          </w:rPr>
          <w:t>, A., W</w:t>
        </w:r>
        <w:r>
          <w:rPr>
            <w:color w:val="000000"/>
          </w:rPr>
          <w:t xml:space="preserve">alker, J. R., Dang, H. X., </w:t>
        </w:r>
        <w:proofErr w:type="spellStart"/>
        <w:r>
          <w:rPr>
            <w:color w:val="000000"/>
          </w:rPr>
          <w:t>Trani</w:t>
        </w:r>
        <w:proofErr w:type="spellEnd"/>
        <w:r>
          <w:rPr>
            <w:color w:val="000000"/>
          </w:rPr>
          <w:t xml:space="preserve">, L., Larson, D. E., Demeter, R. T., </w:t>
        </w:r>
        <w:proofErr w:type="spellStart"/>
        <w:r>
          <w:rPr>
            <w:color w:val="000000"/>
          </w:rPr>
          <w:t>Wendl</w:t>
        </w:r>
        <w:proofErr w:type="spellEnd"/>
        <w:r>
          <w:rPr>
            <w:color w:val="000000"/>
          </w:rPr>
          <w:t xml:space="preserve">, M. C., McMichael, J. F., Austin, R. E., </w:t>
        </w:r>
        <w:proofErr w:type="spellStart"/>
        <w:r>
          <w:rPr>
            <w:color w:val="000000"/>
          </w:rPr>
          <w:t>Magrini</w:t>
        </w:r>
        <w:proofErr w:type="spellEnd"/>
        <w:r>
          <w:rPr>
            <w:color w:val="000000"/>
          </w:rPr>
          <w:t xml:space="preserve">, V., McGrath, S. D., Ly, A., Kulkarni, S., Cordes, M. G., … Wilson, R. K. (2015). Optimizing Cancer Genome Sequencing and Analysis. </w:t>
        </w:r>
      </w:hyperlink>
      <w:hyperlink r:id="rId92">
        <w:r>
          <w:rPr>
            <w:i/>
            <w:color w:val="000000"/>
          </w:rPr>
          <w:t>Cell Systems</w:t>
        </w:r>
      </w:hyperlink>
      <w:hyperlink r:id="rId93">
        <w:r>
          <w:rPr>
            <w:color w:val="000000"/>
          </w:rPr>
          <w:t xml:space="preserve">, </w:t>
        </w:r>
      </w:hyperlink>
      <w:hyperlink r:id="rId94">
        <w:r>
          <w:rPr>
            <w:i/>
            <w:color w:val="000000"/>
          </w:rPr>
          <w:t>1</w:t>
        </w:r>
      </w:hyperlink>
      <w:hyperlink r:id="rId95">
        <w:r>
          <w:rPr>
            <w:color w:val="000000"/>
          </w:rPr>
          <w:t>(3), 210–223.</w:t>
        </w:r>
      </w:hyperlink>
    </w:p>
    <w:p w:rsidR="00F57973" w:rsidRDefault="006024E1">
      <w:pPr>
        <w:widowControl w:val="0"/>
        <w:numPr>
          <w:ilvl w:val="0"/>
          <w:numId w:val="1"/>
        </w:numPr>
        <w:pBdr>
          <w:top w:val="nil"/>
          <w:left w:val="nil"/>
          <w:bottom w:val="nil"/>
          <w:right w:val="nil"/>
          <w:between w:val="nil"/>
        </w:pBdr>
        <w:spacing w:after="0"/>
      </w:pPr>
      <w:hyperlink r:id="rId96">
        <w:r>
          <w:rPr>
            <w:color w:val="000000"/>
          </w:rPr>
          <w:t xml:space="preserve">Howitt, B. E., Sun, H. H., Roemer, M. G. M., Kelley, A., </w:t>
        </w:r>
        <w:proofErr w:type="spellStart"/>
        <w:r>
          <w:rPr>
            <w:color w:val="000000"/>
          </w:rPr>
          <w:t>Chapuy</w:t>
        </w:r>
        <w:proofErr w:type="spellEnd"/>
        <w:r>
          <w:rPr>
            <w:color w:val="000000"/>
          </w:rPr>
          <w:t xml:space="preserve">, B., </w:t>
        </w:r>
        <w:proofErr w:type="spellStart"/>
        <w:r>
          <w:rPr>
            <w:color w:val="000000"/>
          </w:rPr>
          <w:t>Aviki</w:t>
        </w:r>
        <w:proofErr w:type="spellEnd"/>
        <w:r>
          <w:rPr>
            <w:color w:val="000000"/>
          </w:rPr>
          <w:t xml:space="preserve">, E., Pak, C., Connelly, C., </w:t>
        </w:r>
        <w:proofErr w:type="spellStart"/>
        <w:r>
          <w:rPr>
            <w:color w:val="000000"/>
          </w:rPr>
          <w:t>Gjini</w:t>
        </w:r>
        <w:proofErr w:type="spellEnd"/>
        <w:r>
          <w:rPr>
            <w:color w:val="000000"/>
          </w:rPr>
          <w:t xml:space="preserve">, E., Shi, Y., Lee, L., Viswanathan, A., Horowitz, N., </w:t>
        </w:r>
        <w:proofErr w:type="spellStart"/>
        <w:r>
          <w:rPr>
            <w:color w:val="000000"/>
          </w:rPr>
          <w:t>Neuberg</w:t>
        </w:r>
        <w:proofErr w:type="spellEnd"/>
        <w:r>
          <w:rPr>
            <w:color w:val="000000"/>
          </w:rPr>
          <w:t xml:space="preserve">, D., Crum, C. P., Lindeman, N. L., </w:t>
        </w:r>
        <w:proofErr w:type="spellStart"/>
        <w:r>
          <w:rPr>
            <w:color w:val="000000"/>
          </w:rPr>
          <w:t>Kuo</w:t>
        </w:r>
        <w:proofErr w:type="spellEnd"/>
        <w:r>
          <w:rPr>
            <w:color w:val="000000"/>
          </w:rPr>
          <w:t xml:space="preserve">, F., </w:t>
        </w:r>
        <w:proofErr w:type="spellStart"/>
        <w:r>
          <w:rPr>
            <w:color w:val="000000"/>
          </w:rPr>
          <w:t>Ligon</w:t>
        </w:r>
        <w:proofErr w:type="spellEnd"/>
        <w:r>
          <w:rPr>
            <w:color w:val="000000"/>
          </w:rPr>
          <w:t xml:space="preserve">, A. H., Freeman, G. J., … </w:t>
        </w:r>
        <w:proofErr w:type="spellStart"/>
        <w:r>
          <w:rPr>
            <w:color w:val="000000"/>
          </w:rPr>
          <w:t>Rodig</w:t>
        </w:r>
        <w:proofErr w:type="spellEnd"/>
        <w:r>
          <w:rPr>
            <w:color w:val="000000"/>
          </w:rPr>
          <w:t xml:space="preserve">, S. J. (2016). Genetic Basis for PD-L1 Expression in Squamous Cell Carcinomas of the Cervix and Vulva. </w:t>
        </w:r>
      </w:hyperlink>
      <w:hyperlink r:id="rId97">
        <w:r>
          <w:rPr>
            <w:i/>
            <w:color w:val="000000"/>
          </w:rPr>
          <w:t>JAMA Oncology</w:t>
        </w:r>
      </w:hyperlink>
      <w:hyperlink r:id="rId98">
        <w:r>
          <w:rPr>
            <w:color w:val="000000"/>
          </w:rPr>
          <w:t xml:space="preserve">, </w:t>
        </w:r>
      </w:hyperlink>
      <w:hyperlink r:id="rId99">
        <w:r>
          <w:rPr>
            <w:i/>
            <w:color w:val="000000"/>
          </w:rPr>
          <w:t>2</w:t>
        </w:r>
      </w:hyperlink>
      <w:hyperlink r:id="rId100">
        <w:r>
          <w:rPr>
            <w:color w:val="000000"/>
          </w:rPr>
          <w:t>(4), 518–522.</w:t>
        </w:r>
      </w:hyperlink>
    </w:p>
    <w:p w:rsidR="00F57973" w:rsidRDefault="006024E1">
      <w:pPr>
        <w:widowControl w:val="0"/>
        <w:numPr>
          <w:ilvl w:val="0"/>
          <w:numId w:val="1"/>
        </w:numPr>
        <w:pBdr>
          <w:top w:val="nil"/>
          <w:left w:val="nil"/>
          <w:bottom w:val="nil"/>
          <w:right w:val="nil"/>
          <w:between w:val="nil"/>
        </w:pBdr>
        <w:spacing w:after="0"/>
      </w:pPr>
      <w:hyperlink r:id="rId101">
        <w:r>
          <w:rPr>
            <w:color w:val="000000"/>
          </w:rPr>
          <w:t xml:space="preserve">Huang, Z. (2018). GATK Test Protocol v1 (protocols.io.mhdc326). </w:t>
        </w:r>
        <w:r>
          <w:rPr>
            <w:color w:val="000000"/>
          </w:rPr>
          <w:t xml:space="preserve">In </w:t>
        </w:r>
      </w:hyperlink>
      <w:hyperlink r:id="rId102">
        <w:r>
          <w:rPr>
            <w:i/>
            <w:color w:val="000000"/>
          </w:rPr>
          <w:t>protocols.io</w:t>
        </w:r>
      </w:hyperlink>
      <w:hyperlink r:id="rId103">
        <w:r>
          <w:rPr>
            <w:color w:val="000000"/>
          </w:rPr>
          <w:t>. https://doi.org/</w:t>
        </w:r>
      </w:hyperlink>
      <w:hyperlink r:id="rId104">
        <w:r>
          <w:rPr>
            <w:color w:val="000000"/>
          </w:rPr>
          <w:t>10.17504/protocols.io.mhdc326</w:t>
        </w:r>
      </w:hyperlink>
    </w:p>
    <w:p w:rsidR="00F57973" w:rsidRDefault="006024E1">
      <w:pPr>
        <w:widowControl w:val="0"/>
        <w:numPr>
          <w:ilvl w:val="0"/>
          <w:numId w:val="1"/>
        </w:numPr>
        <w:pBdr>
          <w:top w:val="nil"/>
          <w:left w:val="nil"/>
          <w:bottom w:val="nil"/>
          <w:right w:val="nil"/>
          <w:between w:val="nil"/>
        </w:pBdr>
        <w:spacing w:after="0"/>
      </w:pPr>
      <w:hyperlink r:id="rId105">
        <w:proofErr w:type="spellStart"/>
        <w:r>
          <w:rPr>
            <w:color w:val="000000"/>
          </w:rPr>
          <w:t>Hundal</w:t>
        </w:r>
        <w:proofErr w:type="spellEnd"/>
        <w:r>
          <w:rPr>
            <w:color w:val="000000"/>
          </w:rPr>
          <w:t xml:space="preserve">, J., </w:t>
        </w:r>
        <w:proofErr w:type="spellStart"/>
        <w:r>
          <w:rPr>
            <w:color w:val="000000"/>
          </w:rPr>
          <w:t>Carreno</w:t>
        </w:r>
        <w:proofErr w:type="spellEnd"/>
        <w:r>
          <w:rPr>
            <w:color w:val="000000"/>
          </w:rPr>
          <w:t xml:space="preserve">, B. M., Petti, A. A., Linette, G. P., Griffith, O. L., </w:t>
        </w:r>
        <w:proofErr w:type="spellStart"/>
        <w:r>
          <w:rPr>
            <w:color w:val="000000"/>
          </w:rPr>
          <w:t>Mardis</w:t>
        </w:r>
        <w:proofErr w:type="spellEnd"/>
        <w:r>
          <w:rPr>
            <w:color w:val="000000"/>
          </w:rPr>
          <w:t>, E. R., &amp; Griffith, M. (</w:t>
        </w:r>
        <w:r>
          <w:rPr>
            <w:color w:val="000000"/>
          </w:rPr>
          <w:t xml:space="preserve">2016). </w:t>
        </w:r>
        <w:proofErr w:type="spellStart"/>
        <w:r>
          <w:rPr>
            <w:color w:val="000000"/>
          </w:rPr>
          <w:t>pVAC</w:t>
        </w:r>
        <w:proofErr w:type="spellEnd"/>
        <w:r>
          <w:rPr>
            <w:color w:val="000000"/>
          </w:rPr>
          <w:t xml:space="preserve">-Seq: A genome-guided in silico approach to identifying tumor neoantigens. </w:t>
        </w:r>
      </w:hyperlink>
      <w:hyperlink r:id="rId106">
        <w:r>
          <w:rPr>
            <w:i/>
            <w:color w:val="000000"/>
          </w:rPr>
          <w:t>Genome Medicine</w:t>
        </w:r>
      </w:hyperlink>
      <w:hyperlink r:id="rId107">
        <w:r>
          <w:rPr>
            <w:color w:val="000000"/>
          </w:rPr>
          <w:t xml:space="preserve">, </w:t>
        </w:r>
      </w:hyperlink>
      <w:hyperlink r:id="rId108">
        <w:r>
          <w:rPr>
            <w:i/>
            <w:color w:val="000000"/>
          </w:rPr>
          <w:t>8</w:t>
        </w:r>
      </w:hyperlink>
      <w:hyperlink r:id="rId109">
        <w:r>
          <w:rPr>
            <w:color w:val="000000"/>
          </w:rPr>
          <w:t>(1), 11.</w:t>
        </w:r>
      </w:hyperlink>
    </w:p>
    <w:p w:rsidR="00F57973" w:rsidRDefault="006024E1">
      <w:pPr>
        <w:widowControl w:val="0"/>
        <w:numPr>
          <w:ilvl w:val="0"/>
          <w:numId w:val="1"/>
        </w:numPr>
        <w:pBdr>
          <w:top w:val="nil"/>
          <w:left w:val="nil"/>
          <w:bottom w:val="nil"/>
          <w:right w:val="nil"/>
          <w:between w:val="nil"/>
        </w:pBdr>
        <w:spacing w:after="0"/>
      </w:pPr>
      <w:hyperlink r:id="rId110">
        <w:r>
          <w:rPr>
            <w:color w:val="000000"/>
          </w:rPr>
          <w:t xml:space="preserve">Larson, D. E., Abbott, T. E., &amp; Wilson, R. K. (2014). Using </w:t>
        </w:r>
        <w:proofErr w:type="spellStart"/>
        <w:r>
          <w:rPr>
            <w:color w:val="000000"/>
          </w:rPr>
          <w:t>SomaticSniper</w:t>
        </w:r>
        <w:proofErr w:type="spellEnd"/>
        <w:r>
          <w:rPr>
            <w:color w:val="000000"/>
          </w:rPr>
          <w:t xml:space="preserve"> to Detect Somatic Single Nucleotide Variants. </w:t>
        </w:r>
      </w:hyperlink>
      <w:hyperlink r:id="rId111">
        <w:r>
          <w:rPr>
            <w:i/>
            <w:color w:val="000000"/>
          </w:rPr>
          <w:t xml:space="preserve">Current Protocols in Bioinformatics / </w:t>
        </w:r>
        <w:proofErr w:type="spellStart"/>
        <w:r>
          <w:rPr>
            <w:i/>
            <w:color w:val="000000"/>
          </w:rPr>
          <w:t>Editoral</w:t>
        </w:r>
        <w:proofErr w:type="spellEnd"/>
        <w:r>
          <w:rPr>
            <w:i/>
            <w:color w:val="000000"/>
          </w:rPr>
          <w:t xml:space="preserve"> Board, Andreas D. </w:t>
        </w:r>
        <w:proofErr w:type="spellStart"/>
        <w:r>
          <w:rPr>
            <w:i/>
            <w:color w:val="000000"/>
          </w:rPr>
          <w:t>Baxevanis</w:t>
        </w:r>
        <w:proofErr w:type="spellEnd"/>
        <w:r>
          <w:rPr>
            <w:i/>
            <w:color w:val="000000"/>
          </w:rPr>
          <w:t xml:space="preserve"> ... [et Al.]</w:t>
        </w:r>
      </w:hyperlink>
      <w:hyperlink r:id="rId112">
        <w:r>
          <w:rPr>
            <w:color w:val="000000"/>
          </w:rPr>
          <w:t xml:space="preserve">, </w:t>
        </w:r>
      </w:hyperlink>
      <w:hyperlink r:id="rId113">
        <w:r>
          <w:rPr>
            <w:i/>
            <w:color w:val="000000"/>
          </w:rPr>
          <w:t>45</w:t>
        </w:r>
      </w:hyperlink>
      <w:hyperlink r:id="rId114">
        <w:r>
          <w:rPr>
            <w:color w:val="000000"/>
          </w:rPr>
          <w:t>, 15.5.1–8.</w:t>
        </w:r>
      </w:hyperlink>
    </w:p>
    <w:p w:rsidR="00F57973" w:rsidRDefault="006024E1">
      <w:pPr>
        <w:widowControl w:val="0"/>
        <w:numPr>
          <w:ilvl w:val="0"/>
          <w:numId w:val="1"/>
        </w:numPr>
        <w:pBdr>
          <w:top w:val="nil"/>
          <w:left w:val="nil"/>
          <w:bottom w:val="nil"/>
          <w:right w:val="nil"/>
          <w:between w:val="nil"/>
        </w:pBdr>
        <w:spacing w:after="0"/>
      </w:pPr>
      <w:hyperlink r:id="rId115">
        <w:r>
          <w:rPr>
            <w:color w:val="000000"/>
          </w:rPr>
          <w:t xml:space="preserve">Li, H. (2013). Aligning sequence reads, clone sequences and assembly contigs with BWA-MEM. In </w:t>
        </w:r>
      </w:hyperlink>
      <w:hyperlink r:id="rId116">
        <w:r>
          <w:rPr>
            <w:i/>
            <w:color w:val="000000"/>
          </w:rPr>
          <w:t>arXiv [q-bio.GN]</w:t>
        </w:r>
      </w:hyperlink>
      <w:hyperlink r:id="rId117">
        <w:r>
          <w:rPr>
            <w:color w:val="000000"/>
          </w:rPr>
          <w:t xml:space="preserve">. arXiv. </w:t>
        </w:r>
      </w:hyperlink>
      <w:hyperlink r:id="rId118">
        <w:r>
          <w:rPr>
            <w:color w:val="000000"/>
          </w:rPr>
          <w:t>http://arxiv.org/abs/1303.3997</w:t>
        </w:r>
      </w:hyperlink>
    </w:p>
    <w:p w:rsidR="00F57973" w:rsidRDefault="006024E1">
      <w:pPr>
        <w:widowControl w:val="0"/>
        <w:numPr>
          <w:ilvl w:val="0"/>
          <w:numId w:val="1"/>
        </w:numPr>
        <w:pBdr>
          <w:top w:val="nil"/>
          <w:left w:val="nil"/>
          <w:bottom w:val="nil"/>
          <w:right w:val="nil"/>
          <w:between w:val="nil"/>
        </w:pBdr>
        <w:spacing w:after="0"/>
      </w:pPr>
      <w:hyperlink r:id="rId119">
        <w:r>
          <w:rPr>
            <w:color w:val="000000"/>
          </w:rPr>
          <w:t xml:space="preserve">Li, H., </w:t>
        </w:r>
        <w:proofErr w:type="spellStart"/>
        <w:r>
          <w:rPr>
            <w:color w:val="000000"/>
          </w:rPr>
          <w:t>Handsaker</w:t>
        </w:r>
        <w:proofErr w:type="spellEnd"/>
        <w:r>
          <w:rPr>
            <w:color w:val="000000"/>
          </w:rPr>
          <w:t xml:space="preserve">, B., </w:t>
        </w:r>
        <w:proofErr w:type="spellStart"/>
        <w:r>
          <w:rPr>
            <w:color w:val="000000"/>
          </w:rPr>
          <w:t>Wysoke</w:t>
        </w:r>
        <w:r>
          <w:rPr>
            <w:color w:val="000000"/>
          </w:rPr>
          <w:t>r</w:t>
        </w:r>
        <w:proofErr w:type="spellEnd"/>
        <w:r>
          <w:rPr>
            <w:color w:val="000000"/>
          </w:rPr>
          <w:t xml:space="preserve">, A., Fennell, T., </w:t>
        </w:r>
        <w:proofErr w:type="spellStart"/>
        <w:r>
          <w:rPr>
            <w:color w:val="000000"/>
          </w:rPr>
          <w:t>Ruan</w:t>
        </w:r>
        <w:proofErr w:type="spellEnd"/>
        <w:r>
          <w:rPr>
            <w:color w:val="000000"/>
          </w:rPr>
          <w:t xml:space="preserve">, J., Homer, N., Marth, G., </w:t>
        </w:r>
        <w:proofErr w:type="spellStart"/>
        <w:r>
          <w:rPr>
            <w:color w:val="000000"/>
          </w:rPr>
          <w:t>Abecasis</w:t>
        </w:r>
        <w:proofErr w:type="spellEnd"/>
        <w:r>
          <w:rPr>
            <w:color w:val="000000"/>
          </w:rPr>
          <w:t xml:space="preserve">, G., Durbin, R., &amp; 1000 Genome Project Data Processing Subgroup. (2009). The Sequence Alignment/Map format and </w:t>
        </w:r>
        <w:proofErr w:type="spellStart"/>
        <w:r>
          <w:rPr>
            <w:color w:val="000000"/>
          </w:rPr>
          <w:t>SAMtools</w:t>
        </w:r>
        <w:proofErr w:type="spellEnd"/>
        <w:r>
          <w:rPr>
            <w:color w:val="000000"/>
          </w:rPr>
          <w:t xml:space="preserve">. </w:t>
        </w:r>
      </w:hyperlink>
      <w:hyperlink r:id="rId120">
        <w:r>
          <w:rPr>
            <w:i/>
            <w:color w:val="000000"/>
          </w:rPr>
          <w:t xml:space="preserve">Bioinformatics </w:t>
        </w:r>
      </w:hyperlink>
      <w:hyperlink r:id="rId121">
        <w:r>
          <w:rPr>
            <w:color w:val="000000"/>
          </w:rPr>
          <w:t xml:space="preserve">, </w:t>
        </w:r>
      </w:hyperlink>
      <w:hyperlink r:id="rId122">
        <w:r>
          <w:rPr>
            <w:i/>
            <w:color w:val="000000"/>
          </w:rPr>
          <w:t>25</w:t>
        </w:r>
      </w:hyperlink>
      <w:hyperlink r:id="rId123">
        <w:r>
          <w:rPr>
            <w:color w:val="000000"/>
          </w:rPr>
          <w:t>(16), 2078–2079.</w:t>
        </w:r>
      </w:hyperlink>
    </w:p>
    <w:p w:rsidR="00F57973" w:rsidRDefault="006024E1">
      <w:pPr>
        <w:widowControl w:val="0"/>
        <w:numPr>
          <w:ilvl w:val="0"/>
          <w:numId w:val="1"/>
        </w:numPr>
        <w:pBdr>
          <w:top w:val="nil"/>
          <w:left w:val="nil"/>
          <w:bottom w:val="nil"/>
          <w:right w:val="nil"/>
          <w:between w:val="nil"/>
        </w:pBdr>
        <w:spacing w:after="0"/>
      </w:pPr>
      <w:hyperlink r:id="rId124">
        <w:r>
          <w:rPr>
            <w:color w:val="000000"/>
          </w:rPr>
          <w:t>Love, M. I., Huber,</w:t>
        </w:r>
        <w:r>
          <w:rPr>
            <w:color w:val="000000"/>
          </w:rPr>
          <w:t xml:space="preserve"> W., &amp; Anders, S. (2014). Moderated estimation of fold change and dispersion for RNA-seq data with DESeq2. </w:t>
        </w:r>
      </w:hyperlink>
      <w:hyperlink r:id="rId125">
        <w:r>
          <w:rPr>
            <w:i/>
            <w:color w:val="000000"/>
          </w:rPr>
          <w:t>Genome Biology</w:t>
        </w:r>
      </w:hyperlink>
      <w:hyperlink r:id="rId126">
        <w:r>
          <w:rPr>
            <w:color w:val="000000"/>
          </w:rPr>
          <w:t xml:space="preserve">, </w:t>
        </w:r>
      </w:hyperlink>
      <w:hyperlink r:id="rId127">
        <w:r>
          <w:rPr>
            <w:i/>
            <w:color w:val="000000"/>
          </w:rPr>
          <w:t>15</w:t>
        </w:r>
      </w:hyperlink>
      <w:hyperlink r:id="rId128">
        <w:r>
          <w:rPr>
            <w:color w:val="000000"/>
          </w:rPr>
          <w:t>(12), 550.</w:t>
        </w:r>
      </w:hyperlink>
    </w:p>
    <w:p w:rsidR="00F57973" w:rsidRDefault="006024E1">
      <w:pPr>
        <w:widowControl w:val="0"/>
        <w:numPr>
          <w:ilvl w:val="0"/>
          <w:numId w:val="1"/>
        </w:numPr>
        <w:pBdr>
          <w:top w:val="nil"/>
          <w:left w:val="nil"/>
          <w:bottom w:val="nil"/>
          <w:right w:val="nil"/>
          <w:between w:val="nil"/>
        </w:pBdr>
        <w:spacing w:after="0"/>
      </w:pPr>
      <w:hyperlink r:id="rId129">
        <w:r>
          <w:rPr>
            <w:color w:val="000000"/>
          </w:rPr>
          <w:t xml:space="preserve">Mulder, D. T., </w:t>
        </w:r>
        <w:proofErr w:type="spellStart"/>
        <w:r>
          <w:rPr>
            <w:color w:val="000000"/>
          </w:rPr>
          <w:t>Mahé</w:t>
        </w:r>
        <w:proofErr w:type="spellEnd"/>
        <w:r>
          <w:rPr>
            <w:color w:val="000000"/>
          </w:rPr>
          <w:t>, E.</w:t>
        </w:r>
        <w:r>
          <w:rPr>
            <w:color w:val="000000"/>
          </w:rPr>
          <w:t xml:space="preserve"> R., </w:t>
        </w:r>
        <w:proofErr w:type="spellStart"/>
        <w:r>
          <w:rPr>
            <w:color w:val="000000"/>
          </w:rPr>
          <w:t>Dowar</w:t>
        </w:r>
        <w:proofErr w:type="spellEnd"/>
        <w:r>
          <w:rPr>
            <w:color w:val="000000"/>
          </w:rPr>
          <w:t xml:space="preserve">, M., Hanna, Y., Li, T., Nguyen, L. T., Butler, M. O., Hirano, N., </w:t>
        </w:r>
        <w:proofErr w:type="spellStart"/>
        <w:r>
          <w:rPr>
            <w:color w:val="000000"/>
          </w:rPr>
          <w:t>Delabie</w:t>
        </w:r>
        <w:proofErr w:type="spellEnd"/>
        <w:r>
          <w:rPr>
            <w:color w:val="000000"/>
          </w:rPr>
          <w:t xml:space="preserve">, J., Ohashi, P. S., &amp; Pugh, T. J. (2018). </w:t>
        </w:r>
        <w:proofErr w:type="spellStart"/>
        <w:r>
          <w:rPr>
            <w:color w:val="000000"/>
          </w:rPr>
          <w:t>CapTCR</w:t>
        </w:r>
        <w:proofErr w:type="spellEnd"/>
        <w:r>
          <w:rPr>
            <w:color w:val="000000"/>
          </w:rPr>
          <w:t xml:space="preserve">-seq: hybrid capture for T-cell receptor repertoire profiling. </w:t>
        </w:r>
      </w:hyperlink>
      <w:hyperlink r:id="rId130">
        <w:r>
          <w:rPr>
            <w:i/>
            <w:color w:val="000000"/>
          </w:rPr>
          <w:t>Blood</w:t>
        </w:r>
        <w:r>
          <w:rPr>
            <w:i/>
            <w:color w:val="000000"/>
          </w:rPr>
          <w:t xml:space="preserve"> Advances</w:t>
        </w:r>
      </w:hyperlink>
      <w:hyperlink r:id="rId131">
        <w:r>
          <w:rPr>
            <w:color w:val="000000"/>
          </w:rPr>
          <w:t xml:space="preserve">, </w:t>
        </w:r>
      </w:hyperlink>
      <w:hyperlink r:id="rId132">
        <w:r>
          <w:rPr>
            <w:i/>
            <w:color w:val="000000"/>
          </w:rPr>
          <w:t>2</w:t>
        </w:r>
      </w:hyperlink>
      <w:hyperlink r:id="rId133">
        <w:r>
          <w:rPr>
            <w:color w:val="000000"/>
          </w:rPr>
          <w:t>(23), 3506–3514.</w:t>
        </w:r>
      </w:hyperlink>
    </w:p>
    <w:p w:rsidR="00F57973" w:rsidRDefault="006024E1">
      <w:pPr>
        <w:widowControl w:val="0"/>
        <w:numPr>
          <w:ilvl w:val="0"/>
          <w:numId w:val="1"/>
        </w:numPr>
        <w:pBdr>
          <w:top w:val="nil"/>
          <w:left w:val="nil"/>
          <w:bottom w:val="nil"/>
          <w:right w:val="nil"/>
          <w:between w:val="nil"/>
        </w:pBdr>
        <w:spacing w:after="0"/>
      </w:pPr>
      <w:hyperlink r:id="rId134">
        <w:r>
          <w:rPr>
            <w:color w:val="000000"/>
          </w:rPr>
          <w:t>Newman,</w:t>
        </w:r>
        <w:r>
          <w:rPr>
            <w:color w:val="000000"/>
          </w:rPr>
          <w:t xml:space="preserve"> A. M., Liu, C. L., Green, M. R., Gentles, A. J., Feng, W., Xu, Y., Hoang, C. D., </w:t>
        </w:r>
        <w:proofErr w:type="spellStart"/>
        <w:r>
          <w:rPr>
            <w:color w:val="000000"/>
          </w:rPr>
          <w:t>Diehn</w:t>
        </w:r>
        <w:proofErr w:type="spellEnd"/>
        <w:r>
          <w:rPr>
            <w:color w:val="000000"/>
          </w:rPr>
          <w:t xml:space="preserve">, M., &amp; Alizadeh, A. A. (2015). Robust enumeration of cell subsets from tissue expression profiles. </w:t>
        </w:r>
      </w:hyperlink>
      <w:hyperlink r:id="rId135">
        <w:r>
          <w:rPr>
            <w:i/>
            <w:color w:val="000000"/>
          </w:rPr>
          <w:t>Nature Methods</w:t>
        </w:r>
      </w:hyperlink>
      <w:hyperlink r:id="rId136">
        <w:r>
          <w:rPr>
            <w:color w:val="000000"/>
          </w:rPr>
          <w:t xml:space="preserve">, </w:t>
        </w:r>
      </w:hyperlink>
      <w:hyperlink r:id="rId137">
        <w:r>
          <w:rPr>
            <w:i/>
            <w:color w:val="000000"/>
          </w:rPr>
          <w:t>12</w:t>
        </w:r>
      </w:hyperlink>
      <w:hyperlink r:id="rId138">
        <w:r>
          <w:rPr>
            <w:color w:val="000000"/>
          </w:rPr>
          <w:t>, 453.</w:t>
        </w:r>
      </w:hyperlink>
    </w:p>
    <w:p w:rsidR="00F57973" w:rsidRDefault="006024E1">
      <w:pPr>
        <w:widowControl w:val="0"/>
        <w:numPr>
          <w:ilvl w:val="0"/>
          <w:numId w:val="1"/>
        </w:numPr>
        <w:pBdr>
          <w:top w:val="nil"/>
          <w:left w:val="nil"/>
          <w:bottom w:val="nil"/>
          <w:right w:val="nil"/>
          <w:between w:val="nil"/>
        </w:pBdr>
        <w:spacing w:after="0"/>
      </w:pPr>
      <w:hyperlink r:id="rId139">
        <w:proofErr w:type="spellStart"/>
        <w:r>
          <w:rPr>
            <w:color w:val="000000"/>
          </w:rPr>
          <w:t>Reble</w:t>
        </w:r>
        <w:proofErr w:type="spellEnd"/>
        <w:r>
          <w:rPr>
            <w:color w:val="000000"/>
          </w:rPr>
          <w:t>, E., Castellani, C.</w:t>
        </w:r>
        <w:r>
          <w:rPr>
            <w:color w:val="000000"/>
          </w:rPr>
          <w:t xml:space="preserve"> A., </w:t>
        </w:r>
        <w:proofErr w:type="spellStart"/>
        <w:r>
          <w:rPr>
            <w:color w:val="000000"/>
          </w:rPr>
          <w:t>Melka</w:t>
        </w:r>
        <w:proofErr w:type="spellEnd"/>
        <w:r>
          <w:rPr>
            <w:color w:val="000000"/>
          </w:rPr>
          <w:t xml:space="preserve">, M. G., O’Reilly, R., &amp; Singh, S. M. (2017). VarScan2 analysis of de novo variants in monozygotic twins discordant for schizophrenia. </w:t>
        </w:r>
      </w:hyperlink>
      <w:hyperlink r:id="rId140">
        <w:r>
          <w:rPr>
            <w:i/>
            <w:color w:val="000000"/>
          </w:rPr>
          <w:t>Psychiatric Genetics</w:t>
        </w:r>
      </w:hyperlink>
      <w:hyperlink r:id="rId141">
        <w:r>
          <w:rPr>
            <w:color w:val="000000"/>
          </w:rPr>
          <w:t xml:space="preserve">, </w:t>
        </w:r>
      </w:hyperlink>
      <w:hyperlink r:id="rId142">
        <w:r>
          <w:rPr>
            <w:i/>
            <w:color w:val="000000"/>
          </w:rPr>
          <w:t>27</w:t>
        </w:r>
      </w:hyperlink>
      <w:hyperlink r:id="rId143">
        <w:r>
          <w:rPr>
            <w:color w:val="000000"/>
          </w:rPr>
          <w:t>(2), 62–70.</w:t>
        </w:r>
      </w:hyperlink>
    </w:p>
    <w:p w:rsidR="00F57973" w:rsidRDefault="006024E1">
      <w:pPr>
        <w:widowControl w:val="0"/>
        <w:numPr>
          <w:ilvl w:val="0"/>
          <w:numId w:val="1"/>
        </w:numPr>
        <w:pBdr>
          <w:top w:val="nil"/>
          <w:left w:val="nil"/>
          <w:bottom w:val="nil"/>
          <w:right w:val="nil"/>
          <w:between w:val="nil"/>
        </w:pBdr>
        <w:spacing w:after="0"/>
      </w:pPr>
      <w:hyperlink r:id="rId144">
        <w:r>
          <w:rPr>
            <w:color w:val="000000"/>
          </w:rPr>
          <w:t xml:space="preserve">Saunders, C. T., Wong, W. S. W., Swamy, S., </w:t>
        </w:r>
        <w:proofErr w:type="spellStart"/>
        <w:r>
          <w:rPr>
            <w:color w:val="000000"/>
          </w:rPr>
          <w:t>Becq</w:t>
        </w:r>
        <w:proofErr w:type="spellEnd"/>
        <w:r>
          <w:rPr>
            <w:color w:val="000000"/>
          </w:rPr>
          <w:t>, J., Mu</w:t>
        </w:r>
        <w:r>
          <w:rPr>
            <w:color w:val="000000"/>
          </w:rPr>
          <w:t xml:space="preserve">rray, L. J., &amp; </w:t>
        </w:r>
        <w:proofErr w:type="spellStart"/>
        <w:r>
          <w:rPr>
            <w:color w:val="000000"/>
          </w:rPr>
          <w:t>Cheetham</w:t>
        </w:r>
        <w:proofErr w:type="spellEnd"/>
        <w:r>
          <w:rPr>
            <w:color w:val="000000"/>
          </w:rPr>
          <w:t xml:space="preserve">, R. K. (2012). </w:t>
        </w:r>
        <w:proofErr w:type="spellStart"/>
        <w:r>
          <w:rPr>
            <w:color w:val="000000"/>
          </w:rPr>
          <w:t>Strelka</w:t>
        </w:r>
        <w:proofErr w:type="spellEnd"/>
        <w:r>
          <w:rPr>
            <w:color w:val="000000"/>
          </w:rPr>
          <w:t xml:space="preserve">: accurate somatic small-variant calling from sequenced tumor-normal sample pairs. </w:t>
        </w:r>
      </w:hyperlink>
      <w:hyperlink r:id="rId145">
        <w:r>
          <w:rPr>
            <w:i/>
            <w:color w:val="000000"/>
          </w:rPr>
          <w:t xml:space="preserve">Bioinformatics </w:t>
        </w:r>
      </w:hyperlink>
      <w:hyperlink r:id="rId146">
        <w:r>
          <w:rPr>
            <w:color w:val="000000"/>
          </w:rPr>
          <w:t xml:space="preserve">, </w:t>
        </w:r>
      </w:hyperlink>
      <w:hyperlink r:id="rId147">
        <w:r>
          <w:rPr>
            <w:i/>
            <w:color w:val="000000"/>
          </w:rPr>
          <w:t>28</w:t>
        </w:r>
      </w:hyperlink>
      <w:hyperlink r:id="rId148">
        <w:r>
          <w:rPr>
            <w:color w:val="000000"/>
          </w:rPr>
          <w:t>(14), 1811–1817.</w:t>
        </w:r>
      </w:hyperlink>
    </w:p>
    <w:p w:rsidR="00F57973" w:rsidRDefault="006024E1">
      <w:pPr>
        <w:widowControl w:val="0"/>
        <w:numPr>
          <w:ilvl w:val="0"/>
          <w:numId w:val="1"/>
        </w:numPr>
        <w:pBdr>
          <w:top w:val="nil"/>
          <w:left w:val="nil"/>
          <w:bottom w:val="nil"/>
          <w:right w:val="nil"/>
          <w:between w:val="nil"/>
        </w:pBdr>
        <w:spacing w:after="0"/>
      </w:pPr>
      <w:hyperlink r:id="rId149">
        <w:r>
          <w:rPr>
            <w:color w:val="000000"/>
          </w:rPr>
          <w:t xml:space="preserve">Sergushichev, A. A. (2016). An algorithm for fast preranked gene set enrichment analysis using cumulative statistic calculation. In </w:t>
        </w:r>
      </w:hyperlink>
      <w:hyperlink r:id="rId150">
        <w:r>
          <w:rPr>
            <w:i/>
            <w:color w:val="000000"/>
          </w:rPr>
          <w:t>bioRxiv</w:t>
        </w:r>
      </w:hyperlink>
      <w:hyperlink r:id="rId151">
        <w:r>
          <w:rPr>
            <w:color w:val="000000"/>
          </w:rPr>
          <w:t xml:space="preserve"> (p. 06</w:t>
        </w:r>
        <w:r>
          <w:rPr>
            <w:color w:val="000000"/>
          </w:rPr>
          <w:t>0012). https://doi.org/</w:t>
        </w:r>
      </w:hyperlink>
      <w:hyperlink r:id="rId152">
        <w:r>
          <w:rPr>
            <w:color w:val="000000"/>
          </w:rPr>
          <w:t>10.1101/060012</w:t>
        </w:r>
      </w:hyperlink>
    </w:p>
    <w:p w:rsidR="00F57973" w:rsidRDefault="006024E1">
      <w:pPr>
        <w:widowControl w:val="0"/>
        <w:numPr>
          <w:ilvl w:val="0"/>
          <w:numId w:val="1"/>
        </w:numPr>
        <w:pBdr>
          <w:top w:val="nil"/>
          <w:left w:val="nil"/>
          <w:bottom w:val="nil"/>
          <w:right w:val="nil"/>
          <w:between w:val="nil"/>
        </w:pBdr>
        <w:spacing w:after="0"/>
      </w:pPr>
      <w:hyperlink r:id="rId153">
        <w:r>
          <w:rPr>
            <w:color w:val="000000"/>
          </w:rPr>
          <w:t xml:space="preserve">Skidmore, Z. L., Wagner, A. H., </w:t>
        </w:r>
        <w:proofErr w:type="spellStart"/>
        <w:r>
          <w:rPr>
            <w:color w:val="000000"/>
          </w:rPr>
          <w:t>Lesurf</w:t>
        </w:r>
        <w:proofErr w:type="spellEnd"/>
        <w:r>
          <w:rPr>
            <w:color w:val="000000"/>
          </w:rPr>
          <w:t xml:space="preserve">, R., Campbell, K. M., </w:t>
        </w:r>
        <w:proofErr w:type="spellStart"/>
        <w:r>
          <w:rPr>
            <w:color w:val="000000"/>
          </w:rPr>
          <w:t>Kunisaki</w:t>
        </w:r>
        <w:proofErr w:type="spellEnd"/>
        <w:r>
          <w:rPr>
            <w:color w:val="000000"/>
          </w:rPr>
          <w:t>, J., Griffith, O. L., &amp; Griffith, M. (201</w:t>
        </w:r>
        <w:r>
          <w:rPr>
            <w:color w:val="000000"/>
          </w:rPr>
          <w:t xml:space="preserve">6). </w:t>
        </w:r>
        <w:proofErr w:type="spellStart"/>
        <w:r>
          <w:rPr>
            <w:color w:val="000000"/>
          </w:rPr>
          <w:t>GenVisR</w:t>
        </w:r>
        <w:proofErr w:type="spellEnd"/>
        <w:r>
          <w:rPr>
            <w:color w:val="000000"/>
          </w:rPr>
          <w:t xml:space="preserve">: Genomic Visualizations in R. </w:t>
        </w:r>
      </w:hyperlink>
      <w:hyperlink r:id="rId154">
        <w:r>
          <w:rPr>
            <w:i/>
            <w:color w:val="000000"/>
          </w:rPr>
          <w:t xml:space="preserve">Bioinformatics </w:t>
        </w:r>
      </w:hyperlink>
      <w:hyperlink r:id="rId155">
        <w:r>
          <w:rPr>
            <w:color w:val="000000"/>
          </w:rPr>
          <w:t xml:space="preserve">, </w:t>
        </w:r>
      </w:hyperlink>
      <w:hyperlink r:id="rId156">
        <w:r>
          <w:rPr>
            <w:i/>
            <w:color w:val="000000"/>
          </w:rPr>
          <w:t>32</w:t>
        </w:r>
      </w:hyperlink>
      <w:hyperlink r:id="rId157">
        <w:r>
          <w:rPr>
            <w:color w:val="000000"/>
          </w:rPr>
          <w:t>(19), 3012–3014.</w:t>
        </w:r>
      </w:hyperlink>
    </w:p>
    <w:p w:rsidR="00F57973" w:rsidRDefault="006024E1">
      <w:pPr>
        <w:widowControl w:val="0"/>
        <w:numPr>
          <w:ilvl w:val="0"/>
          <w:numId w:val="1"/>
        </w:numPr>
        <w:pBdr>
          <w:top w:val="nil"/>
          <w:left w:val="nil"/>
          <w:bottom w:val="nil"/>
          <w:right w:val="nil"/>
          <w:between w:val="nil"/>
        </w:pBdr>
        <w:spacing w:after="0"/>
      </w:pPr>
      <w:hyperlink r:id="rId158">
        <w:r>
          <w:rPr>
            <w:color w:val="000000"/>
          </w:rPr>
          <w:t xml:space="preserve">Wickham, H. (2016). Programming with ggplot2. In </w:t>
        </w:r>
      </w:hyperlink>
      <w:hyperlink r:id="rId159">
        <w:r>
          <w:rPr>
            <w:i/>
            <w:color w:val="000000"/>
          </w:rPr>
          <w:t>Use R!</w:t>
        </w:r>
      </w:hyperlink>
      <w:hyperlink r:id="rId160">
        <w:r>
          <w:rPr>
            <w:color w:val="000000"/>
          </w:rPr>
          <w:t xml:space="preserve"> (pp. 241–253).</w:t>
        </w:r>
      </w:hyperlink>
    </w:p>
    <w:p w:rsidR="00F57973" w:rsidRDefault="006024E1">
      <w:pPr>
        <w:widowControl w:val="0"/>
        <w:numPr>
          <w:ilvl w:val="0"/>
          <w:numId w:val="1"/>
        </w:numPr>
        <w:pBdr>
          <w:top w:val="nil"/>
          <w:left w:val="nil"/>
          <w:bottom w:val="nil"/>
          <w:right w:val="nil"/>
          <w:between w:val="nil"/>
        </w:pBdr>
        <w:spacing w:after="0"/>
      </w:pPr>
      <w:hyperlink r:id="rId161">
        <w:proofErr w:type="spellStart"/>
        <w:r>
          <w:rPr>
            <w:color w:val="000000"/>
          </w:rPr>
          <w:t>Xie</w:t>
        </w:r>
        <w:proofErr w:type="spellEnd"/>
        <w:r>
          <w:rPr>
            <w:color w:val="000000"/>
          </w:rPr>
          <w:t xml:space="preserve">, C., Yeo, Z. X., Wong, M., Piper, J., Long, T., </w:t>
        </w:r>
        <w:proofErr w:type="spellStart"/>
        <w:r>
          <w:rPr>
            <w:color w:val="000000"/>
          </w:rPr>
          <w:t>Kirkness</w:t>
        </w:r>
        <w:proofErr w:type="spellEnd"/>
        <w:r>
          <w:rPr>
            <w:color w:val="000000"/>
          </w:rPr>
          <w:t xml:space="preserve">, E. F., Biggs, W. H., Bloom, K., Spellman, S., </w:t>
        </w:r>
        <w:proofErr w:type="spellStart"/>
        <w:r>
          <w:rPr>
            <w:color w:val="000000"/>
          </w:rPr>
          <w:t>Vierra</w:t>
        </w:r>
        <w:proofErr w:type="spellEnd"/>
        <w:r>
          <w:rPr>
            <w:color w:val="000000"/>
          </w:rPr>
          <w:t xml:space="preserve">-Green, C., </w:t>
        </w:r>
        <w:r>
          <w:rPr>
            <w:color w:val="000000"/>
          </w:rPr>
          <w:lastRenderedPageBreak/>
          <w:t xml:space="preserve">Brady, C., Scheuermann, R. H., </w:t>
        </w:r>
        <w:proofErr w:type="spellStart"/>
        <w:r>
          <w:rPr>
            <w:color w:val="000000"/>
          </w:rPr>
          <w:t>Telenti</w:t>
        </w:r>
        <w:proofErr w:type="spellEnd"/>
        <w:r>
          <w:rPr>
            <w:color w:val="000000"/>
          </w:rPr>
          <w:t xml:space="preserve">, A., Howard, S., Brewerton, S., </w:t>
        </w:r>
        <w:proofErr w:type="spellStart"/>
        <w:r>
          <w:rPr>
            <w:color w:val="000000"/>
          </w:rPr>
          <w:t>Turpaz</w:t>
        </w:r>
        <w:proofErr w:type="spellEnd"/>
        <w:r>
          <w:rPr>
            <w:color w:val="000000"/>
          </w:rPr>
          <w:t>, Y., &amp; Venter, J. C. (2017). Fast and accurate HLA t</w:t>
        </w:r>
        <w:r>
          <w:rPr>
            <w:color w:val="000000"/>
          </w:rPr>
          <w:t xml:space="preserve">yping from short-read next-generation sequence data with </w:t>
        </w:r>
        <w:proofErr w:type="spellStart"/>
        <w:r>
          <w:rPr>
            <w:color w:val="000000"/>
          </w:rPr>
          <w:t>xHLA</w:t>
        </w:r>
        <w:proofErr w:type="spellEnd"/>
        <w:r>
          <w:rPr>
            <w:color w:val="000000"/>
          </w:rPr>
          <w:t xml:space="preserve">. </w:t>
        </w:r>
      </w:hyperlink>
      <w:hyperlink r:id="rId162">
        <w:r>
          <w:rPr>
            <w:i/>
            <w:color w:val="000000"/>
          </w:rPr>
          <w:t>Proceedings of the National Academy of Sciences of the United States of America</w:t>
        </w:r>
      </w:hyperlink>
      <w:hyperlink r:id="rId163">
        <w:r>
          <w:rPr>
            <w:color w:val="000000"/>
          </w:rPr>
          <w:t xml:space="preserve">, </w:t>
        </w:r>
      </w:hyperlink>
      <w:hyperlink r:id="rId164">
        <w:r>
          <w:rPr>
            <w:i/>
            <w:color w:val="000000"/>
          </w:rPr>
          <w:t>114</w:t>
        </w:r>
      </w:hyperlink>
      <w:hyperlink r:id="rId165">
        <w:r>
          <w:rPr>
            <w:color w:val="000000"/>
          </w:rPr>
          <w:t>(30), 8059–8064.</w:t>
        </w:r>
      </w:hyperlink>
    </w:p>
    <w:p w:rsidR="00F57973" w:rsidRDefault="006024E1">
      <w:pPr>
        <w:widowControl w:val="0"/>
        <w:numPr>
          <w:ilvl w:val="0"/>
          <w:numId w:val="1"/>
        </w:numPr>
        <w:pBdr>
          <w:top w:val="nil"/>
          <w:left w:val="nil"/>
          <w:bottom w:val="nil"/>
          <w:right w:val="nil"/>
          <w:between w:val="nil"/>
        </w:pBdr>
        <w:spacing w:after="0"/>
      </w:pPr>
      <w:hyperlink r:id="rId166">
        <w:r>
          <w:rPr>
            <w:color w:val="000000"/>
          </w:rPr>
          <w:t xml:space="preserve">Zhang, L., Cham, J., </w:t>
        </w:r>
        <w:proofErr w:type="spellStart"/>
        <w:r>
          <w:rPr>
            <w:color w:val="000000"/>
          </w:rPr>
          <w:t>Paciorek</w:t>
        </w:r>
        <w:proofErr w:type="spellEnd"/>
        <w:r>
          <w:rPr>
            <w:color w:val="000000"/>
          </w:rPr>
          <w:t>, A., Trager, J., Sheikh, N., &amp; Fong, L. (20</w:t>
        </w:r>
        <w:r>
          <w:rPr>
            <w:color w:val="000000"/>
          </w:rPr>
          <w:t xml:space="preserve">17). 3D: diversity, dynamics, differential testing - a proposed pipeline for analysis of next-generation sequencing T cell repertoire data. </w:t>
        </w:r>
      </w:hyperlink>
      <w:hyperlink r:id="rId167">
        <w:r>
          <w:rPr>
            <w:i/>
            <w:color w:val="000000"/>
          </w:rPr>
          <w:t>BMC Bioinformatics</w:t>
        </w:r>
      </w:hyperlink>
      <w:hyperlink r:id="rId168">
        <w:r>
          <w:rPr>
            <w:color w:val="000000"/>
          </w:rPr>
          <w:t xml:space="preserve">, </w:t>
        </w:r>
      </w:hyperlink>
      <w:hyperlink r:id="rId169">
        <w:r>
          <w:rPr>
            <w:i/>
            <w:color w:val="000000"/>
          </w:rPr>
          <w:t>18</w:t>
        </w:r>
      </w:hyperlink>
      <w:hyperlink r:id="rId170">
        <w:r>
          <w:rPr>
            <w:color w:val="000000"/>
          </w:rPr>
          <w:t>(1), 129.</w:t>
        </w:r>
      </w:hyperlink>
    </w:p>
    <w:sectPr w:rsidR="00F57973">
      <w:headerReference w:type="even" r:id="rId171"/>
      <w:headerReference w:type="default" r:id="rId172"/>
      <w:footerReference w:type="even" r:id="rId173"/>
      <w:footerReference w:type="default" r:id="rId174"/>
      <w:headerReference w:type="first" r:id="rId175"/>
      <w:footerReference w:type="first" r:id="rId17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24E1" w:rsidRDefault="006024E1">
      <w:pPr>
        <w:spacing w:after="0"/>
      </w:pPr>
      <w:r>
        <w:separator/>
      </w:r>
    </w:p>
  </w:endnote>
  <w:endnote w:type="continuationSeparator" w:id="0">
    <w:p w:rsidR="006024E1" w:rsidRDefault="006024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7973" w:rsidRDefault="00F57973">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7973" w:rsidRDefault="006024E1">
    <w:pPr>
      <w:pBdr>
        <w:top w:val="nil"/>
        <w:left w:val="nil"/>
        <w:bottom w:val="nil"/>
        <w:right w:val="nil"/>
        <w:between w:val="nil"/>
      </w:pBdr>
      <w:jc w:val="right"/>
      <w:rPr>
        <w:color w:val="000000"/>
      </w:rPr>
    </w:pPr>
    <w:r>
      <w:rPr>
        <w:color w:val="000000"/>
      </w:rPr>
      <w:fldChar w:fldCharType="begin"/>
    </w:r>
    <w:r>
      <w:rPr>
        <w:color w:val="000000"/>
      </w:rPr>
      <w:instrText>PAGE</w:instrText>
    </w:r>
    <w:r w:rsidR="00CE2E43">
      <w:rPr>
        <w:color w:val="000000"/>
      </w:rPr>
      <w:fldChar w:fldCharType="separate"/>
    </w:r>
    <w:r w:rsidR="00CE2E43">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7973" w:rsidRDefault="00F57973">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24E1" w:rsidRDefault="006024E1">
      <w:pPr>
        <w:spacing w:after="0"/>
      </w:pPr>
      <w:r>
        <w:separator/>
      </w:r>
    </w:p>
  </w:footnote>
  <w:footnote w:type="continuationSeparator" w:id="0">
    <w:p w:rsidR="006024E1" w:rsidRDefault="006024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7973" w:rsidRDefault="00F57973">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7973" w:rsidRDefault="00F57973">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7973" w:rsidRDefault="00F57973">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660F6"/>
    <w:multiLevelType w:val="multilevel"/>
    <w:tmpl w:val="0D524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973"/>
    <w:rsid w:val="006024E1"/>
    <w:rsid w:val="009552F7"/>
    <w:rsid w:val="00CE2E43"/>
    <w:rsid w:val="00F5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3B89A"/>
  <w15:docId w15:val="{AD94455C-1AC4-4E42-8407-97328D4D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00" w:after="120"/>
      <w:outlineLvl w:val="0"/>
    </w:pPr>
    <w:rPr>
      <w:b/>
    </w:rPr>
  </w:style>
  <w:style w:type="paragraph" w:styleId="Heading2">
    <w:name w:val="heading 2"/>
    <w:basedOn w:val="Normal1"/>
    <w:next w:val="Normal1"/>
    <w:uiPriority w:val="9"/>
    <w:unhideWhenUsed/>
    <w:qFormat/>
    <w:pPr>
      <w:keepNext/>
      <w:keepLines/>
      <w:outlineLvl w:val="1"/>
    </w:pPr>
    <w:rPr>
      <w:b/>
      <w:sz w:val="24"/>
      <w:szCs w:val="24"/>
    </w:rPr>
  </w:style>
  <w:style w:type="paragraph" w:styleId="Heading3">
    <w:name w:val="heading 3"/>
    <w:basedOn w:val="Normal1"/>
    <w:next w:val="Normal1"/>
    <w:uiPriority w:val="9"/>
    <w:unhideWhenUsed/>
    <w:qFormat/>
    <w:pPr>
      <w:keepNext/>
      <w:keepLines/>
      <w:outlineLvl w:val="2"/>
    </w:pPr>
    <w:rPr>
      <w:b/>
      <w:color w:val="434343"/>
    </w:rPr>
  </w:style>
  <w:style w:type="paragraph" w:styleId="Heading4">
    <w:name w:val="heading 4"/>
    <w:basedOn w:val="Normal1"/>
    <w:next w:val="Normal1"/>
    <w:uiPriority w:val="9"/>
    <w:unhideWhenUsed/>
    <w:qFormat/>
    <w:pPr>
      <w:keepNext/>
      <w:keepLines/>
      <w:outlineLvl w:val="3"/>
    </w:pPr>
    <w:rPr>
      <w:b/>
    </w:rPr>
  </w:style>
  <w:style w:type="paragraph" w:styleId="Heading5">
    <w:name w:val="heading 5"/>
    <w:basedOn w:val="Normal1"/>
    <w:next w:val="Normal1"/>
    <w:uiPriority w:val="9"/>
    <w:semiHidden/>
    <w:unhideWhenUsed/>
    <w:qFormat/>
    <w:pPr>
      <w:keepNext/>
      <w:keepLines/>
      <w:spacing w:before="240"/>
      <w:outlineLvl w:val="4"/>
    </w:pPr>
    <w:rPr>
      <w:color w:val="666666"/>
      <w:sz w:val="22"/>
      <w:szCs w:val="22"/>
    </w:rPr>
  </w:style>
  <w:style w:type="paragraph" w:styleId="Heading6">
    <w:name w:val="heading 6"/>
    <w:basedOn w:val="Normal1"/>
    <w:next w:val="Normal1"/>
    <w:uiPriority w:val="9"/>
    <w:semiHidden/>
    <w:unhideWhenUsed/>
    <w:qFormat/>
    <w:pPr>
      <w:keepNext/>
      <w:keepLines/>
      <w:spacing w:before="24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after="200"/>
      <w:jc w:val="center"/>
    </w:pPr>
    <w:rPr>
      <w:b/>
      <w:sz w:val="24"/>
      <w:szCs w:val="24"/>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54F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FCE"/>
    <w:rPr>
      <w:rFonts w:ascii="Lucida Grande" w:hAnsi="Lucida Grande" w:cs="Lucida Grande"/>
      <w:sz w:val="18"/>
      <w:szCs w:val="18"/>
    </w:rPr>
  </w:style>
  <w:style w:type="paragraph" w:styleId="Header">
    <w:name w:val="header"/>
    <w:basedOn w:val="Normal"/>
    <w:link w:val="HeaderChar"/>
    <w:uiPriority w:val="99"/>
    <w:unhideWhenUsed/>
    <w:rsid w:val="00D62BB8"/>
    <w:pPr>
      <w:tabs>
        <w:tab w:val="center" w:pos="4680"/>
        <w:tab w:val="right" w:pos="9360"/>
      </w:tabs>
      <w:spacing w:after="0"/>
    </w:pPr>
  </w:style>
  <w:style w:type="character" w:customStyle="1" w:styleId="HeaderChar">
    <w:name w:val="Header Char"/>
    <w:basedOn w:val="DefaultParagraphFont"/>
    <w:link w:val="Header"/>
    <w:uiPriority w:val="99"/>
    <w:rsid w:val="00D62BB8"/>
  </w:style>
  <w:style w:type="paragraph" w:styleId="Footer">
    <w:name w:val="footer"/>
    <w:basedOn w:val="Normal"/>
    <w:link w:val="FooterChar"/>
    <w:uiPriority w:val="99"/>
    <w:unhideWhenUsed/>
    <w:rsid w:val="00D62BB8"/>
    <w:pPr>
      <w:tabs>
        <w:tab w:val="center" w:pos="4680"/>
        <w:tab w:val="right" w:pos="9360"/>
      </w:tabs>
      <w:spacing w:after="0"/>
    </w:pPr>
  </w:style>
  <w:style w:type="character" w:customStyle="1" w:styleId="FooterChar">
    <w:name w:val="Footer Char"/>
    <w:basedOn w:val="DefaultParagraphFont"/>
    <w:link w:val="Footer"/>
    <w:uiPriority w:val="99"/>
    <w:rsid w:val="00D62BB8"/>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paperpile.com/b/D0dMrm/tsZqD" TargetMode="External"/><Relationship Id="rId21" Type="http://schemas.openxmlformats.org/officeDocument/2006/relationships/hyperlink" Target="https://paperpile.com/c/D0dMrm/Rstne" TargetMode="External"/><Relationship Id="rId42" Type="http://schemas.openxmlformats.org/officeDocument/2006/relationships/image" Target="media/image4.png"/><Relationship Id="rId63" Type="http://schemas.openxmlformats.org/officeDocument/2006/relationships/hyperlink" Target="http://paperpile.com/b/D0dMrm/HXigH" TargetMode="External"/><Relationship Id="rId84" Type="http://schemas.openxmlformats.org/officeDocument/2006/relationships/hyperlink" Target="http://paperpile.com/b/D0dMrm/2O2Sc" TargetMode="External"/><Relationship Id="rId138" Type="http://schemas.openxmlformats.org/officeDocument/2006/relationships/hyperlink" Target="http://paperpile.com/b/D0dMrm/QokOp" TargetMode="External"/><Relationship Id="rId159" Type="http://schemas.openxmlformats.org/officeDocument/2006/relationships/hyperlink" Target="http://paperpile.com/b/D0dMrm/DHLYm" TargetMode="External"/><Relationship Id="rId170" Type="http://schemas.openxmlformats.org/officeDocument/2006/relationships/hyperlink" Target="http://paperpile.com/b/D0dMrm/nHFWQ" TargetMode="External"/><Relationship Id="rId107" Type="http://schemas.openxmlformats.org/officeDocument/2006/relationships/hyperlink" Target="http://paperpile.com/b/D0dMrm/dHuYG" TargetMode="External"/><Relationship Id="rId11" Type="http://schemas.openxmlformats.org/officeDocument/2006/relationships/hyperlink" Target="https://paperpile.com/c/D0dMrm/zM3t2+beoBu" TargetMode="External"/><Relationship Id="rId32" Type="http://schemas.openxmlformats.org/officeDocument/2006/relationships/hyperlink" Target="https://paperpile.com/c/D0dMrm/nHFWQ" TargetMode="External"/><Relationship Id="rId53" Type="http://schemas.openxmlformats.org/officeDocument/2006/relationships/hyperlink" Target="http://paperpile.com/b/D0dMrm/HgtRz" TargetMode="External"/><Relationship Id="rId74" Type="http://schemas.openxmlformats.org/officeDocument/2006/relationships/hyperlink" Target="http://paperpile.com/b/D0dMrm/beoBu" TargetMode="External"/><Relationship Id="rId128" Type="http://schemas.openxmlformats.org/officeDocument/2006/relationships/hyperlink" Target="http://paperpile.com/b/D0dMrm/j0NWp" TargetMode="External"/><Relationship Id="rId149" Type="http://schemas.openxmlformats.org/officeDocument/2006/relationships/hyperlink" Target="http://paperpile.com/b/D0dMrm/kuEKP" TargetMode="External"/><Relationship Id="rId5" Type="http://schemas.openxmlformats.org/officeDocument/2006/relationships/webSettings" Target="webSettings.xml"/><Relationship Id="rId95" Type="http://schemas.openxmlformats.org/officeDocument/2006/relationships/hyperlink" Target="http://paperpile.com/b/D0dMrm/G1K5J" TargetMode="External"/><Relationship Id="rId160" Type="http://schemas.openxmlformats.org/officeDocument/2006/relationships/hyperlink" Target="http://paperpile.com/b/D0dMrm/DHLYm" TargetMode="External"/><Relationship Id="rId22" Type="http://schemas.openxmlformats.org/officeDocument/2006/relationships/hyperlink" Target="https://paperpile.com/c/D0dMrm/Xw0VP" TargetMode="External"/><Relationship Id="rId43" Type="http://schemas.openxmlformats.org/officeDocument/2006/relationships/image" Target="media/image5.jpg"/><Relationship Id="rId64" Type="http://schemas.openxmlformats.org/officeDocument/2006/relationships/hyperlink" Target="http://paperpile.com/b/D0dMrm/HXigH" TargetMode="External"/><Relationship Id="rId118" Type="http://schemas.openxmlformats.org/officeDocument/2006/relationships/hyperlink" Target="http://arxiv.org/abs/1303.3997" TargetMode="External"/><Relationship Id="rId139" Type="http://schemas.openxmlformats.org/officeDocument/2006/relationships/hyperlink" Target="http://paperpile.com/b/D0dMrm/V2AT9" TargetMode="External"/><Relationship Id="rId85" Type="http://schemas.openxmlformats.org/officeDocument/2006/relationships/hyperlink" Target="http://paperpile.com/b/D0dMrm/2O2Sc" TargetMode="External"/><Relationship Id="rId150" Type="http://schemas.openxmlformats.org/officeDocument/2006/relationships/hyperlink" Target="http://paperpile.com/b/D0dMrm/kuEKP" TargetMode="External"/><Relationship Id="rId171" Type="http://schemas.openxmlformats.org/officeDocument/2006/relationships/header" Target="header1.xml"/><Relationship Id="rId12" Type="http://schemas.openxmlformats.org/officeDocument/2006/relationships/hyperlink" Target="https://paperpile.com/c/D0dMrm/tsZqD" TargetMode="External"/><Relationship Id="rId33" Type="http://schemas.openxmlformats.org/officeDocument/2006/relationships/hyperlink" Target="https://paperpile.com/c/D0dMrm/74fd" TargetMode="External"/><Relationship Id="rId108" Type="http://schemas.openxmlformats.org/officeDocument/2006/relationships/hyperlink" Target="http://paperpile.com/b/D0dMrm/dHuYG" TargetMode="External"/><Relationship Id="rId129" Type="http://schemas.openxmlformats.org/officeDocument/2006/relationships/hyperlink" Target="http://paperpile.com/b/D0dMrm/t5Cu0" TargetMode="External"/><Relationship Id="rId54" Type="http://schemas.openxmlformats.org/officeDocument/2006/relationships/hyperlink" Target="http://paperpile.com/b/D0dMrm/HgtRz" TargetMode="External"/><Relationship Id="rId75" Type="http://schemas.openxmlformats.org/officeDocument/2006/relationships/hyperlink" Target="http://paperpile.com/b/D0dMrm/beoBu" TargetMode="External"/><Relationship Id="rId96" Type="http://schemas.openxmlformats.org/officeDocument/2006/relationships/hyperlink" Target="http://paperpile.com/b/D0dMrm/74fd" TargetMode="External"/><Relationship Id="rId140" Type="http://schemas.openxmlformats.org/officeDocument/2006/relationships/hyperlink" Target="http://paperpile.com/b/D0dMrm/V2AT9" TargetMode="External"/><Relationship Id="rId161" Type="http://schemas.openxmlformats.org/officeDocument/2006/relationships/hyperlink" Target="http://paperpile.com/b/D0dMrm/xH1t7" TargetMode="External"/><Relationship Id="rId6" Type="http://schemas.openxmlformats.org/officeDocument/2006/relationships/footnotes" Target="footnotes.xml"/><Relationship Id="rId23" Type="http://schemas.openxmlformats.org/officeDocument/2006/relationships/hyperlink" Target="https://github.com/chrisamiller/copyCat" TargetMode="External"/><Relationship Id="rId28" Type="http://schemas.openxmlformats.org/officeDocument/2006/relationships/hyperlink" Target="https://paperpile.com/c/D0dMrm/HgtRz" TargetMode="External"/><Relationship Id="rId49" Type="http://schemas.openxmlformats.org/officeDocument/2006/relationships/image" Target="media/image11.png"/><Relationship Id="rId114" Type="http://schemas.openxmlformats.org/officeDocument/2006/relationships/hyperlink" Target="http://paperpile.com/b/D0dMrm/RdWuC" TargetMode="External"/><Relationship Id="rId119" Type="http://schemas.openxmlformats.org/officeDocument/2006/relationships/hyperlink" Target="http://paperpile.com/b/D0dMrm/SmfgI" TargetMode="External"/><Relationship Id="rId44" Type="http://schemas.openxmlformats.org/officeDocument/2006/relationships/image" Target="media/image6.png"/><Relationship Id="rId60" Type="http://schemas.openxmlformats.org/officeDocument/2006/relationships/hyperlink" Target="http://dx.doi.org/10.1101/266262" TargetMode="External"/><Relationship Id="rId65" Type="http://schemas.openxmlformats.org/officeDocument/2006/relationships/hyperlink" Target="http://paperpile.com/b/D0dMrm/HXigH" TargetMode="External"/><Relationship Id="rId81" Type="http://schemas.openxmlformats.org/officeDocument/2006/relationships/hyperlink" Target="http://paperpile.com/b/D0dMrm/2O2Sc" TargetMode="External"/><Relationship Id="rId86" Type="http://schemas.openxmlformats.org/officeDocument/2006/relationships/hyperlink" Target="http://paperpile.com/b/D0dMrm/zM3t2" TargetMode="External"/><Relationship Id="rId130" Type="http://schemas.openxmlformats.org/officeDocument/2006/relationships/hyperlink" Target="http://paperpile.com/b/D0dMrm/t5Cu0" TargetMode="External"/><Relationship Id="rId135" Type="http://schemas.openxmlformats.org/officeDocument/2006/relationships/hyperlink" Target="http://paperpile.com/b/D0dMrm/QokOp" TargetMode="External"/><Relationship Id="rId151" Type="http://schemas.openxmlformats.org/officeDocument/2006/relationships/hyperlink" Target="http://paperpile.com/b/D0dMrm/kuEKP" TargetMode="External"/><Relationship Id="rId156" Type="http://schemas.openxmlformats.org/officeDocument/2006/relationships/hyperlink" Target="http://paperpile.com/b/D0dMrm/ikPhO" TargetMode="External"/><Relationship Id="rId177" Type="http://schemas.openxmlformats.org/officeDocument/2006/relationships/fontTable" Target="fontTable.xml"/><Relationship Id="rId172" Type="http://schemas.openxmlformats.org/officeDocument/2006/relationships/header" Target="header2.xml"/><Relationship Id="rId13" Type="http://schemas.openxmlformats.org/officeDocument/2006/relationships/hyperlink" Target="https://paperpile.com/c/D0dMrm/zM3t2+beoBu+2O2Sc" TargetMode="External"/><Relationship Id="rId18" Type="http://schemas.openxmlformats.org/officeDocument/2006/relationships/hyperlink" Target="https://paperpile.com/c/D0dMrm/m4eU2" TargetMode="External"/><Relationship Id="rId39" Type="http://schemas.openxmlformats.org/officeDocument/2006/relationships/image" Target="media/image1.png"/><Relationship Id="rId109" Type="http://schemas.openxmlformats.org/officeDocument/2006/relationships/hyperlink" Target="http://paperpile.com/b/D0dMrm/dHuYG" TargetMode="External"/><Relationship Id="rId34" Type="http://schemas.openxmlformats.org/officeDocument/2006/relationships/hyperlink" Target="https://paperpile.com/c/D0dMrm/HXigH" TargetMode="External"/><Relationship Id="rId50" Type="http://schemas.openxmlformats.org/officeDocument/2006/relationships/image" Target="media/image12.png"/><Relationship Id="rId55" Type="http://schemas.openxmlformats.org/officeDocument/2006/relationships/hyperlink" Target="http://paperpile.com/b/D0dMrm/HgtRz" TargetMode="External"/><Relationship Id="rId76" Type="http://schemas.openxmlformats.org/officeDocument/2006/relationships/hyperlink" Target="http://paperpile.com/b/D0dMrm/m4eU2" TargetMode="External"/><Relationship Id="rId97" Type="http://schemas.openxmlformats.org/officeDocument/2006/relationships/hyperlink" Target="http://paperpile.com/b/D0dMrm/74fd" TargetMode="External"/><Relationship Id="rId104" Type="http://schemas.openxmlformats.org/officeDocument/2006/relationships/hyperlink" Target="http://dx.doi.org/10.17504/protocols.io.mhdc326" TargetMode="External"/><Relationship Id="rId120" Type="http://schemas.openxmlformats.org/officeDocument/2006/relationships/hyperlink" Target="http://paperpile.com/b/D0dMrm/SmfgI" TargetMode="External"/><Relationship Id="rId125" Type="http://schemas.openxmlformats.org/officeDocument/2006/relationships/hyperlink" Target="http://paperpile.com/b/D0dMrm/j0NWp" TargetMode="External"/><Relationship Id="rId141" Type="http://schemas.openxmlformats.org/officeDocument/2006/relationships/hyperlink" Target="http://paperpile.com/b/D0dMrm/V2AT9" TargetMode="External"/><Relationship Id="rId146" Type="http://schemas.openxmlformats.org/officeDocument/2006/relationships/hyperlink" Target="http://paperpile.com/b/D0dMrm/Rstne" TargetMode="External"/><Relationship Id="rId167" Type="http://schemas.openxmlformats.org/officeDocument/2006/relationships/hyperlink" Target="http://paperpile.com/b/D0dMrm/nHFWQ" TargetMode="External"/><Relationship Id="rId7" Type="http://schemas.openxmlformats.org/officeDocument/2006/relationships/endnotes" Target="endnotes.xml"/><Relationship Id="rId71" Type="http://schemas.openxmlformats.org/officeDocument/2006/relationships/hyperlink" Target="http://paperpile.com/b/D0dMrm/beoBu" TargetMode="External"/><Relationship Id="rId92" Type="http://schemas.openxmlformats.org/officeDocument/2006/relationships/hyperlink" Target="http://paperpile.com/b/D0dMrm/G1K5J" TargetMode="External"/><Relationship Id="rId162" Type="http://schemas.openxmlformats.org/officeDocument/2006/relationships/hyperlink" Target="http://paperpile.com/b/D0dMrm/xH1t7" TargetMode="External"/><Relationship Id="rId2" Type="http://schemas.openxmlformats.org/officeDocument/2006/relationships/numbering" Target="numbering.xml"/><Relationship Id="rId29" Type="http://schemas.openxmlformats.org/officeDocument/2006/relationships/hyperlink" Target="https://paperpile.com/c/D0dMrm/j0NWp" TargetMode="External"/><Relationship Id="rId24" Type="http://schemas.openxmlformats.org/officeDocument/2006/relationships/hyperlink" Target="https://paperpile.com/c/D0dMrm/Rstne+fGw1j"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hyperlink" Target="http://paperpile.com/b/D0dMrm/fGw1j" TargetMode="External"/><Relationship Id="rId87" Type="http://schemas.openxmlformats.org/officeDocument/2006/relationships/hyperlink" Target="http://paperpile.com/b/D0dMrm/zM3t2" TargetMode="External"/><Relationship Id="rId110" Type="http://schemas.openxmlformats.org/officeDocument/2006/relationships/hyperlink" Target="http://paperpile.com/b/D0dMrm/RdWuC" TargetMode="External"/><Relationship Id="rId115" Type="http://schemas.openxmlformats.org/officeDocument/2006/relationships/hyperlink" Target="http://paperpile.com/b/D0dMrm/tsZqD" TargetMode="External"/><Relationship Id="rId131" Type="http://schemas.openxmlformats.org/officeDocument/2006/relationships/hyperlink" Target="http://paperpile.com/b/D0dMrm/t5Cu0" TargetMode="External"/><Relationship Id="rId136" Type="http://schemas.openxmlformats.org/officeDocument/2006/relationships/hyperlink" Target="http://paperpile.com/b/D0dMrm/QokOp" TargetMode="External"/><Relationship Id="rId157" Type="http://schemas.openxmlformats.org/officeDocument/2006/relationships/hyperlink" Target="http://paperpile.com/b/D0dMrm/ikPhO" TargetMode="External"/><Relationship Id="rId178" Type="http://schemas.openxmlformats.org/officeDocument/2006/relationships/theme" Target="theme/theme1.xml"/><Relationship Id="rId61" Type="http://schemas.openxmlformats.org/officeDocument/2006/relationships/hyperlink" Target="http://paperpile.com/b/D0dMrm/HXigH" TargetMode="External"/><Relationship Id="rId82" Type="http://schemas.openxmlformats.org/officeDocument/2006/relationships/hyperlink" Target="http://paperpile.com/b/D0dMrm/2O2Sc" TargetMode="External"/><Relationship Id="rId152" Type="http://schemas.openxmlformats.org/officeDocument/2006/relationships/hyperlink" Target="http://dx.doi.org/10.1101/060012" TargetMode="External"/><Relationship Id="rId173" Type="http://schemas.openxmlformats.org/officeDocument/2006/relationships/footer" Target="footer1.xml"/><Relationship Id="rId19" Type="http://schemas.openxmlformats.org/officeDocument/2006/relationships/hyperlink" Target="https://paperpile.com/c/D0dMrm/pFwR4" TargetMode="External"/><Relationship Id="rId14" Type="http://schemas.openxmlformats.org/officeDocument/2006/relationships/hyperlink" Target="https://paperpile.com/c/D0dMrm/zM3t2+beoBu+2O2Sc+RdWuC" TargetMode="External"/><Relationship Id="rId30" Type="http://schemas.openxmlformats.org/officeDocument/2006/relationships/hyperlink" Target="https://paperpile.com/c/D0dMrm/kuEKP" TargetMode="External"/><Relationship Id="rId35" Type="http://schemas.openxmlformats.org/officeDocument/2006/relationships/hyperlink" Target="https://paperpile.com/c/D0dMrm/HXigH" TargetMode="External"/><Relationship Id="rId56" Type="http://schemas.openxmlformats.org/officeDocument/2006/relationships/hyperlink" Target="http://paperpile.com/b/D0dMrm/HgtRz" TargetMode="External"/><Relationship Id="rId77" Type="http://schemas.openxmlformats.org/officeDocument/2006/relationships/hyperlink" Target="http://paperpile.com/b/D0dMrm/m4eU2" TargetMode="External"/><Relationship Id="rId100" Type="http://schemas.openxmlformats.org/officeDocument/2006/relationships/hyperlink" Target="http://paperpile.com/b/D0dMrm/74fd" TargetMode="External"/><Relationship Id="rId105" Type="http://schemas.openxmlformats.org/officeDocument/2006/relationships/hyperlink" Target="http://paperpile.com/b/D0dMrm/dHuYG" TargetMode="External"/><Relationship Id="rId126" Type="http://schemas.openxmlformats.org/officeDocument/2006/relationships/hyperlink" Target="http://paperpile.com/b/D0dMrm/j0NWp" TargetMode="External"/><Relationship Id="rId147" Type="http://schemas.openxmlformats.org/officeDocument/2006/relationships/hyperlink" Target="http://paperpile.com/b/D0dMrm/Rstne" TargetMode="External"/><Relationship Id="rId168" Type="http://schemas.openxmlformats.org/officeDocument/2006/relationships/hyperlink" Target="http://paperpile.com/b/D0dMrm/nHFWQ" TargetMode="External"/><Relationship Id="rId8" Type="http://schemas.openxmlformats.org/officeDocument/2006/relationships/hyperlink" Target="https://paperpile.com/c/D0dMrm/G1K5J" TargetMode="External"/><Relationship Id="rId51" Type="http://schemas.openxmlformats.org/officeDocument/2006/relationships/image" Target="media/image13.png"/><Relationship Id="rId72" Type="http://schemas.openxmlformats.org/officeDocument/2006/relationships/hyperlink" Target="http://paperpile.com/b/D0dMrm/beoBu" TargetMode="External"/><Relationship Id="rId93" Type="http://schemas.openxmlformats.org/officeDocument/2006/relationships/hyperlink" Target="http://paperpile.com/b/D0dMrm/G1K5J" TargetMode="External"/><Relationship Id="rId98" Type="http://schemas.openxmlformats.org/officeDocument/2006/relationships/hyperlink" Target="http://paperpile.com/b/D0dMrm/74fd" TargetMode="External"/><Relationship Id="rId121" Type="http://schemas.openxmlformats.org/officeDocument/2006/relationships/hyperlink" Target="http://paperpile.com/b/D0dMrm/SmfgI" TargetMode="External"/><Relationship Id="rId142" Type="http://schemas.openxmlformats.org/officeDocument/2006/relationships/hyperlink" Target="http://paperpile.com/b/D0dMrm/V2AT9" TargetMode="External"/><Relationship Id="rId163" Type="http://schemas.openxmlformats.org/officeDocument/2006/relationships/hyperlink" Target="http://paperpile.com/b/D0dMrm/xH1t7" TargetMode="External"/><Relationship Id="rId3" Type="http://schemas.openxmlformats.org/officeDocument/2006/relationships/styles" Target="styles.xml"/><Relationship Id="rId25" Type="http://schemas.openxmlformats.org/officeDocument/2006/relationships/hyperlink" Target="https://paperpile.com/c/D0dMrm/xH1t7" TargetMode="External"/><Relationship Id="rId46" Type="http://schemas.openxmlformats.org/officeDocument/2006/relationships/image" Target="media/image8.png"/><Relationship Id="rId67" Type="http://schemas.openxmlformats.org/officeDocument/2006/relationships/hyperlink" Target="http://paperpile.com/b/D0dMrm/fGw1j" TargetMode="External"/><Relationship Id="rId116" Type="http://schemas.openxmlformats.org/officeDocument/2006/relationships/hyperlink" Target="http://paperpile.com/b/D0dMrm/tsZqD" TargetMode="External"/><Relationship Id="rId137" Type="http://schemas.openxmlformats.org/officeDocument/2006/relationships/hyperlink" Target="http://paperpile.com/b/D0dMrm/QokOp" TargetMode="External"/><Relationship Id="rId158" Type="http://schemas.openxmlformats.org/officeDocument/2006/relationships/hyperlink" Target="http://paperpile.com/b/D0dMrm/DHLYm" TargetMode="External"/><Relationship Id="rId20" Type="http://schemas.openxmlformats.org/officeDocument/2006/relationships/hyperlink" Target="https://paperpile.com/c/D0dMrm/V2AT9" TargetMode="External"/><Relationship Id="rId41" Type="http://schemas.openxmlformats.org/officeDocument/2006/relationships/image" Target="media/image3.png"/><Relationship Id="rId62" Type="http://schemas.openxmlformats.org/officeDocument/2006/relationships/hyperlink" Target="http://paperpile.com/b/D0dMrm/HXigH" TargetMode="External"/><Relationship Id="rId83" Type="http://schemas.openxmlformats.org/officeDocument/2006/relationships/hyperlink" Target="http://paperpile.com/b/D0dMrm/2O2Sc" TargetMode="External"/><Relationship Id="rId88" Type="http://schemas.openxmlformats.org/officeDocument/2006/relationships/hyperlink" Target="http://paperpile.com/b/D0dMrm/zM3t2" TargetMode="External"/><Relationship Id="rId111" Type="http://schemas.openxmlformats.org/officeDocument/2006/relationships/hyperlink" Target="http://paperpile.com/b/D0dMrm/RdWuC" TargetMode="External"/><Relationship Id="rId132" Type="http://schemas.openxmlformats.org/officeDocument/2006/relationships/hyperlink" Target="http://paperpile.com/b/D0dMrm/t5Cu0" TargetMode="External"/><Relationship Id="rId153" Type="http://schemas.openxmlformats.org/officeDocument/2006/relationships/hyperlink" Target="http://paperpile.com/b/D0dMrm/ikPhO" TargetMode="External"/><Relationship Id="rId174" Type="http://schemas.openxmlformats.org/officeDocument/2006/relationships/footer" Target="footer2.xml"/><Relationship Id="rId15" Type="http://schemas.openxmlformats.org/officeDocument/2006/relationships/hyperlink" Target="https://paperpile.com/c/D0dMrm/zM3t2+beoBu+2O2Sc+RdWuC+V2AT9" TargetMode="External"/><Relationship Id="rId36" Type="http://schemas.openxmlformats.org/officeDocument/2006/relationships/hyperlink" Target="https://paperpile.com/c/D0dMrm/HXigH" TargetMode="External"/><Relationship Id="rId57" Type="http://schemas.openxmlformats.org/officeDocument/2006/relationships/hyperlink" Target="http://paperpile.com/b/D0dMrm/Xw0VP" TargetMode="External"/><Relationship Id="rId106" Type="http://schemas.openxmlformats.org/officeDocument/2006/relationships/hyperlink" Target="http://paperpile.com/b/D0dMrm/dHuYG" TargetMode="External"/><Relationship Id="rId127" Type="http://schemas.openxmlformats.org/officeDocument/2006/relationships/hyperlink" Target="http://paperpile.com/b/D0dMrm/j0NWp" TargetMode="External"/><Relationship Id="rId10" Type="http://schemas.openxmlformats.org/officeDocument/2006/relationships/hyperlink" Target="https://paperpile.com/c/D0dMrm/zM3t2" TargetMode="External"/><Relationship Id="rId31" Type="http://schemas.openxmlformats.org/officeDocument/2006/relationships/hyperlink" Target="https://paperpile.com/c/D0dMrm/QokOp" TargetMode="External"/><Relationship Id="rId52" Type="http://schemas.openxmlformats.org/officeDocument/2006/relationships/hyperlink" Target="http://paperpile.com/b/D0dMrm/HgtRz" TargetMode="External"/><Relationship Id="rId73" Type="http://schemas.openxmlformats.org/officeDocument/2006/relationships/hyperlink" Target="http://paperpile.com/b/D0dMrm/beoBu" TargetMode="External"/><Relationship Id="rId78" Type="http://schemas.openxmlformats.org/officeDocument/2006/relationships/hyperlink" Target="http://paperpile.com/b/D0dMrm/m4eU2" TargetMode="External"/><Relationship Id="rId94" Type="http://schemas.openxmlformats.org/officeDocument/2006/relationships/hyperlink" Target="http://paperpile.com/b/D0dMrm/G1K5J" TargetMode="External"/><Relationship Id="rId99" Type="http://schemas.openxmlformats.org/officeDocument/2006/relationships/hyperlink" Target="http://paperpile.com/b/D0dMrm/74fd" TargetMode="External"/><Relationship Id="rId101" Type="http://schemas.openxmlformats.org/officeDocument/2006/relationships/hyperlink" Target="http://paperpile.com/b/D0dMrm/pFwR4" TargetMode="External"/><Relationship Id="rId122" Type="http://schemas.openxmlformats.org/officeDocument/2006/relationships/hyperlink" Target="http://paperpile.com/b/D0dMrm/SmfgI" TargetMode="External"/><Relationship Id="rId143" Type="http://schemas.openxmlformats.org/officeDocument/2006/relationships/hyperlink" Target="http://paperpile.com/b/D0dMrm/V2AT9" TargetMode="External"/><Relationship Id="rId148" Type="http://schemas.openxmlformats.org/officeDocument/2006/relationships/hyperlink" Target="http://paperpile.com/b/D0dMrm/Rstne" TargetMode="External"/><Relationship Id="rId164" Type="http://schemas.openxmlformats.org/officeDocument/2006/relationships/hyperlink" Target="http://paperpile.com/b/D0dMrm/xH1t7" TargetMode="External"/><Relationship Id="rId169" Type="http://schemas.openxmlformats.org/officeDocument/2006/relationships/hyperlink" Target="http://paperpile.com/b/D0dMrm/nHFWQ" TargetMode="External"/><Relationship Id="rId4" Type="http://schemas.openxmlformats.org/officeDocument/2006/relationships/settings" Target="settings.xml"/><Relationship Id="rId9" Type="http://schemas.openxmlformats.org/officeDocument/2006/relationships/hyperlink" Target="https://paperpile.com/c/D0dMrm/t5Cu0" TargetMode="External"/><Relationship Id="rId26" Type="http://schemas.openxmlformats.org/officeDocument/2006/relationships/hyperlink" Target="https://paperpile.com/c/D0dMrm/dHuYG" TargetMode="External"/><Relationship Id="rId47" Type="http://schemas.openxmlformats.org/officeDocument/2006/relationships/image" Target="media/image9.png"/><Relationship Id="rId68" Type="http://schemas.openxmlformats.org/officeDocument/2006/relationships/hyperlink" Target="http://paperpile.com/b/D0dMrm/fGw1j" TargetMode="External"/><Relationship Id="rId89" Type="http://schemas.openxmlformats.org/officeDocument/2006/relationships/hyperlink" Target="http://paperpile.com/b/D0dMrm/zM3t2" TargetMode="External"/><Relationship Id="rId112" Type="http://schemas.openxmlformats.org/officeDocument/2006/relationships/hyperlink" Target="http://paperpile.com/b/D0dMrm/RdWuC" TargetMode="External"/><Relationship Id="rId133" Type="http://schemas.openxmlformats.org/officeDocument/2006/relationships/hyperlink" Target="http://paperpile.com/b/D0dMrm/t5Cu0" TargetMode="External"/><Relationship Id="rId154" Type="http://schemas.openxmlformats.org/officeDocument/2006/relationships/hyperlink" Target="http://paperpile.com/b/D0dMrm/ikPhO" TargetMode="External"/><Relationship Id="rId175" Type="http://schemas.openxmlformats.org/officeDocument/2006/relationships/header" Target="header3.xml"/><Relationship Id="rId16" Type="http://schemas.openxmlformats.org/officeDocument/2006/relationships/hyperlink" Target="https://paperpile.com/c/D0dMrm/Rstne" TargetMode="External"/><Relationship Id="rId37" Type="http://schemas.openxmlformats.org/officeDocument/2006/relationships/hyperlink" Target="https://paperpile.com/c/D0dMrm/DHLYm" TargetMode="External"/><Relationship Id="rId58" Type="http://schemas.openxmlformats.org/officeDocument/2006/relationships/hyperlink" Target="http://paperpile.com/b/D0dMrm/Xw0VP" TargetMode="External"/><Relationship Id="rId79" Type="http://schemas.openxmlformats.org/officeDocument/2006/relationships/hyperlink" Target="http://paperpile.com/b/D0dMrm/m4eU2" TargetMode="External"/><Relationship Id="rId102" Type="http://schemas.openxmlformats.org/officeDocument/2006/relationships/hyperlink" Target="http://paperpile.com/b/D0dMrm/pFwR4" TargetMode="External"/><Relationship Id="rId123" Type="http://schemas.openxmlformats.org/officeDocument/2006/relationships/hyperlink" Target="http://paperpile.com/b/D0dMrm/SmfgI" TargetMode="External"/><Relationship Id="rId144" Type="http://schemas.openxmlformats.org/officeDocument/2006/relationships/hyperlink" Target="http://paperpile.com/b/D0dMrm/Rstne" TargetMode="External"/><Relationship Id="rId90" Type="http://schemas.openxmlformats.org/officeDocument/2006/relationships/hyperlink" Target="http://paperpile.com/b/D0dMrm/zM3t2" TargetMode="External"/><Relationship Id="rId165" Type="http://schemas.openxmlformats.org/officeDocument/2006/relationships/hyperlink" Target="http://paperpile.com/b/D0dMrm/xH1t7" TargetMode="External"/><Relationship Id="rId27" Type="http://schemas.openxmlformats.org/officeDocument/2006/relationships/hyperlink" Target="https://paperpile.com/c/D0dMrm/fGw1j" TargetMode="External"/><Relationship Id="rId48" Type="http://schemas.openxmlformats.org/officeDocument/2006/relationships/image" Target="media/image10.png"/><Relationship Id="rId69" Type="http://schemas.openxmlformats.org/officeDocument/2006/relationships/hyperlink" Target="http://paperpile.com/b/D0dMrm/fGw1j" TargetMode="External"/><Relationship Id="rId113" Type="http://schemas.openxmlformats.org/officeDocument/2006/relationships/hyperlink" Target="http://paperpile.com/b/D0dMrm/RdWuC" TargetMode="External"/><Relationship Id="rId134" Type="http://schemas.openxmlformats.org/officeDocument/2006/relationships/hyperlink" Target="http://paperpile.com/b/D0dMrm/QokOp" TargetMode="External"/><Relationship Id="rId80" Type="http://schemas.openxmlformats.org/officeDocument/2006/relationships/hyperlink" Target="http://paperpile.com/b/D0dMrm/m4eU2" TargetMode="External"/><Relationship Id="rId155" Type="http://schemas.openxmlformats.org/officeDocument/2006/relationships/hyperlink" Target="http://paperpile.com/b/D0dMrm/ikPhO" TargetMode="External"/><Relationship Id="rId176" Type="http://schemas.openxmlformats.org/officeDocument/2006/relationships/footer" Target="footer3.xml"/><Relationship Id="rId17" Type="http://schemas.openxmlformats.org/officeDocument/2006/relationships/hyperlink" Target="https://paperpile.com/c/D0dMrm/SmfgI" TargetMode="External"/><Relationship Id="rId38" Type="http://schemas.openxmlformats.org/officeDocument/2006/relationships/hyperlink" Target="https://paperpile.com/c/D0dMrm/ikPhO" TargetMode="External"/><Relationship Id="rId59" Type="http://schemas.openxmlformats.org/officeDocument/2006/relationships/hyperlink" Target="http://paperpile.com/b/D0dMrm/Xw0VP" TargetMode="External"/><Relationship Id="rId103" Type="http://schemas.openxmlformats.org/officeDocument/2006/relationships/hyperlink" Target="http://paperpile.com/b/D0dMrm/pFwR4" TargetMode="External"/><Relationship Id="rId124" Type="http://schemas.openxmlformats.org/officeDocument/2006/relationships/hyperlink" Target="http://paperpile.com/b/D0dMrm/j0NWp" TargetMode="External"/><Relationship Id="rId70" Type="http://schemas.openxmlformats.org/officeDocument/2006/relationships/hyperlink" Target="http://paperpile.com/b/D0dMrm/fGw1j" TargetMode="External"/><Relationship Id="rId91" Type="http://schemas.openxmlformats.org/officeDocument/2006/relationships/hyperlink" Target="http://paperpile.com/b/D0dMrm/G1K5J" TargetMode="External"/><Relationship Id="rId145" Type="http://schemas.openxmlformats.org/officeDocument/2006/relationships/hyperlink" Target="http://paperpile.com/b/D0dMrm/Rstne" TargetMode="External"/><Relationship Id="rId166" Type="http://schemas.openxmlformats.org/officeDocument/2006/relationships/hyperlink" Target="http://paperpile.com/b/D0dMrm/nHFWQ"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KLpElX6wIe8ihUraybQvykDQiQ==">AMUW2mVnMR7DIR5gtSwZ/VC9ahIUaTL/upL1tHNMmkZk6wzJtJ4fefhXhH3dv1lxh7yVx62BU8a4PE1icqX9cYW6Abr0Xvg8YzwxTxp+5KxnUoBjbmmDEj9ZQGSz2JXWS09H0y5LWwOcY+0dhjo0tlZoP2W/F3JHhNi6kbMaKuSqDBk4gzHkw3rZAYTKR7irk21hgkCV2FI+h1jkjq42HF0QyP2uRQgElIxZLDbBe3/u4TDOBEqhxCPYYmjdsL/S+3J2PUuqn/6ZIHDTJM5LQ251k9FySmLLwFuxkVAhAq/XzCMMANgElVxSz2/uJttYPJpWjRDsM+7Rbbcly/QyUWtzJ5b47ScemHdIYWr4E9g9FyvJEQTxa0cQg+jIBwjlyMT8hK3iR/r9ketGornOOaaLHqo4OAlMfWVotZW79dO6qf2P/DK6s/7aB3OTgSsAYG1OA6bhfsZfpiWFYoEJnnLWJLrsl60jdQgxJxDcX1wK0H1X4ahCFxM3K1KjivWtPipWbO3pUGhGKvsPxYeDhXz99CkJWfxls9prqTLhBESuWyr/vcxTTE83qu5+OxholWdJ+CIo/DhrDNFk/fwU7lR+2+beF5ZmIFPYD8LYf0GXAfqSLbqJGb51IvSH02CrEGFZXTouI1vaM0kwZVmyJ403/U81ykcwGy7Gg6zUTIewWg5+pbzA0lExxb/qPkvgREzbpa0mErCQ5zm5M5nljI1ZFXun/h1vVFtine7MUs8qBBA+zL2a5lFsFkEgXwdQHwMsUMI/jvjHpOwxUE+HICQSDsK1pKdjAwp6sBYfwhXqnoyZmAT4Ayml+4eC5PbDnywTQHpAZJ1LAJjLZiXNxD9SbD71cGoh7C4efV1tCAcuihM0jap+0dE98LEvJxCY6DdmomBj1UtgGPD7CCXzpEtgcPx3ndlL4SADy0Hl/3n7PK2ZtUs4MZPZ/zIvOyadrVivf2R7aqmYJYptCjq6lN1I2vhpdRXY5Uk/wCgbn//SnM1K3KNILp5Bss0ZmKcdLcWq6668x29JBpwtS5asXSAo62vadnfGAFbkYWAATl03IFvteqMDNm+BTx0zsBS0a+68INZcHlQnwl9kNKSv1S4/0BEykzjRD6RTGSnrJZXxLN6DMpVXKZzl2Xl7QkTYhOsOeCTeflKaUJ5gS2RxFUIRkFeAco1f7ep7QibdXb6fznL6HEsyyze+tO6ywN1ijQB2YKEMjrdeVsVth0mZI1ngHhccG1dxti4K7ORBRhoIX4Jk0T1KoB5uxRHzk49Fh1qMEsEXMBiUFMyzd05O8vExyKYuVBkqYi8TCBzSOB0W5BZvsSKyF0YVNws8XG+Rs6xMTl6/WMdtyeGspgz+JeAblcQZf9ebA6xMMSTD8TOEkdxpaEsQiEIum6sJ+PWKH5vJLYj0HFGGMWtkBltoPjyAOR/rQ+k5IcngxpK7uv966NJxGCrm3j+pN07VhLqiZaSQdg+h5zOHKIjdn6kS4/gbQTHcPqVyzxx0/8H0fWt0lprub1/BhOh/EC2jgatUni9BIyy4bPliG8y5urGt/ppSGaQN4TgEdPsHMKXXuPy6cug2ZuNgONd4qVLB02fXhOwMBfDIQX9De6GLWmmISzWFaBsje7oA/0KIy+B/+802MS+pl7fV8uu/LNP8zG14r5MeADAkE3NJgOOyM7UAg/6I+Vxi+79QUtA1vuErzAKJ/Zc5B216UdYrVDlOgbfzqJ0QK0Tlse1Xh4/zub1C/lXUEhxPCiz7y1IFkgLyZ/B12+2kuVjedZvlh+Jsp6M91Han4wFDCYmBtLczw+CVieyVtRjP1NmhYk+Pczyu4J5sVeo7K+ZnjJMLCu2I4uoBhs7WfWJKXziQnIymaPyLZPUlL5dfNeXVcl0Il6wkIsmfcM8nK/ooiARaWU4SKthGhkMqZvoV8y3CNOUQj43d1ht5T+IgvSWvTow3/2JRSkscDLIwsjqe7ycKE6e88z10lv5QjKmqBQTKF/Vc6o+cAkzJ65bGXBlTV+6yBstThhUentcvgrXrvHE5PjQakfPN9z4nycdvyMf6rs3VSItacRP64AqfN1N/ayMCJ731cAPBt+QoObkAb/S5xisRA+W3IHpeqnMtTrpJRN7MnR+SmcgVKUQuSHkHtXpSIMGOxM0cbw175+8vMCm5AIAh2+cb7/qfdnlAdDUaIJVSPfKA9aA4xZ1f9Tqkg/06IXlvrNpAhZw1VKgOf6AxbMBEw5JnQraw9ldQE5LUzj8GbN2Ei2339KpwA3MGlt7/2t92xCulKL1vnvn5Cdv3VjUf+6F3VLBNhZLMpYPaQt875SxW0I4fDYeieH6N4xwb2/RxJrGnkBcFAfZt1FUKekeO3QxfOhbUdU4XmbsfGheIJ9BEofifP3P7D4EyPmHi+AXrJEAlJuGjwUoNnNAYhPdDTqpIezHwmk8QQvZzdW3rHDr0acSB0yEh+iGFCPUeTXETjJDr//s7NBi0wyiHlSQ4Q57wl9tVnD/Qm4zKaPC+sXWbdq79yZ038XJJCxFA1W9Ko07gZwe2+Wo3AQzsSrXs//uJCyDo3mNIMJ4hM4IqqVxs9LT9hYUz6Odxh19QnSv2twCHrGbIhnuWx4zM/xwTrjI0JoYhS2JokYf2DbR1IvOcY2QCoBKmkDUsoBNKZkVOX0sxe8AcAFW5oe5KsFw0qK0b+d5Av6+DAPlCPWMmAoFp0HVThgX0yltJKYLGXjdenpciEWLawDmAayKDjJMB2KMwPQMVRhSWwyLbBZBXFn/gJvevbb64Ywn/DBQ/TVtNADfBmGGv1u4MHFCdC/+aeyG34wyH6tGlbWYZ/LCm3Lm6ZGsvFsx9JsTOnLfgEwfZUPomfmrFud7dkU+5w44YR28qD75BrObsCHynn51Ucf16lixAxRIsznx/KHvUyMmzJ64xGDAxgGoQFlSpWuDVyAonhs8C+uJyNhA/oU1ygfaKq1ich7oz0AKnlMOAQa1Iw0fdD81+uZhfJ1X0HZy2dKw486olRFipDw8J76tmxcwl0S6Z+kGDqc0zFrdZOwCFaFbK/8BGkuAok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8528</Words>
  <Characters>40257</Characters>
  <Application>Microsoft Office Word</Application>
  <DocSecurity>0</DocSecurity>
  <Lines>1088</Lines>
  <Paragraphs>447</Paragraphs>
  <ScaleCrop>false</ScaleCrop>
  <Company/>
  <LinksUpToDate>false</LinksUpToDate>
  <CharactersWithSpaces>48338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Uppaluri, Ravindra,M.D.,Ph.D.</cp:lastModifiedBy>
  <cp:revision>3</cp:revision>
  <dcterms:created xsi:type="dcterms:W3CDTF">2020-06-04T18:51:00Z</dcterms:created>
  <dcterms:modified xsi:type="dcterms:W3CDTF">2020-06-04T19:28:00Z</dcterms:modified>
</cp:coreProperties>
</file>