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AEF3" w14:textId="755E7CDC" w:rsidR="00B23823" w:rsidRDefault="00515F9B">
      <w:pPr>
        <w:pStyle w:val="Body"/>
        <w:spacing w:line="480" w:lineRule="auto"/>
      </w:pPr>
      <w:r>
        <w:rPr>
          <w:b/>
          <w:bCs/>
        </w:rPr>
        <w:t xml:space="preserve">Supplementary Table 1. Patient and tumor characteristics. </w:t>
      </w:r>
      <w:r>
        <w:t>Comparison of distributions of patient and tumor characteristics among patients</w:t>
      </w:r>
      <w:r>
        <w:rPr>
          <w:b/>
          <w:bCs/>
        </w:rPr>
        <w:t xml:space="preserve"> </w:t>
      </w:r>
      <w:r>
        <w:t>in the original trial</w:t>
      </w:r>
      <w:r w:rsidR="00382899">
        <w:t xml:space="preserve"> (n=391)</w:t>
      </w:r>
      <w:r>
        <w:t xml:space="preserve">, the </w:t>
      </w:r>
      <w:r w:rsidR="00382899">
        <w:t>baseline</w:t>
      </w:r>
      <w:r>
        <w:t xml:space="preserve"> cohort</w:t>
      </w:r>
      <w:r w:rsidR="00382899">
        <w:t xml:space="preserve"> (n=294)</w:t>
      </w:r>
      <w:r>
        <w:t>, and those who were excluded from the study</w:t>
      </w:r>
      <w:r w:rsidR="00382899">
        <w:t xml:space="preserve"> (n=97)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2028"/>
        <w:gridCol w:w="2029"/>
        <w:gridCol w:w="2023"/>
        <w:gridCol w:w="1163"/>
      </w:tblGrid>
      <w:tr w:rsidR="009B66CB" w:rsidRPr="009B66CB" w14:paraId="641543B9" w14:textId="77777777" w:rsidTr="009B66CB">
        <w:trPr>
          <w:trHeight w:val="740"/>
        </w:trPr>
        <w:tc>
          <w:tcPr>
            <w:tcW w:w="3709" w:type="dxa"/>
            <w:noWrap/>
            <w:hideMark/>
          </w:tcPr>
          <w:p w14:paraId="33C4EB7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248A68F6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Not included (N=97)</w:t>
            </w:r>
          </w:p>
        </w:tc>
        <w:tc>
          <w:tcPr>
            <w:tcW w:w="2219" w:type="dxa"/>
            <w:hideMark/>
          </w:tcPr>
          <w:p w14:paraId="6CE95D56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Included (N=294)</w:t>
            </w:r>
          </w:p>
        </w:tc>
        <w:tc>
          <w:tcPr>
            <w:tcW w:w="2212" w:type="dxa"/>
            <w:hideMark/>
          </w:tcPr>
          <w:p w14:paraId="4FAEA061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Total (N=391)</w:t>
            </w:r>
          </w:p>
        </w:tc>
        <w:tc>
          <w:tcPr>
            <w:tcW w:w="1262" w:type="dxa"/>
            <w:hideMark/>
          </w:tcPr>
          <w:p w14:paraId="794B980E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Chi-Square p-value</w:t>
            </w:r>
          </w:p>
        </w:tc>
      </w:tr>
      <w:tr w:rsidR="009B66CB" w:rsidRPr="009B66CB" w14:paraId="0286C268" w14:textId="77777777" w:rsidTr="009B66CB">
        <w:trPr>
          <w:trHeight w:val="320"/>
        </w:trPr>
        <w:tc>
          <w:tcPr>
            <w:tcW w:w="3709" w:type="dxa"/>
            <w:noWrap/>
            <w:hideMark/>
          </w:tcPr>
          <w:p w14:paraId="1ED40D1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4807E382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 </w:t>
            </w:r>
          </w:p>
        </w:tc>
        <w:tc>
          <w:tcPr>
            <w:tcW w:w="2219" w:type="dxa"/>
            <w:hideMark/>
          </w:tcPr>
          <w:p w14:paraId="71AFC120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 </w:t>
            </w:r>
          </w:p>
        </w:tc>
        <w:tc>
          <w:tcPr>
            <w:tcW w:w="2212" w:type="dxa"/>
            <w:hideMark/>
          </w:tcPr>
          <w:p w14:paraId="7E90CCBA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 </w:t>
            </w:r>
          </w:p>
        </w:tc>
        <w:tc>
          <w:tcPr>
            <w:tcW w:w="1262" w:type="dxa"/>
            <w:hideMark/>
          </w:tcPr>
          <w:p w14:paraId="140AEF30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 </w:t>
            </w:r>
          </w:p>
        </w:tc>
      </w:tr>
      <w:tr w:rsidR="009B66CB" w:rsidRPr="009B66CB" w14:paraId="2F1A2FFB" w14:textId="77777777" w:rsidTr="009B66CB">
        <w:trPr>
          <w:trHeight w:val="340"/>
        </w:trPr>
        <w:tc>
          <w:tcPr>
            <w:tcW w:w="3709" w:type="dxa"/>
            <w:hideMark/>
          </w:tcPr>
          <w:p w14:paraId="06DCCB94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Treatment</w:t>
            </w:r>
          </w:p>
        </w:tc>
        <w:tc>
          <w:tcPr>
            <w:tcW w:w="2218" w:type="dxa"/>
            <w:hideMark/>
          </w:tcPr>
          <w:p w14:paraId="5F7A9E4B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7E17968C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69F77EAE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56C3C2E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0.08</w:t>
            </w:r>
          </w:p>
        </w:tc>
      </w:tr>
      <w:tr w:rsidR="009B66CB" w:rsidRPr="009B66CB" w14:paraId="20BA142C" w14:textId="77777777" w:rsidTr="009B66CB">
        <w:trPr>
          <w:trHeight w:val="340"/>
        </w:trPr>
        <w:tc>
          <w:tcPr>
            <w:tcW w:w="3709" w:type="dxa"/>
            <w:hideMark/>
          </w:tcPr>
          <w:p w14:paraId="1AAF6BE7" w14:textId="4B6B86D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Letrozole + Bev</w:t>
            </w:r>
            <w:r w:rsidR="0078728A">
              <w:t>a</w:t>
            </w:r>
            <w:r w:rsidRPr="009B66CB">
              <w:t>cizumab</w:t>
            </w:r>
          </w:p>
        </w:tc>
        <w:tc>
          <w:tcPr>
            <w:tcW w:w="2218" w:type="dxa"/>
            <w:hideMark/>
          </w:tcPr>
          <w:p w14:paraId="56CB4DD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41 (42.3%)</w:t>
            </w:r>
          </w:p>
        </w:tc>
        <w:tc>
          <w:tcPr>
            <w:tcW w:w="2219" w:type="dxa"/>
            <w:hideMark/>
          </w:tcPr>
          <w:p w14:paraId="5076118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154 (52.4%)</w:t>
            </w:r>
          </w:p>
        </w:tc>
        <w:tc>
          <w:tcPr>
            <w:tcW w:w="2212" w:type="dxa"/>
            <w:hideMark/>
          </w:tcPr>
          <w:p w14:paraId="5C8BAC34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195 (49.9%)</w:t>
            </w:r>
          </w:p>
        </w:tc>
        <w:tc>
          <w:tcPr>
            <w:tcW w:w="1262" w:type="dxa"/>
            <w:hideMark/>
          </w:tcPr>
          <w:p w14:paraId="755A354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71B5A6AC" w14:textId="77777777" w:rsidTr="009B66CB">
        <w:trPr>
          <w:trHeight w:val="340"/>
        </w:trPr>
        <w:tc>
          <w:tcPr>
            <w:tcW w:w="3709" w:type="dxa"/>
            <w:hideMark/>
          </w:tcPr>
          <w:p w14:paraId="1DA4A4B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 xml:space="preserve">    Letrozole only    </w:t>
            </w:r>
          </w:p>
        </w:tc>
        <w:tc>
          <w:tcPr>
            <w:tcW w:w="2218" w:type="dxa"/>
            <w:hideMark/>
          </w:tcPr>
          <w:p w14:paraId="5050CEC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56 (57.7%)</w:t>
            </w:r>
          </w:p>
        </w:tc>
        <w:tc>
          <w:tcPr>
            <w:tcW w:w="2219" w:type="dxa"/>
            <w:hideMark/>
          </w:tcPr>
          <w:p w14:paraId="471AC77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140 (47.6%)</w:t>
            </w:r>
          </w:p>
        </w:tc>
        <w:tc>
          <w:tcPr>
            <w:tcW w:w="2212" w:type="dxa"/>
            <w:hideMark/>
          </w:tcPr>
          <w:p w14:paraId="6963327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196 (50.1%)</w:t>
            </w:r>
          </w:p>
        </w:tc>
        <w:tc>
          <w:tcPr>
            <w:tcW w:w="1262" w:type="dxa"/>
            <w:hideMark/>
          </w:tcPr>
          <w:p w14:paraId="1D94D4D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066BFEE2" w14:textId="77777777" w:rsidTr="009B66CB">
        <w:trPr>
          <w:trHeight w:val="320"/>
        </w:trPr>
        <w:tc>
          <w:tcPr>
            <w:tcW w:w="3709" w:type="dxa"/>
            <w:hideMark/>
          </w:tcPr>
          <w:p w14:paraId="60C816A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77193252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1CAC5C17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1B55B234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41A2322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70044C3E" w14:textId="77777777" w:rsidTr="009B66CB">
        <w:trPr>
          <w:trHeight w:val="340"/>
        </w:trPr>
        <w:tc>
          <w:tcPr>
            <w:tcW w:w="3709" w:type="dxa"/>
            <w:hideMark/>
          </w:tcPr>
          <w:p w14:paraId="781DD45A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Measurable disease</w:t>
            </w:r>
          </w:p>
        </w:tc>
        <w:tc>
          <w:tcPr>
            <w:tcW w:w="2218" w:type="dxa"/>
            <w:hideMark/>
          </w:tcPr>
          <w:p w14:paraId="2B688000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63034ADA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105B78A5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2030178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0.43</w:t>
            </w:r>
          </w:p>
        </w:tc>
      </w:tr>
      <w:tr w:rsidR="009B66CB" w:rsidRPr="009B66CB" w14:paraId="26CB4326" w14:textId="77777777" w:rsidTr="009B66CB">
        <w:trPr>
          <w:trHeight w:val="340"/>
        </w:trPr>
        <w:tc>
          <w:tcPr>
            <w:tcW w:w="3709" w:type="dxa"/>
            <w:hideMark/>
          </w:tcPr>
          <w:p w14:paraId="6FEDE66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No</w:t>
            </w:r>
          </w:p>
        </w:tc>
        <w:tc>
          <w:tcPr>
            <w:tcW w:w="2218" w:type="dxa"/>
            <w:hideMark/>
          </w:tcPr>
          <w:p w14:paraId="14ADBFD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40 (41.2%)</w:t>
            </w:r>
          </w:p>
        </w:tc>
        <w:tc>
          <w:tcPr>
            <w:tcW w:w="2219" w:type="dxa"/>
            <w:hideMark/>
          </w:tcPr>
          <w:p w14:paraId="68A53F4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108 (36.7%)</w:t>
            </w:r>
          </w:p>
        </w:tc>
        <w:tc>
          <w:tcPr>
            <w:tcW w:w="2212" w:type="dxa"/>
            <w:hideMark/>
          </w:tcPr>
          <w:p w14:paraId="267A162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148 (37.9%)</w:t>
            </w:r>
          </w:p>
        </w:tc>
        <w:tc>
          <w:tcPr>
            <w:tcW w:w="1262" w:type="dxa"/>
            <w:hideMark/>
          </w:tcPr>
          <w:p w14:paraId="34B1DF2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77E3A72" w14:textId="77777777" w:rsidTr="009B66CB">
        <w:trPr>
          <w:trHeight w:val="340"/>
        </w:trPr>
        <w:tc>
          <w:tcPr>
            <w:tcW w:w="3709" w:type="dxa"/>
            <w:hideMark/>
          </w:tcPr>
          <w:p w14:paraId="5EDBCA1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Yes</w:t>
            </w:r>
          </w:p>
        </w:tc>
        <w:tc>
          <w:tcPr>
            <w:tcW w:w="2218" w:type="dxa"/>
            <w:hideMark/>
          </w:tcPr>
          <w:p w14:paraId="30E3D00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57 (58.8%)</w:t>
            </w:r>
          </w:p>
        </w:tc>
        <w:tc>
          <w:tcPr>
            <w:tcW w:w="2219" w:type="dxa"/>
            <w:hideMark/>
          </w:tcPr>
          <w:p w14:paraId="2EB0A54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186 (63.3%)</w:t>
            </w:r>
          </w:p>
        </w:tc>
        <w:tc>
          <w:tcPr>
            <w:tcW w:w="2212" w:type="dxa"/>
            <w:hideMark/>
          </w:tcPr>
          <w:p w14:paraId="49C1CE5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243 (62.1%)</w:t>
            </w:r>
          </w:p>
        </w:tc>
        <w:tc>
          <w:tcPr>
            <w:tcW w:w="1262" w:type="dxa"/>
            <w:hideMark/>
          </w:tcPr>
          <w:p w14:paraId="2B14C96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21C25423" w14:textId="77777777" w:rsidTr="009B66CB">
        <w:trPr>
          <w:trHeight w:val="320"/>
        </w:trPr>
        <w:tc>
          <w:tcPr>
            <w:tcW w:w="3709" w:type="dxa"/>
            <w:hideMark/>
          </w:tcPr>
          <w:p w14:paraId="209507B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1055212B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2CE61882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1246FB50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4823D57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6BA89607" w14:textId="77777777" w:rsidTr="009B66CB">
        <w:trPr>
          <w:trHeight w:val="340"/>
        </w:trPr>
        <w:tc>
          <w:tcPr>
            <w:tcW w:w="3709" w:type="dxa"/>
            <w:hideMark/>
          </w:tcPr>
          <w:p w14:paraId="372284E1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Race/Ethnicity</w:t>
            </w:r>
          </w:p>
        </w:tc>
        <w:tc>
          <w:tcPr>
            <w:tcW w:w="2218" w:type="dxa"/>
            <w:hideMark/>
          </w:tcPr>
          <w:p w14:paraId="42506E20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229D98EB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13003A4D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0AC9680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0.86</w:t>
            </w:r>
          </w:p>
        </w:tc>
      </w:tr>
      <w:tr w:rsidR="009B66CB" w:rsidRPr="009B66CB" w14:paraId="332E94FD" w14:textId="77777777" w:rsidTr="009B66CB">
        <w:trPr>
          <w:trHeight w:val="340"/>
        </w:trPr>
        <w:tc>
          <w:tcPr>
            <w:tcW w:w="3709" w:type="dxa"/>
            <w:hideMark/>
          </w:tcPr>
          <w:p w14:paraId="3D90814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Unknown</w:t>
            </w:r>
          </w:p>
        </w:tc>
        <w:tc>
          <w:tcPr>
            <w:tcW w:w="2218" w:type="dxa"/>
            <w:hideMark/>
          </w:tcPr>
          <w:p w14:paraId="6BBD636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 (2.1%)</w:t>
            </w:r>
          </w:p>
        </w:tc>
        <w:tc>
          <w:tcPr>
            <w:tcW w:w="2219" w:type="dxa"/>
            <w:hideMark/>
          </w:tcPr>
          <w:p w14:paraId="5B9C417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 (2.0%)</w:t>
            </w:r>
          </w:p>
        </w:tc>
        <w:tc>
          <w:tcPr>
            <w:tcW w:w="2212" w:type="dxa"/>
            <w:hideMark/>
          </w:tcPr>
          <w:p w14:paraId="148919A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8 (2.0%)</w:t>
            </w:r>
          </w:p>
        </w:tc>
        <w:tc>
          <w:tcPr>
            <w:tcW w:w="1262" w:type="dxa"/>
            <w:hideMark/>
          </w:tcPr>
          <w:p w14:paraId="6AAABD5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1DAABD34" w14:textId="77777777" w:rsidTr="009B66CB">
        <w:trPr>
          <w:trHeight w:val="340"/>
        </w:trPr>
        <w:tc>
          <w:tcPr>
            <w:tcW w:w="3709" w:type="dxa"/>
            <w:hideMark/>
          </w:tcPr>
          <w:p w14:paraId="1D16745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White</w:t>
            </w:r>
          </w:p>
        </w:tc>
        <w:tc>
          <w:tcPr>
            <w:tcW w:w="2218" w:type="dxa"/>
            <w:hideMark/>
          </w:tcPr>
          <w:p w14:paraId="017A23E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86 (88.7%)</w:t>
            </w:r>
          </w:p>
        </w:tc>
        <w:tc>
          <w:tcPr>
            <w:tcW w:w="2219" w:type="dxa"/>
            <w:hideMark/>
          </w:tcPr>
          <w:p w14:paraId="45C0C0F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262 (89.1%)</w:t>
            </w:r>
          </w:p>
        </w:tc>
        <w:tc>
          <w:tcPr>
            <w:tcW w:w="2212" w:type="dxa"/>
            <w:hideMark/>
          </w:tcPr>
          <w:p w14:paraId="0EB6BDD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348 (89.0%)</w:t>
            </w:r>
          </w:p>
        </w:tc>
        <w:tc>
          <w:tcPr>
            <w:tcW w:w="1262" w:type="dxa"/>
            <w:hideMark/>
          </w:tcPr>
          <w:p w14:paraId="139D895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308062A" w14:textId="77777777" w:rsidTr="009B66CB">
        <w:trPr>
          <w:trHeight w:val="340"/>
        </w:trPr>
        <w:tc>
          <w:tcPr>
            <w:tcW w:w="3709" w:type="dxa"/>
            <w:hideMark/>
          </w:tcPr>
          <w:p w14:paraId="3A292B4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Black or African American</w:t>
            </w:r>
          </w:p>
        </w:tc>
        <w:tc>
          <w:tcPr>
            <w:tcW w:w="2218" w:type="dxa"/>
            <w:hideMark/>
          </w:tcPr>
          <w:p w14:paraId="586D8C1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 (6.2%)</w:t>
            </w:r>
          </w:p>
        </w:tc>
        <w:tc>
          <w:tcPr>
            <w:tcW w:w="2219" w:type="dxa"/>
            <w:hideMark/>
          </w:tcPr>
          <w:p w14:paraId="7DA45DF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20 (6.8%)</w:t>
            </w:r>
          </w:p>
        </w:tc>
        <w:tc>
          <w:tcPr>
            <w:tcW w:w="2212" w:type="dxa"/>
            <w:hideMark/>
          </w:tcPr>
          <w:p w14:paraId="25B6BAF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26 (6.6%)</w:t>
            </w:r>
          </w:p>
        </w:tc>
        <w:tc>
          <w:tcPr>
            <w:tcW w:w="1262" w:type="dxa"/>
            <w:hideMark/>
          </w:tcPr>
          <w:p w14:paraId="6E3003A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240DA853" w14:textId="77777777" w:rsidTr="009B66CB">
        <w:trPr>
          <w:trHeight w:val="340"/>
        </w:trPr>
        <w:tc>
          <w:tcPr>
            <w:tcW w:w="3709" w:type="dxa"/>
            <w:hideMark/>
          </w:tcPr>
          <w:p w14:paraId="25E1489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Asian</w:t>
            </w:r>
          </w:p>
        </w:tc>
        <w:tc>
          <w:tcPr>
            <w:tcW w:w="2218" w:type="dxa"/>
            <w:hideMark/>
          </w:tcPr>
          <w:p w14:paraId="4EAB49D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 (3.1%)</w:t>
            </w:r>
          </w:p>
        </w:tc>
        <w:tc>
          <w:tcPr>
            <w:tcW w:w="2219" w:type="dxa"/>
            <w:hideMark/>
          </w:tcPr>
          <w:p w14:paraId="1C3D57D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 (1.4%)</w:t>
            </w:r>
          </w:p>
        </w:tc>
        <w:tc>
          <w:tcPr>
            <w:tcW w:w="2212" w:type="dxa"/>
            <w:hideMark/>
          </w:tcPr>
          <w:p w14:paraId="785E86B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7 (1.8%)</w:t>
            </w:r>
          </w:p>
        </w:tc>
        <w:tc>
          <w:tcPr>
            <w:tcW w:w="1262" w:type="dxa"/>
            <w:hideMark/>
          </w:tcPr>
          <w:p w14:paraId="5D626D7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0C534893" w14:textId="77777777" w:rsidTr="009B66CB">
        <w:trPr>
          <w:trHeight w:val="680"/>
        </w:trPr>
        <w:tc>
          <w:tcPr>
            <w:tcW w:w="3709" w:type="dxa"/>
            <w:hideMark/>
          </w:tcPr>
          <w:p w14:paraId="3AFF3FE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Native Hawaiian or Pacific Islander</w:t>
            </w:r>
          </w:p>
        </w:tc>
        <w:tc>
          <w:tcPr>
            <w:tcW w:w="2218" w:type="dxa"/>
            <w:hideMark/>
          </w:tcPr>
          <w:p w14:paraId="6D448E1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 (0.0%)</w:t>
            </w:r>
          </w:p>
        </w:tc>
        <w:tc>
          <w:tcPr>
            <w:tcW w:w="2219" w:type="dxa"/>
            <w:hideMark/>
          </w:tcPr>
          <w:p w14:paraId="7A0CC3A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 (0.3%)</w:t>
            </w:r>
          </w:p>
        </w:tc>
        <w:tc>
          <w:tcPr>
            <w:tcW w:w="2212" w:type="dxa"/>
            <w:hideMark/>
          </w:tcPr>
          <w:p w14:paraId="56BAC4B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 (0.3%)</w:t>
            </w:r>
          </w:p>
        </w:tc>
        <w:tc>
          <w:tcPr>
            <w:tcW w:w="1262" w:type="dxa"/>
            <w:hideMark/>
          </w:tcPr>
          <w:p w14:paraId="5618B13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1CDFFED3" w14:textId="77777777" w:rsidTr="009B66CB">
        <w:trPr>
          <w:trHeight w:val="340"/>
        </w:trPr>
        <w:tc>
          <w:tcPr>
            <w:tcW w:w="3709" w:type="dxa"/>
            <w:hideMark/>
          </w:tcPr>
          <w:p w14:paraId="7213EEB7" w14:textId="414F62D0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More th</w:t>
            </w:r>
            <w:r w:rsidR="00382899">
              <w:t>a</w:t>
            </w:r>
            <w:r w:rsidRPr="009B66CB">
              <w:t>n one race</w:t>
            </w:r>
          </w:p>
        </w:tc>
        <w:tc>
          <w:tcPr>
            <w:tcW w:w="2218" w:type="dxa"/>
            <w:hideMark/>
          </w:tcPr>
          <w:p w14:paraId="01B9CEF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 (0.0%)</w:t>
            </w:r>
          </w:p>
        </w:tc>
        <w:tc>
          <w:tcPr>
            <w:tcW w:w="2219" w:type="dxa"/>
            <w:hideMark/>
          </w:tcPr>
          <w:p w14:paraId="5046274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 (0.3%)</w:t>
            </w:r>
          </w:p>
        </w:tc>
        <w:tc>
          <w:tcPr>
            <w:tcW w:w="2212" w:type="dxa"/>
            <w:hideMark/>
          </w:tcPr>
          <w:p w14:paraId="2E5CF20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 (0.3%)</w:t>
            </w:r>
          </w:p>
        </w:tc>
        <w:tc>
          <w:tcPr>
            <w:tcW w:w="1262" w:type="dxa"/>
            <w:hideMark/>
          </w:tcPr>
          <w:p w14:paraId="3EBE12B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382899" w:rsidRPr="009B66CB" w14:paraId="053E7B50" w14:textId="77777777" w:rsidTr="009B66CB">
        <w:trPr>
          <w:trHeight w:val="320"/>
        </w:trPr>
        <w:tc>
          <w:tcPr>
            <w:tcW w:w="3709" w:type="dxa"/>
          </w:tcPr>
          <w:p w14:paraId="5DA253EF" w14:textId="77777777" w:rsidR="00382899" w:rsidRPr="009B66CB" w:rsidRDefault="00382899" w:rsidP="009B66CB">
            <w:pPr>
              <w:pStyle w:val="Body"/>
              <w:spacing w:line="480" w:lineRule="auto"/>
            </w:pPr>
          </w:p>
        </w:tc>
        <w:tc>
          <w:tcPr>
            <w:tcW w:w="2218" w:type="dxa"/>
          </w:tcPr>
          <w:p w14:paraId="377AD243" w14:textId="77777777" w:rsidR="00382899" w:rsidRPr="009B66CB" w:rsidRDefault="00382899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</w:tcPr>
          <w:p w14:paraId="7DE13764" w14:textId="77777777" w:rsidR="00382899" w:rsidRPr="009B66CB" w:rsidRDefault="00382899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</w:tcPr>
          <w:p w14:paraId="4416FC7A" w14:textId="77777777" w:rsidR="00382899" w:rsidRPr="009B66CB" w:rsidRDefault="00382899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</w:tcPr>
          <w:p w14:paraId="40E0A59E" w14:textId="77777777" w:rsidR="00382899" w:rsidRPr="009B66CB" w:rsidRDefault="00382899" w:rsidP="009B66CB">
            <w:pPr>
              <w:pStyle w:val="Body"/>
              <w:spacing w:line="480" w:lineRule="auto"/>
            </w:pPr>
          </w:p>
        </w:tc>
      </w:tr>
      <w:tr w:rsidR="009B66CB" w:rsidRPr="009B66CB" w14:paraId="73015063" w14:textId="77777777" w:rsidTr="009B66CB">
        <w:trPr>
          <w:trHeight w:val="320"/>
        </w:trPr>
        <w:tc>
          <w:tcPr>
            <w:tcW w:w="3709" w:type="dxa"/>
            <w:hideMark/>
          </w:tcPr>
          <w:p w14:paraId="583F950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1A4620F7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0F6B6645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263F23EF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5F524A8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0CE9ED1E" w14:textId="77777777" w:rsidTr="009B66CB">
        <w:trPr>
          <w:trHeight w:val="340"/>
        </w:trPr>
        <w:tc>
          <w:tcPr>
            <w:tcW w:w="3709" w:type="dxa"/>
            <w:hideMark/>
          </w:tcPr>
          <w:p w14:paraId="1475ED23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lastRenderedPageBreak/>
              <w:t>Age</w:t>
            </w:r>
          </w:p>
        </w:tc>
        <w:tc>
          <w:tcPr>
            <w:tcW w:w="2218" w:type="dxa"/>
            <w:hideMark/>
          </w:tcPr>
          <w:p w14:paraId="0B172545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11FD7B78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4476754C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0F7EC22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0.79</w:t>
            </w:r>
          </w:p>
        </w:tc>
      </w:tr>
      <w:tr w:rsidR="009B66CB" w:rsidRPr="009B66CB" w14:paraId="3E9B6312" w14:textId="77777777" w:rsidTr="009B66CB">
        <w:trPr>
          <w:trHeight w:val="340"/>
        </w:trPr>
        <w:tc>
          <w:tcPr>
            <w:tcW w:w="3709" w:type="dxa"/>
            <w:hideMark/>
          </w:tcPr>
          <w:p w14:paraId="053A40D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≤30</w:t>
            </w:r>
          </w:p>
        </w:tc>
        <w:tc>
          <w:tcPr>
            <w:tcW w:w="2218" w:type="dxa"/>
            <w:hideMark/>
          </w:tcPr>
          <w:p w14:paraId="26D525C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 (1.0%)</w:t>
            </w:r>
          </w:p>
        </w:tc>
        <w:tc>
          <w:tcPr>
            <w:tcW w:w="2219" w:type="dxa"/>
            <w:hideMark/>
          </w:tcPr>
          <w:p w14:paraId="5A1748A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 (0.7%)</w:t>
            </w:r>
          </w:p>
        </w:tc>
        <w:tc>
          <w:tcPr>
            <w:tcW w:w="2212" w:type="dxa"/>
            <w:hideMark/>
          </w:tcPr>
          <w:p w14:paraId="4A4B87E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 (0.8%)</w:t>
            </w:r>
          </w:p>
        </w:tc>
        <w:tc>
          <w:tcPr>
            <w:tcW w:w="1262" w:type="dxa"/>
            <w:hideMark/>
          </w:tcPr>
          <w:p w14:paraId="4EA8D90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F0DA246" w14:textId="77777777" w:rsidTr="009B66CB">
        <w:trPr>
          <w:trHeight w:val="340"/>
        </w:trPr>
        <w:tc>
          <w:tcPr>
            <w:tcW w:w="3709" w:type="dxa"/>
            <w:hideMark/>
          </w:tcPr>
          <w:p w14:paraId="6A348ED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31-40</w:t>
            </w:r>
          </w:p>
        </w:tc>
        <w:tc>
          <w:tcPr>
            <w:tcW w:w="2218" w:type="dxa"/>
            <w:hideMark/>
          </w:tcPr>
          <w:p w14:paraId="7D58BE1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 (5.2%)</w:t>
            </w:r>
          </w:p>
        </w:tc>
        <w:tc>
          <w:tcPr>
            <w:tcW w:w="2219" w:type="dxa"/>
            <w:hideMark/>
          </w:tcPr>
          <w:p w14:paraId="50829A4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31 (10.5%)</w:t>
            </w:r>
          </w:p>
        </w:tc>
        <w:tc>
          <w:tcPr>
            <w:tcW w:w="2212" w:type="dxa"/>
            <w:hideMark/>
          </w:tcPr>
          <w:p w14:paraId="3D6683A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36 (9.2%)</w:t>
            </w:r>
          </w:p>
        </w:tc>
        <w:tc>
          <w:tcPr>
            <w:tcW w:w="1262" w:type="dxa"/>
            <w:hideMark/>
          </w:tcPr>
          <w:p w14:paraId="20D60F1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27339883" w14:textId="77777777" w:rsidTr="009B66CB">
        <w:trPr>
          <w:trHeight w:val="340"/>
        </w:trPr>
        <w:tc>
          <w:tcPr>
            <w:tcW w:w="3709" w:type="dxa"/>
            <w:hideMark/>
          </w:tcPr>
          <w:p w14:paraId="591724C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41-50</w:t>
            </w:r>
          </w:p>
        </w:tc>
        <w:tc>
          <w:tcPr>
            <w:tcW w:w="2218" w:type="dxa"/>
            <w:hideMark/>
          </w:tcPr>
          <w:p w14:paraId="67E9EB5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17 (17.5%)</w:t>
            </w:r>
          </w:p>
        </w:tc>
        <w:tc>
          <w:tcPr>
            <w:tcW w:w="2219" w:type="dxa"/>
            <w:hideMark/>
          </w:tcPr>
          <w:p w14:paraId="13F6195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54 (18.4%)</w:t>
            </w:r>
          </w:p>
        </w:tc>
        <w:tc>
          <w:tcPr>
            <w:tcW w:w="2212" w:type="dxa"/>
            <w:hideMark/>
          </w:tcPr>
          <w:p w14:paraId="6335C81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71 (18.2%)</w:t>
            </w:r>
          </w:p>
        </w:tc>
        <w:tc>
          <w:tcPr>
            <w:tcW w:w="1262" w:type="dxa"/>
            <w:hideMark/>
          </w:tcPr>
          <w:p w14:paraId="2149CC6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70117397" w14:textId="77777777" w:rsidTr="009B66CB">
        <w:trPr>
          <w:trHeight w:val="340"/>
        </w:trPr>
        <w:tc>
          <w:tcPr>
            <w:tcW w:w="3709" w:type="dxa"/>
            <w:hideMark/>
          </w:tcPr>
          <w:p w14:paraId="016E8E3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51-60</w:t>
            </w:r>
          </w:p>
        </w:tc>
        <w:tc>
          <w:tcPr>
            <w:tcW w:w="2218" w:type="dxa"/>
            <w:hideMark/>
          </w:tcPr>
          <w:p w14:paraId="0951B4E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30 (30.9%)</w:t>
            </w:r>
          </w:p>
        </w:tc>
        <w:tc>
          <w:tcPr>
            <w:tcW w:w="2219" w:type="dxa"/>
            <w:hideMark/>
          </w:tcPr>
          <w:p w14:paraId="1E96109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81 (27.6%)</w:t>
            </w:r>
          </w:p>
        </w:tc>
        <w:tc>
          <w:tcPr>
            <w:tcW w:w="2212" w:type="dxa"/>
            <w:hideMark/>
          </w:tcPr>
          <w:p w14:paraId="7E07037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111 (28.4%)</w:t>
            </w:r>
          </w:p>
        </w:tc>
        <w:tc>
          <w:tcPr>
            <w:tcW w:w="1262" w:type="dxa"/>
            <w:hideMark/>
          </w:tcPr>
          <w:p w14:paraId="6E1D2B4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1BC05AB" w14:textId="77777777" w:rsidTr="009B66CB">
        <w:trPr>
          <w:trHeight w:val="340"/>
        </w:trPr>
        <w:tc>
          <w:tcPr>
            <w:tcW w:w="3709" w:type="dxa"/>
            <w:hideMark/>
          </w:tcPr>
          <w:p w14:paraId="688C685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61-70</w:t>
            </w:r>
          </w:p>
        </w:tc>
        <w:tc>
          <w:tcPr>
            <w:tcW w:w="2218" w:type="dxa"/>
            <w:hideMark/>
          </w:tcPr>
          <w:p w14:paraId="6D8C58A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31 (32.0%)</w:t>
            </w:r>
          </w:p>
        </w:tc>
        <w:tc>
          <w:tcPr>
            <w:tcW w:w="2219" w:type="dxa"/>
            <w:hideMark/>
          </w:tcPr>
          <w:p w14:paraId="3C32DB1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87 (29.6%)</w:t>
            </w:r>
          </w:p>
        </w:tc>
        <w:tc>
          <w:tcPr>
            <w:tcW w:w="2212" w:type="dxa"/>
            <w:hideMark/>
          </w:tcPr>
          <w:p w14:paraId="060BA6C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118 (30.2%)</w:t>
            </w:r>
          </w:p>
        </w:tc>
        <w:tc>
          <w:tcPr>
            <w:tcW w:w="1262" w:type="dxa"/>
            <w:hideMark/>
          </w:tcPr>
          <w:p w14:paraId="0808B95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60CF7463" w14:textId="77777777" w:rsidTr="009B66CB">
        <w:trPr>
          <w:trHeight w:val="340"/>
        </w:trPr>
        <w:tc>
          <w:tcPr>
            <w:tcW w:w="3709" w:type="dxa"/>
            <w:hideMark/>
          </w:tcPr>
          <w:p w14:paraId="353245A4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71-80</w:t>
            </w:r>
          </w:p>
        </w:tc>
        <w:tc>
          <w:tcPr>
            <w:tcW w:w="2218" w:type="dxa"/>
            <w:hideMark/>
          </w:tcPr>
          <w:p w14:paraId="64A67A3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9 (9.3%)</w:t>
            </w:r>
          </w:p>
        </w:tc>
        <w:tc>
          <w:tcPr>
            <w:tcW w:w="2219" w:type="dxa"/>
            <w:hideMark/>
          </w:tcPr>
          <w:p w14:paraId="61ABA7C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30 (10.2%)</w:t>
            </w:r>
          </w:p>
        </w:tc>
        <w:tc>
          <w:tcPr>
            <w:tcW w:w="2212" w:type="dxa"/>
            <w:hideMark/>
          </w:tcPr>
          <w:p w14:paraId="1150A40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39 (10.0%)</w:t>
            </w:r>
          </w:p>
        </w:tc>
        <w:tc>
          <w:tcPr>
            <w:tcW w:w="1262" w:type="dxa"/>
            <w:hideMark/>
          </w:tcPr>
          <w:p w14:paraId="5DB0C05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28393D62" w14:textId="77777777" w:rsidTr="009B66CB">
        <w:trPr>
          <w:trHeight w:val="340"/>
        </w:trPr>
        <w:tc>
          <w:tcPr>
            <w:tcW w:w="3709" w:type="dxa"/>
            <w:hideMark/>
          </w:tcPr>
          <w:p w14:paraId="11B0EF4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80+</w:t>
            </w:r>
          </w:p>
        </w:tc>
        <w:tc>
          <w:tcPr>
            <w:tcW w:w="2218" w:type="dxa"/>
            <w:hideMark/>
          </w:tcPr>
          <w:p w14:paraId="4BD9480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 (4.1%)</w:t>
            </w:r>
          </w:p>
        </w:tc>
        <w:tc>
          <w:tcPr>
            <w:tcW w:w="2219" w:type="dxa"/>
            <w:hideMark/>
          </w:tcPr>
          <w:p w14:paraId="69ADBD7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9 (3.1%)</w:t>
            </w:r>
          </w:p>
        </w:tc>
        <w:tc>
          <w:tcPr>
            <w:tcW w:w="2212" w:type="dxa"/>
            <w:hideMark/>
          </w:tcPr>
          <w:p w14:paraId="494B490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13 (3.3%)</w:t>
            </w:r>
          </w:p>
        </w:tc>
        <w:tc>
          <w:tcPr>
            <w:tcW w:w="1262" w:type="dxa"/>
            <w:hideMark/>
          </w:tcPr>
          <w:p w14:paraId="683DDC4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1B642D90" w14:textId="77777777" w:rsidTr="009B66CB">
        <w:trPr>
          <w:trHeight w:val="320"/>
        </w:trPr>
        <w:tc>
          <w:tcPr>
            <w:tcW w:w="3709" w:type="dxa"/>
            <w:hideMark/>
          </w:tcPr>
          <w:p w14:paraId="36F4900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5F470615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42C138C8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09AC32BE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2E234D9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698AB442" w14:textId="77777777" w:rsidTr="009B66CB">
        <w:trPr>
          <w:trHeight w:val="340"/>
        </w:trPr>
        <w:tc>
          <w:tcPr>
            <w:tcW w:w="3709" w:type="dxa"/>
            <w:hideMark/>
          </w:tcPr>
          <w:p w14:paraId="6D34BE62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Age</w:t>
            </w:r>
          </w:p>
        </w:tc>
        <w:tc>
          <w:tcPr>
            <w:tcW w:w="2218" w:type="dxa"/>
            <w:hideMark/>
          </w:tcPr>
          <w:p w14:paraId="1B78A3F9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7E37505C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2B12CF83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0BAF924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0.67</w:t>
            </w:r>
          </w:p>
        </w:tc>
      </w:tr>
      <w:tr w:rsidR="009B66CB" w:rsidRPr="009B66CB" w14:paraId="1C2D3316" w14:textId="77777777" w:rsidTr="009B66CB">
        <w:trPr>
          <w:trHeight w:val="340"/>
        </w:trPr>
        <w:tc>
          <w:tcPr>
            <w:tcW w:w="3709" w:type="dxa"/>
            <w:hideMark/>
          </w:tcPr>
          <w:p w14:paraId="0932305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Median</w:t>
            </w:r>
          </w:p>
        </w:tc>
        <w:tc>
          <w:tcPr>
            <w:tcW w:w="2218" w:type="dxa"/>
            <w:hideMark/>
          </w:tcPr>
          <w:p w14:paraId="6575C78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57.2</w:t>
            </w:r>
          </w:p>
        </w:tc>
        <w:tc>
          <w:tcPr>
            <w:tcW w:w="2219" w:type="dxa"/>
            <w:hideMark/>
          </w:tcPr>
          <w:p w14:paraId="7273A5C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57.7</w:t>
            </w:r>
          </w:p>
        </w:tc>
        <w:tc>
          <w:tcPr>
            <w:tcW w:w="2212" w:type="dxa"/>
            <w:hideMark/>
          </w:tcPr>
          <w:p w14:paraId="59AAF40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57.7</w:t>
            </w:r>
          </w:p>
        </w:tc>
        <w:tc>
          <w:tcPr>
            <w:tcW w:w="1262" w:type="dxa"/>
            <w:hideMark/>
          </w:tcPr>
          <w:p w14:paraId="0E60371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2978A2F5" w14:textId="77777777" w:rsidTr="009B66CB">
        <w:trPr>
          <w:trHeight w:val="340"/>
        </w:trPr>
        <w:tc>
          <w:tcPr>
            <w:tcW w:w="3709" w:type="dxa"/>
            <w:hideMark/>
          </w:tcPr>
          <w:p w14:paraId="0D0D976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Range</w:t>
            </w:r>
          </w:p>
        </w:tc>
        <w:tc>
          <w:tcPr>
            <w:tcW w:w="2218" w:type="dxa"/>
            <w:hideMark/>
          </w:tcPr>
          <w:p w14:paraId="5D761E0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(29.0-87.0)</w:t>
            </w:r>
          </w:p>
        </w:tc>
        <w:tc>
          <w:tcPr>
            <w:tcW w:w="2219" w:type="dxa"/>
            <w:hideMark/>
          </w:tcPr>
          <w:p w14:paraId="176B346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(24.7-85.3)</w:t>
            </w:r>
          </w:p>
        </w:tc>
        <w:tc>
          <w:tcPr>
            <w:tcW w:w="2212" w:type="dxa"/>
            <w:hideMark/>
          </w:tcPr>
          <w:p w14:paraId="06C569C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(24.7-87.0)</w:t>
            </w:r>
          </w:p>
        </w:tc>
        <w:tc>
          <w:tcPr>
            <w:tcW w:w="1262" w:type="dxa"/>
            <w:hideMark/>
          </w:tcPr>
          <w:p w14:paraId="5E77800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60CF465" w14:textId="77777777" w:rsidTr="009B66CB">
        <w:trPr>
          <w:trHeight w:val="320"/>
        </w:trPr>
        <w:tc>
          <w:tcPr>
            <w:tcW w:w="3709" w:type="dxa"/>
            <w:hideMark/>
          </w:tcPr>
          <w:p w14:paraId="14104CE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5061E5DF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56BC7434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16C2C0B7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4867ED7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717BDA9" w14:textId="77777777" w:rsidTr="009B66CB">
        <w:trPr>
          <w:trHeight w:val="340"/>
        </w:trPr>
        <w:tc>
          <w:tcPr>
            <w:tcW w:w="3709" w:type="dxa"/>
            <w:hideMark/>
          </w:tcPr>
          <w:p w14:paraId="4A08B98E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ECOG performance status</w:t>
            </w:r>
          </w:p>
        </w:tc>
        <w:tc>
          <w:tcPr>
            <w:tcW w:w="2218" w:type="dxa"/>
            <w:hideMark/>
          </w:tcPr>
          <w:p w14:paraId="4BC367E2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22752724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036B41FC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44CF12F9" w14:textId="19802298" w:rsidR="009B66CB" w:rsidRPr="009B66CB" w:rsidRDefault="00FC6C51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E63426">
              <w:rPr>
                <w:rFonts w:cs="Times New Roman"/>
                <w:b/>
                <w:bCs/>
              </w:rPr>
              <w:t>&lt;0.01</w:t>
            </w:r>
          </w:p>
        </w:tc>
      </w:tr>
      <w:tr w:rsidR="009B66CB" w:rsidRPr="009B66CB" w14:paraId="443F36FA" w14:textId="77777777" w:rsidTr="009B66CB">
        <w:trPr>
          <w:trHeight w:val="340"/>
        </w:trPr>
        <w:tc>
          <w:tcPr>
            <w:tcW w:w="3709" w:type="dxa"/>
            <w:hideMark/>
          </w:tcPr>
          <w:p w14:paraId="44D3E91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 xml:space="preserve">    Missing</w:t>
            </w:r>
          </w:p>
        </w:tc>
        <w:tc>
          <w:tcPr>
            <w:tcW w:w="2218" w:type="dxa"/>
            <w:hideMark/>
          </w:tcPr>
          <w:p w14:paraId="10A2ECE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</w:t>
            </w:r>
          </w:p>
        </w:tc>
        <w:tc>
          <w:tcPr>
            <w:tcW w:w="2219" w:type="dxa"/>
            <w:hideMark/>
          </w:tcPr>
          <w:p w14:paraId="55664A6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</w:t>
            </w:r>
          </w:p>
        </w:tc>
        <w:tc>
          <w:tcPr>
            <w:tcW w:w="2212" w:type="dxa"/>
            <w:hideMark/>
          </w:tcPr>
          <w:p w14:paraId="50423DD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</w:t>
            </w:r>
          </w:p>
        </w:tc>
        <w:tc>
          <w:tcPr>
            <w:tcW w:w="1262" w:type="dxa"/>
            <w:hideMark/>
          </w:tcPr>
          <w:p w14:paraId="184C5AA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23B4F3DE" w14:textId="77777777" w:rsidTr="009B66CB">
        <w:trPr>
          <w:trHeight w:val="340"/>
        </w:trPr>
        <w:tc>
          <w:tcPr>
            <w:tcW w:w="3709" w:type="dxa"/>
            <w:hideMark/>
          </w:tcPr>
          <w:p w14:paraId="482CDB0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0</w:t>
            </w:r>
          </w:p>
        </w:tc>
        <w:tc>
          <w:tcPr>
            <w:tcW w:w="2218" w:type="dxa"/>
            <w:hideMark/>
          </w:tcPr>
          <w:p w14:paraId="7BDB7CF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51 (54.8%)</w:t>
            </w:r>
          </w:p>
        </w:tc>
        <w:tc>
          <w:tcPr>
            <w:tcW w:w="2219" w:type="dxa"/>
            <w:hideMark/>
          </w:tcPr>
          <w:p w14:paraId="2E55553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191 (65.4%)</w:t>
            </w:r>
          </w:p>
        </w:tc>
        <w:tc>
          <w:tcPr>
            <w:tcW w:w="2212" w:type="dxa"/>
            <w:hideMark/>
          </w:tcPr>
          <w:p w14:paraId="1AB2D7D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242 (62.9%)</w:t>
            </w:r>
          </w:p>
        </w:tc>
        <w:tc>
          <w:tcPr>
            <w:tcW w:w="1262" w:type="dxa"/>
            <w:hideMark/>
          </w:tcPr>
          <w:p w14:paraId="5A0F9AD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D2DC9A7" w14:textId="77777777" w:rsidTr="009B66CB">
        <w:trPr>
          <w:trHeight w:val="340"/>
        </w:trPr>
        <w:tc>
          <w:tcPr>
            <w:tcW w:w="3709" w:type="dxa"/>
            <w:hideMark/>
          </w:tcPr>
          <w:p w14:paraId="6FFC4E7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1</w:t>
            </w:r>
          </w:p>
        </w:tc>
        <w:tc>
          <w:tcPr>
            <w:tcW w:w="2218" w:type="dxa"/>
            <w:hideMark/>
          </w:tcPr>
          <w:p w14:paraId="3D5BC5C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39 (41.9%)</w:t>
            </w:r>
          </w:p>
        </w:tc>
        <w:tc>
          <w:tcPr>
            <w:tcW w:w="2219" w:type="dxa"/>
            <w:hideMark/>
          </w:tcPr>
          <w:p w14:paraId="04BF88A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101 (34.6%)</w:t>
            </w:r>
          </w:p>
        </w:tc>
        <w:tc>
          <w:tcPr>
            <w:tcW w:w="2212" w:type="dxa"/>
            <w:hideMark/>
          </w:tcPr>
          <w:p w14:paraId="42EA90A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140 (36.4%)</w:t>
            </w:r>
          </w:p>
        </w:tc>
        <w:tc>
          <w:tcPr>
            <w:tcW w:w="1262" w:type="dxa"/>
            <w:hideMark/>
          </w:tcPr>
          <w:p w14:paraId="3BBC985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3E159340" w14:textId="77777777" w:rsidTr="009B66CB">
        <w:trPr>
          <w:trHeight w:val="320"/>
        </w:trPr>
        <w:tc>
          <w:tcPr>
            <w:tcW w:w="3709" w:type="dxa"/>
            <w:hideMark/>
          </w:tcPr>
          <w:p w14:paraId="709DE96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750FF72C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008A3C6A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523C5180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6F0F6EA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DAAE5D4" w14:textId="77777777" w:rsidTr="009B66CB">
        <w:trPr>
          <w:trHeight w:val="320"/>
        </w:trPr>
        <w:tc>
          <w:tcPr>
            <w:tcW w:w="3709" w:type="dxa"/>
            <w:hideMark/>
          </w:tcPr>
          <w:p w14:paraId="5CBEE546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 </w:t>
            </w:r>
          </w:p>
        </w:tc>
        <w:tc>
          <w:tcPr>
            <w:tcW w:w="2218" w:type="dxa"/>
            <w:noWrap/>
            <w:hideMark/>
          </w:tcPr>
          <w:p w14:paraId="226EA545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noWrap/>
            <w:hideMark/>
          </w:tcPr>
          <w:p w14:paraId="09C6FEB1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noWrap/>
            <w:hideMark/>
          </w:tcPr>
          <w:p w14:paraId="32258FBD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noWrap/>
            <w:hideMark/>
          </w:tcPr>
          <w:p w14:paraId="66080B6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1ABF6644" w14:textId="77777777" w:rsidTr="009B66CB">
        <w:trPr>
          <w:trHeight w:val="340"/>
        </w:trPr>
        <w:tc>
          <w:tcPr>
            <w:tcW w:w="3709" w:type="dxa"/>
            <w:hideMark/>
          </w:tcPr>
          <w:p w14:paraId="003FEDAE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Disease-free interval</w:t>
            </w:r>
          </w:p>
        </w:tc>
        <w:tc>
          <w:tcPr>
            <w:tcW w:w="2218" w:type="dxa"/>
            <w:hideMark/>
          </w:tcPr>
          <w:p w14:paraId="2F8DE2C3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71410F4E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67F521F6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4224D9A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0.71</w:t>
            </w:r>
          </w:p>
        </w:tc>
      </w:tr>
      <w:tr w:rsidR="009B66CB" w:rsidRPr="009B66CB" w14:paraId="4CB2CE0C" w14:textId="77777777" w:rsidTr="009B66CB">
        <w:trPr>
          <w:trHeight w:val="340"/>
        </w:trPr>
        <w:tc>
          <w:tcPr>
            <w:tcW w:w="3709" w:type="dxa"/>
            <w:hideMark/>
          </w:tcPr>
          <w:p w14:paraId="3BC2FCD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≤24mos</w:t>
            </w:r>
          </w:p>
        </w:tc>
        <w:tc>
          <w:tcPr>
            <w:tcW w:w="2218" w:type="dxa"/>
            <w:hideMark/>
          </w:tcPr>
          <w:p w14:paraId="4269CE0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48 (49.5%)</w:t>
            </w:r>
          </w:p>
        </w:tc>
        <w:tc>
          <w:tcPr>
            <w:tcW w:w="2219" w:type="dxa"/>
            <w:hideMark/>
          </w:tcPr>
          <w:p w14:paraId="7011657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152 (51.7%)</w:t>
            </w:r>
          </w:p>
        </w:tc>
        <w:tc>
          <w:tcPr>
            <w:tcW w:w="2212" w:type="dxa"/>
            <w:hideMark/>
          </w:tcPr>
          <w:p w14:paraId="666E634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200 (51.2%)</w:t>
            </w:r>
          </w:p>
        </w:tc>
        <w:tc>
          <w:tcPr>
            <w:tcW w:w="1262" w:type="dxa"/>
            <w:hideMark/>
          </w:tcPr>
          <w:p w14:paraId="33E3FEC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6D276E24" w14:textId="77777777" w:rsidTr="009B66CB">
        <w:trPr>
          <w:trHeight w:val="340"/>
        </w:trPr>
        <w:tc>
          <w:tcPr>
            <w:tcW w:w="3709" w:type="dxa"/>
            <w:hideMark/>
          </w:tcPr>
          <w:p w14:paraId="0297787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&gt;24mos</w:t>
            </w:r>
          </w:p>
        </w:tc>
        <w:tc>
          <w:tcPr>
            <w:tcW w:w="2218" w:type="dxa"/>
            <w:hideMark/>
          </w:tcPr>
          <w:p w14:paraId="07F4C8A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49 (50.5%)</w:t>
            </w:r>
          </w:p>
        </w:tc>
        <w:tc>
          <w:tcPr>
            <w:tcW w:w="2219" w:type="dxa"/>
            <w:hideMark/>
          </w:tcPr>
          <w:p w14:paraId="54C3096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142 (48.3%)</w:t>
            </w:r>
          </w:p>
        </w:tc>
        <w:tc>
          <w:tcPr>
            <w:tcW w:w="2212" w:type="dxa"/>
            <w:hideMark/>
          </w:tcPr>
          <w:p w14:paraId="594BED7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191 (48.8%)</w:t>
            </w:r>
          </w:p>
        </w:tc>
        <w:tc>
          <w:tcPr>
            <w:tcW w:w="1262" w:type="dxa"/>
            <w:hideMark/>
          </w:tcPr>
          <w:p w14:paraId="50E1452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657EA2D4" w14:textId="77777777" w:rsidTr="009B66CB">
        <w:trPr>
          <w:trHeight w:val="320"/>
        </w:trPr>
        <w:tc>
          <w:tcPr>
            <w:tcW w:w="3709" w:type="dxa"/>
            <w:hideMark/>
          </w:tcPr>
          <w:p w14:paraId="1CB94E0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0BF2E1DF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7FCFE97F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663DA3E5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65C584A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EABC289" w14:textId="77777777" w:rsidTr="009B66CB">
        <w:trPr>
          <w:trHeight w:val="340"/>
        </w:trPr>
        <w:tc>
          <w:tcPr>
            <w:tcW w:w="3709" w:type="dxa"/>
            <w:hideMark/>
          </w:tcPr>
          <w:p w14:paraId="463986A4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Estrogen receptor status</w:t>
            </w:r>
          </w:p>
        </w:tc>
        <w:tc>
          <w:tcPr>
            <w:tcW w:w="2218" w:type="dxa"/>
            <w:hideMark/>
          </w:tcPr>
          <w:p w14:paraId="27EF2370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1C2F3BB5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5B12552F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695AE26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0.57</w:t>
            </w:r>
          </w:p>
        </w:tc>
      </w:tr>
      <w:tr w:rsidR="009B66CB" w:rsidRPr="009B66CB" w14:paraId="5BBA4E74" w14:textId="77777777" w:rsidTr="009B66CB">
        <w:trPr>
          <w:trHeight w:val="340"/>
        </w:trPr>
        <w:tc>
          <w:tcPr>
            <w:tcW w:w="3709" w:type="dxa"/>
            <w:hideMark/>
          </w:tcPr>
          <w:p w14:paraId="7E52E20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 xml:space="preserve">    Missing</w:t>
            </w:r>
          </w:p>
        </w:tc>
        <w:tc>
          <w:tcPr>
            <w:tcW w:w="2218" w:type="dxa"/>
            <w:hideMark/>
          </w:tcPr>
          <w:p w14:paraId="4CB6F63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</w:t>
            </w:r>
          </w:p>
        </w:tc>
        <w:tc>
          <w:tcPr>
            <w:tcW w:w="2219" w:type="dxa"/>
            <w:hideMark/>
          </w:tcPr>
          <w:p w14:paraId="2210B8F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</w:t>
            </w:r>
          </w:p>
        </w:tc>
        <w:tc>
          <w:tcPr>
            <w:tcW w:w="2212" w:type="dxa"/>
            <w:hideMark/>
          </w:tcPr>
          <w:p w14:paraId="7694571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</w:t>
            </w:r>
          </w:p>
        </w:tc>
        <w:tc>
          <w:tcPr>
            <w:tcW w:w="1262" w:type="dxa"/>
            <w:hideMark/>
          </w:tcPr>
          <w:p w14:paraId="33DDB6C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202F657" w14:textId="77777777" w:rsidTr="009B66CB">
        <w:trPr>
          <w:trHeight w:val="340"/>
        </w:trPr>
        <w:tc>
          <w:tcPr>
            <w:tcW w:w="3709" w:type="dxa"/>
            <w:hideMark/>
          </w:tcPr>
          <w:p w14:paraId="1560A7A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lastRenderedPageBreak/>
              <w:t>    Negative</w:t>
            </w:r>
          </w:p>
        </w:tc>
        <w:tc>
          <w:tcPr>
            <w:tcW w:w="2218" w:type="dxa"/>
            <w:hideMark/>
          </w:tcPr>
          <w:p w14:paraId="380BD67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 (0.0%)</w:t>
            </w:r>
          </w:p>
        </w:tc>
        <w:tc>
          <w:tcPr>
            <w:tcW w:w="2219" w:type="dxa"/>
            <w:hideMark/>
          </w:tcPr>
          <w:p w14:paraId="3930045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 (0.3%)</w:t>
            </w:r>
          </w:p>
        </w:tc>
        <w:tc>
          <w:tcPr>
            <w:tcW w:w="2212" w:type="dxa"/>
            <w:hideMark/>
          </w:tcPr>
          <w:p w14:paraId="0223B81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 (0.3%)</w:t>
            </w:r>
          </w:p>
        </w:tc>
        <w:tc>
          <w:tcPr>
            <w:tcW w:w="1262" w:type="dxa"/>
            <w:hideMark/>
          </w:tcPr>
          <w:p w14:paraId="2F5A9B4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636F2698" w14:textId="77777777" w:rsidTr="009B66CB">
        <w:trPr>
          <w:trHeight w:val="340"/>
        </w:trPr>
        <w:tc>
          <w:tcPr>
            <w:tcW w:w="3709" w:type="dxa"/>
            <w:hideMark/>
          </w:tcPr>
          <w:p w14:paraId="06B13D6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Positive</w:t>
            </w:r>
          </w:p>
        </w:tc>
        <w:tc>
          <w:tcPr>
            <w:tcW w:w="2218" w:type="dxa"/>
            <w:hideMark/>
          </w:tcPr>
          <w:p w14:paraId="588D4B1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93 (100.0%)</w:t>
            </w:r>
          </w:p>
        </w:tc>
        <w:tc>
          <w:tcPr>
            <w:tcW w:w="2219" w:type="dxa"/>
            <w:hideMark/>
          </w:tcPr>
          <w:p w14:paraId="3F85C34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291 (99.7%)</w:t>
            </w:r>
          </w:p>
        </w:tc>
        <w:tc>
          <w:tcPr>
            <w:tcW w:w="2212" w:type="dxa"/>
            <w:hideMark/>
          </w:tcPr>
          <w:p w14:paraId="09A1A7E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384 (99.7%)</w:t>
            </w:r>
          </w:p>
        </w:tc>
        <w:tc>
          <w:tcPr>
            <w:tcW w:w="1262" w:type="dxa"/>
            <w:hideMark/>
          </w:tcPr>
          <w:p w14:paraId="19B22CD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6164F7B1" w14:textId="77777777" w:rsidTr="009B66CB">
        <w:trPr>
          <w:trHeight w:val="320"/>
        </w:trPr>
        <w:tc>
          <w:tcPr>
            <w:tcW w:w="3709" w:type="dxa"/>
            <w:hideMark/>
          </w:tcPr>
          <w:p w14:paraId="3A28840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3F5E3FE9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1DC6A40A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688FD7AA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7151924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3CCA2493" w14:textId="77777777" w:rsidTr="009B66CB">
        <w:trPr>
          <w:trHeight w:val="340"/>
        </w:trPr>
        <w:tc>
          <w:tcPr>
            <w:tcW w:w="3709" w:type="dxa"/>
            <w:hideMark/>
          </w:tcPr>
          <w:p w14:paraId="797F3C1B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Progesterone receptor status</w:t>
            </w:r>
          </w:p>
        </w:tc>
        <w:tc>
          <w:tcPr>
            <w:tcW w:w="2218" w:type="dxa"/>
            <w:hideMark/>
          </w:tcPr>
          <w:p w14:paraId="2131CCD9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0E8C702F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3CB87C43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0C83F13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0.23</w:t>
            </w:r>
          </w:p>
        </w:tc>
      </w:tr>
      <w:tr w:rsidR="009B66CB" w:rsidRPr="009B66CB" w14:paraId="1602F1FF" w14:textId="77777777" w:rsidTr="009B66CB">
        <w:trPr>
          <w:trHeight w:val="340"/>
        </w:trPr>
        <w:tc>
          <w:tcPr>
            <w:tcW w:w="3709" w:type="dxa"/>
            <w:hideMark/>
          </w:tcPr>
          <w:p w14:paraId="31E9E17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Missing</w:t>
            </w:r>
          </w:p>
        </w:tc>
        <w:tc>
          <w:tcPr>
            <w:tcW w:w="2218" w:type="dxa"/>
            <w:hideMark/>
          </w:tcPr>
          <w:p w14:paraId="747B3F5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</w:t>
            </w:r>
          </w:p>
        </w:tc>
        <w:tc>
          <w:tcPr>
            <w:tcW w:w="2219" w:type="dxa"/>
            <w:hideMark/>
          </w:tcPr>
          <w:p w14:paraId="3739AD6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</w:t>
            </w:r>
          </w:p>
        </w:tc>
        <w:tc>
          <w:tcPr>
            <w:tcW w:w="2212" w:type="dxa"/>
            <w:hideMark/>
          </w:tcPr>
          <w:p w14:paraId="3ABEC05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</w:t>
            </w:r>
          </w:p>
        </w:tc>
        <w:tc>
          <w:tcPr>
            <w:tcW w:w="1262" w:type="dxa"/>
            <w:hideMark/>
          </w:tcPr>
          <w:p w14:paraId="42E63EC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0126095B" w14:textId="77777777" w:rsidTr="009B66CB">
        <w:trPr>
          <w:trHeight w:val="340"/>
        </w:trPr>
        <w:tc>
          <w:tcPr>
            <w:tcW w:w="3709" w:type="dxa"/>
            <w:hideMark/>
          </w:tcPr>
          <w:p w14:paraId="0A0A82B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Negative</w:t>
            </w:r>
          </w:p>
        </w:tc>
        <w:tc>
          <w:tcPr>
            <w:tcW w:w="2218" w:type="dxa"/>
            <w:hideMark/>
          </w:tcPr>
          <w:p w14:paraId="5045F12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24 (25.8%)</w:t>
            </w:r>
          </w:p>
        </w:tc>
        <w:tc>
          <w:tcPr>
            <w:tcW w:w="2219" w:type="dxa"/>
            <w:hideMark/>
          </w:tcPr>
          <w:p w14:paraId="264198B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55 (18.8%)</w:t>
            </w:r>
          </w:p>
        </w:tc>
        <w:tc>
          <w:tcPr>
            <w:tcW w:w="2212" w:type="dxa"/>
            <w:hideMark/>
          </w:tcPr>
          <w:p w14:paraId="3D8BC69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79 (20.5%)</w:t>
            </w:r>
          </w:p>
        </w:tc>
        <w:tc>
          <w:tcPr>
            <w:tcW w:w="1262" w:type="dxa"/>
            <w:hideMark/>
          </w:tcPr>
          <w:p w14:paraId="364E9E9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66F7E4ED" w14:textId="77777777" w:rsidTr="009B66CB">
        <w:trPr>
          <w:trHeight w:val="340"/>
        </w:trPr>
        <w:tc>
          <w:tcPr>
            <w:tcW w:w="3709" w:type="dxa"/>
            <w:hideMark/>
          </w:tcPr>
          <w:p w14:paraId="2B41920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Positive</w:t>
            </w:r>
          </w:p>
        </w:tc>
        <w:tc>
          <w:tcPr>
            <w:tcW w:w="2218" w:type="dxa"/>
            <w:hideMark/>
          </w:tcPr>
          <w:p w14:paraId="0D8B98D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69 (74.2%)</w:t>
            </w:r>
          </w:p>
        </w:tc>
        <w:tc>
          <w:tcPr>
            <w:tcW w:w="2219" w:type="dxa"/>
            <w:hideMark/>
          </w:tcPr>
          <w:p w14:paraId="3F7453D4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234 (80.1%)</w:t>
            </w:r>
          </w:p>
        </w:tc>
        <w:tc>
          <w:tcPr>
            <w:tcW w:w="2212" w:type="dxa"/>
            <w:hideMark/>
          </w:tcPr>
          <w:p w14:paraId="6CC0BFA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303 (78.7%)</w:t>
            </w:r>
          </w:p>
        </w:tc>
        <w:tc>
          <w:tcPr>
            <w:tcW w:w="1262" w:type="dxa"/>
            <w:hideMark/>
          </w:tcPr>
          <w:p w14:paraId="39860EF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A1C439B" w14:textId="77777777" w:rsidTr="009B66CB">
        <w:trPr>
          <w:trHeight w:val="340"/>
        </w:trPr>
        <w:tc>
          <w:tcPr>
            <w:tcW w:w="3709" w:type="dxa"/>
            <w:hideMark/>
          </w:tcPr>
          <w:p w14:paraId="4F164CD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Unknown</w:t>
            </w:r>
          </w:p>
        </w:tc>
        <w:tc>
          <w:tcPr>
            <w:tcW w:w="2218" w:type="dxa"/>
            <w:hideMark/>
          </w:tcPr>
          <w:p w14:paraId="258E876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 (0.0%)</w:t>
            </w:r>
          </w:p>
        </w:tc>
        <w:tc>
          <w:tcPr>
            <w:tcW w:w="2219" w:type="dxa"/>
            <w:hideMark/>
          </w:tcPr>
          <w:p w14:paraId="67EE710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 (1.0%)</w:t>
            </w:r>
          </w:p>
        </w:tc>
        <w:tc>
          <w:tcPr>
            <w:tcW w:w="2212" w:type="dxa"/>
            <w:hideMark/>
          </w:tcPr>
          <w:p w14:paraId="41742E1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 (0.8%)</w:t>
            </w:r>
          </w:p>
        </w:tc>
        <w:tc>
          <w:tcPr>
            <w:tcW w:w="1262" w:type="dxa"/>
            <w:hideMark/>
          </w:tcPr>
          <w:p w14:paraId="2118A91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3DF83CF" w14:textId="77777777" w:rsidTr="009B66CB">
        <w:trPr>
          <w:trHeight w:val="320"/>
        </w:trPr>
        <w:tc>
          <w:tcPr>
            <w:tcW w:w="3709" w:type="dxa"/>
            <w:hideMark/>
          </w:tcPr>
          <w:p w14:paraId="395A602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5B26D57C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7BD8EDC7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4C26F589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0DA6678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7BA79D9B" w14:textId="77777777" w:rsidTr="009B66CB">
        <w:trPr>
          <w:trHeight w:val="340"/>
        </w:trPr>
        <w:tc>
          <w:tcPr>
            <w:tcW w:w="3709" w:type="dxa"/>
            <w:hideMark/>
          </w:tcPr>
          <w:p w14:paraId="70D07224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HER2 status</w:t>
            </w:r>
          </w:p>
        </w:tc>
        <w:tc>
          <w:tcPr>
            <w:tcW w:w="2218" w:type="dxa"/>
            <w:hideMark/>
          </w:tcPr>
          <w:p w14:paraId="07B7B609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2DCF1A90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7D3ACEFD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5423C774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0.06</w:t>
            </w:r>
          </w:p>
        </w:tc>
      </w:tr>
      <w:tr w:rsidR="009B66CB" w:rsidRPr="009B66CB" w14:paraId="33BCD568" w14:textId="77777777" w:rsidTr="009B66CB">
        <w:trPr>
          <w:trHeight w:val="340"/>
        </w:trPr>
        <w:tc>
          <w:tcPr>
            <w:tcW w:w="3709" w:type="dxa"/>
            <w:hideMark/>
          </w:tcPr>
          <w:p w14:paraId="685635C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Missing</w:t>
            </w:r>
          </w:p>
        </w:tc>
        <w:tc>
          <w:tcPr>
            <w:tcW w:w="2218" w:type="dxa"/>
            <w:hideMark/>
          </w:tcPr>
          <w:p w14:paraId="4E5AC1E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</w:t>
            </w:r>
          </w:p>
        </w:tc>
        <w:tc>
          <w:tcPr>
            <w:tcW w:w="2219" w:type="dxa"/>
            <w:hideMark/>
          </w:tcPr>
          <w:p w14:paraId="0ACE93B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</w:t>
            </w:r>
          </w:p>
        </w:tc>
        <w:tc>
          <w:tcPr>
            <w:tcW w:w="2212" w:type="dxa"/>
            <w:hideMark/>
          </w:tcPr>
          <w:p w14:paraId="3206900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</w:t>
            </w:r>
          </w:p>
        </w:tc>
        <w:tc>
          <w:tcPr>
            <w:tcW w:w="1262" w:type="dxa"/>
            <w:hideMark/>
          </w:tcPr>
          <w:p w14:paraId="40D12D1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ABC8D6D" w14:textId="77777777" w:rsidTr="009B66CB">
        <w:trPr>
          <w:trHeight w:val="340"/>
        </w:trPr>
        <w:tc>
          <w:tcPr>
            <w:tcW w:w="3709" w:type="dxa"/>
            <w:hideMark/>
          </w:tcPr>
          <w:p w14:paraId="6E53B3C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Positive</w:t>
            </w:r>
          </w:p>
        </w:tc>
        <w:tc>
          <w:tcPr>
            <w:tcW w:w="2218" w:type="dxa"/>
            <w:hideMark/>
          </w:tcPr>
          <w:p w14:paraId="1C24873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81 (87.1%)</w:t>
            </w:r>
          </w:p>
        </w:tc>
        <w:tc>
          <w:tcPr>
            <w:tcW w:w="2219" w:type="dxa"/>
            <w:hideMark/>
          </w:tcPr>
          <w:p w14:paraId="40647CE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272 (93.2%)</w:t>
            </w:r>
          </w:p>
        </w:tc>
        <w:tc>
          <w:tcPr>
            <w:tcW w:w="2212" w:type="dxa"/>
            <w:hideMark/>
          </w:tcPr>
          <w:p w14:paraId="6A17C88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353 (91.7%)</w:t>
            </w:r>
          </w:p>
        </w:tc>
        <w:tc>
          <w:tcPr>
            <w:tcW w:w="1262" w:type="dxa"/>
            <w:hideMark/>
          </w:tcPr>
          <w:p w14:paraId="2D741E5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3E82828D" w14:textId="77777777" w:rsidTr="009B66CB">
        <w:trPr>
          <w:trHeight w:val="340"/>
        </w:trPr>
        <w:tc>
          <w:tcPr>
            <w:tcW w:w="3709" w:type="dxa"/>
            <w:hideMark/>
          </w:tcPr>
          <w:p w14:paraId="0E8A73A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Negative</w:t>
            </w:r>
          </w:p>
        </w:tc>
        <w:tc>
          <w:tcPr>
            <w:tcW w:w="2218" w:type="dxa"/>
            <w:hideMark/>
          </w:tcPr>
          <w:p w14:paraId="70848EF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 (5.4%)</w:t>
            </w:r>
          </w:p>
        </w:tc>
        <w:tc>
          <w:tcPr>
            <w:tcW w:w="2219" w:type="dxa"/>
            <w:hideMark/>
          </w:tcPr>
          <w:p w14:paraId="286D486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13 (4.5%)</w:t>
            </w:r>
          </w:p>
        </w:tc>
        <w:tc>
          <w:tcPr>
            <w:tcW w:w="2212" w:type="dxa"/>
            <w:hideMark/>
          </w:tcPr>
          <w:p w14:paraId="037FC44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18 (4.7%)</w:t>
            </w:r>
          </w:p>
        </w:tc>
        <w:tc>
          <w:tcPr>
            <w:tcW w:w="1262" w:type="dxa"/>
            <w:hideMark/>
          </w:tcPr>
          <w:p w14:paraId="5799B35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5521AB5" w14:textId="77777777" w:rsidTr="009B66CB">
        <w:trPr>
          <w:trHeight w:val="340"/>
        </w:trPr>
        <w:tc>
          <w:tcPr>
            <w:tcW w:w="3709" w:type="dxa"/>
            <w:hideMark/>
          </w:tcPr>
          <w:p w14:paraId="2FD7228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 xml:space="preserve">    Unknown</w:t>
            </w:r>
          </w:p>
        </w:tc>
        <w:tc>
          <w:tcPr>
            <w:tcW w:w="2218" w:type="dxa"/>
            <w:hideMark/>
          </w:tcPr>
          <w:p w14:paraId="6B55786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7 (7.5%)</w:t>
            </w:r>
          </w:p>
        </w:tc>
        <w:tc>
          <w:tcPr>
            <w:tcW w:w="2219" w:type="dxa"/>
            <w:hideMark/>
          </w:tcPr>
          <w:p w14:paraId="48F9DB7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7 (2.4%)</w:t>
            </w:r>
          </w:p>
        </w:tc>
        <w:tc>
          <w:tcPr>
            <w:tcW w:w="2212" w:type="dxa"/>
            <w:hideMark/>
          </w:tcPr>
          <w:p w14:paraId="346462F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14 (3.6%)</w:t>
            </w:r>
          </w:p>
        </w:tc>
        <w:tc>
          <w:tcPr>
            <w:tcW w:w="1262" w:type="dxa"/>
            <w:hideMark/>
          </w:tcPr>
          <w:p w14:paraId="0A36045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B4744E5" w14:textId="77777777" w:rsidTr="009B66CB">
        <w:trPr>
          <w:trHeight w:val="320"/>
        </w:trPr>
        <w:tc>
          <w:tcPr>
            <w:tcW w:w="3709" w:type="dxa"/>
            <w:hideMark/>
          </w:tcPr>
          <w:p w14:paraId="49D7711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69194E73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0AE3713D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527BF45F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785AB7B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36B4547" w14:textId="77777777" w:rsidTr="009B66CB">
        <w:trPr>
          <w:trHeight w:val="340"/>
        </w:trPr>
        <w:tc>
          <w:tcPr>
            <w:tcW w:w="3709" w:type="dxa"/>
            <w:hideMark/>
          </w:tcPr>
          <w:p w14:paraId="082AD571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Prior chemotherapy</w:t>
            </w:r>
          </w:p>
        </w:tc>
        <w:tc>
          <w:tcPr>
            <w:tcW w:w="2218" w:type="dxa"/>
            <w:hideMark/>
          </w:tcPr>
          <w:p w14:paraId="6E4B1821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51E9A026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0AB1BCE1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5FA7CCD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0.44</w:t>
            </w:r>
          </w:p>
        </w:tc>
      </w:tr>
      <w:tr w:rsidR="009B66CB" w:rsidRPr="009B66CB" w14:paraId="1B6E64B2" w14:textId="77777777" w:rsidTr="009B66CB">
        <w:trPr>
          <w:trHeight w:val="340"/>
        </w:trPr>
        <w:tc>
          <w:tcPr>
            <w:tcW w:w="3709" w:type="dxa"/>
            <w:hideMark/>
          </w:tcPr>
          <w:p w14:paraId="054D8C7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No</w:t>
            </w:r>
          </w:p>
        </w:tc>
        <w:tc>
          <w:tcPr>
            <w:tcW w:w="2218" w:type="dxa"/>
            <w:hideMark/>
          </w:tcPr>
          <w:p w14:paraId="0B12524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62 (63.9%)</w:t>
            </w:r>
          </w:p>
        </w:tc>
        <w:tc>
          <w:tcPr>
            <w:tcW w:w="2219" w:type="dxa"/>
            <w:hideMark/>
          </w:tcPr>
          <w:p w14:paraId="58EB253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175 (59.5%)</w:t>
            </w:r>
          </w:p>
        </w:tc>
        <w:tc>
          <w:tcPr>
            <w:tcW w:w="2212" w:type="dxa"/>
            <w:hideMark/>
          </w:tcPr>
          <w:p w14:paraId="50007EE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237 (60.6%)</w:t>
            </w:r>
          </w:p>
        </w:tc>
        <w:tc>
          <w:tcPr>
            <w:tcW w:w="1262" w:type="dxa"/>
            <w:hideMark/>
          </w:tcPr>
          <w:p w14:paraId="3E10894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1799ACE" w14:textId="77777777" w:rsidTr="009B66CB">
        <w:trPr>
          <w:trHeight w:val="340"/>
        </w:trPr>
        <w:tc>
          <w:tcPr>
            <w:tcW w:w="3709" w:type="dxa"/>
            <w:hideMark/>
          </w:tcPr>
          <w:p w14:paraId="7519D19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Yes</w:t>
            </w:r>
          </w:p>
        </w:tc>
        <w:tc>
          <w:tcPr>
            <w:tcW w:w="2218" w:type="dxa"/>
            <w:hideMark/>
          </w:tcPr>
          <w:p w14:paraId="7A8A47E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35 (36.1%)</w:t>
            </w:r>
          </w:p>
        </w:tc>
        <w:tc>
          <w:tcPr>
            <w:tcW w:w="2219" w:type="dxa"/>
            <w:hideMark/>
          </w:tcPr>
          <w:p w14:paraId="25F6203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119 (40.5%)</w:t>
            </w:r>
          </w:p>
        </w:tc>
        <w:tc>
          <w:tcPr>
            <w:tcW w:w="2212" w:type="dxa"/>
            <w:hideMark/>
          </w:tcPr>
          <w:p w14:paraId="6E3FDFE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154 (39.4%)</w:t>
            </w:r>
          </w:p>
        </w:tc>
        <w:tc>
          <w:tcPr>
            <w:tcW w:w="1262" w:type="dxa"/>
            <w:hideMark/>
          </w:tcPr>
          <w:p w14:paraId="237EC5D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14DF70B2" w14:textId="77777777" w:rsidTr="009B66CB">
        <w:trPr>
          <w:trHeight w:val="320"/>
        </w:trPr>
        <w:tc>
          <w:tcPr>
            <w:tcW w:w="3709" w:type="dxa"/>
            <w:hideMark/>
          </w:tcPr>
          <w:p w14:paraId="4134C3C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20477533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7067D913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5AFFACE8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1D9915A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75625B8F" w14:textId="77777777" w:rsidTr="009B66CB">
        <w:trPr>
          <w:trHeight w:val="340"/>
        </w:trPr>
        <w:tc>
          <w:tcPr>
            <w:tcW w:w="3709" w:type="dxa"/>
            <w:hideMark/>
          </w:tcPr>
          <w:p w14:paraId="5AF320C6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Any prior endocrine therapy</w:t>
            </w:r>
          </w:p>
        </w:tc>
        <w:tc>
          <w:tcPr>
            <w:tcW w:w="2218" w:type="dxa"/>
            <w:hideMark/>
          </w:tcPr>
          <w:p w14:paraId="3C3D2A0A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1182A0DF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5B623951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623DBC0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0.70</w:t>
            </w:r>
          </w:p>
        </w:tc>
      </w:tr>
      <w:tr w:rsidR="009B66CB" w:rsidRPr="009B66CB" w14:paraId="1D99705C" w14:textId="77777777" w:rsidTr="009B66CB">
        <w:trPr>
          <w:trHeight w:val="340"/>
        </w:trPr>
        <w:tc>
          <w:tcPr>
            <w:tcW w:w="3709" w:type="dxa"/>
            <w:hideMark/>
          </w:tcPr>
          <w:p w14:paraId="595F7E0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No</w:t>
            </w:r>
          </w:p>
        </w:tc>
        <w:tc>
          <w:tcPr>
            <w:tcW w:w="2218" w:type="dxa"/>
            <w:hideMark/>
          </w:tcPr>
          <w:p w14:paraId="3F73915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52 (53.6%)</w:t>
            </w:r>
          </w:p>
        </w:tc>
        <w:tc>
          <w:tcPr>
            <w:tcW w:w="2219" w:type="dxa"/>
            <w:hideMark/>
          </w:tcPr>
          <w:p w14:paraId="4F9C720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151 (51.4%)</w:t>
            </w:r>
          </w:p>
        </w:tc>
        <w:tc>
          <w:tcPr>
            <w:tcW w:w="2212" w:type="dxa"/>
            <w:hideMark/>
          </w:tcPr>
          <w:p w14:paraId="3FD051B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203 (51.9%)</w:t>
            </w:r>
          </w:p>
        </w:tc>
        <w:tc>
          <w:tcPr>
            <w:tcW w:w="1262" w:type="dxa"/>
            <w:hideMark/>
          </w:tcPr>
          <w:p w14:paraId="35DA952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197387CE" w14:textId="77777777" w:rsidTr="009B66CB">
        <w:trPr>
          <w:trHeight w:val="340"/>
        </w:trPr>
        <w:tc>
          <w:tcPr>
            <w:tcW w:w="3709" w:type="dxa"/>
            <w:hideMark/>
          </w:tcPr>
          <w:p w14:paraId="227835D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Yes</w:t>
            </w:r>
          </w:p>
        </w:tc>
        <w:tc>
          <w:tcPr>
            <w:tcW w:w="2218" w:type="dxa"/>
            <w:hideMark/>
          </w:tcPr>
          <w:p w14:paraId="78B555D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45 (46.4%)</w:t>
            </w:r>
          </w:p>
        </w:tc>
        <w:tc>
          <w:tcPr>
            <w:tcW w:w="2219" w:type="dxa"/>
            <w:hideMark/>
          </w:tcPr>
          <w:p w14:paraId="5FAAD47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143 (48.6%)</w:t>
            </w:r>
          </w:p>
        </w:tc>
        <w:tc>
          <w:tcPr>
            <w:tcW w:w="2212" w:type="dxa"/>
            <w:hideMark/>
          </w:tcPr>
          <w:p w14:paraId="37A5143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188 (48.1%)</w:t>
            </w:r>
          </w:p>
        </w:tc>
        <w:tc>
          <w:tcPr>
            <w:tcW w:w="1262" w:type="dxa"/>
            <w:hideMark/>
          </w:tcPr>
          <w:p w14:paraId="53059D6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1F19FA5C" w14:textId="77777777" w:rsidTr="009B66CB">
        <w:trPr>
          <w:trHeight w:val="320"/>
        </w:trPr>
        <w:tc>
          <w:tcPr>
            <w:tcW w:w="3709" w:type="dxa"/>
            <w:hideMark/>
          </w:tcPr>
          <w:p w14:paraId="002D9D1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70F0381F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4AA5E304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5902EBF0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60224E1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015BB11A" w14:textId="77777777" w:rsidTr="009B66CB">
        <w:trPr>
          <w:trHeight w:val="340"/>
        </w:trPr>
        <w:tc>
          <w:tcPr>
            <w:tcW w:w="3709" w:type="dxa"/>
            <w:hideMark/>
          </w:tcPr>
          <w:p w14:paraId="42A64B87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Prior aromatase inhibitor</w:t>
            </w:r>
          </w:p>
        </w:tc>
        <w:tc>
          <w:tcPr>
            <w:tcW w:w="2218" w:type="dxa"/>
            <w:hideMark/>
          </w:tcPr>
          <w:p w14:paraId="00AC450D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6BE1B061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4C385CF8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2953727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0.93</w:t>
            </w:r>
          </w:p>
        </w:tc>
      </w:tr>
      <w:tr w:rsidR="009B66CB" w:rsidRPr="009B66CB" w14:paraId="2C84036C" w14:textId="77777777" w:rsidTr="009B66CB">
        <w:trPr>
          <w:trHeight w:val="340"/>
        </w:trPr>
        <w:tc>
          <w:tcPr>
            <w:tcW w:w="3709" w:type="dxa"/>
            <w:hideMark/>
          </w:tcPr>
          <w:p w14:paraId="35A5F2C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No</w:t>
            </w:r>
          </w:p>
        </w:tc>
        <w:tc>
          <w:tcPr>
            <w:tcW w:w="2218" w:type="dxa"/>
            <w:hideMark/>
          </w:tcPr>
          <w:p w14:paraId="3A60CA2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74 (76.3%)</w:t>
            </w:r>
          </w:p>
        </w:tc>
        <w:tc>
          <w:tcPr>
            <w:tcW w:w="2219" w:type="dxa"/>
            <w:hideMark/>
          </w:tcPr>
          <w:p w14:paraId="2E387FD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223 (75.9%)</w:t>
            </w:r>
          </w:p>
        </w:tc>
        <w:tc>
          <w:tcPr>
            <w:tcW w:w="2212" w:type="dxa"/>
            <w:hideMark/>
          </w:tcPr>
          <w:p w14:paraId="488CC84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297 (76.0%)</w:t>
            </w:r>
          </w:p>
        </w:tc>
        <w:tc>
          <w:tcPr>
            <w:tcW w:w="1262" w:type="dxa"/>
            <w:hideMark/>
          </w:tcPr>
          <w:p w14:paraId="5BECF51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6B79A9C4" w14:textId="77777777" w:rsidTr="009B66CB">
        <w:trPr>
          <w:trHeight w:val="340"/>
        </w:trPr>
        <w:tc>
          <w:tcPr>
            <w:tcW w:w="3709" w:type="dxa"/>
            <w:hideMark/>
          </w:tcPr>
          <w:p w14:paraId="5F840E5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lastRenderedPageBreak/>
              <w:t>    Yes</w:t>
            </w:r>
          </w:p>
        </w:tc>
        <w:tc>
          <w:tcPr>
            <w:tcW w:w="2218" w:type="dxa"/>
            <w:hideMark/>
          </w:tcPr>
          <w:p w14:paraId="6826093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23 (23.7%)</w:t>
            </w:r>
          </w:p>
        </w:tc>
        <w:tc>
          <w:tcPr>
            <w:tcW w:w="2219" w:type="dxa"/>
            <w:hideMark/>
          </w:tcPr>
          <w:p w14:paraId="163CBAB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71 (24.1%)</w:t>
            </w:r>
          </w:p>
        </w:tc>
        <w:tc>
          <w:tcPr>
            <w:tcW w:w="2212" w:type="dxa"/>
            <w:hideMark/>
          </w:tcPr>
          <w:p w14:paraId="32D373E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94 (24.0%)</w:t>
            </w:r>
          </w:p>
        </w:tc>
        <w:tc>
          <w:tcPr>
            <w:tcW w:w="1262" w:type="dxa"/>
            <w:hideMark/>
          </w:tcPr>
          <w:p w14:paraId="7512C0C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0F11412F" w14:textId="77777777" w:rsidTr="009B66CB">
        <w:trPr>
          <w:trHeight w:val="320"/>
        </w:trPr>
        <w:tc>
          <w:tcPr>
            <w:tcW w:w="3709" w:type="dxa"/>
            <w:hideMark/>
          </w:tcPr>
          <w:p w14:paraId="3572B592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0CAC7523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4F16840D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2DD4B360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53F23CB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210365A" w14:textId="77777777" w:rsidTr="009B66CB">
        <w:trPr>
          <w:trHeight w:val="340"/>
        </w:trPr>
        <w:tc>
          <w:tcPr>
            <w:tcW w:w="3709" w:type="dxa"/>
            <w:hideMark/>
          </w:tcPr>
          <w:p w14:paraId="23FE5ABA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Prior tamoxifen</w:t>
            </w:r>
          </w:p>
        </w:tc>
        <w:tc>
          <w:tcPr>
            <w:tcW w:w="2218" w:type="dxa"/>
            <w:hideMark/>
          </w:tcPr>
          <w:p w14:paraId="6FEB6351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344DFAC9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2E9ABB46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010F467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0.85</w:t>
            </w:r>
          </w:p>
        </w:tc>
      </w:tr>
      <w:tr w:rsidR="009B66CB" w:rsidRPr="009B66CB" w14:paraId="6C20F6B9" w14:textId="77777777" w:rsidTr="009B66CB">
        <w:trPr>
          <w:trHeight w:val="340"/>
        </w:trPr>
        <w:tc>
          <w:tcPr>
            <w:tcW w:w="3709" w:type="dxa"/>
            <w:hideMark/>
          </w:tcPr>
          <w:p w14:paraId="0301E7B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No</w:t>
            </w:r>
          </w:p>
        </w:tc>
        <w:tc>
          <w:tcPr>
            <w:tcW w:w="2218" w:type="dxa"/>
            <w:hideMark/>
          </w:tcPr>
          <w:p w14:paraId="7B237F04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65 (67.0%)</w:t>
            </w:r>
          </w:p>
        </w:tc>
        <w:tc>
          <w:tcPr>
            <w:tcW w:w="2219" w:type="dxa"/>
            <w:hideMark/>
          </w:tcPr>
          <w:p w14:paraId="1BCCC25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194 (66.0%)</w:t>
            </w:r>
          </w:p>
        </w:tc>
        <w:tc>
          <w:tcPr>
            <w:tcW w:w="2212" w:type="dxa"/>
            <w:hideMark/>
          </w:tcPr>
          <w:p w14:paraId="1948D7E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259 (66.2%)</w:t>
            </w:r>
          </w:p>
        </w:tc>
        <w:tc>
          <w:tcPr>
            <w:tcW w:w="1262" w:type="dxa"/>
            <w:hideMark/>
          </w:tcPr>
          <w:p w14:paraId="1A8E9CC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3C3F0962" w14:textId="77777777" w:rsidTr="009B66CB">
        <w:trPr>
          <w:trHeight w:val="340"/>
        </w:trPr>
        <w:tc>
          <w:tcPr>
            <w:tcW w:w="3709" w:type="dxa"/>
            <w:hideMark/>
          </w:tcPr>
          <w:p w14:paraId="47A60A2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Yes</w:t>
            </w:r>
          </w:p>
        </w:tc>
        <w:tc>
          <w:tcPr>
            <w:tcW w:w="2218" w:type="dxa"/>
            <w:hideMark/>
          </w:tcPr>
          <w:p w14:paraId="47E01FD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32 (33.0%)</w:t>
            </w:r>
          </w:p>
        </w:tc>
        <w:tc>
          <w:tcPr>
            <w:tcW w:w="2219" w:type="dxa"/>
            <w:hideMark/>
          </w:tcPr>
          <w:p w14:paraId="7C32FC6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100 (34.0%)</w:t>
            </w:r>
          </w:p>
        </w:tc>
        <w:tc>
          <w:tcPr>
            <w:tcW w:w="2212" w:type="dxa"/>
            <w:hideMark/>
          </w:tcPr>
          <w:p w14:paraId="4B0A188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132 (33.8%)</w:t>
            </w:r>
          </w:p>
        </w:tc>
        <w:tc>
          <w:tcPr>
            <w:tcW w:w="1262" w:type="dxa"/>
            <w:hideMark/>
          </w:tcPr>
          <w:p w14:paraId="5D5C629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4E09564E" w14:textId="77777777" w:rsidTr="009B66CB">
        <w:trPr>
          <w:trHeight w:val="320"/>
        </w:trPr>
        <w:tc>
          <w:tcPr>
            <w:tcW w:w="3709" w:type="dxa"/>
            <w:hideMark/>
          </w:tcPr>
          <w:p w14:paraId="5957B5D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  <w:tc>
          <w:tcPr>
            <w:tcW w:w="2218" w:type="dxa"/>
            <w:hideMark/>
          </w:tcPr>
          <w:p w14:paraId="14E8C125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9" w:type="dxa"/>
            <w:hideMark/>
          </w:tcPr>
          <w:p w14:paraId="40466476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6788C94C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059F5EE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73901661" w14:textId="77777777" w:rsidTr="009B66CB">
        <w:trPr>
          <w:trHeight w:val="340"/>
        </w:trPr>
        <w:tc>
          <w:tcPr>
            <w:tcW w:w="3709" w:type="dxa"/>
            <w:hideMark/>
          </w:tcPr>
          <w:p w14:paraId="5740CE9E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  <w:r w:rsidRPr="009B66CB">
              <w:rPr>
                <w:b/>
                <w:bCs/>
              </w:rPr>
              <w:t>No. of metastatic sites</w:t>
            </w:r>
          </w:p>
        </w:tc>
        <w:tc>
          <w:tcPr>
            <w:tcW w:w="2218" w:type="dxa"/>
            <w:hideMark/>
          </w:tcPr>
          <w:p w14:paraId="6C436CE5" w14:textId="77777777" w:rsidR="009B66CB" w:rsidRPr="009B66CB" w:rsidRDefault="009B66CB" w:rsidP="009B66CB">
            <w:pPr>
              <w:pStyle w:val="Body"/>
              <w:spacing w:line="480" w:lineRule="auto"/>
              <w:rPr>
                <w:b/>
                <w:bCs/>
              </w:rPr>
            </w:pPr>
          </w:p>
        </w:tc>
        <w:tc>
          <w:tcPr>
            <w:tcW w:w="2219" w:type="dxa"/>
            <w:hideMark/>
          </w:tcPr>
          <w:p w14:paraId="71B583CD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2212" w:type="dxa"/>
            <w:hideMark/>
          </w:tcPr>
          <w:p w14:paraId="5B8E3DFE" w14:textId="77777777" w:rsidR="009B66CB" w:rsidRPr="009B66CB" w:rsidRDefault="009B66CB" w:rsidP="009B66CB">
            <w:pPr>
              <w:pStyle w:val="Body"/>
              <w:spacing w:line="480" w:lineRule="auto"/>
            </w:pPr>
          </w:p>
        </w:tc>
        <w:tc>
          <w:tcPr>
            <w:tcW w:w="1262" w:type="dxa"/>
            <w:hideMark/>
          </w:tcPr>
          <w:p w14:paraId="7AED101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0.89</w:t>
            </w:r>
          </w:p>
        </w:tc>
      </w:tr>
      <w:tr w:rsidR="009B66CB" w:rsidRPr="009B66CB" w14:paraId="2C0F5A3F" w14:textId="77777777" w:rsidTr="009B66CB">
        <w:trPr>
          <w:trHeight w:val="340"/>
        </w:trPr>
        <w:tc>
          <w:tcPr>
            <w:tcW w:w="3709" w:type="dxa"/>
            <w:hideMark/>
          </w:tcPr>
          <w:p w14:paraId="79B76C2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Missing</w:t>
            </w:r>
          </w:p>
        </w:tc>
        <w:tc>
          <w:tcPr>
            <w:tcW w:w="2218" w:type="dxa"/>
            <w:hideMark/>
          </w:tcPr>
          <w:p w14:paraId="0CBD7AE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</w:t>
            </w:r>
          </w:p>
        </w:tc>
        <w:tc>
          <w:tcPr>
            <w:tcW w:w="2219" w:type="dxa"/>
            <w:hideMark/>
          </w:tcPr>
          <w:p w14:paraId="5C1FA15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</w:t>
            </w:r>
          </w:p>
        </w:tc>
        <w:tc>
          <w:tcPr>
            <w:tcW w:w="2212" w:type="dxa"/>
            <w:hideMark/>
          </w:tcPr>
          <w:p w14:paraId="447D68C3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7</w:t>
            </w:r>
          </w:p>
        </w:tc>
        <w:tc>
          <w:tcPr>
            <w:tcW w:w="1262" w:type="dxa"/>
            <w:hideMark/>
          </w:tcPr>
          <w:p w14:paraId="1A28D8B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302E3FAE" w14:textId="77777777" w:rsidTr="009B66CB">
        <w:trPr>
          <w:trHeight w:val="340"/>
        </w:trPr>
        <w:tc>
          <w:tcPr>
            <w:tcW w:w="3709" w:type="dxa"/>
            <w:hideMark/>
          </w:tcPr>
          <w:p w14:paraId="6405F455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1</w:t>
            </w:r>
          </w:p>
        </w:tc>
        <w:tc>
          <w:tcPr>
            <w:tcW w:w="2218" w:type="dxa"/>
            <w:hideMark/>
          </w:tcPr>
          <w:p w14:paraId="537B4BB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30 (32.3%)</w:t>
            </w:r>
          </w:p>
        </w:tc>
        <w:tc>
          <w:tcPr>
            <w:tcW w:w="2219" w:type="dxa"/>
            <w:hideMark/>
          </w:tcPr>
          <w:p w14:paraId="3C14F92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104 (35.7%)</w:t>
            </w:r>
          </w:p>
        </w:tc>
        <w:tc>
          <w:tcPr>
            <w:tcW w:w="2212" w:type="dxa"/>
            <w:hideMark/>
          </w:tcPr>
          <w:p w14:paraId="0BA7648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134 (34.9%)</w:t>
            </w:r>
          </w:p>
        </w:tc>
        <w:tc>
          <w:tcPr>
            <w:tcW w:w="1262" w:type="dxa"/>
            <w:hideMark/>
          </w:tcPr>
          <w:p w14:paraId="2FC83F3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3AB2F4B3" w14:textId="77777777" w:rsidTr="009B66CB">
        <w:trPr>
          <w:trHeight w:val="340"/>
        </w:trPr>
        <w:tc>
          <w:tcPr>
            <w:tcW w:w="3709" w:type="dxa"/>
            <w:hideMark/>
          </w:tcPr>
          <w:p w14:paraId="794DC51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2</w:t>
            </w:r>
          </w:p>
        </w:tc>
        <w:tc>
          <w:tcPr>
            <w:tcW w:w="2218" w:type="dxa"/>
            <w:hideMark/>
          </w:tcPr>
          <w:p w14:paraId="378FA74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33 (35.5%)</w:t>
            </w:r>
          </w:p>
        </w:tc>
        <w:tc>
          <w:tcPr>
            <w:tcW w:w="2219" w:type="dxa"/>
            <w:hideMark/>
          </w:tcPr>
          <w:p w14:paraId="1D111C0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105 (36.1%)</w:t>
            </w:r>
          </w:p>
        </w:tc>
        <w:tc>
          <w:tcPr>
            <w:tcW w:w="2212" w:type="dxa"/>
            <w:hideMark/>
          </w:tcPr>
          <w:p w14:paraId="346DB64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138 (35.9%)</w:t>
            </w:r>
          </w:p>
        </w:tc>
        <w:tc>
          <w:tcPr>
            <w:tcW w:w="1262" w:type="dxa"/>
            <w:hideMark/>
          </w:tcPr>
          <w:p w14:paraId="6FF5906F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586FCC50" w14:textId="77777777" w:rsidTr="009B66CB">
        <w:trPr>
          <w:trHeight w:val="340"/>
        </w:trPr>
        <w:tc>
          <w:tcPr>
            <w:tcW w:w="3709" w:type="dxa"/>
            <w:hideMark/>
          </w:tcPr>
          <w:p w14:paraId="7E6252F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3</w:t>
            </w:r>
          </w:p>
        </w:tc>
        <w:tc>
          <w:tcPr>
            <w:tcW w:w="2218" w:type="dxa"/>
            <w:hideMark/>
          </w:tcPr>
          <w:p w14:paraId="1D15A2B4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18 (19.4%)</w:t>
            </w:r>
          </w:p>
        </w:tc>
        <w:tc>
          <w:tcPr>
            <w:tcW w:w="2219" w:type="dxa"/>
            <w:hideMark/>
          </w:tcPr>
          <w:p w14:paraId="620F8644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54 (18.6%)</w:t>
            </w:r>
          </w:p>
        </w:tc>
        <w:tc>
          <w:tcPr>
            <w:tcW w:w="2212" w:type="dxa"/>
            <w:hideMark/>
          </w:tcPr>
          <w:p w14:paraId="089EC55C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72 (18.8%)</w:t>
            </w:r>
          </w:p>
        </w:tc>
        <w:tc>
          <w:tcPr>
            <w:tcW w:w="1262" w:type="dxa"/>
            <w:hideMark/>
          </w:tcPr>
          <w:p w14:paraId="4E06080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08F29B46" w14:textId="77777777" w:rsidTr="009B66CB">
        <w:trPr>
          <w:trHeight w:val="340"/>
        </w:trPr>
        <w:tc>
          <w:tcPr>
            <w:tcW w:w="3709" w:type="dxa"/>
            <w:hideMark/>
          </w:tcPr>
          <w:p w14:paraId="53FE00F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4</w:t>
            </w:r>
          </w:p>
        </w:tc>
        <w:tc>
          <w:tcPr>
            <w:tcW w:w="2218" w:type="dxa"/>
            <w:hideMark/>
          </w:tcPr>
          <w:p w14:paraId="5278C14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9 (9.7%)</w:t>
            </w:r>
          </w:p>
        </w:tc>
        <w:tc>
          <w:tcPr>
            <w:tcW w:w="2219" w:type="dxa"/>
            <w:hideMark/>
          </w:tcPr>
          <w:p w14:paraId="7D9B92B0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19 (6.5%)</w:t>
            </w:r>
          </w:p>
        </w:tc>
        <w:tc>
          <w:tcPr>
            <w:tcW w:w="2212" w:type="dxa"/>
            <w:hideMark/>
          </w:tcPr>
          <w:p w14:paraId="5457583B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28 (7.3%)</w:t>
            </w:r>
          </w:p>
        </w:tc>
        <w:tc>
          <w:tcPr>
            <w:tcW w:w="1262" w:type="dxa"/>
            <w:hideMark/>
          </w:tcPr>
          <w:p w14:paraId="35E0B7A9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3E5C5B62" w14:textId="77777777" w:rsidTr="009B66CB">
        <w:trPr>
          <w:trHeight w:val="340"/>
        </w:trPr>
        <w:tc>
          <w:tcPr>
            <w:tcW w:w="3709" w:type="dxa"/>
            <w:hideMark/>
          </w:tcPr>
          <w:p w14:paraId="5E3B8DD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5</w:t>
            </w:r>
          </w:p>
        </w:tc>
        <w:tc>
          <w:tcPr>
            <w:tcW w:w="2218" w:type="dxa"/>
            <w:hideMark/>
          </w:tcPr>
          <w:p w14:paraId="2DBD60E6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1 (1.1%)</w:t>
            </w:r>
          </w:p>
        </w:tc>
        <w:tc>
          <w:tcPr>
            <w:tcW w:w="2219" w:type="dxa"/>
            <w:hideMark/>
          </w:tcPr>
          <w:p w14:paraId="553B31B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5 (1.7%)</w:t>
            </w:r>
          </w:p>
        </w:tc>
        <w:tc>
          <w:tcPr>
            <w:tcW w:w="2212" w:type="dxa"/>
            <w:hideMark/>
          </w:tcPr>
          <w:p w14:paraId="5AEE40D8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 (1.6%)</w:t>
            </w:r>
          </w:p>
        </w:tc>
        <w:tc>
          <w:tcPr>
            <w:tcW w:w="1262" w:type="dxa"/>
            <w:hideMark/>
          </w:tcPr>
          <w:p w14:paraId="013A8DBE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  <w:tr w:rsidR="009B66CB" w:rsidRPr="009B66CB" w14:paraId="224CA48E" w14:textId="77777777" w:rsidTr="009B66CB">
        <w:trPr>
          <w:trHeight w:val="340"/>
        </w:trPr>
        <w:tc>
          <w:tcPr>
            <w:tcW w:w="3709" w:type="dxa"/>
            <w:hideMark/>
          </w:tcPr>
          <w:p w14:paraId="782AA2A1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   6</w:t>
            </w:r>
          </w:p>
        </w:tc>
        <w:tc>
          <w:tcPr>
            <w:tcW w:w="2218" w:type="dxa"/>
            <w:hideMark/>
          </w:tcPr>
          <w:p w14:paraId="16ADF29A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2 (2.2%)</w:t>
            </w:r>
          </w:p>
        </w:tc>
        <w:tc>
          <w:tcPr>
            <w:tcW w:w="2219" w:type="dxa"/>
            <w:hideMark/>
          </w:tcPr>
          <w:p w14:paraId="2A40B804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4 (1.4%)</w:t>
            </w:r>
          </w:p>
        </w:tc>
        <w:tc>
          <w:tcPr>
            <w:tcW w:w="2212" w:type="dxa"/>
            <w:hideMark/>
          </w:tcPr>
          <w:p w14:paraId="0FE04287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6 (1.6%)</w:t>
            </w:r>
          </w:p>
        </w:tc>
        <w:tc>
          <w:tcPr>
            <w:tcW w:w="1262" w:type="dxa"/>
            <w:hideMark/>
          </w:tcPr>
          <w:p w14:paraId="2964FD0D" w14:textId="77777777" w:rsidR="009B66CB" w:rsidRPr="009B66CB" w:rsidRDefault="009B66CB" w:rsidP="009B66CB">
            <w:pPr>
              <w:pStyle w:val="Body"/>
              <w:spacing w:line="480" w:lineRule="auto"/>
            </w:pPr>
            <w:r w:rsidRPr="009B66CB">
              <w:t> </w:t>
            </w:r>
          </w:p>
        </w:tc>
      </w:tr>
    </w:tbl>
    <w:p w14:paraId="61A459E7" w14:textId="77777777" w:rsidR="009B66CB" w:rsidRDefault="009B66CB">
      <w:pPr>
        <w:pStyle w:val="Body"/>
        <w:spacing w:line="480" w:lineRule="auto"/>
      </w:pPr>
    </w:p>
    <w:p w14:paraId="59D48641" w14:textId="59D12B19" w:rsidR="00B23823" w:rsidRDefault="00B23823">
      <w:pPr>
        <w:pStyle w:val="Body"/>
        <w:jc w:val="center"/>
        <w:rPr>
          <w:b/>
          <w:bCs/>
        </w:rPr>
      </w:pPr>
    </w:p>
    <w:p w14:paraId="492F4D9F" w14:textId="77777777" w:rsidR="00B23823" w:rsidRDefault="00515F9B">
      <w:pPr>
        <w:pStyle w:val="Body"/>
      </w:pPr>
      <w:r>
        <w:rPr>
          <w:rFonts w:ascii="Arial Unicode MS" w:hAnsi="Arial Unicode MS"/>
        </w:rPr>
        <w:br w:type="page"/>
      </w:r>
    </w:p>
    <w:p w14:paraId="26F8E17C" w14:textId="2FAFF4C2" w:rsidR="00B23823" w:rsidRDefault="00515F9B">
      <w:pPr>
        <w:pStyle w:val="Body"/>
        <w:spacing w:line="480" w:lineRule="auto"/>
      </w:pPr>
      <w:r>
        <w:rPr>
          <w:b/>
          <w:bCs/>
        </w:rPr>
        <w:lastRenderedPageBreak/>
        <w:t xml:space="preserve">Supplementary Table 2. </w:t>
      </w:r>
      <w:r>
        <w:t xml:space="preserve">Multivariable Cox regression analysis to determine correlation between circulating tumor cell (CTC)-positivity at baseline </w:t>
      </w:r>
      <w:r w:rsidR="00F7053E">
        <w:t>vs.</w:t>
      </w:r>
      <w:r>
        <w:t xml:space="preserve"> progression-free survival</w:t>
      </w:r>
      <w:r w:rsidR="002825C8">
        <w:t xml:space="preserve"> (PFS)</w:t>
      </w:r>
      <w:r w:rsidR="00F7053E">
        <w:t xml:space="preserve"> and overall survival</w:t>
      </w:r>
      <w:r w:rsidR="002825C8">
        <w:t xml:space="preserve"> (OS)</w:t>
      </w:r>
      <w:r>
        <w:t xml:space="preserve">. </w:t>
      </w:r>
    </w:p>
    <w:p w14:paraId="137B1514" w14:textId="77777777" w:rsidR="00382899" w:rsidRDefault="00382899">
      <w:pPr>
        <w:pStyle w:val="Body"/>
        <w:spacing w:line="480" w:lineRule="auto"/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4740"/>
        <w:gridCol w:w="1300"/>
        <w:gridCol w:w="1300"/>
        <w:gridCol w:w="1300"/>
        <w:gridCol w:w="1920"/>
      </w:tblGrid>
      <w:tr w:rsidR="00F7053E" w14:paraId="22EA88F1" w14:textId="77777777" w:rsidTr="00F7053E">
        <w:trPr>
          <w:trHeight w:val="10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7CF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PFS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6B36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Hazard ratio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B422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Lower 95%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720E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Upper 95%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DE4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Adjusted likelihood-ratio </w:t>
            </w:r>
            <w:r>
              <w:rPr>
                <w:b/>
                <w:bCs/>
                <w:color w:val="000000"/>
              </w:rPr>
              <w:br/>
              <w:t>(p-value)</w:t>
            </w:r>
          </w:p>
        </w:tc>
      </w:tr>
      <w:tr w:rsidR="00F7053E" w14:paraId="15912927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BCC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CTC (positive vs. negative)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5735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6BA4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2ED1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09A0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&lt;0.01</w:t>
            </w:r>
          </w:p>
        </w:tc>
      </w:tr>
      <w:tr w:rsidR="00F7053E" w14:paraId="54689A02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7177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Arm (Let + Bev vs. Let)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DA30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5C4D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A8EC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35B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</w:t>
            </w:r>
          </w:p>
        </w:tc>
      </w:tr>
      <w:tr w:rsidR="00F7053E" w14:paraId="6700D551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114C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 xml:space="preserve">Age (continuous)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70E4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C453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9AC4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1949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</w:tr>
      <w:tr w:rsidR="00F7053E" w14:paraId="5E530388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F6D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Measurable disease (Yes vs. 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6AC3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D3A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F15C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47B7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</w:tr>
      <w:tr w:rsidR="00F7053E" w14:paraId="40B23CD5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042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Disease-free interval (&gt;24 vs. ≤ 24 months)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945F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FCE4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A4BF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1F22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</w:tr>
      <w:tr w:rsidR="00F7053E" w14:paraId="012B99CA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D49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HER2 (positive vs. negative)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AE32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823D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4257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D7D4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</w:t>
            </w:r>
          </w:p>
        </w:tc>
      </w:tr>
      <w:tr w:rsidR="00F7053E" w14:paraId="18026727" w14:textId="77777777" w:rsidTr="00F7053E">
        <w:trPr>
          <w:trHeight w:val="3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8F96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1F9F" w14:textId="77777777" w:rsidR="00F7053E" w:rsidRDefault="00F705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E997" w14:textId="77777777" w:rsidR="00F7053E" w:rsidRDefault="00F70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3AB5" w14:textId="77777777" w:rsidR="00F7053E" w:rsidRDefault="00F70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02C1" w14:textId="77777777" w:rsidR="00F7053E" w:rsidRDefault="00F7053E">
            <w:pPr>
              <w:jc w:val="center"/>
              <w:rPr>
                <w:sz w:val="20"/>
                <w:szCs w:val="20"/>
              </w:rPr>
            </w:pPr>
          </w:p>
        </w:tc>
      </w:tr>
      <w:tr w:rsidR="00F7053E" w14:paraId="51F753F3" w14:textId="77777777" w:rsidTr="00F7053E">
        <w:trPr>
          <w:trHeight w:val="10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01F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3DA5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Hazard ratio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A840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Lower 95%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9C4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Upper 95%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17DD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Adjusted likelihood-ratio </w:t>
            </w:r>
            <w:r>
              <w:rPr>
                <w:b/>
                <w:bCs/>
                <w:color w:val="000000"/>
              </w:rPr>
              <w:br/>
              <w:t>(p-value)</w:t>
            </w:r>
          </w:p>
        </w:tc>
      </w:tr>
      <w:tr w:rsidR="00F7053E" w14:paraId="6CAAA458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9E1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CTC (positive vs. negative)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618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49E4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7B22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8FE3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&lt;0.01</w:t>
            </w:r>
          </w:p>
        </w:tc>
      </w:tr>
      <w:tr w:rsidR="00F7053E" w14:paraId="6942FEB5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C9A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Arm (Let + Bev vs. Let)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4ADD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0834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9FEA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927F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</w:tr>
      <w:tr w:rsidR="00F7053E" w14:paraId="563CDA46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729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 xml:space="preserve">Age (continuous)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CED5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7A2D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DE0C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5A10" w14:textId="77777777" w:rsidR="00F7053E" w:rsidRDefault="00F70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</w:t>
            </w:r>
          </w:p>
        </w:tc>
      </w:tr>
      <w:tr w:rsidR="00F7053E" w14:paraId="3DE37191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8DB0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Measurable disease (Yes vs. 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861C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ACAD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2DC9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2FB1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</w:tr>
      <w:tr w:rsidR="00F7053E" w14:paraId="6D96C397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077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Disease-free interval (&gt;24 vs. ≤ 24 months)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D86F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070C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2056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804D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F7053E" w14:paraId="56DD8524" w14:textId="77777777" w:rsidTr="00F7053E">
        <w:trPr>
          <w:trHeight w:val="3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6BD8" w14:textId="77777777" w:rsidR="00F7053E" w:rsidRDefault="00F7053E">
            <w:pPr>
              <w:rPr>
                <w:color w:val="000000"/>
              </w:rPr>
            </w:pPr>
            <w:r>
              <w:rPr>
                <w:color w:val="000000"/>
              </w:rPr>
              <w:t>HER2 (positive vs. negative)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1E34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7779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3AD8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3ACD" w14:textId="77777777" w:rsidR="00F7053E" w:rsidRDefault="00F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</w:tr>
    </w:tbl>
    <w:p w14:paraId="2A4E7E57" w14:textId="77777777" w:rsidR="00B23823" w:rsidRDefault="00B23823">
      <w:pPr>
        <w:pStyle w:val="Body"/>
        <w:rPr>
          <w:b/>
          <w:bCs/>
        </w:rPr>
      </w:pPr>
    </w:p>
    <w:p w14:paraId="2051A075" w14:textId="77777777" w:rsidR="00B23823" w:rsidRDefault="00515F9B">
      <w:pPr>
        <w:pStyle w:val="Body"/>
      </w:pPr>
      <w:r>
        <w:rPr>
          <w:rFonts w:ascii="Arial Unicode MS" w:hAnsi="Arial Unicode MS"/>
        </w:rPr>
        <w:br w:type="page"/>
      </w:r>
    </w:p>
    <w:p w14:paraId="76855B9A" w14:textId="75BE9EBE" w:rsidR="00B23823" w:rsidRPr="001909DA" w:rsidRDefault="00515F9B">
      <w:pPr>
        <w:pStyle w:val="Body"/>
        <w:spacing w:line="480" w:lineRule="auto"/>
      </w:pPr>
      <w:r>
        <w:rPr>
          <w:b/>
          <w:bCs/>
        </w:rPr>
        <w:lastRenderedPageBreak/>
        <w:t xml:space="preserve">Supplementary Table 3. </w:t>
      </w:r>
      <w:r w:rsidR="001909DA">
        <w:t>Multivariable Cox regression analysis to determine correlation between circulating tumor cell (CTC) status at baseline (T0) and 3 weeks after initiation of treatment (T1)</w:t>
      </w:r>
      <w:r w:rsidR="00E63426">
        <w:t xml:space="preserve"> vs. progression-free survival (PFS) and overall survival (OS)</w:t>
      </w:r>
      <w:r w:rsidR="001909DA">
        <w:t>.</w:t>
      </w:r>
    </w:p>
    <w:p w14:paraId="7E21E220" w14:textId="19CF71D8" w:rsidR="0052753E" w:rsidRDefault="0052753E">
      <w:pPr>
        <w:pStyle w:val="Body"/>
        <w:rPr>
          <w:b/>
          <w:bCs/>
        </w:rPr>
      </w:pPr>
    </w:p>
    <w:p w14:paraId="464F39D8" w14:textId="23B0FFD0" w:rsidR="001909DA" w:rsidRDefault="001909DA">
      <w:pPr>
        <w:pStyle w:val="Body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350"/>
        <w:gridCol w:w="1260"/>
        <w:gridCol w:w="1260"/>
        <w:gridCol w:w="2425"/>
      </w:tblGrid>
      <w:tr w:rsidR="0003605F" w:rsidRPr="001909DA" w14:paraId="603DA0B6" w14:textId="77777777" w:rsidTr="00BE4DBC">
        <w:trPr>
          <w:trHeight w:val="827"/>
        </w:trPr>
        <w:tc>
          <w:tcPr>
            <w:tcW w:w="4495" w:type="dxa"/>
            <w:vAlign w:val="center"/>
            <w:hideMark/>
          </w:tcPr>
          <w:p w14:paraId="11EC0A91" w14:textId="77777777" w:rsidR="001909DA" w:rsidRPr="0003605F" w:rsidRDefault="001909DA" w:rsidP="0003605F">
            <w:pPr>
              <w:pStyle w:val="Body"/>
              <w:jc w:val="center"/>
              <w:rPr>
                <w:b/>
                <w:bCs/>
              </w:rPr>
            </w:pPr>
            <w:r w:rsidRPr="0003605F">
              <w:rPr>
                <w:b/>
                <w:bCs/>
              </w:rPr>
              <w:t>PFS</w:t>
            </w:r>
          </w:p>
        </w:tc>
        <w:tc>
          <w:tcPr>
            <w:tcW w:w="1350" w:type="dxa"/>
            <w:vAlign w:val="center"/>
            <w:hideMark/>
          </w:tcPr>
          <w:p w14:paraId="275E049D" w14:textId="77777777" w:rsidR="001909DA" w:rsidRPr="0003605F" w:rsidRDefault="001909DA" w:rsidP="0003605F">
            <w:pPr>
              <w:pStyle w:val="Body"/>
              <w:jc w:val="center"/>
              <w:rPr>
                <w:b/>
                <w:bCs/>
              </w:rPr>
            </w:pPr>
            <w:r w:rsidRPr="0003605F">
              <w:rPr>
                <w:b/>
                <w:bCs/>
              </w:rPr>
              <w:t>Hazard ratio</w:t>
            </w:r>
          </w:p>
        </w:tc>
        <w:tc>
          <w:tcPr>
            <w:tcW w:w="1260" w:type="dxa"/>
            <w:noWrap/>
            <w:vAlign w:val="center"/>
            <w:hideMark/>
          </w:tcPr>
          <w:p w14:paraId="5CE3CDC1" w14:textId="77777777" w:rsidR="001909DA" w:rsidRPr="0003605F" w:rsidRDefault="001909DA" w:rsidP="0003605F">
            <w:pPr>
              <w:pStyle w:val="Body"/>
              <w:jc w:val="center"/>
              <w:rPr>
                <w:b/>
                <w:bCs/>
              </w:rPr>
            </w:pPr>
            <w:r w:rsidRPr="0003605F">
              <w:rPr>
                <w:b/>
                <w:bCs/>
              </w:rPr>
              <w:t>Lower 95%</w:t>
            </w:r>
          </w:p>
        </w:tc>
        <w:tc>
          <w:tcPr>
            <w:tcW w:w="1260" w:type="dxa"/>
            <w:noWrap/>
            <w:vAlign w:val="center"/>
            <w:hideMark/>
          </w:tcPr>
          <w:p w14:paraId="2A595356" w14:textId="77777777" w:rsidR="001909DA" w:rsidRPr="0003605F" w:rsidRDefault="001909DA" w:rsidP="0003605F">
            <w:pPr>
              <w:pStyle w:val="Body"/>
              <w:jc w:val="center"/>
              <w:rPr>
                <w:b/>
                <w:bCs/>
              </w:rPr>
            </w:pPr>
            <w:r w:rsidRPr="0003605F">
              <w:rPr>
                <w:b/>
                <w:bCs/>
              </w:rPr>
              <w:t>Upper 95%</w:t>
            </w:r>
          </w:p>
        </w:tc>
        <w:tc>
          <w:tcPr>
            <w:tcW w:w="2425" w:type="dxa"/>
            <w:vAlign w:val="center"/>
            <w:hideMark/>
          </w:tcPr>
          <w:p w14:paraId="3FDEC523" w14:textId="44190023" w:rsidR="001909DA" w:rsidRPr="0003605F" w:rsidRDefault="001909DA" w:rsidP="00E63426">
            <w:pPr>
              <w:pStyle w:val="Body"/>
              <w:rPr>
                <w:b/>
                <w:bCs/>
              </w:rPr>
            </w:pPr>
            <w:r w:rsidRPr="0003605F">
              <w:rPr>
                <w:b/>
                <w:bCs/>
              </w:rPr>
              <w:t xml:space="preserve">Adjusted </w:t>
            </w:r>
            <w:r w:rsidR="0094219E">
              <w:rPr>
                <w:b/>
                <w:bCs/>
              </w:rPr>
              <w:t>l</w:t>
            </w:r>
            <w:r w:rsidRPr="0003605F">
              <w:rPr>
                <w:b/>
                <w:bCs/>
              </w:rPr>
              <w:t xml:space="preserve">ikelihood-ratio </w:t>
            </w:r>
            <w:r w:rsidR="0094219E">
              <w:rPr>
                <w:b/>
                <w:bCs/>
              </w:rPr>
              <w:t>(</w:t>
            </w:r>
            <w:r w:rsidRPr="0003605F">
              <w:rPr>
                <w:b/>
                <w:bCs/>
              </w:rPr>
              <w:t>p-value</w:t>
            </w:r>
            <w:r w:rsidR="0094219E">
              <w:rPr>
                <w:b/>
                <w:bCs/>
              </w:rPr>
              <w:t>)</w:t>
            </w:r>
          </w:p>
        </w:tc>
      </w:tr>
      <w:tr w:rsidR="0003605F" w:rsidRPr="001909DA" w14:paraId="2ED164E3" w14:textId="77777777" w:rsidTr="00E63426">
        <w:trPr>
          <w:trHeight w:val="340"/>
        </w:trPr>
        <w:tc>
          <w:tcPr>
            <w:tcW w:w="4495" w:type="dxa"/>
            <w:hideMark/>
          </w:tcPr>
          <w:p w14:paraId="374B4D85" w14:textId="77777777" w:rsidR="001909DA" w:rsidRPr="001909DA" w:rsidRDefault="001909DA" w:rsidP="001909DA">
            <w:pPr>
              <w:pStyle w:val="Body"/>
            </w:pPr>
            <w:r w:rsidRPr="001909DA">
              <w:t>CTC-CTC+ vs. CTC-CTC-</w:t>
            </w:r>
          </w:p>
        </w:tc>
        <w:tc>
          <w:tcPr>
            <w:tcW w:w="1350" w:type="dxa"/>
            <w:noWrap/>
            <w:hideMark/>
          </w:tcPr>
          <w:p w14:paraId="5EE9B444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1.44</w:t>
            </w:r>
          </w:p>
        </w:tc>
        <w:tc>
          <w:tcPr>
            <w:tcW w:w="1260" w:type="dxa"/>
            <w:hideMark/>
          </w:tcPr>
          <w:p w14:paraId="46B58372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0.72</w:t>
            </w:r>
          </w:p>
        </w:tc>
        <w:tc>
          <w:tcPr>
            <w:tcW w:w="1260" w:type="dxa"/>
            <w:hideMark/>
          </w:tcPr>
          <w:p w14:paraId="3C809816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2.90</w:t>
            </w:r>
          </w:p>
        </w:tc>
        <w:tc>
          <w:tcPr>
            <w:tcW w:w="2425" w:type="dxa"/>
            <w:hideMark/>
          </w:tcPr>
          <w:p w14:paraId="2C575E82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0.30</w:t>
            </w:r>
          </w:p>
        </w:tc>
      </w:tr>
      <w:tr w:rsidR="0003605F" w:rsidRPr="001909DA" w14:paraId="1E1CAF57" w14:textId="77777777" w:rsidTr="00E63426">
        <w:trPr>
          <w:trHeight w:val="340"/>
        </w:trPr>
        <w:tc>
          <w:tcPr>
            <w:tcW w:w="4495" w:type="dxa"/>
            <w:hideMark/>
          </w:tcPr>
          <w:p w14:paraId="32183321" w14:textId="77777777" w:rsidR="001909DA" w:rsidRPr="001909DA" w:rsidRDefault="001909DA" w:rsidP="001909DA">
            <w:pPr>
              <w:pStyle w:val="Body"/>
            </w:pPr>
            <w:r w:rsidRPr="001909DA">
              <w:t>CTC+CTC- vs. CTC-CTC-</w:t>
            </w:r>
          </w:p>
        </w:tc>
        <w:tc>
          <w:tcPr>
            <w:tcW w:w="1350" w:type="dxa"/>
            <w:noWrap/>
            <w:hideMark/>
          </w:tcPr>
          <w:p w14:paraId="656E4A95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1.45</w:t>
            </w:r>
          </w:p>
        </w:tc>
        <w:tc>
          <w:tcPr>
            <w:tcW w:w="1260" w:type="dxa"/>
            <w:hideMark/>
          </w:tcPr>
          <w:p w14:paraId="53302EEA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0.97</w:t>
            </w:r>
          </w:p>
        </w:tc>
        <w:tc>
          <w:tcPr>
            <w:tcW w:w="1260" w:type="dxa"/>
            <w:hideMark/>
          </w:tcPr>
          <w:p w14:paraId="7A84995A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2.17</w:t>
            </w:r>
          </w:p>
        </w:tc>
        <w:tc>
          <w:tcPr>
            <w:tcW w:w="2425" w:type="dxa"/>
            <w:hideMark/>
          </w:tcPr>
          <w:p w14:paraId="4BFC0370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0.07</w:t>
            </w:r>
          </w:p>
        </w:tc>
      </w:tr>
      <w:tr w:rsidR="0003605F" w:rsidRPr="001909DA" w14:paraId="077BC16D" w14:textId="77777777" w:rsidTr="00E63426">
        <w:trPr>
          <w:trHeight w:val="340"/>
        </w:trPr>
        <w:tc>
          <w:tcPr>
            <w:tcW w:w="4495" w:type="dxa"/>
            <w:hideMark/>
          </w:tcPr>
          <w:p w14:paraId="4D7F534D" w14:textId="77777777" w:rsidR="001909DA" w:rsidRPr="001909DA" w:rsidRDefault="001909DA" w:rsidP="001909DA">
            <w:pPr>
              <w:pStyle w:val="Body"/>
            </w:pPr>
            <w:r w:rsidRPr="001909DA">
              <w:t>CTC+CTC+ vs. CTC-CTC-</w:t>
            </w:r>
          </w:p>
        </w:tc>
        <w:tc>
          <w:tcPr>
            <w:tcW w:w="1350" w:type="dxa"/>
            <w:noWrap/>
            <w:hideMark/>
          </w:tcPr>
          <w:p w14:paraId="28ABA1BE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2.15</w:t>
            </w:r>
          </w:p>
        </w:tc>
        <w:tc>
          <w:tcPr>
            <w:tcW w:w="1260" w:type="dxa"/>
            <w:hideMark/>
          </w:tcPr>
          <w:p w14:paraId="5B68B7A9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1.43</w:t>
            </w:r>
          </w:p>
        </w:tc>
        <w:tc>
          <w:tcPr>
            <w:tcW w:w="1260" w:type="dxa"/>
            <w:hideMark/>
          </w:tcPr>
          <w:p w14:paraId="5B5AACBA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3.23</w:t>
            </w:r>
          </w:p>
        </w:tc>
        <w:tc>
          <w:tcPr>
            <w:tcW w:w="2425" w:type="dxa"/>
            <w:hideMark/>
          </w:tcPr>
          <w:p w14:paraId="40A14FB6" w14:textId="03C54B60" w:rsidR="001909DA" w:rsidRPr="0003605F" w:rsidRDefault="00FC6C51" w:rsidP="0094219E">
            <w:pPr>
              <w:pStyle w:val="Body"/>
              <w:jc w:val="center"/>
              <w:rPr>
                <w:b/>
                <w:bCs/>
              </w:rPr>
            </w:pPr>
            <w:r w:rsidRPr="00E63426">
              <w:rPr>
                <w:rFonts w:cs="Times New Roman"/>
                <w:b/>
                <w:bCs/>
              </w:rPr>
              <w:t>&lt;0.01</w:t>
            </w:r>
          </w:p>
        </w:tc>
      </w:tr>
      <w:tr w:rsidR="0003605F" w:rsidRPr="001909DA" w14:paraId="5A158653" w14:textId="77777777" w:rsidTr="00E63426">
        <w:trPr>
          <w:trHeight w:val="340"/>
        </w:trPr>
        <w:tc>
          <w:tcPr>
            <w:tcW w:w="4495" w:type="dxa"/>
            <w:hideMark/>
          </w:tcPr>
          <w:p w14:paraId="31B830F0" w14:textId="77777777" w:rsidR="001909DA" w:rsidRPr="001909DA" w:rsidRDefault="001909DA" w:rsidP="001909DA">
            <w:pPr>
              <w:pStyle w:val="Body"/>
            </w:pPr>
            <w:r w:rsidRPr="001909DA">
              <w:t>Arm (Let vs. Let+Bev)</w:t>
            </w:r>
          </w:p>
        </w:tc>
        <w:tc>
          <w:tcPr>
            <w:tcW w:w="1350" w:type="dxa"/>
            <w:noWrap/>
            <w:hideMark/>
          </w:tcPr>
          <w:p w14:paraId="023A45D3" w14:textId="4A357099" w:rsidR="001909DA" w:rsidRPr="001909DA" w:rsidRDefault="001909DA" w:rsidP="0003605F">
            <w:pPr>
              <w:pStyle w:val="Body"/>
              <w:jc w:val="center"/>
            </w:pPr>
            <w:r w:rsidRPr="001909DA">
              <w:t>1.40</w:t>
            </w:r>
          </w:p>
        </w:tc>
        <w:tc>
          <w:tcPr>
            <w:tcW w:w="1260" w:type="dxa"/>
            <w:hideMark/>
          </w:tcPr>
          <w:p w14:paraId="109572F1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1.03</w:t>
            </w:r>
          </w:p>
        </w:tc>
        <w:tc>
          <w:tcPr>
            <w:tcW w:w="1260" w:type="dxa"/>
            <w:hideMark/>
          </w:tcPr>
          <w:p w14:paraId="50673F60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1.91</w:t>
            </w:r>
          </w:p>
        </w:tc>
        <w:tc>
          <w:tcPr>
            <w:tcW w:w="2425" w:type="dxa"/>
            <w:hideMark/>
          </w:tcPr>
          <w:p w14:paraId="23F71CB8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0.03</w:t>
            </w:r>
          </w:p>
        </w:tc>
      </w:tr>
      <w:tr w:rsidR="0003605F" w:rsidRPr="001909DA" w14:paraId="000C3B7F" w14:textId="77777777" w:rsidTr="00E63426">
        <w:trPr>
          <w:trHeight w:val="340"/>
        </w:trPr>
        <w:tc>
          <w:tcPr>
            <w:tcW w:w="4495" w:type="dxa"/>
            <w:hideMark/>
          </w:tcPr>
          <w:p w14:paraId="06CF02EF" w14:textId="77777777" w:rsidR="001909DA" w:rsidRPr="001909DA" w:rsidRDefault="001909DA" w:rsidP="001909DA">
            <w:pPr>
              <w:pStyle w:val="Body"/>
            </w:pPr>
            <w:r w:rsidRPr="001909DA">
              <w:t xml:space="preserve">Age (continuous) </w:t>
            </w:r>
          </w:p>
        </w:tc>
        <w:tc>
          <w:tcPr>
            <w:tcW w:w="1350" w:type="dxa"/>
            <w:noWrap/>
            <w:hideMark/>
          </w:tcPr>
          <w:p w14:paraId="4EB04A10" w14:textId="7F2D68E2" w:rsidR="001909DA" w:rsidRPr="001909DA" w:rsidRDefault="001909DA" w:rsidP="0003605F">
            <w:pPr>
              <w:pStyle w:val="Body"/>
              <w:jc w:val="center"/>
            </w:pPr>
            <w:r w:rsidRPr="001909DA">
              <w:t>1.00</w:t>
            </w:r>
          </w:p>
        </w:tc>
        <w:tc>
          <w:tcPr>
            <w:tcW w:w="1260" w:type="dxa"/>
            <w:hideMark/>
          </w:tcPr>
          <w:p w14:paraId="5C162D57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0.99</w:t>
            </w:r>
          </w:p>
        </w:tc>
        <w:tc>
          <w:tcPr>
            <w:tcW w:w="1260" w:type="dxa"/>
            <w:hideMark/>
          </w:tcPr>
          <w:p w14:paraId="59D6412A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1.01</w:t>
            </w:r>
          </w:p>
        </w:tc>
        <w:tc>
          <w:tcPr>
            <w:tcW w:w="2425" w:type="dxa"/>
            <w:hideMark/>
          </w:tcPr>
          <w:p w14:paraId="0B8ECAF1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0.80</w:t>
            </w:r>
          </w:p>
        </w:tc>
      </w:tr>
      <w:tr w:rsidR="0003605F" w:rsidRPr="001909DA" w14:paraId="601F2AB1" w14:textId="77777777" w:rsidTr="00E63426">
        <w:trPr>
          <w:trHeight w:val="340"/>
        </w:trPr>
        <w:tc>
          <w:tcPr>
            <w:tcW w:w="4495" w:type="dxa"/>
            <w:hideMark/>
          </w:tcPr>
          <w:p w14:paraId="70533699" w14:textId="77777777" w:rsidR="001909DA" w:rsidRPr="001909DA" w:rsidRDefault="001909DA" w:rsidP="001909DA">
            <w:pPr>
              <w:pStyle w:val="Body"/>
            </w:pPr>
            <w:r w:rsidRPr="001909DA">
              <w:t>Measurable disease (Yes vs. No)</w:t>
            </w:r>
          </w:p>
        </w:tc>
        <w:tc>
          <w:tcPr>
            <w:tcW w:w="1350" w:type="dxa"/>
            <w:noWrap/>
            <w:hideMark/>
          </w:tcPr>
          <w:p w14:paraId="43628604" w14:textId="0C1D9500" w:rsidR="001909DA" w:rsidRPr="001909DA" w:rsidRDefault="001909DA" w:rsidP="0003605F">
            <w:pPr>
              <w:pStyle w:val="Body"/>
              <w:jc w:val="center"/>
            </w:pPr>
            <w:r w:rsidRPr="001909DA">
              <w:t>0.84</w:t>
            </w:r>
          </w:p>
        </w:tc>
        <w:tc>
          <w:tcPr>
            <w:tcW w:w="1260" w:type="dxa"/>
            <w:hideMark/>
          </w:tcPr>
          <w:p w14:paraId="35BC2770" w14:textId="3DF82AFF" w:rsidR="001909DA" w:rsidRPr="001909DA" w:rsidRDefault="001909DA" w:rsidP="0003605F">
            <w:pPr>
              <w:pStyle w:val="Body"/>
              <w:jc w:val="center"/>
            </w:pPr>
            <w:r w:rsidRPr="001909DA">
              <w:t>0.61</w:t>
            </w:r>
          </w:p>
        </w:tc>
        <w:tc>
          <w:tcPr>
            <w:tcW w:w="1260" w:type="dxa"/>
            <w:hideMark/>
          </w:tcPr>
          <w:p w14:paraId="0E41C151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1.16</w:t>
            </w:r>
          </w:p>
        </w:tc>
        <w:tc>
          <w:tcPr>
            <w:tcW w:w="2425" w:type="dxa"/>
            <w:hideMark/>
          </w:tcPr>
          <w:p w14:paraId="0BA1FACC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0.30</w:t>
            </w:r>
          </w:p>
        </w:tc>
      </w:tr>
      <w:tr w:rsidR="0003605F" w:rsidRPr="001909DA" w14:paraId="349F9D48" w14:textId="77777777" w:rsidTr="00E63426">
        <w:trPr>
          <w:trHeight w:val="340"/>
        </w:trPr>
        <w:tc>
          <w:tcPr>
            <w:tcW w:w="4495" w:type="dxa"/>
            <w:hideMark/>
          </w:tcPr>
          <w:p w14:paraId="26B5A630" w14:textId="77777777" w:rsidR="001909DA" w:rsidRPr="001909DA" w:rsidRDefault="001909DA" w:rsidP="001909DA">
            <w:pPr>
              <w:pStyle w:val="Body"/>
            </w:pPr>
            <w:r w:rsidRPr="001909DA">
              <w:t>Disease-free interval (&gt;24 vs. ≤ 24 months)</w:t>
            </w:r>
          </w:p>
        </w:tc>
        <w:tc>
          <w:tcPr>
            <w:tcW w:w="1350" w:type="dxa"/>
            <w:noWrap/>
            <w:hideMark/>
          </w:tcPr>
          <w:p w14:paraId="21B549C5" w14:textId="65E9CDE1" w:rsidR="001909DA" w:rsidRPr="001909DA" w:rsidRDefault="001909DA" w:rsidP="0003605F">
            <w:pPr>
              <w:pStyle w:val="Body"/>
              <w:jc w:val="center"/>
            </w:pPr>
            <w:r w:rsidRPr="001909DA">
              <w:t>1.23</w:t>
            </w:r>
          </w:p>
        </w:tc>
        <w:tc>
          <w:tcPr>
            <w:tcW w:w="1260" w:type="dxa"/>
            <w:hideMark/>
          </w:tcPr>
          <w:p w14:paraId="42DBC53C" w14:textId="5E402C1D" w:rsidR="001909DA" w:rsidRPr="001909DA" w:rsidRDefault="001909DA" w:rsidP="0003605F">
            <w:pPr>
              <w:pStyle w:val="Body"/>
              <w:jc w:val="center"/>
            </w:pPr>
            <w:r w:rsidRPr="001909DA">
              <w:t>0.90</w:t>
            </w:r>
          </w:p>
        </w:tc>
        <w:tc>
          <w:tcPr>
            <w:tcW w:w="1260" w:type="dxa"/>
            <w:hideMark/>
          </w:tcPr>
          <w:p w14:paraId="042A7142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1.68</w:t>
            </w:r>
          </w:p>
        </w:tc>
        <w:tc>
          <w:tcPr>
            <w:tcW w:w="2425" w:type="dxa"/>
            <w:hideMark/>
          </w:tcPr>
          <w:p w14:paraId="6B479803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0.20</w:t>
            </w:r>
          </w:p>
        </w:tc>
      </w:tr>
      <w:tr w:rsidR="0003605F" w:rsidRPr="001909DA" w14:paraId="646655AF" w14:textId="77777777" w:rsidTr="00E63426">
        <w:trPr>
          <w:trHeight w:val="340"/>
        </w:trPr>
        <w:tc>
          <w:tcPr>
            <w:tcW w:w="4495" w:type="dxa"/>
            <w:hideMark/>
          </w:tcPr>
          <w:p w14:paraId="6A61A619" w14:textId="77777777" w:rsidR="001909DA" w:rsidRPr="001909DA" w:rsidRDefault="001909DA" w:rsidP="001909DA">
            <w:pPr>
              <w:pStyle w:val="Body"/>
            </w:pPr>
            <w:r w:rsidRPr="001909DA">
              <w:t>HER2 (positive vs. negative)</w:t>
            </w:r>
          </w:p>
        </w:tc>
        <w:tc>
          <w:tcPr>
            <w:tcW w:w="1350" w:type="dxa"/>
            <w:noWrap/>
            <w:hideMark/>
          </w:tcPr>
          <w:p w14:paraId="3F2E1035" w14:textId="558C295F" w:rsidR="001909DA" w:rsidRPr="001909DA" w:rsidRDefault="001909DA" w:rsidP="0003605F">
            <w:pPr>
              <w:pStyle w:val="Body"/>
              <w:jc w:val="center"/>
            </w:pPr>
            <w:r w:rsidRPr="001909DA">
              <w:t>2.94</w:t>
            </w:r>
          </w:p>
        </w:tc>
        <w:tc>
          <w:tcPr>
            <w:tcW w:w="1260" w:type="dxa"/>
            <w:hideMark/>
          </w:tcPr>
          <w:p w14:paraId="65309625" w14:textId="5E0B2FDD" w:rsidR="001909DA" w:rsidRPr="001909DA" w:rsidRDefault="001909DA" w:rsidP="0003605F">
            <w:pPr>
              <w:pStyle w:val="Body"/>
              <w:jc w:val="center"/>
            </w:pPr>
            <w:r w:rsidRPr="001909DA">
              <w:t>1.49</w:t>
            </w:r>
          </w:p>
        </w:tc>
        <w:tc>
          <w:tcPr>
            <w:tcW w:w="1260" w:type="dxa"/>
            <w:hideMark/>
          </w:tcPr>
          <w:p w14:paraId="13FD01EE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5.80</w:t>
            </w:r>
          </w:p>
        </w:tc>
        <w:tc>
          <w:tcPr>
            <w:tcW w:w="2425" w:type="dxa"/>
            <w:hideMark/>
          </w:tcPr>
          <w:p w14:paraId="6C3FBDEE" w14:textId="0778C01B" w:rsidR="001909DA" w:rsidRPr="0003605F" w:rsidRDefault="00FC6C51" w:rsidP="0094219E">
            <w:pPr>
              <w:pStyle w:val="Body"/>
              <w:jc w:val="center"/>
              <w:rPr>
                <w:b/>
                <w:bCs/>
              </w:rPr>
            </w:pPr>
            <w:r w:rsidRPr="00E63426">
              <w:rPr>
                <w:rFonts w:cs="Times New Roman"/>
                <w:b/>
                <w:bCs/>
              </w:rPr>
              <w:t>&lt;0.01</w:t>
            </w:r>
          </w:p>
        </w:tc>
      </w:tr>
      <w:tr w:rsidR="0003605F" w:rsidRPr="001909DA" w14:paraId="191A1DD5" w14:textId="77777777" w:rsidTr="00E63426">
        <w:trPr>
          <w:trHeight w:val="320"/>
        </w:trPr>
        <w:tc>
          <w:tcPr>
            <w:tcW w:w="4495" w:type="dxa"/>
            <w:noWrap/>
            <w:hideMark/>
          </w:tcPr>
          <w:p w14:paraId="44F20F16" w14:textId="77777777" w:rsidR="001909DA" w:rsidRPr="001909DA" w:rsidRDefault="001909DA" w:rsidP="001909DA">
            <w:pPr>
              <w:pStyle w:val="Body"/>
            </w:pPr>
          </w:p>
        </w:tc>
        <w:tc>
          <w:tcPr>
            <w:tcW w:w="1350" w:type="dxa"/>
            <w:noWrap/>
            <w:hideMark/>
          </w:tcPr>
          <w:p w14:paraId="1539AA25" w14:textId="77777777" w:rsidR="001909DA" w:rsidRPr="001909DA" w:rsidRDefault="001909DA" w:rsidP="0003605F">
            <w:pPr>
              <w:pStyle w:val="Body"/>
              <w:jc w:val="center"/>
            </w:pPr>
          </w:p>
        </w:tc>
        <w:tc>
          <w:tcPr>
            <w:tcW w:w="1260" w:type="dxa"/>
            <w:noWrap/>
            <w:hideMark/>
          </w:tcPr>
          <w:p w14:paraId="6040F72D" w14:textId="77777777" w:rsidR="001909DA" w:rsidRPr="001909DA" w:rsidRDefault="001909DA" w:rsidP="0003605F">
            <w:pPr>
              <w:pStyle w:val="Body"/>
              <w:jc w:val="center"/>
            </w:pPr>
          </w:p>
        </w:tc>
        <w:tc>
          <w:tcPr>
            <w:tcW w:w="1260" w:type="dxa"/>
            <w:noWrap/>
            <w:hideMark/>
          </w:tcPr>
          <w:p w14:paraId="375759DB" w14:textId="77777777" w:rsidR="001909DA" w:rsidRPr="001909DA" w:rsidRDefault="001909DA" w:rsidP="0003605F">
            <w:pPr>
              <w:pStyle w:val="Body"/>
              <w:jc w:val="center"/>
            </w:pPr>
          </w:p>
        </w:tc>
        <w:tc>
          <w:tcPr>
            <w:tcW w:w="2425" w:type="dxa"/>
            <w:noWrap/>
            <w:hideMark/>
          </w:tcPr>
          <w:p w14:paraId="2D1EFE9A" w14:textId="77777777" w:rsidR="001909DA" w:rsidRPr="001909DA" w:rsidRDefault="001909DA" w:rsidP="0094219E">
            <w:pPr>
              <w:pStyle w:val="Body"/>
              <w:jc w:val="center"/>
            </w:pPr>
          </w:p>
        </w:tc>
      </w:tr>
      <w:tr w:rsidR="0003605F" w:rsidRPr="001909DA" w14:paraId="1E22799F" w14:textId="77777777" w:rsidTr="00BE4DBC">
        <w:trPr>
          <w:trHeight w:val="728"/>
        </w:trPr>
        <w:tc>
          <w:tcPr>
            <w:tcW w:w="4495" w:type="dxa"/>
            <w:vAlign w:val="center"/>
            <w:hideMark/>
          </w:tcPr>
          <w:p w14:paraId="19F73D96" w14:textId="77777777" w:rsidR="001909DA" w:rsidRPr="0003605F" w:rsidRDefault="001909DA" w:rsidP="0003605F">
            <w:pPr>
              <w:pStyle w:val="Body"/>
              <w:jc w:val="center"/>
              <w:rPr>
                <w:b/>
                <w:bCs/>
              </w:rPr>
            </w:pPr>
            <w:r w:rsidRPr="0003605F">
              <w:rPr>
                <w:b/>
                <w:bCs/>
              </w:rPr>
              <w:t>OS</w:t>
            </w:r>
          </w:p>
        </w:tc>
        <w:tc>
          <w:tcPr>
            <w:tcW w:w="1350" w:type="dxa"/>
            <w:vAlign w:val="center"/>
            <w:hideMark/>
          </w:tcPr>
          <w:p w14:paraId="3D0268BA" w14:textId="77777777" w:rsidR="001909DA" w:rsidRPr="0003605F" w:rsidRDefault="001909DA" w:rsidP="0003605F">
            <w:pPr>
              <w:pStyle w:val="Body"/>
              <w:jc w:val="center"/>
              <w:rPr>
                <w:b/>
                <w:bCs/>
              </w:rPr>
            </w:pPr>
            <w:r w:rsidRPr="0003605F">
              <w:rPr>
                <w:b/>
                <w:bCs/>
              </w:rPr>
              <w:t>Hazard ratio</w:t>
            </w:r>
          </w:p>
        </w:tc>
        <w:tc>
          <w:tcPr>
            <w:tcW w:w="1260" w:type="dxa"/>
            <w:noWrap/>
            <w:vAlign w:val="center"/>
            <w:hideMark/>
          </w:tcPr>
          <w:p w14:paraId="20787B1E" w14:textId="77777777" w:rsidR="001909DA" w:rsidRPr="0003605F" w:rsidRDefault="001909DA" w:rsidP="0003605F">
            <w:pPr>
              <w:pStyle w:val="Body"/>
              <w:jc w:val="center"/>
              <w:rPr>
                <w:b/>
                <w:bCs/>
              </w:rPr>
            </w:pPr>
            <w:r w:rsidRPr="0003605F">
              <w:rPr>
                <w:b/>
                <w:bCs/>
              </w:rPr>
              <w:t>Lower 95%</w:t>
            </w:r>
          </w:p>
        </w:tc>
        <w:tc>
          <w:tcPr>
            <w:tcW w:w="1260" w:type="dxa"/>
            <w:noWrap/>
            <w:vAlign w:val="center"/>
            <w:hideMark/>
          </w:tcPr>
          <w:p w14:paraId="4917F5AE" w14:textId="77777777" w:rsidR="001909DA" w:rsidRPr="0003605F" w:rsidRDefault="001909DA" w:rsidP="0003605F">
            <w:pPr>
              <w:pStyle w:val="Body"/>
              <w:jc w:val="center"/>
              <w:rPr>
                <w:b/>
                <w:bCs/>
              </w:rPr>
            </w:pPr>
            <w:r w:rsidRPr="0003605F">
              <w:rPr>
                <w:b/>
                <w:bCs/>
              </w:rPr>
              <w:t>Upper 95%</w:t>
            </w:r>
          </w:p>
        </w:tc>
        <w:tc>
          <w:tcPr>
            <w:tcW w:w="2425" w:type="dxa"/>
            <w:vAlign w:val="center"/>
            <w:hideMark/>
          </w:tcPr>
          <w:p w14:paraId="3738EE80" w14:textId="0F4FD575" w:rsidR="001909DA" w:rsidRPr="0003605F" w:rsidRDefault="001909DA" w:rsidP="00E63426">
            <w:pPr>
              <w:pStyle w:val="Body"/>
              <w:rPr>
                <w:b/>
                <w:bCs/>
              </w:rPr>
            </w:pPr>
            <w:r w:rsidRPr="0003605F">
              <w:rPr>
                <w:b/>
                <w:bCs/>
              </w:rPr>
              <w:t xml:space="preserve">Adjusted </w:t>
            </w:r>
            <w:r w:rsidR="0094219E">
              <w:rPr>
                <w:b/>
                <w:bCs/>
              </w:rPr>
              <w:t>l</w:t>
            </w:r>
            <w:r w:rsidRPr="0003605F">
              <w:rPr>
                <w:b/>
                <w:bCs/>
              </w:rPr>
              <w:t xml:space="preserve">ikelihood-ratio </w:t>
            </w:r>
            <w:r w:rsidR="0094219E">
              <w:rPr>
                <w:b/>
                <w:bCs/>
              </w:rPr>
              <w:t>(</w:t>
            </w:r>
            <w:r w:rsidRPr="0003605F">
              <w:rPr>
                <w:b/>
                <w:bCs/>
              </w:rPr>
              <w:t>p-value</w:t>
            </w:r>
            <w:r w:rsidR="0094219E">
              <w:rPr>
                <w:b/>
                <w:bCs/>
              </w:rPr>
              <w:t>)</w:t>
            </w:r>
          </w:p>
        </w:tc>
      </w:tr>
      <w:tr w:rsidR="0003605F" w:rsidRPr="001909DA" w14:paraId="50EFC503" w14:textId="77777777" w:rsidTr="00E63426">
        <w:trPr>
          <w:trHeight w:val="340"/>
        </w:trPr>
        <w:tc>
          <w:tcPr>
            <w:tcW w:w="4495" w:type="dxa"/>
            <w:hideMark/>
          </w:tcPr>
          <w:p w14:paraId="2BA0896D" w14:textId="77777777" w:rsidR="001909DA" w:rsidRPr="001909DA" w:rsidRDefault="001909DA" w:rsidP="001909DA">
            <w:pPr>
              <w:pStyle w:val="Body"/>
            </w:pPr>
            <w:r w:rsidRPr="001909DA">
              <w:t>CTC-CTC+ vs. CTC-CTC-</w:t>
            </w:r>
          </w:p>
        </w:tc>
        <w:tc>
          <w:tcPr>
            <w:tcW w:w="1350" w:type="dxa"/>
            <w:noWrap/>
            <w:hideMark/>
          </w:tcPr>
          <w:p w14:paraId="48C4EB12" w14:textId="7D1C0C48" w:rsidR="001909DA" w:rsidRPr="001909DA" w:rsidRDefault="001909DA" w:rsidP="0003605F">
            <w:pPr>
              <w:pStyle w:val="Body"/>
              <w:jc w:val="center"/>
            </w:pPr>
            <w:r w:rsidRPr="001909DA">
              <w:t>3.20</w:t>
            </w:r>
          </w:p>
        </w:tc>
        <w:tc>
          <w:tcPr>
            <w:tcW w:w="1260" w:type="dxa"/>
            <w:noWrap/>
            <w:hideMark/>
          </w:tcPr>
          <w:p w14:paraId="457AEE86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1.57</w:t>
            </w:r>
          </w:p>
        </w:tc>
        <w:tc>
          <w:tcPr>
            <w:tcW w:w="1260" w:type="dxa"/>
            <w:noWrap/>
            <w:hideMark/>
          </w:tcPr>
          <w:p w14:paraId="181D747B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6.51</w:t>
            </w:r>
          </w:p>
        </w:tc>
        <w:tc>
          <w:tcPr>
            <w:tcW w:w="2425" w:type="dxa"/>
            <w:noWrap/>
            <w:hideMark/>
          </w:tcPr>
          <w:p w14:paraId="3D0A5871" w14:textId="7CD7B9B7" w:rsidR="001909DA" w:rsidRPr="0003605F" w:rsidRDefault="00FC6C51" w:rsidP="0094219E">
            <w:pPr>
              <w:pStyle w:val="Body"/>
              <w:jc w:val="center"/>
              <w:rPr>
                <w:b/>
                <w:bCs/>
              </w:rPr>
            </w:pPr>
            <w:r w:rsidRPr="00E63426">
              <w:rPr>
                <w:rFonts w:cs="Times New Roman"/>
                <w:b/>
                <w:bCs/>
              </w:rPr>
              <w:t>&lt;0.01</w:t>
            </w:r>
          </w:p>
        </w:tc>
      </w:tr>
      <w:tr w:rsidR="0003605F" w:rsidRPr="001909DA" w14:paraId="2625D0E6" w14:textId="77777777" w:rsidTr="00E63426">
        <w:trPr>
          <w:trHeight w:val="340"/>
        </w:trPr>
        <w:tc>
          <w:tcPr>
            <w:tcW w:w="4495" w:type="dxa"/>
            <w:hideMark/>
          </w:tcPr>
          <w:p w14:paraId="1965D564" w14:textId="77777777" w:rsidR="001909DA" w:rsidRPr="001909DA" w:rsidRDefault="001909DA" w:rsidP="001909DA">
            <w:pPr>
              <w:pStyle w:val="Body"/>
            </w:pPr>
            <w:r w:rsidRPr="001909DA">
              <w:t>CTC+CTC- vs. CTC-CTC-</w:t>
            </w:r>
          </w:p>
        </w:tc>
        <w:tc>
          <w:tcPr>
            <w:tcW w:w="1350" w:type="dxa"/>
            <w:noWrap/>
            <w:hideMark/>
          </w:tcPr>
          <w:p w14:paraId="72B813E0" w14:textId="38102024" w:rsidR="001909DA" w:rsidRPr="001909DA" w:rsidRDefault="001909DA" w:rsidP="0003605F">
            <w:pPr>
              <w:pStyle w:val="Body"/>
              <w:jc w:val="center"/>
            </w:pPr>
            <w:r w:rsidRPr="001909DA">
              <w:t>1.97</w:t>
            </w:r>
          </w:p>
        </w:tc>
        <w:tc>
          <w:tcPr>
            <w:tcW w:w="1260" w:type="dxa"/>
            <w:noWrap/>
            <w:hideMark/>
          </w:tcPr>
          <w:p w14:paraId="1ADF5B35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1.20</w:t>
            </w:r>
          </w:p>
        </w:tc>
        <w:tc>
          <w:tcPr>
            <w:tcW w:w="1260" w:type="dxa"/>
            <w:noWrap/>
            <w:hideMark/>
          </w:tcPr>
          <w:p w14:paraId="05BACA36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3.25</w:t>
            </w:r>
          </w:p>
        </w:tc>
        <w:tc>
          <w:tcPr>
            <w:tcW w:w="2425" w:type="dxa"/>
            <w:noWrap/>
            <w:hideMark/>
          </w:tcPr>
          <w:p w14:paraId="69EC37CE" w14:textId="77777777" w:rsidR="001909DA" w:rsidRPr="0003605F" w:rsidRDefault="001909DA" w:rsidP="0094219E">
            <w:pPr>
              <w:pStyle w:val="Body"/>
              <w:jc w:val="center"/>
              <w:rPr>
                <w:b/>
                <w:bCs/>
              </w:rPr>
            </w:pPr>
            <w:r w:rsidRPr="0003605F">
              <w:rPr>
                <w:b/>
                <w:bCs/>
              </w:rPr>
              <w:t>0.01</w:t>
            </w:r>
          </w:p>
        </w:tc>
      </w:tr>
      <w:tr w:rsidR="0003605F" w:rsidRPr="001909DA" w14:paraId="3DFBE061" w14:textId="77777777" w:rsidTr="00E63426">
        <w:trPr>
          <w:trHeight w:val="340"/>
        </w:trPr>
        <w:tc>
          <w:tcPr>
            <w:tcW w:w="4495" w:type="dxa"/>
            <w:hideMark/>
          </w:tcPr>
          <w:p w14:paraId="13CBD316" w14:textId="77777777" w:rsidR="001909DA" w:rsidRPr="001909DA" w:rsidRDefault="001909DA" w:rsidP="001909DA">
            <w:pPr>
              <w:pStyle w:val="Body"/>
            </w:pPr>
            <w:r w:rsidRPr="001909DA">
              <w:t>CTC+CTC+ vs. CTC-CTC-</w:t>
            </w:r>
          </w:p>
        </w:tc>
        <w:tc>
          <w:tcPr>
            <w:tcW w:w="1350" w:type="dxa"/>
            <w:noWrap/>
            <w:hideMark/>
          </w:tcPr>
          <w:p w14:paraId="0D6DAA11" w14:textId="5DADD3D4" w:rsidR="001909DA" w:rsidRPr="001909DA" w:rsidRDefault="001909DA" w:rsidP="0003605F">
            <w:pPr>
              <w:pStyle w:val="Body"/>
              <w:jc w:val="center"/>
            </w:pPr>
            <w:r w:rsidRPr="001909DA">
              <w:t>2.70</w:t>
            </w:r>
          </w:p>
        </w:tc>
        <w:tc>
          <w:tcPr>
            <w:tcW w:w="1260" w:type="dxa"/>
            <w:noWrap/>
            <w:hideMark/>
          </w:tcPr>
          <w:p w14:paraId="4322150F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1.66</w:t>
            </w:r>
          </w:p>
        </w:tc>
        <w:tc>
          <w:tcPr>
            <w:tcW w:w="1260" w:type="dxa"/>
            <w:noWrap/>
            <w:hideMark/>
          </w:tcPr>
          <w:p w14:paraId="0D8EB3D9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4.38</w:t>
            </w:r>
          </w:p>
        </w:tc>
        <w:tc>
          <w:tcPr>
            <w:tcW w:w="2425" w:type="dxa"/>
            <w:noWrap/>
            <w:hideMark/>
          </w:tcPr>
          <w:p w14:paraId="369645AD" w14:textId="6C0348FE" w:rsidR="001909DA" w:rsidRPr="0003605F" w:rsidRDefault="00FC6C51" w:rsidP="0094219E">
            <w:pPr>
              <w:pStyle w:val="Body"/>
              <w:jc w:val="center"/>
              <w:rPr>
                <w:b/>
                <w:bCs/>
              </w:rPr>
            </w:pPr>
            <w:r w:rsidRPr="00E63426">
              <w:rPr>
                <w:rFonts w:cs="Times New Roman"/>
                <w:b/>
                <w:bCs/>
              </w:rPr>
              <w:t>&lt;0.01</w:t>
            </w:r>
          </w:p>
        </w:tc>
      </w:tr>
      <w:tr w:rsidR="0003605F" w:rsidRPr="001909DA" w14:paraId="2AF226C9" w14:textId="77777777" w:rsidTr="00E63426">
        <w:trPr>
          <w:trHeight w:val="340"/>
        </w:trPr>
        <w:tc>
          <w:tcPr>
            <w:tcW w:w="4495" w:type="dxa"/>
            <w:hideMark/>
          </w:tcPr>
          <w:p w14:paraId="02DBBD9D" w14:textId="77777777" w:rsidR="001909DA" w:rsidRPr="001909DA" w:rsidRDefault="001909DA" w:rsidP="001909DA">
            <w:pPr>
              <w:pStyle w:val="Body"/>
            </w:pPr>
            <w:r w:rsidRPr="001909DA">
              <w:t>Arm (Let vs. Let+Bev)</w:t>
            </w:r>
          </w:p>
        </w:tc>
        <w:tc>
          <w:tcPr>
            <w:tcW w:w="1350" w:type="dxa"/>
            <w:noWrap/>
            <w:hideMark/>
          </w:tcPr>
          <w:p w14:paraId="4305D161" w14:textId="70A4422E" w:rsidR="001909DA" w:rsidRPr="001909DA" w:rsidRDefault="001909DA" w:rsidP="0003605F">
            <w:pPr>
              <w:pStyle w:val="Body"/>
              <w:jc w:val="center"/>
            </w:pPr>
            <w:r w:rsidRPr="001909DA">
              <w:t>1.30</w:t>
            </w:r>
          </w:p>
        </w:tc>
        <w:tc>
          <w:tcPr>
            <w:tcW w:w="1260" w:type="dxa"/>
            <w:noWrap/>
            <w:hideMark/>
          </w:tcPr>
          <w:p w14:paraId="513E498F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0.88</w:t>
            </w:r>
          </w:p>
        </w:tc>
        <w:tc>
          <w:tcPr>
            <w:tcW w:w="1260" w:type="dxa"/>
            <w:noWrap/>
            <w:hideMark/>
          </w:tcPr>
          <w:p w14:paraId="5D98E331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1.93</w:t>
            </w:r>
          </w:p>
        </w:tc>
        <w:tc>
          <w:tcPr>
            <w:tcW w:w="2425" w:type="dxa"/>
            <w:noWrap/>
            <w:hideMark/>
          </w:tcPr>
          <w:p w14:paraId="4D50AC63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0.20</w:t>
            </w:r>
          </w:p>
        </w:tc>
      </w:tr>
      <w:tr w:rsidR="0003605F" w:rsidRPr="001909DA" w14:paraId="54A86503" w14:textId="77777777" w:rsidTr="00E63426">
        <w:trPr>
          <w:trHeight w:val="340"/>
        </w:trPr>
        <w:tc>
          <w:tcPr>
            <w:tcW w:w="4495" w:type="dxa"/>
            <w:hideMark/>
          </w:tcPr>
          <w:p w14:paraId="26C6B82D" w14:textId="77777777" w:rsidR="001909DA" w:rsidRPr="001909DA" w:rsidRDefault="001909DA" w:rsidP="001909DA">
            <w:pPr>
              <w:pStyle w:val="Body"/>
            </w:pPr>
            <w:r w:rsidRPr="001909DA">
              <w:t xml:space="preserve">Age (continuous) </w:t>
            </w:r>
          </w:p>
        </w:tc>
        <w:tc>
          <w:tcPr>
            <w:tcW w:w="1350" w:type="dxa"/>
            <w:noWrap/>
            <w:hideMark/>
          </w:tcPr>
          <w:p w14:paraId="309450F1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1.01</w:t>
            </w:r>
          </w:p>
        </w:tc>
        <w:tc>
          <w:tcPr>
            <w:tcW w:w="1260" w:type="dxa"/>
            <w:noWrap/>
            <w:hideMark/>
          </w:tcPr>
          <w:p w14:paraId="44F2090A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1.00</w:t>
            </w:r>
          </w:p>
        </w:tc>
        <w:tc>
          <w:tcPr>
            <w:tcW w:w="1260" w:type="dxa"/>
            <w:noWrap/>
            <w:hideMark/>
          </w:tcPr>
          <w:p w14:paraId="14519628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1.03</w:t>
            </w:r>
          </w:p>
        </w:tc>
        <w:tc>
          <w:tcPr>
            <w:tcW w:w="2425" w:type="dxa"/>
            <w:noWrap/>
            <w:hideMark/>
          </w:tcPr>
          <w:p w14:paraId="18FA47FD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0.12</w:t>
            </w:r>
          </w:p>
        </w:tc>
      </w:tr>
      <w:tr w:rsidR="0003605F" w:rsidRPr="001909DA" w14:paraId="41DEE2F7" w14:textId="77777777" w:rsidTr="00E63426">
        <w:trPr>
          <w:trHeight w:val="340"/>
        </w:trPr>
        <w:tc>
          <w:tcPr>
            <w:tcW w:w="4495" w:type="dxa"/>
            <w:hideMark/>
          </w:tcPr>
          <w:p w14:paraId="5B381574" w14:textId="77777777" w:rsidR="001909DA" w:rsidRPr="001909DA" w:rsidRDefault="001909DA" w:rsidP="001909DA">
            <w:pPr>
              <w:pStyle w:val="Body"/>
            </w:pPr>
            <w:r w:rsidRPr="001909DA">
              <w:t>Measurable disease (Yes vs. No)</w:t>
            </w:r>
          </w:p>
        </w:tc>
        <w:tc>
          <w:tcPr>
            <w:tcW w:w="1350" w:type="dxa"/>
            <w:noWrap/>
            <w:hideMark/>
          </w:tcPr>
          <w:p w14:paraId="119BFC87" w14:textId="688BDA91" w:rsidR="001909DA" w:rsidRPr="001909DA" w:rsidRDefault="001909DA" w:rsidP="0003605F">
            <w:pPr>
              <w:pStyle w:val="Body"/>
              <w:jc w:val="center"/>
            </w:pPr>
            <w:r w:rsidRPr="001909DA">
              <w:t>0.76</w:t>
            </w:r>
          </w:p>
        </w:tc>
        <w:tc>
          <w:tcPr>
            <w:tcW w:w="1260" w:type="dxa"/>
            <w:noWrap/>
            <w:hideMark/>
          </w:tcPr>
          <w:p w14:paraId="28338469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0.50</w:t>
            </w:r>
          </w:p>
        </w:tc>
        <w:tc>
          <w:tcPr>
            <w:tcW w:w="1260" w:type="dxa"/>
            <w:noWrap/>
            <w:hideMark/>
          </w:tcPr>
          <w:p w14:paraId="5B6B80EA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1.16</w:t>
            </w:r>
          </w:p>
        </w:tc>
        <w:tc>
          <w:tcPr>
            <w:tcW w:w="2425" w:type="dxa"/>
            <w:noWrap/>
            <w:hideMark/>
          </w:tcPr>
          <w:p w14:paraId="463D89DE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0.20</w:t>
            </w:r>
          </w:p>
        </w:tc>
      </w:tr>
      <w:tr w:rsidR="0003605F" w:rsidRPr="001909DA" w14:paraId="21CC8E60" w14:textId="77777777" w:rsidTr="00E63426">
        <w:trPr>
          <w:trHeight w:val="340"/>
        </w:trPr>
        <w:tc>
          <w:tcPr>
            <w:tcW w:w="4495" w:type="dxa"/>
            <w:hideMark/>
          </w:tcPr>
          <w:p w14:paraId="1EB5E4FD" w14:textId="77777777" w:rsidR="001909DA" w:rsidRPr="001909DA" w:rsidRDefault="001909DA" w:rsidP="001909DA">
            <w:pPr>
              <w:pStyle w:val="Body"/>
            </w:pPr>
            <w:r w:rsidRPr="001909DA">
              <w:t>Disease-free interval (&gt;24 vs. ≤ 24 months)</w:t>
            </w:r>
          </w:p>
        </w:tc>
        <w:tc>
          <w:tcPr>
            <w:tcW w:w="1350" w:type="dxa"/>
            <w:noWrap/>
            <w:hideMark/>
          </w:tcPr>
          <w:p w14:paraId="431E8DC9" w14:textId="584CD041" w:rsidR="001909DA" w:rsidRPr="001909DA" w:rsidRDefault="001909DA" w:rsidP="0003605F">
            <w:pPr>
              <w:pStyle w:val="Body"/>
              <w:jc w:val="center"/>
            </w:pPr>
            <w:r w:rsidRPr="001909DA">
              <w:t>0.83</w:t>
            </w:r>
          </w:p>
        </w:tc>
        <w:tc>
          <w:tcPr>
            <w:tcW w:w="1260" w:type="dxa"/>
            <w:noWrap/>
            <w:hideMark/>
          </w:tcPr>
          <w:p w14:paraId="063223A0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0.56</w:t>
            </w:r>
          </w:p>
        </w:tc>
        <w:tc>
          <w:tcPr>
            <w:tcW w:w="1260" w:type="dxa"/>
            <w:noWrap/>
            <w:hideMark/>
          </w:tcPr>
          <w:p w14:paraId="4C8D6F2A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1.23</w:t>
            </w:r>
          </w:p>
        </w:tc>
        <w:tc>
          <w:tcPr>
            <w:tcW w:w="2425" w:type="dxa"/>
            <w:noWrap/>
            <w:hideMark/>
          </w:tcPr>
          <w:p w14:paraId="68EE8761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0.40</w:t>
            </w:r>
          </w:p>
        </w:tc>
      </w:tr>
      <w:tr w:rsidR="0003605F" w:rsidRPr="001909DA" w14:paraId="58D6D488" w14:textId="77777777" w:rsidTr="00E63426">
        <w:trPr>
          <w:trHeight w:val="340"/>
        </w:trPr>
        <w:tc>
          <w:tcPr>
            <w:tcW w:w="4495" w:type="dxa"/>
            <w:hideMark/>
          </w:tcPr>
          <w:p w14:paraId="3F7EAF33" w14:textId="77777777" w:rsidR="001909DA" w:rsidRPr="001909DA" w:rsidRDefault="001909DA" w:rsidP="001909DA">
            <w:pPr>
              <w:pStyle w:val="Body"/>
            </w:pPr>
            <w:r w:rsidRPr="001909DA">
              <w:t>HER2 (positive vs. negative)</w:t>
            </w:r>
          </w:p>
        </w:tc>
        <w:tc>
          <w:tcPr>
            <w:tcW w:w="1350" w:type="dxa"/>
            <w:noWrap/>
            <w:hideMark/>
          </w:tcPr>
          <w:p w14:paraId="7A140573" w14:textId="15DE36D1" w:rsidR="001909DA" w:rsidRPr="001909DA" w:rsidRDefault="001909DA" w:rsidP="0003605F">
            <w:pPr>
              <w:pStyle w:val="Body"/>
              <w:jc w:val="center"/>
            </w:pPr>
            <w:r w:rsidRPr="001909DA">
              <w:t>0.89</w:t>
            </w:r>
          </w:p>
        </w:tc>
        <w:tc>
          <w:tcPr>
            <w:tcW w:w="1260" w:type="dxa"/>
            <w:noWrap/>
            <w:hideMark/>
          </w:tcPr>
          <w:p w14:paraId="6D220961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0.35</w:t>
            </w:r>
          </w:p>
        </w:tc>
        <w:tc>
          <w:tcPr>
            <w:tcW w:w="1260" w:type="dxa"/>
            <w:noWrap/>
            <w:hideMark/>
          </w:tcPr>
          <w:p w14:paraId="4DCED123" w14:textId="77777777" w:rsidR="001909DA" w:rsidRPr="001909DA" w:rsidRDefault="001909DA" w:rsidP="0003605F">
            <w:pPr>
              <w:pStyle w:val="Body"/>
              <w:jc w:val="center"/>
            </w:pPr>
            <w:r w:rsidRPr="001909DA">
              <w:t>2.27</w:t>
            </w:r>
          </w:p>
        </w:tc>
        <w:tc>
          <w:tcPr>
            <w:tcW w:w="2425" w:type="dxa"/>
            <w:noWrap/>
            <w:hideMark/>
          </w:tcPr>
          <w:p w14:paraId="123A1225" w14:textId="77777777" w:rsidR="001909DA" w:rsidRPr="001909DA" w:rsidRDefault="001909DA" w:rsidP="0094219E">
            <w:pPr>
              <w:pStyle w:val="Body"/>
              <w:jc w:val="center"/>
            </w:pPr>
            <w:r w:rsidRPr="001909DA">
              <w:t>0.80</w:t>
            </w:r>
          </w:p>
        </w:tc>
      </w:tr>
    </w:tbl>
    <w:p w14:paraId="585298D1" w14:textId="77777777" w:rsidR="001909DA" w:rsidRDefault="001909DA">
      <w:pPr>
        <w:pStyle w:val="Body"/>
        <w:rPr>
          <w:b/>
          <w:bCs/>
        </w:rPr>
      </w:pPr>
    </w:p>
    <w:p w14:paraId="5D3B7888" w14:textId="7B5A4376" w:rsidR="00B23823" w:rsidRDefault="00515F9B">
      <w:pPr>
        <w:pStyle w:val="Body"/>
      </w:pPr>
      <w:r>
        <w:rPr>
          <w:rFonts w:ascii="Arial Unicode MS" w:hAnsi="Arial Unicode MS"/>
        </w:rPr>
        <w:br w:type="page"/>
      </w:r>
    </w:p>
    <w:p w14:paraId="1B124CB4" w14:textId="22F31F7A" w:rsidR="00BE4DBC" w:rsidRPr="001909DA" w:rsidRDefault="00515F9B" w:rsidP="00BE4DBC">
      <w:pPr>
        <w:pStyle w:val="Body"/>
        <w:spacing w:line="480" w:lineRule="auto"/>
      </w:pPr>
      <w:r>
        <w:rPr>
          <w:b/>
          <w:bCs/>
        </w:rPr>
        <w:lastRenderedPageBreak/>
        <w:t xml:space="preserve">Supplementary Table 4. </w:t>
      </w:r>
      <w:r w:rsidR="00BE4DBC">
        <w:t xml:space="preserve">Multivariable Cox regression analysis to determine correlation between circulating tumor cell (CTC) status </w:t>
      </w:r>
      <w:r w:rsidR="00454D1C">
        <w:t>during therapy</w:t>
      </w:r>
      <w:r w:rsidR="00BE4DBC">
        <w:t xml:space="preserve"> vs. progression-free survival (PFS) and overall survival (OS).</w:t>
      </w:r>
    </w:p>
    <w:p w14:paraId="09815A8F" w14:textId="281551A2" w:rsidR="00B23823" w:rsidRDefault="00B23823" w:rsidP="00BE4DBC">
      <w:pPr>
        <w:pStyle w:val="Body"/>
        <w:spacing w:line="480" w:lineRule="auto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  <w:gridCol w:w="1170"/>
        <w:gridCol w:w="1260"/>
        <w:gridCol w:w="2425"/>
      </w:tblGrid>
      <w:tr w:rsidR="00BE4DBC" w:rsidRPr="00E63426" w14:paraId="4AF5D564" w14:textId="77777777" w:rsidTr="00BE4DBC">
        <w:trPr>
          <w:trHeight w:val="665"/>
        </w:trPr>
        <w:tc>
          <w:tcPr>
            <w:tcW w:w="4585" w:type="dxa"/>
            <w:vAlign w:val="center"/>
            <w:hideMark/>
          </w:tcPr>
          <w:p w14:paraId="1BBD8F0C" w14:textId="77777777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PFS</w:t>
            </w:r>
          </w:p>
        </w:tc>
        <w:tc>
          <w:tcPr>
            <w:tcW w:w="1350" w:type="dxa"/>
            <w:vAlign w:val="center"/>
            <w:hideMark/>
          </w:tcPr>
          <w:p w14:paraId="52258C03" w14:textId="77777777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Hazard ratio</w:t>
            </w:r>
          </w:p>
        </w:tc>
        <w:tc>
          <w:tcPr>
            <w:tcW w:w="1170" w:type="dxa"/>
            <w:noWrap/>
            <w:vAlign w:val="center"/>
            <w:hideMark/>
          </w:tcPr>
          <w:p w14:paraId="057921F7" w14:textId="77777777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Lower 95%</w:t>
            </w:r>
          </w:p>
        </w:tc>
        <w:tc>
          <w:tcPr>
            <w:tcW w:w="1260" w:type="dxa"/>
            <w:noWrap/>
            <w:vAlign w:val="center"/>
            <w:hideMark/>
          </w:tcPr>
          <w:p w14:paraId="1318B02A" w14:textId="77777777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Upper 95%</w:t>
            </w:r>
          </w:p>
        </w:tc>
        <w:tc>
          <w:tcPr>
            <w:tcW w:w="2425" w:type="dxa"/>
            <w:vAlign w:val="center"/>
            <w:hideMark/>
          </w:tcPr>
          <w:p w14:paraId="352AEDE9" w14:textId="52D35724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Adjusted likelihood-ratio (p-value)</w:t>
            </w:r>
          </w:p>
        </w:tc>
      </w:tr>
      <w:tr w:rsidR="00E63426" w:rsidRPr="00E63426" w14:paraId="367558AD" w14:textId="77777777" w:rsidTr="00BE4DBC">
        <w:trPr>
          <w:trHeight w:val="340"/>
        </w:trPr>
        <w:tc>
          <w:tcPr>
            <w:tcW w:w="4585" w:type="dxa"/>
            <w:hideMark/>
          </w:tcPr>
          <w:p w14:paraId="54083DAF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CTC (positive vs. negative)</w:t>
            </w:r>
          </w:p>
        </w:tc>
        <w:tc>
          <w:tcPr>
            <w:tcW w:w="1350" w:type="dxa"/>
            <w:hideMark/>
          </w:tcPr>
          <w:p w14:paraId="5B33530A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2.20</w:t>
            </w:r>
          </w:p>
        </w:tc>
        <w:tc>
          <w:tcPr>
            <w:tcW w:w="1170" w:type="dxa"/>
            <w:hideMark/>
          </w:tcPr>
          <w:p w14:paraId="5B05991F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260" w:type="dxa"/>
            <w:hideMark/>
          </w:tcPr>
          <w:p w14:paraId="00D02916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2425" w:type="dxa"/>
            <w:hideMark/>
          </w:tcPr>
          <w:p w14:paraId="4CC4D6E8" w14:textId="03B8A1D1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&lt;0.01</w:t>
            </w:r>
          </w:p>
        </w:tc>
      </w:tr>
      <w:tr w:rsidR="00E63426" w:rsidRPr="00E63426" w14:paraId="0FA0ACDB" w14:textId="77777777" w:rsidTr="00BE4DBC">
        <w:trPr>
          <w:trHeight w:val="340"/>
        </w:trPr>
        <w:tc>
          <w:tcPr>
            <w:tcW w:w="4585" w:type="dxa"/>
            <w:hideMark/>
          </w:tcPr>
          <w:p w14:paraId="4ED7B459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Arm (Let vs. Let+Bev)</w:t>
            </w:r>
          </w:p>
        </w:tc>
        <w:tc>
          <w:tcPr>
            <w:tcW w:w="1350" w:type="dxa"/>
            <w:hideMark/>
          </w:tcPr>
          <w:p w14:paraId="442E8975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1.46</w:t>
            </w:r>
          </w:p>
        </w:tc>
        <w:tc>
          <w:tcPr>
            <w:tcW w:w="1170" w:type="dxa"/>
            <w:hideMark/>
          </w:tcPr>
          <w:p w14:paraId="485C2026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60" w:type="dxa"/>
            <w:hideMark/>
          </w:tcPr>
          <w:p w14:paraId="114A390F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2425" w:type="dxa"/>
            <w:hideMark/>
          </w:tcPr>
          <w:p w14:paraId="677BB376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</w:tr>
      <w:tr w:rsidR="00E63426" w:rsidRPr="00E63426" w14:paraId="011B86E6" w14:textId="77777777" w:rsidTr="00BE4DBC">
        <w:trPr>
          <w:trHeight w:val="340"/>
        </w:trPr>
        <w:tc>
          <w:tcPr>
            <w:tcW w:w="4585" w:type="dxa"/>
            <w:hideMark/>
          </w:tcPr>
          <w:p w14:paraId="2214121F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 xml:space="preserve">Age (continuous) </w:t>
            </w:r>
          </w:p>
        </w:tc>
        <w:tc>
          <w:tcPr>
            <w:tcW w:w="1350" w:type="dxa"/>
            <w:hideMark/>
          </w:tcPr>
          <w:p w14:paraId="7707EA74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1.00</w:t>
            </w:r>
          </w:p>
        </w:tc>
        <w:tc>
          <w:tcPr>
            <w:tcW w:w="1170" w:type="dxa"/>
            <w:hideMark/>
          </w:tcPr>
          <w:p w14:paraId="05BA5104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260" w:type="dxa"/>
            <w:hideMark/>
          </w:tcPr>
          <w:p w14:paraId="57C2B715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425" w:type="dxa"/>
            <w:hideMark/>
          </w:tcPr>
          <w:p w14:paraId="63F6760C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E63426" w:rsidRPr="00E63426" w14:paraId="7E987DF2" w14:textId="77777777" w:rsidTr="00BE4DBC">
        <w:trPr>
          <w:trHeight w:val="340"/>
        </w:trPr>
        <w:tc>
          <w:tcPr>
            <w:tcW w:w="4585" w:type="dxa"/>
            <w:hideMark/>
          </w:tcPr>
          <w:p w14:paraId="1812E58C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Measurable disease (Yes vs. No)</w:t>
            </w:r>
          </w:p>
        </w:tc>
        <w:tc>
          <w:tcPr>
            <w:tcW w:w="1350" w:type="dxa"/>
            <w:hideMark/>
          </w:tcPr>
          <w:p w14:paraId="27FCE3FC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0.89</w:t>
            </w:r>
          </w:p>
        </w:tc>
        <w:tc>
          <w:tcPr>
            <w:tcW w:w="1170" w:type="dxa"/>
            <w:hideMark/>
          </w:tcPr>
          <w:p w14:paraId="2BC2FB66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60" w:type="dxa"/>
            <w:hideMark/>
          </w:tcPr>
          <w:p w14:paraId="723346C4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425" w:type="dxa"/>
            <w:hideMark/>
          </w:tcPr>
          <w:p w14:paraId="342EB312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E63426" w:rsidRPr="00E63426" w14:paraId="5CAE908B" w14:textId="77777777" w:rsidTr="00BE4DBC">
        <w:trPr>
          <w:trHeight w:val="340"/>
        </w:trPr>
        <w:tc>
          <w:tcPr>
            <w:tcW w:w="4585" w:type="dxa"/>
            <w:hideMark/>
          </w:tcPr>
          <w:p w14:paraId="3B24A6E6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Disease-free interval (&gt;24 vs. ≤ 24 months)</w:t>
            </w:r>
          </w:p>
        </w:tc>
        <w:tc>
          <w:tcPr>
            <w:tcW w:w="1350" w:type="dxa"/>
            <w:hideMark/>
          </w:tcPr>
          <w:p w14:paraId="0823944F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1.11</w:t>
            </w:r>
          </w:p>
        </w:tc>
        <w:tc>
          <w:tcPr>
            <w:tcW w:w="1170" w:type="dxa"/>
            <w:hideMark/>
          </w:tcPr>
          <w:p w14:paraId="57FD4A81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60" w:type="dxa"/>
            <w:hideMark/>
          </w:tcPr>
          <w:p w14:paraId="2B200C5C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2425" w:type="dxa"/>
            <w:hideMark/>
          </w:tcPr>
          <w:p w14:paraId="0786E291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63426" w:rsidRPr="00E63426" w14:paraId="30D7F53A" w14:textId="77777777" w:rsidTr="00BE4DBC">
        <w:trPr>
          <w:trHeight w:val="340"/>
        </w:trPr>
        <w:tc>
          <w:tcPr>
            <w:tcW w:w="4585" w:type="dxa"/>
            <w:hideMark/>
          </w:tcPr>
          <w:p w14:paraId="2FEC035B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HER2 (positive vs. negative)</w:t>
            </w:r>
          </w:p>
        </w:tc>
        <w:tc>
          <w:tcPr>
            <w:tcW w:w="1350" w:type="dxa"/>
            <w:hideMark/>
          </w:tcPr>
          <w:p w14:paraId="0C499241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2.58</w:t>
            </w:r>
          </w:p>
        </w:tc>
        <w:tc>
          <w:tcPr>
            <w:tcW w:w="1170" w:type="dxa"/>
            <w:hideMark/>
          </w:tcPr>
          <w:p w14:paraId="7D7C7311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260" w:type="dxa"/>
            <w:hideMark/>
          </w:tcPr>
          <w:p w14:paraId="2A5760DE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2425" w:type="dxa"/>
            <w:hideMark/>
          </w:tcPr>
          <w:p w14:paraId="752BEAB4" w14:textId="2D401B61" w:rsidR="00E63426" w:rsidRPr="00E63426" w:rsidRDefault="00175CEC" w:rsidP="00E63426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&lt;0.01</w:t>
            </w:r>
          </w:p>
        </w:tc>
      </w:tr>
      <w:tr w:rsidR="00E63426" w:rsidRPr="00E63426" w14:paraId="7636D2C5" w14:textId="77777777" w:rsidTr="00BE4DBC">
        <w:trPr>
          <w:trHeight w:val="320"/>
        </w:trPr>
        <w:tc>
          <w:tcPr>
            <w:tcW w:w="4585" w:type="dxa"/>
            <w:noWrap/>
            <w:hideMark/>
          </w:tcPr>
          <w:p w14:paraId="67E77308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3534E641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hideMark/>
          </w:tcPr>
          <w:p w14:paraId="4972181D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3913FBD5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noWrap/>
            <w:hideMark/>
          </w:tcPr>
          <w:p w14:paraId="4EB0F86A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BC" w:rsidRPr="00E63426" w14:paraId="6FE0290F" w14:textId="77777777" w:rsidTr="00BE4DBC">
        <w:trPr>
          <w:trHeight w:val="692"/>
        </w:trPr>
        <w:tc>
          <w:tcPr>
            <w:tcW w:w="4585" w:type="dxa"/>
            <w:vAlign w:val="center"/>
            <w:hideMark/>
          </w:tcPr>
          <w:p w14:paraId="3040CEB9" w14:textId="77777777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1350" w:type="dxa"/>
            <w:vAlign w:val="center"/>
            <w:hideMark/>
          </w:tcPr>
          <w:p w14:paraId="41474C20" w14:textId="77777777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Hazard ratio</w:t>
            </w:r>
          </w:p>
        </w:tc>
        <w:tc>
          <w:tcPr>
            <w:tcW w:w="1170" w:type="dxa"/>
            <w:noWrap/>
            <w:vAlign w:val="center"/>
            <w:hideMark/>
          </w:tcPr>
          <w:p w14:paraId="674034F3" w14:textId="77777777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Lower 95%</w:t>
            </w:r>
          </w:p>
        </w:tc>
        <w:tc>
          <w:tcPr>
            <w:tcW w:w="1260" w:type="dxa"/>
            <w:noWrap/>
            <w:vAlign w:val="center"/>
            <w:hideMark/>
          </w:tcPr>
          <w:p w14:paraId="253C3980" w14:textId="77777777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Upper 95%</w:t>
            </w:r>
          </w:p>
        </w:tc>
        <w:tc>
          <w:tcPr>
            <w:tcW w:w="2425" w:type="dxa"/>
            <w:vAlign w:val="center"/>
            <w:hideMark/>
          </w:tcPr>
          <w:p w14:paraId="1276BA92" w14:textId="755A54D9" w:rsidR="00E63426" w:rsidRPr="00E63426" w:rsidRDefault="00E63426" w:rsidP="00BE4DBC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Adjusted likelihood-ratio (p-value)</w:t>
            </w:r>
          </w:p>
        </w:tc>
      </w:tr>
      <w:tr w:rsidR="00E63426" w:rsidRPr="00E63426" w14:paraId="4357A777" w14:textId="77777777" w:rsidTr="00BE4DBC">
        <w:trPr>
          <w:trHeight w:val="340"/>
        </w:trPr>
        <w:tc>
          <w:tcPr>
            <w:tcW w:w="4585" w:type="dxa"/>
            <w:hideMark/>
          </w:tcPr>
          <w:p w14:paraId="0594233B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CTC (positive vs. negative)</w:t>
            </w:r>
          </w:p>
        </w:tc>
        <w:tc>
          <w:tcPr>
            <w:tcW w:w="1350" w:type="dxa"/>
            <w:hideMark/>
          </w:tcPr>
          <w:p w14:paraId="1F184ECD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3.40</w:t>
            </w:r>
          </w:p>
        </w:tc>
        <w:tc>
          <w:tcPr>
            <w:tcW w:w="1170" w:type="dxa"/>
            <w:hideMark/>
          </w:tcPr>
          <w:p w14:paraId="0293C314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260" w:type="dxa"/>
            <w:hideMark/>
          </w:tcPr>
          <w:p w14:paraId="79AF7702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2425" w:type="dxa"/>
            <w:hideMark/>
          </w:tcPr>
          <w:p w14:paraId="5B757007" w14:textId="6F6AE821" w:rsidR="00E63426" w:rsidRPr="00E63426" w:rsidRDefault="00175CEC" w:rsidP="00E63426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&lt;0.01</w:t>
            </w:r>
          </w:p>
        </w:tc>
      </w:tr>
      <w:tr w:rsidR="00E63426" w:rsidRPr="00E63426" w14:paraId="40F57B2F" w14:textId="77777777" w:rsidTr="00BE4DBC">
        <w:trPr>
          <w:trHeight w:val="340"/>
        </w:trPr>
        <w:tc>
          <w:tcPr>
            <w:tcW w:w="4585" w:type="dxa"/>
            <w:hideMark/>
          </w:tcPr>
          <w:p w14:paraId="14C061CA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Arm (Let vs. Let+Bev)</w:t>
            </w:r>
          </w:p>
        </w:tc>
        <w:tc>
          <w:tcPr>
            <w:tcW w:w="1350" w:type="dxa"/>
            <w:hideMark/>
          </w:tcPr>
          <w:p w14:paraId="337448E4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0.85</w:t>
            </w:r>
          </w:p>
        </w:tc>
        <w:tc>
          <w:tcPr>
            <w:tcW w:w="1170" w:type="dxa"/>
            <w:hideMark/>
          </w:tcPr>
          <w:p w14:paraId="0F1D29C0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260" w:type="dxa"/>
            <w:hideMark/>
          </w:tcPr>
          <w:p w14:paraId="6CD752D6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425" w:type="dxa"/>
            <w:hideMark/>
          </w:tcPr>
          <w:p w14:paraId="1B91BC67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E63426" w:rsidRPr="00E63426" w14:paraId="60290617" w14:textId="77777777" w:rsidTr="00BE4DBC">
        <w:trPr>
          <w:trHeight w:val="340"/>
        </w:trPr>
        <w:tc>
          <w:tcPr>
            <w:tcW w:w="4585" w:type="dxa"/>
            <w:hideMark/>
          </w:tcPr>
          <w:p w14:paraId="248383A8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 xml:space="preserve">Age (continuous) </w:t>
            </w:r>
          </w:p>
        </w:tc>
        <w:tc>
          <w:tcPr>
            <w:tcW w:w="1350" w:type="dxa"/>
            <w:hideMark/>
          </w:tcPr>
          <w:p w14:paraId="645E85BE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1.02</w:t>
            </w:r>
          </w:p>
        </w:tc>
        <w:tc>
          <w:tcPr>
            <w:tcW w:w="1170" w:type="dxa"/>
            <w:hideMark/>
          </w:tcPr>
          <w:p w14:paraId="193DAF54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0" w:type="dxa"/>
            <w:hideMark/>
          </w:tcPr>
          <w:p w14:paraId="6E7BF32B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425" w:type="dxa"/>
            <w:hideMark/>
          </w:tcPr>
          <w:p w14:paraId="242CA7AB" w14:textId="77777777" w:rsidR="00E63426" w:rsidRPr="00454D1C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4D1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63426" w:rsidRPr="00E63426" w14:paraId="244844A2" w14:textId="77777777" w:rsidTr="00BE4DBC">
        <w:trPr>
          <w:trHeight w:val="340"/>
        </w:trPr>
        <w:tc>
          <w:tcPr>
            <w:tcW w:w="4585" w:type="dxa"/>
            <w:hideMark/>
          </w:tcPr>
          <w:p w14:paraId="20DB7853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Measurable disease (Yes vs. No)</w:t>
            </w:r>
          </w:p>
        </w:tc>
        <w:tc>
          <w:tcPr>
            <w:tcW w:w="1350" w:type="dxa"/>
            <w:hideMark/>
          </w:tcPr>
          <w:p w14:paraId="1EA3C512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0.85</w:t>
            </w:r>
          </w:p>
        </w:tc>
        <w:tc>
          <w:tcPr>
            <w:tcW w:w="1170" w:type="dxa"/>
            <w:hideMark/>
          </w:tcPr>
          <w:p w14:paraId="0BCC10DE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260" w:type="dxa"/>
            <w:hideMark/>
          </w:tcPr>
          <w:p w14:paraId="2EAFD982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425" w:type="dxa"/>
            <w:hideMark/>
          </w:tcPr>
          <w:p w14:paraId="2B38274B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E63426" w:rsidRPr="00E63426" w14:paraId="22C5C185" w14:textId="77777777" w:rsidTr="00BE4DBC">
        <w:trPr>
          <w:trHeight w:val="340"/>
        </w:trPr>
        <w:tc>
          <w:tcPr>
            <w:tcW w:w="4585" w:type="dxa"/>
            <w:hideMark/>
          </w:tcPr>
          <w:p w14:paraId="037DD345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Disease-free interval (&gt;24 vs. ≤ 24 months)</w:t>
            </w:r>
          </w:p>
        </w:tc>
        <w:tc>
          <w:tcPr>
            <w:tcW w:w="1350" w:type="dxa"/>
            <w:hideMark/>
          </w:tcPr>
          <w:p w14:paraId="0D1EBE6F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0.81</w:t>
            </w:r>
          </w:p>
        </w:tc>
        <w:tc>
          <w:tcPr>
            <w:tcW w:w="1170" w:type="dxa"/>
            <w:hideMark/>
          </w:tcPr>
          <w:p w14:paraId="6F7C5CEC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260" w:type="dxa"/>
            <w:hideMark/>
          </w:tcPr>
          <w:p w14:paraId="1105B735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25" w:type="dxa"/>
            <w:hideMark/>
          </w:tcPr>
          <w:p w14:paraId="23522E45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E63426" w:rsidRPr="00E63426" w14:paraId="49D887D4" w14:textId="77777777" w:rsidTr="00BE4DBC">
        <w:trPr>
          <w:trHeight w:val="340"/>
        </w:trPr>
        <w:tc>
          <w:tcPr>
            <w:tcW w:w="4585" w:type="dxa"/>
            <w:hideMark/>
          </w:tcPr>
          <w:p w14:paraId="179DC47D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HER2 (positive vs. negative)</w:t>
            </w:r>
          </w:p>
        </w:tc>
        <w:tc>
          <w:tcPr>
            <w:tcW w:w="1350" w:type="dxa"/>
            <w:hideMark/>
          </w:tcPr>
          <w:p w14:paraId="1A87B997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 0.63</w:t>
            </w:r>
          </w:p>
        </w:tc>
        <w:tc>
          <w:tcPr>
            <w:tcW w:w="1170" w:type="dxa"/>
            <w:hideMark/>
          </w:tcPr>
          <w:p w14:paraId="63E7A8F3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60" w:type="dxa"/>
            <w:hideMark/>
          </w:tcPr>
          <w:p w14:paraId="49495CFA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2425" w:type="dxa"/>
            <w:hideMark/>
          </w:tcPr>
          <w:p w14:paraId="1E80AF79" w14:textId="77777777" w:rsidR="00E63426" w:rsidRPr="00E63426" w:rsidRDefault="00E63426" w:rsidP="00E634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2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</w:tbl>
    <w:p w14:paraId="427BE7A8" w14:textId="62A73396" w:rsidR="00B23823" w:rsidRDefault="00B23823">
      <w:pPr>
        <w:pStyle w:val="CommentText"/>
        <w:rPr>
          <w:rFonts w:ascii="Times New Roman" w:eastAsia="Times New Roman" w:hAnsi="Times New Roman" w:cs="Times New Roman"/>
          <w:sz w:val="24"/>
          <w:szCs w:val="24"/>
        </w:rPr>
      </w:pPr>
    </w:p>
    <w:p w14:paraId="0C4218BF" w14:textId="7E2A2B80" w:rsidR="00226156" w:rsidRDefault="0022615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sectPr w:rsidR="0022615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1FDF" w14:textId="77777777" w:rsidR="00EA0F87" w:rsidRDefault="00EA0F87">
      <w:r>
        <w:separator/>
      </w:r>
    </w:p>
  </w:endnote>
  <w:endnote w:type="continuationSeparator" w:id="0">
    <w:p w14:paraId="53CAF8C0" w14:textId="77777777" w:rsidR="00EA0F87" w:rsidRDefault="00EA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8570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1A61B" w14:textId="3F5C3AFD" w:rsidR="0010558D" w:rsidRDefault="0010558D" w:rsidP="00DA3A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974152" w14:textId="77777777" w:rsidR="0010558D" w:rsidRDefault="0010558D" w:rsidP="00A26B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7146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763E04" w14:textId="63615756" w:rsidR="0010558D" w:rsidRDefault="0010558D" w:rsidP="00DA3A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A4419F" w14:textId="77777777" w:rsidR="0010558D" w:rsidRDefault="0010558D" w:rsidP="00A26B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71A64" w14:textId="77777777" w:rsidR="00EA0F87" w:rsidRDefault="00EA0F87">
      <w:r>
        <w:separator/>
      </w:r>
    </w:p>
  </w:footnote>
  <w:footnote w:type="continuationSeparator" w:id="0">
    <w:p w14:paraId="32235488" w14:textId="77777777" w:rsidR="00EA0F87" w:rsidRDefault="00EA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44C6"/>
    <w:multiLevelType w:val="hybridMultilevel"/>
    <w:tmpl w:val="427AA9E8"/>
    <w:styleLink w:val="ImportedStyle1"/>
    <w:lvl w:ilvl="0" w:tplc="AA4A80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EAF2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E5AD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A63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85E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9243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439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CE1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E211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F71893"/>
    <w:multiLevelType w:val="hybridMultilevel"/>
    <w:tmpl w:val="427AA9E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a-DK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23823"/>
    <w:rsid w:val="000164D0"/>
    <w:rsid w:val="000214A4"/>
    <w:rsid w:val="00027743"/>
    <w:rsid w:val="0003605F"/>
    <w:rsid w:val="00052CAA"/>
    <w:rsid w:val="00061410"/>
    <w:rsid w:val="00061648"/>
    <w:rsid w:val="00066F6B"/>
    <w:rsid w:val="000715F0"/>
    <w:rsid w:val="0007717B"/>
    <w:rsid w:val="000C3620"/>
    <w:rsid w:val="000D6979"/>
    <w:rsid w:val="000E5CD7"/>
    <w:rsid w:val="001001D6"/>
    <w:rsid w:val="0010558D"/>
    <w:rsid w:val="001217DC"/>
    <w:rsid w:val="00131858"/>
    <w:rsid w:val="00145465"/>
    <w:rsid w:val="00175CEC"/>
    <w:rsid w:val="00185409"/>
    <w:rsid w:val="001909DA"/>
    <w:rsid w:val="0019536B"/>
    <w:rsid w:val="001B5221"/>
    <w:rsid w:val="001C1379"/>
    <w:rsid w:val="001D7675"/>
    <w:rsid w:val="001E681C"/>
    <w:rsid w:val="00226156"/>
    <w:rsid w:val="0023082C"/>
    <w:rsid w:val="00272357"/>
    <w:rsid w:val="00273A2D"/>
    <w:rsid w:val="002825C8"/>
    <w:rsid w:val="00291576"/>
    <w:rsid w:val="00297F76"/>
    <w:rsid w:val="002E29FA"/>
    <w:rsid w:val="003238B3"/>
    <w:rsid w:val="00326F09"/>
    <w:rsid w:val="00345816"/>
    <w:rsid w:val="00350D83"/>
    <w:rsid w:val="003572E9"/>
    <w:rsid w:val="003779F7"/>
    <w:rsid w:val="00382899"/>
    <w:rsid w:val="00391095"/>
    <w:rsid w:val="003A7B6B"/>
    <w:rsid w:val="003B3EF3"/>
    <w:rsid w:val="003B7B8C"/>
    <w:rsid w:val="003D17CE"/>
    <w:rsid w:val="003E4A41"/>
    <w:rsid w:val="003E5446"/>
    <w:rsid w:val="003E5549"/>
    <w:rsid w:val="00402957"/>
    <w:rsid w:val="004108BF"/>
    <w:rsid w:val="00435F24"/>
    <w:rsid w:val="00436A94"/>
    <w:rsid w:val="00454D1C"/>
    <w:rsid w:val="00457FF7"/>
    <w:rsid w:val="004846E9"/>
    <w:rsid w:val="004A11BC"/>
    <w:rsid w:val="004C1DC2"/>
    <w:rsid w:val="004C4FA0"/>
    <w:rsid w:val="004D6140"/>
    <w:rsid w:val="004F6A09"/>
    <w:rsid w:val="005057A6"/>
    <w:rsid w:val="00515F9B"/>
    <w:rsid w:val="005230D3"/>
    <w:rsid w:val="0052753E"/>
    <w:rsid w:val="005476BB"/>
    <w:rsid w:val="00581B09"/>
    <w:rsid w:val="00583BF9"/>
    <w:rsid w:val="005843AF"/>
    <w:rsid w:val="00595B1C"/>
    <w:rsid w:val="005A0D9C"/>
    <w:rsid w:val="005C1831"/>
    <w:rsid w:val="005C2A57"/>
    <w:rsid w:val="005C7A02"/>
    <w:rsid w:val="00603AE0"/>
    <w:rsid w:val="0060678F"/>
    <w:rsid w:val="00620866"/>
    <w:rsid w:val="00624AC9"/>
    <w:rsid w:val="00637DF6"/>
    <w:rsid w:val="00651F65"/>
    <w:rsid w:val="00656D4E"/>
    <w:rsid w:val="00660408"/>
    <w:rsid w:val="00684C96"/>
    <w:rsid w:val="006A1741"/>
    <w:rsid w:val="006C00CC"/>
    <w:rsid w:val="006D3B1C"/>
    <w:rsid w:val="006F1F28"/>
    <w:rsid w:val="00711248"/>
    <w:rsid w:val="00736C04"/>
    <w:rsid w:val="007457A7"/>
    <w:rsid w:val="00777212"/>
    <w:rsid w:val="0078728A"/>
    <w:rsid w:val="00797D71"/>
    <w:rsid w:val="007B60C2"/>
    <w:rsid w:val="007C296C"/>
    <w:rsid w:val="007D0ABB"/>
    <w:rsid w:val="007E1647"/>
    <w:rsid w:val="007F228F"/>
    <w:rsid w:val="007F6B2F"/>
    <w:rsid w:val="008209E3"/>
    <w:rsid w:val="00830CDF"/>
    <w:rsid w:val="00855904"/>
    <w:rsid w:val="008666A7"/>
    <w:rsid w:val="00874113"/>
    <w:rsid w:val="008852FA"/>
    <w:rsid w:val="00885BC3"/>
    <w:rsid w:val="008D371D"/>
    <w:rsid w:val="008D6DDF"/>
    <w:rsid w:val="008E0F2E"/>
    <w:rsid w:val="008E22CC"/>
    <w:rsid w:val="008E541F"/>
    <w:rsid w:val="008F37C7"/>
    <w:rsid w:val="00921B07"/>
    <w:rsid w:val="00923544"/>
    <w:rsid w:val="00930A37"/>
    <w:rsid w:val="009346E6"/>
    <w:rsid w:val="0094219E"/>
    <w:rsid w:val="00942C7A"/>
    <w:rsid w:val="00997927"/>
    <w:rsid w:val="009A386E"/>
    <w:rsid w:val="009B36A1"/>
    <w:rsid w:val="009B66CB"/>
    <w:rsid w:val="009C736F"/>
    <w:rsid w:val="009D049A"/>
    <w:rsid w:val="009D2B29"/>
    <w:rsid w:val="009D33D2"/>
    <w:rsid w:val="009F2BFE"/>
    <w:rsid w:val="009F4E15"/>
    <w:rsid w:val="009F5BAD"/>
    <w:rsid w:val="00A2608E"/>
    <w:rsid w:val="00A26BAE"/>
    <w:rsid w:val="00A37589"/>
    <w:rsid w:val="00A63F99"/>
    <w:rsid w:val="00A65433"/>
    <w:rsid w:val="00A66DD5"/>
    <w:rsid w:val="00A67B57"/>
    <w:rsid w:val="00A76292"/>
    <w:rsid w:val="00A83F00"/>
    <w:rsid w:val="00A90226"/>
    <w:rsid w:val="00AA3CE5"/>
    <w:rsid w:val="00B05B2B"/>
    <w:rsid w:val="00B062A0"/>
    <w:rsid w:val="00B23823"/>
    <w:rsid w:val="00B416E5"/>
    <w:rsid w:val="00B41870"/>
    <w:rsid w:val="00B470D3"/>
    <w:rsid w:val="00B5108F"/>
    <w:rsid w:val="00B844EE"/>
    <w:rsid w:val="00B93961"/>
    <w:rsid w:val="00B972ED"/>
    <w:rsid w:val="00BA09AF"/>
    <w:rsid w:val="00BA6FE7"/>
    <w:rsid w:val="00BB6979"/>
    <w:rsid w:val="00BC51A3"/>
    <w:rsid w:val="00BE2407"/>
    <w:rsid w:val="00BE3185"/>
    <w:rsid w:val="00BE4DBC"/>
    <w:rsid w:val="00C36513"/>
    <w:rsid w:val="00C414EC"/>
    <w:rsid w:val="00C46632"/>
    <w:rsid w:val="00C505CC"/>
    <w:rsid w:val="00C63B71"/>
    <w:rsid w:val="00C706F5"/>
    <w:rsid w:val="00C72644"/>
    <w:rsid w:val="00C867C4"/>
    <w:rsid w:val="00CA421D"/>
    <w:rsid w:val="00CA6182"/>
    <w:rsid w:val="00CA7380"/>
    <w:rsid w:val="00CC3508"/>
    <w:rsid w:val="00CD2631"/>
    <w:rsid w:val="00CD2E05"/>
    <w:rsid w:val="00CD7D42"/>
    <w:rsid w:val="00CF2316"/>
    <w:rsid w:val="00D266A0"/>
    <w:rsid w:val="00D32F31"/>
    <w:rsid w:val="00D341C5"/>
    <w:rsid w:val="00D4757D"/>
    <w:rsid w:val="00D71706"/>
    <w:rsid w:val="00D74ABC"/>
    <w:rsid w:val="00D7572B"/>
    <w:rsid w:val="00D767C4"/>
    <w:rsid w:val="00D77CEE"/>
    <w:rsid w:val="00D95D42"/>
    <w:rsid w:val="00DA3AE0"/>
    <w:rsid w:val="00DC2592"/>
    <w:rsid w:val="00DC3E4A"/>
    <w:rsid w:val="00DE0569"/>
    <w:rsid w:val="00DF0112"/>
    <w:rsid w:val="00E02D44"/>
    <w:rsid w:val="00E27475"/>
    <w:rsid w:val="00E413CA"/>
    <w:rsid w:val="00E57618"/>
    <w:rsid w:val="00E63426"/>
    <w:rsid w:val="00E73F8C"/>
    <w:rsid w:val="00E76EE4"/>
    <w:rsid w:val="00E93D05"/>
    <w:rsid w:val="00E94C9A"/>
    <w:rsid w:val="00E97CC7"/>
    <w:rsid w:val="00EA0F87"/>
    <w:rsid w:val="00EA6342"/>
    <w:rsid w:val="00EB05D5"/>
    <w:rsid w:val="00EC521F"/>
    <w:rsid w:val="00EE6163"/>
    <w:rsid w:val="00F16564"/>
    <w:rsid w:val="00F37E96"/>
    <w:rsid w:val="00F67C2A"/>
    <w:rsid w:val="00F7053E"/>
    <w:rsid w:val="00F761CC"/>
    <w:rsid w:val="00F9266A"/>
    <w:rsid w:val="00FA6091"/>
    <w:rsid w:val="00FC49A9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2571E"/>
  <w15:docId w15:val="{9F9DCF8C-1530-C74B-8521-B660052A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link w:val="Heading1Char"/>
    <w:uiPriority w:val="9"/>
    <w:qFormat/>
    <w:rsid w:val="000D6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link w:val="BodyChar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ndNoteBibliography">
    <w:name w:val="EndNote Bibliography"/>
    <w:rPr>
      <w:rFonts w:eastAsia="Times New Roman"/>
      <w:color w:val="000000"/>
      <w:sz w:val="24"/>
      <w:szCs w:val="24"/>
      <w:u w:color="000000"/>
    </w:rPr>
  </w:style>
  <w:style w:type="paragraph" w:styleId="CommentText">
    <w:name w:val="annotation text"/>
    <w:link w:val="CommentTextChar"/>
    <w:rPr>
      <w:rFonts w:ascii="Calibri" w:eastAsia="Calibri" w:hAnsi="Calibri" w:cs="Calibri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7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93961"/>
    <w:pPr>
      <w:jc w:val="center"/>
    </w:pPr>
  </w:style>
  <w:style w:type="character" w:customStyle="1" w:styleId="BodyChar">
    <w:name w:val="Body Char"/>
    <w:basedOn w:val="DefaultParagraphFont"/>
    <w:link w:val="Body"/>
    <w:rsid w:val="00B93961"/>
    <w:rPr>
      <w:rFonts w:cs="Arial Unicode MS"/>
      <w:color w:val="000000"/>
      <w:sz w:val="24"/>
      <w:szCs w:val="24"/>
      <w:u w:color="000000"/>
    </w:rPr>
  </w:style>
  <w:style w:type="character" w:customStyle="1" w:styleId="EndNoteBibliographyTitleChar">
    <w:name w:val="EndNote Bibliography Title Char"/>
    <w:basedOn w:val="BodyChar"/>
    <w:link w:val="EndNoteBibliographyTitle"/>
    <w:rsid w:val="00B93961"/>
    <w:rPr>
      <w:rFonts w:eastAsia="Times New Roman" w:cs="Arial Unicode MS"/>
      <w:color w:val="000000"/>
      <w:sz w:val="24"/>
      <w:szCs w:val="24"/>
      <w:u w:color="000000"/>
      <w:bdr w:val="none" w:sz="0" w:space="0" w:color="auto"/>
    </w:rPr>
  </w:style>
  <w:style w:type="table" w:styleId="TableGrid">
    <w:name w:val="Table Grid"/>
    <w:basedOn w:val="TableNormal"/>
    <w:uiPriority w:val="39"/>
    <w:rsid w:val="009B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b/>
      <w:bCs/>
      <w:color w:val="auto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rsid w:val="009F5BAD"/>
    <w:rPr>
      <w:rFonts w:ascii="Calibri" w:eastAsia="Calibri" w:hAnsi="Calibri" w:cs="Calibri"/>
      <w:color w:val="000000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BAD"/>
    <w:rPr>
      <w:rFonts w:ascii="Calibri" w:eastAsia="Times New Roman" w:hAnsi="Calibri" w:cs="Calibri"/>
      <w:b/>
      <w:bCs/>
      <w:color w:val="000000"/>
      <w:u w:color="000000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A26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BAE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A26BAE"/>
  </w:style>
  <w:style w:type="paragraph" w:styleId="Revision">
    <w:name w:val="Revision"/>
    <w:hidden/>
    <w:uiPriority w:val="99"/>
    <w:semiHidden/>
    <w:rsid w:val="008E0F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0D697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B470D3"/>
  </w:style>
  <w:style w:type="paragraph" w:styleId="BodyText">
    <w:name w:val="Body Text"/>
    <w:basedOn w:val="Normal"/>
    <w:link w:val="BodyTextChar"/>
    <w:uiPriority w:val="1"/>
    <w:qFormat/>
    <w:rsid w:val="00D767C4"/>
    <w:pPr>
      <w:widowControl w:val="0"/>
      <w:ind w:left="113"/>
    </w:pPr>
    <w:rPr>
      <w:rFonts w:ascii="Helvetica" w:eastAsia="Helvetica" w:hAnsi="Helvetic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67C4"/>
    <w:rPr>
      <w:rFonts w:ascii="Helvetica" w:eastAsia="Helvetica" w:hAnsi="Helvetica" w:cstheme="minorBid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Magbanua, Mark</cp:lastModifiedBy>
  <cp:revision>2</cp:revision>
  <dcterms:created xsi:type="dcterms:W3CDTF">2020-06-04T19:18:00Z</dcterms:created>
  <dcterms:modified xsi:type="dcterms:W3CDTF">2020-06-04T19:18:00Z</dcterms:modified>
</cp:coreProperties>
</file>