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03960" w14:textId="77777777" w:rsidR="00DA67E8" w:rsidRPr="00A23D8C" w:rsidRDefault="00023049">
      <w:pPr>
        <w:jc w:val="both"/>
        <w:rPr>
          <w:rFonts w:ascii="Arial" w:hAnsi="Arial" w:cs="Arial"/>
        </w:rPr>
      </w:pPr>
      <w:r>
        <w:rPr>
          <w:noProof/>
          <w:lang w:eastAsia="en-GB"/>
        </w:rPr>
        <w:drawing>
          <wp:anchor distT="0" distB="0" distL="114300" distR="114300" simplePos="0" relativeHeight="251651072" behindDoc="0" locked="0" layoutInCell="1" allowOverlap="1" wp14:anchorId="3D9AC60C" wp14:editId="75AC82E3">
            <wp:simplePos x="0" y="0"/>
            <wp:positionH relativeFrom="page">
              <wp:posOffset>356235</wp:posOffset>
            </wp:positionH>
            <wp:positionV relativeFrom="page">
              <wp:posOffset>580390</wp:posOffset>
            </wp:positionV>
            <wp:extent cx="1257300" cy="370840"/>
            <wp:effectExtent l="0" t="0" r="0" b="0"/>
            <wp:wrapNone/>
            <wp:docPr id="19" name="Picture 3" descr="logo_sml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ml_bl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370840"/>
                    </a:xfrm>
                    <a:prstGeom prst="rect">
                      <a:avLst/>
                    </a:prstGeom>
                    <a:noFill/>
                  </pic:spPr>
                </pic:pic>
              </a:graphicData>
            </a:graphic>
            <wp14:sizeRelH relativeFrom="page">
              <wp14:pctWidth>0</wp14:pctWidth>
            </wp14:sizeRelH>
            <wp14:sizeRelV relativeFrom="page">
              <wp14:pctHeight>0</wp14:pctHeight>
            </wp14:sizeRelV>
          </wp:anchor>
        </w:drawing>
      </w:r>
      <w:r w:rsidR="0061739D">
        <w:rPr>
          <w:rFonts w:ascii="Arial" w:hAnsi="Arial" w:cs="Arial"/>
        </w:rPr>
        <w:t xml:space="preserve"> </w:t>
      </w:r>
    </w:p>
    <w:p w14:paraId="3595EB92" w14:textId="77777777" w:rsidR="00DA67E8" w:rsidRPr="00A23D8C" w:rsidRDefault="00023049">
      <w:pPr>
        <w:pStyle w:val="letterindent"/>
        <w:widowControl/>
        <w:numPr>
          <w:ilvl w:val="0"/>
          <w:numId w:val="0"/>
        </w:numPr>
        <w:spacing w:before="0"/>
        <w:rPr>
          <w:rFonts w:ascii="Arial" w:hAnsi="Arial" w:cs="Arial"/>
          <w:lang w:val="en-GB"/>
        </w:rPr>
      </w:pPr>
      <w:r>
        <w:rPr>
          <w:rFonts w:ascii="Arial" w:hAnsi="Arial" w:cs="Arial"/>
          <w:noProof/>
          <w:lang w:val="en-GB" w:eastAsia="en-GB"/>
        </w:rPr>
        <w:drawing>
          <wp:anchor distT="0" distB="0" distL="114300" distR="114300" simplePos="0" relativeHeight="251652096" behindDoc="0" locked="0" layoutInCell="1" allowOverlap="1" wp14:anchorId="76263812" wp14:editId="33420340">
            <wp:simplePos x="0" y="0"/>
            <wp:positionH relativeFrom="page">
              <wp:posOffset>343535</wp:posOffset>
            </wp:positionH>
            <wp:positionV relativeFrom="page">
              <wp:posOffset>1095375</wp:posOffset>
            </wp:positionV>
            <wp:extent cx="619125" cy="1254760"/>
            <wp:effectExtent l="0" t="0" r="9525" b="2540"/>
            <wp:wrapNone/>
            <wp:docPr id="20" name="Picture 5" descr="n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r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1254760"/>
                    </a:xfrm>
                    <a:prstGeom prst="rect">
                      <a:avLst/>
                    </a:prstGeom>
                    <a:noFill/>
                  </pic:spPr>
                </pic:pic>
              </a:graphicData>
            </a:graphic>
            <wp14:sizeRelH relativeFrom="page">
              <wp14:pctWidth>0</wp14:pctWidth>
            </wp14:sizeRelH>
            <wp14:sizeRelV relativeFrom="page">
              <wp14:pctHeight>0</wp14:pctHeight>
            </wp14:sizeRelV>
          </wp:anchor>
        </w:drawing>
      </w:r>
    </w:p>
    <w:p w14:paraId="537B15C2" w14:textId="77777777" w:rsidR="00DA67E8" w:rsidRPr="00A23D8C" w:rsidRDefault="00DA67E8">
      <w:pPr>
        <w:jc w:val="both"/>
        <w:rPr>
          <w:rFonts w:ascii="Arial" w:hAnsi="Arial" w:cs="Arial"/>
        </w:rPr>
      </w:pPr>
    </w:p>
    <w:p w14:paraId="33FE8586" w14:textId="77777777" w:rsidR="00DA67E8" w:rsidRPr="00A23D8C" w:rsidRDefault="00DA67E8">
      <w:pPr>
        <w:keepNext/>
        <w:jc w:val="both"/>
        <w:rPr>
          <w:rFonts w:ascii="Arial" w:hAnsi="Arial" w:cs="Arial"/>
        </w:rPr>
      </w:pPr>
    </w:p>
    <w:p w14:paraId="46553B8C" w14:textId="77777777" w:rsidR="00DA67E8" w:rsidRPr="00A23D8C" w:rsidRDefault="00DA67E8">
      <w:pPr>
        <w:keepNext/>
        <w:jc w:val="both"/>
        <w:rPr>
          <w:rFonts w:ascii="Arial" w:hAnsi="Arial" w:cs="Arial"/>
        </w:rPr>
      </w:pPr>
    </w:p>
    <w:p w14:paraId="4EDA49D8" w14:textId="77777777" w:rsidR="00DA67E8" w:rsidRPr="00A23D8C" w:rsidRDefault="00625F72">
      <w:pPr>
        <w:keepNext/>
        <w:jc w:val="both"/>
        <w:rPr>
          <w:rFonts w:ascii="Arial" w:hAnsi="Arial" w:cs="Arial"/>
        </w:rPr>
      </w:pPr>
      <w:r>
        <w:rPr>
          <w:noProof/>
          <w:lang w:val="en-US"/>
        </w:rPr>
        <w:object w:dxaOrig="1440" w:dyaOrig="1440" w14:anchorId="06837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5.65pt;margin-top:-101.2pt;width:307.5pt;height:1in;z-index:251653120">
            <v:imagedata r:id="rId14" o:title=""/>
            <w10:anchorlock/>
          </v:shape>
          <o:OLEObject Type="Embed" ProgID="PBrush" ShapeID="_x0000_s1026" DrawAspect="Content" ObjectID="_1650727035" r:id="rId15"/>
        </w:object>
      </w:r>
      <w:r w:rsidR="00023049">
        <w:rPr>
          <w:noProof/>
          <w:lang w:eastAsia="en-GB"/>
        </w:rPr>
        <mc:AlternateContent>
          <mc:Choice Requires="wps">
            <w:drawing>
              <wp:anchor distT="0" distB="0" distL="114299" distR="114299" simplePos="0" relativeHeight="251650048" behindDoc="0" locked="0" layoutInCell="1" allowOverlap="1" wp14:anchorId="7CE0C4DB" wp14:editId="55ECF6ED">
                <wp:simplePos x="0" y="0"/>
                <wp:positionH relativeFrom="page">
                  <wp:posOffset>1765934</wp:posOffset>
                </wp:positionH>
                <wp:positionV relativeFrom="page">
                  <wp:posOffset>237490</wp:posOffset>
                </wp:positionV>
                <wp:extent cx="0" cy="10172700"/>
                <wp:effectExtent l="19050" t="0" r="19050" b="1905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270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35A73" id="Line 2" o:spid="_x0000_s1026" style="position:absolute;z-index:2516500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139.05pt,18.7pt" to="139.05pt,8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sFAIAACsEAAAOAAAAZHJzL2Uyb0RvYy54bWysU8GO2jAQvVfqP1i+QxI2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" strokecolor="maroon" strokeweight="3pt">
                <w10:wrap anchorx="page" anchory="page"/>
              </v:line>
            </w:pict>
          </mc:Fallback>
        </mc:AlternateContent>
      </w:r>
    </w:p>
    <w:p w14:paraId="274FB119" w14:textId="77777777" w:rsidR="00DA67E8" w:rsidRPr="00A23D8C" w:rsidRDefault="00DA67E8">
      <w:pPr>
        <w:keepNext/>
        <w:jc w:val="both"/>
        <w:rPr>
          <w:rFonts w:ascii="Arial" w:hAnsi="Arial" w:cs="Arial"/>
        </w:rPr>
      </w:pPr>
    </w:p>
    <w:p w14:paraId="3749C674" w14:textId="77777777" w:rsidR="00DA67E8" w:rsidRPr="00A23D8C" w:rsidRDefault="00DA67E8">
      <w:pPr>
        <w:keepNext/>
        <w:jc w:val="both"/>
        <w:rPr>
          <w:rFonts w:ascii="Arial" w:hAnsi="Arial" w:cs="Arial"/>
        </w:rPr>
      </w:pPr>
    </w:p>
    <w:p w14:paraId="244F16BA" w14:textId="77777777" w:rsidR="00DA67E8" w:rsidRPr="00A23D8C" w:rsidRDefault="00114DD8">
      <w:pPr>
        <w:keepNext/>
        <w:jc w:val="both"/>
        <w:rPr>
          <w:rFonts w:ascii="Arial" w:hAnsi="Arial" w:cs="Arial"/>
        </w:rPr>
      </w:pPr>
      <w:r>
        <w:rPr>
          <w:noProof/>
          <w:lang w:eastAsia="en-GB"/>
        </w:rPr>
        <w:drawing>
          <wp:anchor distT="0" distB="0" distL="114300" distR="114300" simplePos="0" relativeHeight="251663360" behindDoc="1" locked="0" layoutInCell="1" allowOverlap="1" wp14:anchorId="7EC9B531" wp14:editId="1B390380">
            <wp:simplePos x="0" y="0"/>
            <wp:positionH relativeFrom="column">
              <wp:posOffset>-994410</wp:posOffset>
            </wp:positionH>
            <wp:positionV relativeFrom="paragraph">
              <wp:posOffset>266700</wp:posOffset>
            </wp:positionV>
            <wp:extent cx="1584960" cy="740410"/>
            <wp:effectExtent l="0" t="0" r="0" b="2540"/>
            <wp:wrapThrough wrapText="bothSides">
              <wp:wrapPolygon edited="0">
                <wp:start x="0" y="0"/>
                <wp:lineTo x="0" y="21118"/>
                <wp:lineTo x="21288" y="21118"/>
                <wp:lineTo x="2128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960" cy="740410"/>
                    </a:xfrm>
                    <a:prstGeom prst="rect">
                      <a:avLst/>
                    </a:prstGeom>
                    <a:noFill/>
                  </pic:spPr>
                </pic:pic>
              </a:graphicData>
            </a:graphic>
            <wp14:sizeRelH relativeFrom="page">
              <wp14:pctWidth>0</wp14:pctWidth>
            </wp14:sizeRelH>
            <wp14:sizeRelV relativeFrom="page">
              <wp14:pctHeight>0</wp14:pctHeight>
            </wp14:sizeRelV>
          </wp:anchor>
        </w:drawing>
      </w:r>
    </w:p>
    <w:p w14:paraId="09279519" w14:textId="77777777" w:rsidR="00DA67E8" w:rsidRPr="00A23D8C" w:rsidRDefault="00DA67E8">
      <w:pPr>
        <w:keepNext/>
        <w:jc w:val="both"/>
        <w:rPr>
          <w:rFonts w:ascii="Arial" w:hAnsi="Arial" w:cs="Arial"/>
        </w:rPr>
      </w:pPr>
    </w:p>
    <w:p w14:paraId="4E8F840C" w14:textId="77777777" w:rsidR="00DA67E8" w:rsidRPr="00A23D8C" w:rsidRDefault="00DA67E8">
      <w:pPr>
        <w:keepNext/>
        <w:jc w:val="both"/>
        <w:rPr>
          <w:rFonts w:ascii="Arial" w:hAnsi="Arial" w:cs="Arial"/>
        </w:rPr>
      </w:pPr>
    </w:p>
    <w:p w14:paraId="72C9A164" w14:textId="77777777" w:rsidR="00DA67E8" w:rsidRPr="00A23D8C" w:rsidRDefault="00DA67E8">
      <w:pPr>
        <w:keepNext/>
        <w:jc w:val="both"/>
        <w:rPr>
          <w:rFonts w:ascii="Arial" w:hAnsi="Arial" w:cs="Arial"/>
        </w:rPr>
      </w:pPr>
    </w:p>
    <w:p w14:paraId="3C415BC9" w14:textId="77777777" w:rsidR="00DA67E8" w:rsidRPr="00A23D8C" w:rsidRDefault="00DA67E8">
      <w:pPr>
        <w:keepNext/>
        <w:jc w:val="both"/>
        <w:rPr>
          <w:rFonts w:ascii="Arial" w:hAnsi="Arial" w:cs="Arial"/>
        </w:rPr>
      </w:pPr>
    </w:p>
    <w:p w14:paraId="326AFB92" w14:textId="77777777" w:rsidR="00DA67E8" w:rsidRPr="00A23D8C" w:rsidRDefault="00DA67E8">
      <w:pPr>
        <w:keepNext/>
        <w:jc w:val="both"/>
        <w:rPr>
          <w:rFonts w:ascii="Arial" w:hAnsi="Arial" w:cs="Arial"/>
        </w:rPr>
      </w:pPr>
    </w:p>
    <w:p w14:paraId="4D41E9CD" w14:textId="77777777" w:rsidR="00DA67E8" w:rsidRPr="00A23D8C" w:rsidRDefault="00DA67E8">
      <w:pPr>
        <w:keepNext/>
        <w:jc w:val="both"/>
        <w:rPr>
          <w:rFonts w:ascii="Arial" w:hAnsi="Arial" w:cs="Arial"/>
        </w:rPr>
      </w:pPr>
    </w:p>
    <w:p w14:paraId="74B34E89" w14:textId="77777777" w:rsidR="00DA67E8" w:rsidRPr="00A23D8C" w:rsidRDefault="00DA67E8">
      <w:pPr>
        <w:keepNext/>
        <w:jc w:val="both"/>
        <w:rPr>
          <w:rFonts w:ascii="Arial" w:hAnsi="Arial" w:cs="Arial"/>
        </w:rPr>
      </w:pPr>
    </w:p>
    <w:tbl>
      <w:tblPr>
        <w:tblW w:w="792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3960"/>
      </w:tblGrid>
      <w:tr w:rsidR="00DA67E8" w:rsidRPr="00A23D8C" w14:paraId="763CEF04" w14:textId="77777777">
        <w:tc>
          <w:tcPr>
            <w:tcW w:w="3960" w:type="dxa"/>
            <w:tcBorders>
              <w:top w:val="single" w:sz="12" w:space="0" w:color="auto"/>
              <w:left w:val="nil"/>
              <w:bottom w:val="nil"/>
              <w:right w:val="nil"/>
            </w:tcBorders>
          </w:tcPr>
          <w:p w14:paraId="1DD8E1A5" w14:textId="77777777" w:rsidR="00DA67E8" w:rsidRPr="00A23D8C" w:rsidRDefault="00DA67E8">
            <w:pPr>
              <w:jc w:val="both"/>
              <w:rPr>
                <w:rFonts w:ascii="Arial" w:hAnsi="Arial" w:cs="Arial"/>
                <w:sz w:val="12"/>
              </w:rPr>
            </w:pPr>
          </w:p>
        </w:tc>
        <w:tc>
          <w:tcPr>
            <w:tcW w:w="3960" w:type="dxa"/>
            <w:tcBorders>
              <w:top w:val="single" w:sz="12" w:space="0" w:color="auto"/>
              <w:left w:val="nil"/>
              <w:bottom w:val="nil"/>
              <w:right w:val="nil"/>
            </w:tcBorders>
          </w:tcPr>
          <w:p w14:paraId="245544CB" w14:textId="77777777" w:rsidR="00DA67E8" w:rsidRPr="00A23D8C" w:rsidRDefault="00DA67E8">
            <w:pPr>
              <w:jc w:val="both"/>
              <w:rPr>
                <w:rFonts w:ascii="Arial" w:hAnsi="Arial" w:cs="Arial"/>
                <w:sz w:val="12"/>
              </w:rPr>
            </w:pPr>
          </w:p>
        </w:tc>
      </w:tr>
      <w:tr w:rsidR="00DA67E8" w:rsidRPr="00A23D8C" w14:paraId="1819EF24" w14:textId="77777777">
        <w:trPr>
          <w:cantSplit/>
        </w:trPr>
        <w:tc>
          <w:tcPr>
            <w:tcW w:w="7920" w:type="dxa"/>
            <w:gridSpan w:val="2"/>
            <w:tcBorders>
              <w:top w:val="nil"/>
              <w:left w:val="nil"/>
              <w:bottom w:val="nil"/>
              <w:right w:val="nil"/>
            </w:tcBorders>
          </w:tcPr>
          <w:p w14:paraId="1AAA7367" w14:textId="77777777" w:rsidR="00DA67E8" w:rsidRPr="00A23D8C" w:rsidRDefault="00DA67E8" w:rsidP="006162CD">
            <w:pPr>
              <w:spacing w:before="240" w:after="240"/>
              <w:jc w:val="both"/>
              <w:rPr>
                <w:rFonts w:ascii="Arial" w:hAnsi="Arial" w:cs="Arial"/>
                <w:b/>
                <w:bCs/>
                <w:sz w:val="28"/>
              </w:rPr>
            </w:pPr>
            <w:r w:rsidRPr="005E2C7F">
              <w:rPr>
                <w:rFonts w:cs="Tahoma"/>
                <w:b/>
                <w:sz w:val="28"/>
              </w:rPr>
              <w:t xml:space="preserve">A phase I/II study of first line </w:t>
            </w:r>
            <w:r>
              <w:rPr>
                <w:rFonts w:cs="Tahoma"/>
                <w:b/>
                <w:sz w:val="28"/>
              </w:rPr>
              <w:t>ganetespib</w:t>
            </w:r>
            <w:r w:rsidR="00507641">
              <w:rPr>
                <w:rFonts w:cs="Tahoma"/>
                <w:b/>
                <w:sz w:val="28"/>
              </w:rPr>
              <w:t xml:space="preserve"> with pemetrexed/</w:t>
            </w:r>
            <w:r w:rsidR="006162CD">
              <w:rPr>
                <w:rFonts w:cs="Tahoma"/>
                <w:b/>
                <w:sz w:val="28"/>
              </w:rPr>
              <w:t>platinum</w:t>
            </w:r>
            <w:r w:rsidRPr="005E2C7F">
              <w:rPr>
                <w:rFonts w:cs="Tahoma"/>
                <w:b/>
                <w:sz w:val="28"/>
              </w:rPr>
              <w:t>, in patients with malignant pleural mesothelioma</w:t>
            </w:r>
          </w:p>
        </w:tc>
      </w:tr>
      <w:tr w:rsidR="00DA67E8" w:rsidRPr="00A23D8C" w14:paraId="7806A343" w14:textId="77777777">
        <w:tc>
          <w:tcPr>
            <w:tcW w:w="3960" w:type="dxa"/>
            <w:tcBorders>
              <w:top w:val="nil"/>
              <w:left w:val="nil"/>
              <w:bottom w:val="single" w:sz="12" w:space="0" w:color="auto"/>
              <w:right w:val="nil"/>
            </w:tcBorders>
          </w:tcPr>
          <w:p w14:paraId="35F7FED0" w14:textId="77777777" w:rsidR="00DA67E8" w:rsidRPr="00A23D8C" w:rsidRDefault="00DA67E8">
            <w:pPr>
              <w:jc w:val="both"/>
              <w:rPr>
                <w:rFonts w:ascii="Arial" w:hAnsi="Arial" w:cs="Arial"/>
                <w:sz w:val="12"/>
              </w:rPr>
            </w:pPr>
          </w:p>
        </w:tc>
        <w:tc>
          <w:tcPr>
            <w:tcW w:w="3960" w:type="dxa"/>
            <w:tcBorders>
              <w:top w:val="nil"/>
              <w:left w:val="nil"/>
              <w:bottom w:val="single" w:sz="12" w:space="0" w:color="auto"/>
              <w:right w:val="nil"/>
            </w:tcBorders>
          </w:tcPr>
          <w:p w14:paraId="05F73706" w14:textId="77777777" w:rsidR="00DA67E8" w:rsidRPr="00A23D8C" w:rsidRDefault="00DA67E8">
            <w:pPr>
              <w:jc w:val="both"/>
              <w:rPr>
                <w:rFonts w:ascii="Arial" w:hAnsi="Arial" w:cs="Arial"/>
                <w:sz w:val="12"/>
              </w:rPr>
            </w:pPr>
          </w:p>
        </w:tc>
      </w:tr>
      <w:tr w:rsidR="00DA67E8" w:rsidRPr="00A23D8C" w14:paraId="3C0D5A4B" w14:textId="77777777">
        <w:tc>
          <w:tcPr>
            <w:tcW w:w="3960" w:type="dxa"/>
            <w:tcBorders>
              <w:top w:val="single" w:sz="12" w:space="0" w:color="auto"/>
              <w:left w:val="nil"/>
              <w:bottom w:val="nil"/>
              <w:right w:val="nil"/>
            </w:tcBorders>
          </w:tcPr>
          <w:p w14:paraId="31B2497C" w14:textId="77777777" w:rsidR="00DA67E8" w:rsidRPr="00A23D8C" w:rsidRDefault="00DA67E8">
            <w:pPr>
              <w:jc w:val="both"/>
              <w:rPr>
                <w:rFonts w:ascii="Arial" w:hAnsi="Arial" w:cs="Arial"/>
              </w:rPr>
            </w:pPr>
          </w:p>
        </w:tc>
        <w:tc>
          <w:tcPr>
            <w:tcW w:w="3960" w:type="dxa"/>
            <w:tcBorders>
              <w:top w:val="single" w:sz="12" w:space="0" w:color="auto"/>
              <w:left w:val="nil"/>
              <w:bottom w:val="nil"/>
              <w:right w:val="nil"/>
            </w:tcBorders>
          </w:tcPr>
          <w:p w14:paraId="1FB9F589" w14:textId="77777777" w:rsidR="00DA67E8" w:rsidRPr="00A23D8C" w:rsidRDefault="00DA67E8">
            <w:pPr>
              <w:jc w:val="both"/>
              <w:rPr>
                <w:rFonts w:ascii="Arial" w:hAnsi="Arial" w:cs="Arial"/>
              </w:rPr>
            </w:pPr>
          </w:p>
        </w:tc>
      </w:tr>
      <w:tr w:rsidR="00DA67E8" w:rsidRPr="00A23D8C" w14:paraId="1FF74224" w14:textId="77777777">
        <w:tc>
          <w:tcPr>
            <w:tcW w:w="3960" w:type="dxa"/>
            <w:tcBorders>
              <w:top w:val="nil"/>
              <w:left w:val="nil"/>
              <w:bottom w:val="nil"/>
              <w:right w:val="nil"/>
            </w:tcBorders>
          </w:tcPr>
          <w:p w14:paraId="674DBAB2" w14:textId="77777777" w:rsidR="00DA67E8" w:rsidRPr="00A23D8C" w:rsidRDefault="00DA67E8">
            <w:pPr>
              <w:jc w:val="both"/>
              <w:rPr>
                <w:rFonts w:ascii="Arial" w:hAnsi="Arial" w:cs="Arial"/>
              </w:rPr>
            </w:pPr>
          </w:p>
        </w:tc>
        <w:tc>
          <w:tcPr>
            <w:tcW w:w="3960" w:type="dxa"/>
            <w:tcBorders>
              <w:top w:val="nil"/>
              <w:left w:val="nil"/>
              <w:bottom w:val="nil"/>
              <w:right w:val="nil"/>
            </w:tcBorders>
          </w:tcPr>
          <w:p w14:paraId="2C003B7F" w14:textId="77777777" w:rsidR="00DA67E8" w:rsidRPr="00A23D8C" w:rsidRDefault="00DA67E8">
            <w:pPr>
              <w:jc w:val="both"/>
              <w:rPr>
                <w:rFonts w:ascii="Arial" w:hAnsi="Arial" w:cs="Arial"/>
              </w:rPr>
            </w:pPr>
          </w:p>
        </w:tc>
      </w:tr>
      <w:tr w:rsidR="00DA67E8" w:rsidRPr="00A23D8C" w14:paraId="164D186A" w14:textId="77777777" w:rsidTr="006945EC">
        <w:tc>
          <w:tcPr>
            <w:tcW w:w="3960" w:type="dxa"/>
            <w:tcBorders>
              <w:top w:val="nil"/>
              <w:left w:val="nil"/>
              <w:bottom w:val="nil"/>
              <w:right w:val="nil"/>
            </w:tcBorders>
            <w:vAlign w:val="center"/>
          </w:tcPr>
          <w:p w14:paraId="6BB13219" w14:textId="77777777" w:rsidR="00DA67E8" w:rsidRPr="00824EA4" w:rsidRDefault="00DA67E8" w:rsidP="006945EC">
            <w:pPr>
              <w:rPr>
                <w:rFonts w:ascii="Arial" w:hAnsi="Arial" w:cs="Arial"/>
              </w:rPr>
            </w:pPr>
            <w:r w:rsidRPr="00824EA4">
              <w:rPr>
                <w:rFonts w:ascii="Arial" w:hAnsi="Arial" w:cs="Arial"/>
                <w:sz w:val="22"/>
                <w:szCs w:val="22"/>
              </w:rPr>
              <w:t>Trial Sponsor:</w:t>
            </w:r>
          </w:p>
        </w:tc>
        <w:tc>
          <w:tcPr>
            <w:tcW w:w="3960" w:type="dxa"/>
            <w:tcBorders>
              <w:top w:val="nil"/>
              <w:left w:val="nil"/>
              <w:bottom w:val="nil"/>
              <w:right w:val="nil"/>
            </w:tcBorders>
            <w:vAlign w:val="center"/>
          </w:tcPr>
          <w:p w14:paraId="07DBCCD1" w14:textId="77777777" w:rsidR="00DA67E8" w:rsidRPr="00824EA4" w:rsidRDefault="00DA67E8" w:rsidP="006945EC">
            <w:pPr>
              <w:spacing w:before="40" w:after="40"/>
              <w:rPr>
                <w:rFonts w:ascii="Arial" w:hAnsi="Arial" w:cs="Arial"/>
                <w:bCs/>
                <w:iCs/>
              </w:rPr>
            </w:pPr>
            <w:r w:rsidRPr="00824EA4">
              <w:rPr>
                <w:rFonts w:ascii="Arial" w:hAnsi="Arial" w:cs="Arial"/>
                <w:bCs/>
                <w:iCs/>
                <w:sz w:val="22"/>
                <w:szCs w:val="22"/>
              </w:rPr>
              <w:t>University College London</w:t>
            </w:r>
          </w:p>
        </w:tc>
      </w:tr>
      <w:tr w:rsidR="00DA67E8" w:rsidRPr="00A23D8C" w14:paraId="57E6C247" w14:textId="77777777" w:rsidTr="006945EC">
        <w:tc>
          <w:tcPr>
            <w:tcW w:w="3960" w:type="dxa"/>
            <w:tcBorders>
              <w:top w:val="nil"/>
              <w:left w:val="nil"/>
              <w:bottom w:val="nil"/>
              <w:right w:val="nil"/>
            </w:tcBorders>
            <w:vAlign w:val="center"/>
          </w:tcPr>
          <w:p w14:paraId="26AE4D9C" w14:textId="77777777" w:rsidR="00DA67E8" w:rsidRPr="00824EA4" w:rsidRDefault="00DA67E8" w:rsidP="006945EC">
            <w:pPr>
              <w:rPr>
                <w:rFonts w:ascii="Arial" w:hAnsi="Arial" w:cs="Arial"/>
              </w:rPr>
            </w:pPr>
            <w:r w:rsidRPr="00824EA4">
              <w:rPr>
                <w:rFonts w:ascii="Arial" w:hAnsi="Arial" w:cs="Arial"/>
                <w:sz w:val="22"/>
                <w:szCs w:val="22"/>
              </w:rPr>
              <w:t>Trial Sponsor reference:</w:t>
            </w:r>
          </w:p>
        </w:tc>
        <w:tc>
          <w:tcPr>
            <w:tcW w:w="3960" w:type="dxa"/>
            <w:tcBorders>
              <w:top w:val="nil"/>
              <w:left w:val="nil"/>
              <w:bottom w:val="nil"/>
              <w:right w:val="nil"/>
            </w:tcBorders>
            <w:vAlign w:val="center"/>
          </w:tcPr>
          <w:p w14:paraId="07E42EDE" w14:textId="77777777" w:rsidR="00DA67E8" w:rsidRPr="00824EA4" w:rsidRDefault="00DA67E8" w:rsidP="006945EC">
            <w:pPr>
              <w:spacing w:before="40" w:after="40"/>
              <w:rPr>
                <w:rFonts w:ascii="Arial" w:hAnsi="Arial" w:cs="Arial"/>
                <w:bCs/>
                <w:iCs/>
              </w:rPr>
            </w:pPr>
            <w:r w:rsidRPr="00824EA4">
              <w:rPr>
                <w:rFonts w:ascii="Arial" w:hAnsi="Arial" w:cs="Arial"/>
                <w:bCs/>
                <w:iCs/>
                <w:sz w:val="22"/>
                <w:szCs w:val="22"/>
              </w:rPr>
              <w:t>UCL/</w:t>
            </w:r>
            <w:r w:rsidR="00B219D2">
              <w:rPr>
                <w:rFonts w:ascii="Arial" w:hAnsi="Arial" w:cs="Arial"/>
                <w:bCs/>
                <w:iCs/>
                <w:sz w:val="22"/>
                <w:szCs w:val="22"/>
              </w:rPr>
              <w:t>12</w:t>
            </w:r>
            <w:r w:rsidRPr="00824EA4">
              <w:rPr>
                <w:rFonts w:ascii="Arial" w:hAnsi="Arial" w:cs="Arial"/>
                <w:bCs/>
                <w:iCs/>
                <w:sz w:val="22"/>
                <w:szCs w:val="22"/>
              </w:rPr>
              <w:t>/</w:t>
            </w:r>
            <w:r w:rsidR="00B219D2">
              <w:rPr>
                <w:rFonts w:ascii="Arial" w:hAnsi="Arial" w:cs="Arial"/>
                <w:bCs/>
                <w:iCs/>
                <w:sz w:val="22"/>
                <w:szCs w:val="22"/>
              </w:rPr>
              <w:t>0158</w:t>
            </w:r>
          </w:p>
        </w:tc>
      </w:tr>
      <w:tr w:rsidR="00DA67E8" w:rsidRPr="00A23D8C" w14:paraId="7EB9A514" w14:textId="77777777" w:rsidTr="006945EC">
        <w:tc>
          <w:tcPr>
            <w:tcW w:w="3960" w:type="dxa"/>
            <w:tcBorders>
              <w:top w:val="nil"/>
              <w:left w:val="nil"/>
              <w:bottom w:val="nil"/>
              <w:right w:val="nil"/>
            </w:tcBorders>
            <w:vAlign w:val="center"/>
          </w:tcPr>
          <w:p w14:paraId="4AB81082" w14:textId="77777777" w:rsidR="00DA67E8" w:rsidRPr="00824EA4" w:rsidRDefault="00DA67E8" w:rsidP="006945EC">
            <w:pPr>
              <w:rPr>
                <w:rFonts w:ascii="Arial" w:hAnsi="Arial" w:cs="Arial"/>
              </w:rPr>
            </w:pPr>
            <w:r w:rsidRPr="00824EA4">
              <w:rPr>
                <w:rFonts w:ascii="Arial" w:hAnsi="Arial" w:cs="Arial"/>
                <w:sz w:val="22"/>
                <w:szCs w:val="22"/>
              </w:rPr>
              <w:t>Trial funders:</w:t>
            </w:r>
          </w:p>
        </w:tc>
        <w:tc>
          <w:tcPr>
            <w:tcW w:w="3960" w:type="dxa"/>
            <w:tcBorders>
              <w:top w:val="nil"/>
              <w:left w:val="nil"/>
              <w:bottom w:val="nil"/>
              <w:right w:val="nil"/>
            </w:tcBorders>
            <w:vAlign w:val="center"/>
          </w:tcPr>
          <w:p w14:paraId="758B52C4" w14:textId="77777777" w:rsidR="00855641" w:rsidRPr="00855641" w:rsidRDefault="00855641" w:rsidP="006945EC">
            <w:pPr>
              <w:spacing w:before="40" w:after="40"/>
              <w:rPr>
                <w:rFonts w:ascii="Arial" w:hAnsi="Arial" w:cs="Arial"/>
                <w:sz w:val="22"/>
                <w:szCs w:val="22"/>
              </w:rPr>
            </w:pPr>
          </w:p>
          <w:p w14:paraId="4147E8C5" w14:textId="046A74A7" w:rsidR="00DA67E8" w:rsidRPr="00855641" w:rsidRDefault="00855641" w:rsidP="00D0024C">
            <w:pPr>
              <w:rPr>
                <w:rFonts w:ascii="Arial" w:hAnsi="Arial" w:cs="Arial"/>
                <w:bCs/>
                <w:iCs/>
                <w:sz w:val="22"/>
                <w:szCs w:val="22"/>
              </w:rPr>
            </w:pPr>
            <w:r w:rsidRPr="00855641">
              <w:rPr>
                <w:rFonts w:ascii="Arial" w:hAnsi="Arial" w:cs="Arial"/>
                <w:sz w:val="22"/>
                <w:szCs w:val="22"/>
              </w:rPr>
              <w:t>Madrigal Pharmaceuticals</w:t>
            </w:r>
            <w:r w:rsidR="007D1AA2">
              <w:rPr>
                <w:rFonts w:ascii="Arial" w:hAnsi="Arial" w:cs="Arial"/>
                <w:sz w:val="22"/>
                <w:szCs w:val="22"/>
              </w:rPr>
              <w:t>,</w:t>
            </w:r>
            <w:r w:rsidRPr="00855641">
              <w:rPr>
                <w:rFonts w:ascii="Arial" w:hAnsi="Arial" w:cs="Arial"/>
                <w:sz w:val="22"/>
                <w:szCs w:val="22"/>
              </w:rPr>
              <w:t xml:space="preserve"> Inc</w:t>
            </w:r>
            <w:r w:rsidR="007D1AA2">
              <w:rPr>
                <w:rFonts w:ascii="Arial" w:hAnsi="Arial" w:cs="Arial"/>
                <w:sz w:val="22"/>
                <w:szCs w:val="22"/>
              </w:rPr>
              <w:t xml:space="preserve"> (</w:t>
            </w:r>
            <w:r w:rsidRPr="00855641">
              <w:rPr>
                <w:rFonts w:ascii="Arial" w:hAnsi="Arial" w:cs="Arial"/>
                <w:sz w:val="22"/>
                <w:szCs w:val="22"/>
              </w:rPr>
              <w:t xml:space="preserve">formerly </w:t>
            </w:r>
            <w:proofErr w:type="spellStart"/>
            <w:r w:rsidRPr="00855641">
              <w:rPr>
                <w:rFonts w:ascii="Arial" w:hAnsi="Arial" w:cs="Arial"/>
                <w:sz w:val="22"/>
                <w:szCs w:val="22"/>
              </w:rPr>
              <w:t>Synta</w:t>
            </w:r>
            <w:proofErr w:type="spellEnd"/>
            <w:r w:rsidRPr="00855641">
              <w:rPr>
                <w:rFonts w:ascii="Arial" w:hAnsi="Arial" w:cs="Arial"/>
                <w:sz w:val="22"/>
                <w:szCs w:val="22"/>
              </w:rPr>
              <w:t xml:space="preserve"> Pharmaceuticals Corp) </w:t>
            </w:r>
          </w:p>
        </w:tc>
      </w:tr>
      <w:tr w:rsidR="00DA67E8" w:rsidRPr="00A23D8C" w14:paraId="4A0D2835" w14:textId="77777777" w:rsidTr="006945EC">
        <w:tc>
          <w:tcPr>
            <w:tcW w:w="3960" w:type="dxa"/>
            <w:tcBorders>
              <w:top w:val="nil"/>
              <w:left w:val="nil"/>
              <w:bottom w:val="nil"/>
              <w:right w:val="nil"/>
            </w:tcBorders>
            <w:vAlign w:val="center"/>
          </w:tcPr>
          <w:p w14:paraId="32FEF677" w14:textId="77777777" w:rsidR="00DA67E8" w:rsidRPr="00824EA4" w:rsidRDefault="00DA67E8" w:rsidP="006945EC">
            <w:pPr>
              <w:rPr>
                <w:rFonts w:ascii="Arial" w:hAnsi="Arial" w:cs="Arial"/>
              </w:rPr>
            </w:pPr>
          </w:p>
        </w:tc>
        <w:tc>
          <w:tcPr>
            <w:tcW w:w="3960" w:type="dxa"/>
            <w:tcBorders>
              <w:top w:val="nil"/>
              <w:left w:val="nil"/>
              <w:bottom w:val="nil"/>
              <w:right w:val="nil"/>
            </w:tcBorders>
            <w:vAlign w:val="center"/>
          </w:tcPr>
          <w:p w14:paraId="7A41F2FE" w14:textId="77777777" w:rsidR="00DA67E8" w:rsidRPr="00824EA4" w:rsidRDefault="00DA67E8" w:rsidP="006945EC">
            <w:pPr>
              <w:rPr>
                <w:rFonts w:ascii="Arial" w:hAnsi="Arial" w:cs="Arial"/>
                <w:bCs/>
                <w:iCs/>
              </w:rPr>
            </w:pPr>
          </w:p>
          <w:p w14:paraId="4F13EA37" w14:textId="77777777" w:rsidR="00DA67E8" w:rsidRPr="00824EA4" w:rsidRDefault="00DA67E8" w:rsidP="006945EC">
            <w:pPr>
              <w:pStyle w:val="Default"/>
              <w:rPr>
                <w:rFonts w:ascii="Arial" w:hAnsi="Arial" w:cs="Arial"/>
                <w:color w:val="auto"/>
                <w:sz w:val="22"/>
                <w:szCs w:val="22"/>
                <w:lang w:val="en-GB" w:eastAsia="en-GB"/>
              </w:rPr>
            </w:pPr>
          </w:p>
        </w:tc>
      </w:tr>
      <w:tr w:rsidR="00DA67E8" w:rsidRPr="00A23D8C" w14:paraId="1DECF3B6" w14:textId="77777777" w:rsidTr="006945EC">
        <w:tc>
          <w:tcPr>
            <w:tcW w:w="3960" w:type="dxa"/>
            <w:tcBorders>
              <w:top w:val="nil"/>
              <w:left w:val="nil"/>
              <w:bottom w:val="nil"/>
              <w:right w:val="nil"/>
            </w:tcBorders>
            <w:vAlign w:val="center"/>
          </w:tcPr>
          <w:p w14:paraId="75CC4621" w14:textId="77777777" w:rsidR="00DA67E8" w:rsidRPr="00824EA4" w:rsidRDefault="00DA67E8" w:rsidP="006945EC">
            <w:pPr>
              <w:rPr>
                <w:rFonts w:ascii="Arial" w:hAnsi="Arial" w:cs="Arial"/>
              </w:rPr>
            </w:pPr>
            <w:r w:rsidRPr="00824EA4">
              <w:rPr>
                <w:rFonts w:ascii="Arial" w:hAnsi="Arial" w:cs="Arial"/>
                <w:sz w:val="22"/>
                <w:szCs w:val="22"/>
              </w:rPr>
              <w:t>Clinicaltrials.gov no:</w:t>
            </w:r>
          </w:p>
        </w:tc>
        <w:tc>
          <w:tcPr>
            <w:tcW w:w="3960" w:type="dxa"/>
            <w:tcBorders>
              <w:top w:val="nil"/>
              <w:left w:val="nil"/>
              <w:bottom w:val="nil"/>
              <w:right w:val="nil"/>
            </w:tcBorders>
            <w:vAlign w:val="center"/>
          </w:tcPr>
          <w:p w14:paraId="38AB47C4" w14:textId="77777777" w:rsidR="00DA67E8" w:rsidRPr="00C837C1" w:rsidRDefault="00C837C1" w:rsidP="006945EC">
            <w:pPr>
              <w:spacing w:before="40" w:after="40"/>
              <w:rPr>
                <w:rFonts w:ascii="Arial" w:hAnsi="Arial" w:cs="Arial"/>
                <w:bCs/>
                <w:iCs/>
                <w:sz w:val="22"/>
                <w:szCs w:val="22"/>
              </w:rPr>
            </w:pPr>
            <w:r w:rsidRPr="00C837C1">
              <w:rPr>
                <w:rFonts w:ascii="Arial" w:hAnsi="Arial" w:cs="Arial"/>
                <w:color w:val="000000"/>
                <w:sz w:val="22"/>
                <w:szCs w:val="22"/>
                <w:shd w:val="clear" w:color="auto" w:fill="FFFFFF"/>
              </w:rPr>
              <w:t>NCT01590160</w:t>
            </w:r>
          </w:p>
        </w:tc>
      </w:tr>
      <w:tr w:rsidR="00DA67E8" w:rsidRPr="00A23D8C" w14:paraId="210B9B9D" w14:textId="77777777" w:rsidTr="006945EC">
        <w:tc>
          <w:tcPr>
            <w:tcW w:w="3960" w:type="dxa"/>
            <w:tcBorders>
              <w:top w:val="nil"/>
              <w:left w:val="nil"/>
              <w:bottom w:val="nil"/>
              <w:right w:val="nil"/>
            </w:tcBorders>
            <w:vAlign w:val="center"/>
          </w:tcPr>
          <w:p w14:paraId="264E47DD" w14:textId="77777777" w:rsidR="00DA67E8" w:rsidRPr="00824EA4" w:rsidRDefault="00DA67E8" w:rsidP="006945EC">
            <w:pPr>
              <w:rPr>
                <w:rFonts w:ascii="Arial" w:hAnsi="Arial" w:cs="Arial"/>
              </w:rPr>
            </w:pPr>
            <w:r w:rsidRPr="00824EA4">
              <w:rPr>
                <w:rFonts w:ascii="Arial" w:hAnsi="Arial" w:cs="Arial"/>
                <w:sz w:val="22"/>
                <w:szCs w:val="22"/>
              </w:rPr>
              <w:t>EUDRACT no:</w:t>
            </w:r>
          </w:p>
        </w:tc>
        <w:tc>
          <w:tcPr>
            <w:tcW w:w="3960" w:type="dxa"/>
            <w:tcBorders>
              <w:top w:val="nil"/>
              <w:left w:val="nil"/>
              <w:bottom w:val="nil"/>
              <w:right w:val="nil"/>
            </w:tcBorders>
            <w:vAlign w:val="center"/>
          </w:tcPr>
          <w:p w14:paraId="2427AC59" w14:textId="77777777" w:rsidR="00DA67E8" w:rsidRPr="00824EA4" w:rsidRDefault="00B219D2" w:rsidP="006945EC">
            <w:pPr>
              <w:pStyle w:val="Default"/>
              <w:spacing w:before="40" w:after="40"/>
              <w:rPr>
                <w:rFonts w:ascii="Arial" w:hAnsi="Arial" w:cs="Arial"/>
                <w:bCs/>
                <w:iCs/>
              </w:rPr>
            </w:pPr>
            <w:r w:rsidRPr="00B219D2">
              <w:rPr>
                <w:rFonts w:ascii="Arial" w:hAnsi="Arial" w:cs="Arial"/>
                <w:bCs/>
                <w:iCs/>
                <w:color w:val="auto"/>
                <w:sz w:val="22"/>
                <w:szCs w:val="22"/>
              </w:rPr>
              <w:t>2012-001598-10</w:t>
            </w:r>
          </w:p>
        </w:tc>
      </w:tr>
      <w:tr w:rsidR="00DA67E8" w:rsidRPr="00A23D8C" w14:paraId="394CBBA6" w14:textId="77777777" w:rsidTr="006945EC">
        <w:tc>
          <w:tcPr>
            <w:tcW w:w="3960" w:type="dxa"/>
            <w:tcBorders>
              <w:top w:val="nil"/>
              <w:left w:val="nil"/>
              <w:bottom w:val="nil"/>
              <w:right w:val="nil"/>
            </w:tcBorders>
            <w:vAlign w:val="center"/>
          </w:tcPr>
          <w:p w14:paraId="555DA23C" w14:textId="77777777" w:rsidR="00DA67E8" w:rsidRPr="00824EA4" w:rsidRDefault="00DA67E8" w:rsidP="006945EC">
            <w:pPr>
              <w:rPr>
                <w:rFonts w:ascii="Arial" w:hAnsi="Arial" w:cs="Arial"/>
              </w:rPr>
            </w:pPr>
            <w:r w:rsidRPr="00824EA4">
              <w:rPr>
                <w:rFonts w:ascii="Arial" w:hAnsi="Arial" w:cs="Arial"/>
                <w:sz w:val="22"/>
                <w:szCs w:val="22"/>
              </w:rPr>
              <w:t>CTA no:</w:t>
            </w:r>
          </w:p>
        </w:tc>
        <w:tc>
          <w:tcPr>
            <w:tcW w:w="3960" w:type="dxa"/>
            <w:tcBorders>
              <w:top w:val="nil"/>
              <w:left w:val="nil"/>
              <w:bottom w:val="nil"/>
              <w:right w:val="nil"/>
            </w:tcBorders>
            <w:shd w:val="clear" w:color="auto" w:fill="auto"/>
            <w:vAlign w:val="center"/>
          </w:tcPr>
          <w:p w14:paraId="0425CD97" w14:textId="77777777" w:rsidR="00DA67E8" w:rsidRPr="00912946" w:rsidRDefault="0034630C" w:rsidP="006945EC">
            <w:pPr>
              <w:spacing w:before="40" w:after="40"/>
              <w:rPr>
                <w:rFonts w:ascii="Arial" w:hAnsi="Arial" w:cs="Arial"/>
                <w:bCs/>
                <w:iCs/>
              </w:rPr>
            </w:pPr>
            <w:r w:rsidRPr="0034630C">
              <w:rPr>
                <w:rFonts w:ascii="Arial" w:hAnsi="Arial" w:cs="Arial"/>
                <w:bCs/>
                <w:iCs/>
                <w:sz w:val="22"/>
                <w:szCs w:val="20"/>
              </w:rPr>
              <w:t>20363/0317/001-0001</w:t>
            </w:r>
          </w:p>
        </w:tc>
      </w:tr>
      <w:tr w:rsidR="00DA67E8" w:rsidRPr="00A23D8C" w14:paraId="23CCB669" w14:textId="77777777" w:rsidTr="006945EC">
        <w:tc>
          <w:tcPr>
            <w:tcW w:w="3960" w:type="dxa"/>
            <w:tcBorders>
              <w:top w:val="nil"/>
              <w:left w:val="nil"/>
              <w:bottom w:val="nil"/>
              <w:right w:val="nil"/>
            </w:tcBorders>
            <w:vAlign w:val="center"/>
          </w:tcPr>
          <w:p w14:paraId="4FC7A612" w14:textId="77777777" w:rsidR="00DA67E8" w:rsidRPr="00824EA4" w:rsidRDefault="00DA67E8" w:rsidP="006945EC">
            <w:pPr>
              <w:rPr>
                <w:rFonts w:ascii="Arial" w:hAnsi="Arial" w:cs="Arial"/>
              </w:rPr>
            </w:pPr>
            <w:r>
              <w:rPr>
                <w:rFonts w:ascii="Arial" w:hAnsi="Arial" w:cs="Arial"/>
                <w:sz w:val="22"/>
                <w:szCs w:val="22"/>
              </w:rPr>
              <w:t>REC no:</w:t>
            </w:r>
          </w:p>
        </w:tc>
        <w:tc>
          <w:tcPr>
            <w:tcW w:w="3960" w:type="dxa"/>
            <w:tcBorders>
              <w:top w:val="nil"/>
              <w:left w:val="nil"/>
              <w:bottom w:val="nil"/>
              <w:right w:val="nil"/>
            </w:tcBorders>
            <w:shd w:val="clear" w:color="auto" w:fill="auto"/>
            <w:vAlign w:val="center"/>
          </w:tcPr>
          <w:p w14:paraId="393AE76B" w14:textId="77777777" w:rsidR="00DA67E8" w:rsidRPr="00912946" w:rsidRDefault="00D871F1" w:rsidP="006945EC">
            <w:pPr>
              <w:spacing w:before="40" w:after="40"/>
              <w:rPr>
                <w:rFonts w:ascii="Arial" w:hAnsi="Arial" w:cs="Arial"/>
              </w:rPr>
            </w:pPr>
            <w:r>
              <w:rPr>
                <w:rFonts w:ascii="Arial" w:hAnsi="Arial" w:cs="Arial"/>
                <w:bCs/>
                <w:iCs/>
                <w:sz w:val="22"/>
                <w:szCs w:val="22"/>
              </w:rPr>
              <w:t>12/EM/0448</w:t>
            </w:r>
          </w:p>
        </w:tc>
      </w:tr>
      <w:tr w:rsidR="00DA67E8" w:rsidRPr="00A23D8C" w14:paraId="1D30013F" w14:textId="77777777" w:rsidTr="006945EC">
        <w:tc>
          <w:tcPr>
            <w:tcW w:w="3960" w:type="dxa"/>
            <w:tcBorders>
              <w:top w:val="nil"/>
              <w:left w:val="nil"/>
              <w:bottom w:val="nil"/>
              <w:right w:val="nil"/>
            </w:tcBorders>
            <w:vAlign w:val="center"/>
          </w:tcPr>
          <w:p w14:paraId="7F7E9901" w14:textId="77777777" w:rsidR="00DA67E8" w:rsidRPr="00824EA4" w:rsidRDefault="00DA67E8" w:rsidP="006945EC">
            <w:pPr>
              <w:rPr>
                <w:rFonts w:ascii="Arial" w:hAnsi="Arial" w:cs="Arial"/>
              </w:rPr>
            </w:pPr>
          </w:p>
        </w:tc>
        <w:tc>
          <w:tcPr>
            <w:tcW w:w="3960" w:type="dxa"/>
            <w:tcBorders>
              <w:top w:val="nil"/>
              <w:left w:val="nil"/>
              <w:bottom w:val="nil"/>
              <w:right w:val="nil"/>
            </w:tcBorders>
            <w:vAlign w:val="center"/>
          </w:tcPr>
          <w:p w14:paraId="36C0CAC7" w14:textId="77777777" w:rsidR="00DA67E8" w:rsidRPr="00824EA4" w:rsidRDefault="00DA67E8" w:rsidP="006945EC">
            <w:pPr>
              <w:rPr>
                <w:rFonts w:ascii="Arial" w:hAnsi="Arial" w:cs="Arial"/>
              </w:rPr>
            </w:pPr>
          </w:p>
        </w:tc>
      </w:tr>
      <w:tr w:rsidR="00DA67E8" w:rsidRPr="00A23D8C" w14:paraId="79E82F63" w14:textId="77777777" w:rsidTr="006945EC">
        <w:tc>
          <w:tcPr>
            <w:tcW w:w="3960" w:type="dxa"/>
            <w:tcBorders>
              <w:top w:val="nil"/>
              <w:left w:val="nil"/>
              <w:bottom w:val="nil"/>
              <w:right w:val="nil"/>
            </w:tcBorders>
            <w:vAlign w:val="center"/>
          </w:tcPr>
          <w:p w14:paraId="55AC9644" w14:textId="77777777" w:rsidR="00DA67E8" w:rsidRPr="00824EA4" w:rsidRDefault="00DA67E8" w:rsidP="006945EC">
            <w:pPr>
              <w:rPr>
                <w:rFonts w:ascii="Arial" w:hAnsi="Arial" w:cs="Arial"/>
              </w:rPr>
            </w:pPr>
            <w:r w:rsidRPr="00824EA4">
              <w:rPr>
                <w:rFonts w:ascii="Arial" w:hAnsi="Arial" w:cs="Arial"/>
                <w:sz w:val="22"/>
                <w:szCs w:val="22"/>
              </w:rPr>
              <w:t>Protocol version no:</w:t>
            </w:r>
          </w:p>
        </w:tc>
        <w:tc>
          <w:tcPr>
            <w:tcW w:w="3960" w:type="dxa"/>
            <w:tcBorders>
              <w:top w:val="nil"/>
              <w:left w:val="nil"/>
              <w:bottom w:val="nil"/>
              <w:right w:val="nil"/>
            </w:tcBorders>
            <w:vAlign w:val="center"/>
          </w:tcPr>
          <w:p w14:paraId="590D9A60" w14:textId="69377736" w:rsidR="00DA67E8" w:rsidRPr="00824EA4" w:rsidRDefault="004142A3" w:rsidP="00900458">
            <w:pPr>
              <w:rPr>
                <w:rFonts w:ascii="Arial" w:hAnsi="Arial" w:cs="Arial"/>
              </w:rPr>
            </w:pPr>
            <w:r>
              <w:rPr>
                <w:rFonts w:ascii="Arial" w:hAnsi="Arial" w:cs="Arial"/>
                <w:bCs/>
                <w:iCs/>
                <w:sz w:val="22"/>
                <w:szCs w:val="22"/>
              </w:rPr>
              <w:t>7</w:t>
            </w:r>
            <w:r w:rsidR="002427EA">
              <w:rPr>
                <w:rFonts w:ascii="Arial" w:hAnsi="Arial" w:cs="Arial"/>
                <w:bCs/>
                <w:iCs/>
                <w:sz w:val="22"/>
                <w:szCs w:val="22"/>
              </w:rPr>
              <w:t>.0</w:t>
            </w:r>
          </w:p>
        </w:tc>
      </w:tr>
      <w:tr w:rsidR="00DA67E8" w:rsidRPr="00A23D8C" w14:paraId="15FC0F51" w14:textId="77777777" w:rsidTr="006945EC">
        <w:tc>
          <w:tcPr>
            <w:tcW w:w="3960" w:type="dxa"/>
            <w:tcBorders>
              <w:top w:val="nil"/>
              <w:left w:val="nil"/>
              <w:bottom w:val="nil"/>
              <w:right w:val="nil"/>
            </w:tcBorders>
            <w:vAlign w:val="center"/>
          </w:tcPr>
          <w:p w14:paraId="5B6ED2FD" w14:textId="77777777" w:rsidR="00DA67E8" w:rsidRPr="00824EA4" w:rsidRDefault="00DA67E8" w:rsidP="006945EC">
            <w:pPr>
              <w:rPr>
                <w:rFonts w:ascii="Arial" w:hAnsi="Arial" w:cs="Arial"/>
              </w:rPr>
            </w:pPr>
            <w:r w:rsidRPr="00824EA4">
              <w:rPr>
                <w:rFonts w:ascii="Arial" w:hAnsi="Arial" w:cs="Arial"/>
                <w:sz w:val="22"/>
                <w:szCs w:val="22"/>
              </w:rPr>
              <w:t>Protocol version date:</w:t>
            </w:r>
          </w:p>
        </w:tc>
        <w:tc>
          <w:tcPr>
            <w:tcW w:w="3960" w:type="dxa"/>
            <w:tcBorders>
              <w:top w:val="nil"/>
              <w:left w:val="nil"/>
              <w:bottom w:val="nil"/>
              <w:right w:val="nil"/>
            </w:tcBorders>
            <w:vAlign w:val="center"/>
          </w:tcPr>
          <w:p w14:paraId="4EBBCEDF" w14:textId="6B98B49B" w:rsidR="00DA67E8" w:rsidRPr="00504494" w:rsidRDefault="00855641" w:rsidP="004142A3">
            <w:pPr>
              <w:spacing w:before="40" w:after="40"/>
              <w:rPr>
                <w:rFonts w:ascii="Arial" w:hAnsi="Arial" w:cs="Arial"/>
                <w:sz w:val="22"/>
                <w:szCs w:val="22"/>
              </w:rPr>
            </w:pPr>
            <w:r>
              <w:rPr>
                <w:rFonts w:ascii="Arial" w:hAnsi="Arial" w:cs="Arial"/>
                <w:sz w:val="22"/>
                <w:szCs w:val="22"/>
              </w:rPr>
              <w:t>0</w:t>
            </w:r>
            <w:r w:rsidR="00F449B5">
              <w:rPr>
                <w:rFonts w:ascii="Arial" w:hAnsi="Arial" w:cs="Arial"/>
                <w:sz w:val="22"/>
                <w:szCs w:val="22"/>
              </w:rPr>
              <w:t>26</w:t>
            </w:r>
            <w:r w:rsidR="004142A3">
              <w:rPr>
                <w:rFonts w:ascii="Arial" w:hAnsi="Arial" w:cs="Arial"/>
                <w:sz w:val="22"/>
                <w:szCs w:val="22"/>
              </w:rPr>
              <w:t>Oct</w:t>
            </w:r>
            <w:r w:rsidR="00F87EA2" w:rsidRPr="00504494">
              <w:rPr>
                <w:rFonts w:ascii="Arial" w:hAnsi="Arial" w:cs="Arial"/>
                <w:sz w:val="22"/>
                <w:szCs w:val="22"/>
              </w:rPr>
              <w:t>201</w:t>
            </w:r>
            <w:r w:rsidR="004142A3">
              <w:rPr>
                <w:rFonts w:ascii="Arial" w:hAnsi="Arial" w:cs="Arial"/>
                <w:sz w:val="22"/>
                <w:szCs w:val="22"/>
              </w:rPr>
              <w:t>8</w:t>
            </w:r>
          </w:p>
        </w:tc>
      </w:tr>
      <w:tr w:rsidR="00DA67E8" w:rsidRPr="00A23D8C" w14:paraId="16D9D2A3" w14:textId="77777777">
        <w:tc>
          <w:tcPr>
            <w:tcW w:w="3960" w:type="dxa"/>
            <w:tcBorders>
              <w:top w:val="nil"/>
              <w:left w:val="nil"/>
              <w:bottom w:val="nil"/>
              <w:right w:val="nil"/>
            </w:tcBorders>
          </w:tcPr>
          <w:p w14:paraId="01E442CA" w14:textId="77777777" w:rsidR="00DA67E8" w:rsidRPr="00824EA4" w:rsidRDefault="00DA67E8">
            <w:pPr>
              <w:jc w:val="both"/>
              <w:rPr>
                <w:rFonts w:ascii="Arial" w:hAnsi="Arial" w:cs="Arial"/>
              </w:rPr>
            </w:pPr>
          </w:p>
        </w:tc>
        <w:tc>
          <w:tcPr>
            <w:tcW w:w="3960" w:type="dxa"/>
            <w:tcBorders>
              <w:top w:val="nil"/>
              <w:left w:val="nil"/>
              <w:bottom w:val="nil"/>
              <w:right w:val="nil"/>
            </w:tcBorders>
          </w:tcPr>
          <w:p w14:paraId="2CE2E0E1" w14:textId="77777777" w:rsidR="00DA67E8" w:rsidRPr="00824EA4" w:rsidRDefault="00DA67E8">
            <w:pPr>
              <w:jc w:val="both"/>
              <w:rPr>
                <w:rFonts w:ascii="Arial" w:hAnsi="Arial" w:cs="Arial"/>
              </w:rPr>
            </w:pPr>
          </w:p>
        </w:tc>
      </w:tr>
      <w:tr w:rsidR="00DA67E8" w:rsidRPr="00A23D8C" w14:paraId="067A2C30" w14:textId="77777777">
        <w:tc>
          <w:tcPr>
            <w:tcW w:w="3960" w:type="dxa"/>
            <w:tcBorders>
              <w:top w:val="nil"/>
              <w:left w:val="nil"/>
              <w:bottom w:val="nil"/>
              <w:right w:val="nil"/>
            </w:tcBorders>
          </w:tcPr>
          <w:p w14:paraId="3D7278DA" w14:textId="77777777" w:rsidR="00DA67E8" w:rsidRPr="00824EA4" w:rsidRDefault="00DA67E8">
            <w:pPr>
              <w:jc w:val="both"/>
              <w:rPr>
                <w:rFonts w:ascii="Arial" w:hAnsi="Arial" w:cs="Arial"/>
              </w:rPr>
            </w:pPr>
          </w:p>
        </w:tc>
        <w:tc>
          <w:tcPr>
            <w:tcW w:w="3960" w:type="dxa"/>
            <w:tcBorders>
              <w:top w:val="nil"/>
              <w:left w:val="nil"/>
              <w:bottom w:val="nil"/>
              <w:right w:val="nil"/>
            </w:tcBorders>
          </w:tcPr>
          <w:p w14:paraId="6B932187" w14:textId="77777777" w:rsidR="00DA67E8" w:rsidRPr="00824EA4" w:rsidRDefault="00DA67E8">
            <w:pPr>
              <w:jc w:val="both"/>
              <w:rPr>
                <w:rFonts w:ascii="Arial" w:hAnsi="Arial" w:cs="Arial"/>
              </w:rPr>
            </w:pPr>
          </w:p>
        </w:tc>
      </w:tr>
      <w:tr w:rsidR="00DA67E8" w:rsidRPr="00A23D8C" w14:paraId="0BFCEFF8" w14:textId="77777777">
        <w:trPr>
          <w:cantSplit/>
        </w:trPr>
        <w:tc>
          <w:tcPr>
            <w:tcW w:w="7920" w:type="dxa"/>
            <w:gridSpan w:val="2"/>
            <w:tcBorders>
              <w:top w:val="nil"/>
              <w:left w:val="nil"/>
              <w:bottom w:val="nil"/>
              <w:right w:val="nil"/>
            </w:tcBorders>
          </w:tcPr>
          <w:p w14:paraId="17FDCF88" w14:textId="77777777" w:rsidR="00DA67E8" w:rsidRPr="00A23D8C" w:rsidRDefault="00DA67E8">
            <w:pPr>
              <w:jc w:val="both"/>
              <w:rPr>
                <w:rFonts w:ascii="Arial" w:hAnsi="Arial" w:cs="Arial"/>
              </w:rPr>
            </w:pPr>
          </w:p>
          <w:p w14:paraId="7F0F60AE" w14:textId="77777777" w:rsidR="00DA67E8" w:rsidRPr="00A23D8C" w:rsidRDefault="00DA67E8">
            <w:pPr>
              <w:jc w:val="both"/>
              <w:rPr>
                <w:rFonts w:ascii="Arial" w:hAnsi="Arial" w:cs="Arial"/>
              </w:rPr>
            </w:pPr>
          </w:p>
        </w:tc>
      </w:tr>
    </w:tbl>
    <w:p w14:paraId="018EC135" w14:textId="77777777" w:rsidR="00DA67E8" w:rsidRPr="00A23D8C" w:rsidRDefault="00DA67E8">
      <w:pPr>
        <w:pStyle w:val="Header"/>
        <w:tabs>
          <w:tab w:val="clear" w:pos="4153"/>
          <w:tab w:val="clear" w:pos="8306"/>
        </w:tabs>
        <w:jc w:val="both"/>
        <w:rPr>
          <w:rFonts w:ascii="Arial" w:hAnsi="Arial" w:cs="Arial"/>
        </w:rPr>
        <w:sectPr w:rsidR="00DA67E8" w:rsidRPr="00A23D8C" w:rsidSect="00294D0B">
          <w:pgSz w:w="11906" w:h="16838" w:code="9"/>
          <w:pgMar w:top="1418" w:right="1701" w:bottom="1418" w:left="1361" w:header="1418" w:footer="567" w:gutter="0"/>
          <w:pgNumType w:start="0"/>
          <w:cols w:space="708"/>
          <w:titlePg/>
          <w:docGrid w:linePitch="360"/>
        </w:sectPr>
      </w:pPr>
    </w:p>
    <w:p w14:paraId="1F36CD3D" w14:textId="30388AE3" w:rsidR="00DA67E8" w:rsidRPr="005A7C04" w:rsidRDefault="00DA67E8" w:rsidP="005A7C04">
      <w:pPr>
        <w:pStyle w:val="Footer"/>
        <w:tabs>
          <w:tab w:val="clear" w:pos="8306"/>
          <w:tab w:val="right" w:pos="8931"/>
        </w:tabs>
        <w:rPr>
          <w:sz w:val="20"/>
          <w:szCs w:val="20"/>
        </w:rPr>
      </w:pPr>
      <w:r w:rsidRPr="00A65DDB">
        <w:rPr>
          <w:rFonts w:ascii="Arial" w:hAnsi="Arial" w:cs="Arial"/>
          <w:sz w:val="22"/>
          <w:szCs w:val="22"/>
        </w:rPr>
        <w:lastRenderedPageBreak/>
        <w:t>Protocol</w:t>
      </w:r>
      <w:r w:rsidR="00F956EC" w:rsidRPr="00AD35CC">
        <w:rPr>
          <w:rFonts w:ascii="Arial" w:hAnsi="Arial"/>
          <w:sz w:val="22"/>
          <w:lang w:val="en-GB"/>
        </w:rPr>
        <w:t xml:space="preserve"> </w:t>
      </w:r>
      <w:r w:rsidR="004142A3">
        <w:rPr>
          <w:rFonts w:ascii="Arial" w:hAnsi="Arial" w:cs="Arial"/>
          <w:sz w:val="22"/>
          <w:szCs w:val="22"/>
          <w:lang w:val="en-GB"/>
        </w:rPr>
        <w:t>7</w:t>
      </w:r>
      <w:r w:rsidR="00F956EC">
        <w:rPr>
          <w:rFonts w:ascii="Arial" w:hAnsi="Arial" w:cs="Arial"/>
          <w:sz w:val="22"/>
          <w:szCs w:val="22"/>
          <w:lang w:val="en-GB"/>
        </w:rPr>
        <w:t>.0</w:t>
      </w:r>
      <w:r w:rsidR="00C86FF9">
        <w:rPr>
          <w:rFonts w:ascii="Arial" w:hAnsi="Arial" w:cs="Arial"/>
          <w:sz w:val="22"/>
          <w:szCs w:val="22"/>
          <w:lang w:val="en-GB"/>
        </w:rPr>
        <w:t xml:space="preserve"> </w:t>
      </w:r>
      <w:r w:rsidR="00912946">
        <w:rPr>
          <w:rFonts w:ascii="Arial" w:hAnsi="Arial" w:cs="Arial"/>
          <w:sz w:val="22"/>
          <w:szCs w:val="22"/>
        </w:rPr>
        <w:t xml:space="preserve">– </w:t>
      </w:r>
      <w:r w:rsidRPr="00A65DDB">
        <w:rPr>
          <w:rFonts w:ascii="Arial" w:hAnsi="Arial" w:cs="Arial"/>
          <w:sz w:val="22"/>
          <w:szCs w:val="22"/>
        </w:rPr>
        <w:t xml:space="preserve"> </w:t>
      </w:r>
      <w:r w:rsidR="00F449B5">
        <w:rPr>
          <w:rFonts w:ascii="Arial" w:hAnsi="Arial"/>
          <w:sz w:val="22"/>
          <w:lang w:val="en-GB"/>
        </w:rPr>
        <w:t>26</w:t>
      </w:r>
      <w:r w:rsidR="004142A3">
        <w:rPr>
          <w:rFonts w:ascii="Arial" w:hAnsi="Arial"/>
          <w:sz w:val="22"/>
          <w:lang w:val="en-GB"/>
        </w:rPr>
        <w:t>Oct2018</w:t>
      </w:r>
      <w:r w:rsidR="0047748A">
        <w:rPr>
          <w:rFonts w:ascii="Arial" w:hAnsi="Arial"/>
          <w:sz w:val="22"/>
          <w:lang w:val="en-GB"/>
        </w:rPr>
        <w:t xml:space="preserve"> </w:t>
      </w:r>
      <w:r w:rsidRPr="00A65DDB">
        <w:rPr>
          <w:rFonts w:ascii="Arial" w:hAnsi="Arial" w:cs="Arial"/>
          <w:sz w:val="22"/>
          <w:szCs w:val="22"/>
        </w:rPr>
        <w:t>Authorisation signatures</w:t>
      </w:r>
    </w:p>
    <w:p w14:paraId="146C56EF" w14:textId="77777777" w:rsidR="00DA67E8" w:rsidRPr="00A65DDB" w:rsidRDefault="00DA67E8">
      <w:pPr>
        <w:jc w:val="both"/>
        <w:rPr>
          <w:rFonts w:ascii="Arial" w:hAnsi="Arial" w:cs="Arial"/>
          <w:sz w:val="22"/>
          <w:szCs w:val="22"/>
        </w:rPr>
      </w:pPr>
    </w:p>
    <w:tbl>
      <w:tblPr>
        <w:tblW w:w="9690" w:type="dxa"/>
        <w:tblInd w:w="-176" w:type="dxa"/>
        <w:tblLook w:val="0000" w:firstRow="0" w:lastRow="0" w:firstColumn="0" w:lastColumn="0" w:noHBand="0" w:noVBand="0"/>
      </w:tblPr>
      <w:tblGrid>
        <w:gridCol w:w="4962"/>
        <w:gridCol w:w="2552"/>
        <w:gridCol w:w="283"/>
        <w:gridCol w:w="1893"/>
      </w:tblGrid>
      <w:tr w:rsidR="0048378C" w:rsidRPr="00A65DDB" w14:paraId="4432440C" w14:textId="77777777" w:rsidTr="0047748A">
        <w:tc>
          <w:tcPr>
            <w:tcW w:w="4962" w:type="dxa"/>
          </w:tcPr>
          <w:p w14:paraId="1B4FC407" w14:textId="77777777" w:rsidR="00DA67E8" w:rsidRPr="00A65DDB" w:rsidRDefault="00DA67E8">
            <w:pPr>
              <w:jc w:val="both"/>
              <w:rPr>
                <w:rFonts w:ascii="Arial" w:hAnsi="Arial" w:cs="Arial"/>
              </w:rPr>
            </w:pPr>
            <w:r w:rsidRPr="00A65DDB">
              <w:rPr>
                <w:rFonts w:ascii="Arial" w:hAnsi="Arial" w:cs="Arial"/>
                <w:sz w:val="22"/>
                <w:szCs w:val="22"/>
              </w:rPr>
              <w:t>Name &amp; Role:</w:t>
            </w:r>
          </w:p>
        </w:tc>
        <w:tc>
          <w:tcPr>
            <w:tcW w:w="2552" w:type="dxa"/>
          </w:tcPr>
          <w:p w14:paraId="5E1FF2AB" w14:textId="77777777" w:rsidR="00DA67E8" w:rsidRPr="00A65DDB" w:rsidRDefault="00DA67E8">
            <w:pPr>
              <w:jc w:val="both"/>
              <w:rPr>
                <w:rFonts w:ascii="Arial" w:hAnsi="Arial" w:cs="Arial"/>
              </w:rPr>
            </w:pPr>
            <w:r w:rsidRPr="00A65DDB">
              <w:rPr>
                <w:rFonts w:ascii="Arial" w:hAnsi="Arial" w:cs="Arial"/>
                <w:sz w:val="22"/>
                <w:szCs w:val="22"/>
              </w:rPr>
              <w:t>Signature:</w:t>
            </w:r>
          </w:p>
        </w:tc>
        <w:tc>
          <w:tcPr>
            <w:tcW w:w="283" w:type="dxa"/>
          </w:tcPr>
          <w:p w14:paraId="0AAD77D2" w14:textId="77777777" w:rsidR="00DA67E8" w:rsidRPr="00A65DDB" w:rsidRDefault="00DA67E8">
            <w:pPr>
              <w:jc w:val="both"/>
              <w:rPr>
                <w:rFonts w:ascii="Arial" w:hAnsi="Arial" w:cs="Arial"/>
              </w:rPr>
            </w:pPr>
          </w:p>
        </w:tc>
        <w:tc>
          <w:tcPr>
            <w:tcW w:w="1893" w:type="dxa"/>
          </w:tcPr>
          <w:p w14:paraId="3BDA63C5" w14:textId="77777777" w:rsidR="00DA67E8" w:rsidRPr="00A65DDB" w:rsidRDefault="00DA67E8">
            <w:pPr>
              <w:jc w:val="both"/>
              <w:rPr>
                <w:rFonts w:ascii="Arial" w:hAnsi="Arial" w:cs="Arial"/>
              </w:rPr>
            </w:pPr>
            <w:r w:rsidRPr="00A65DDB">
              <w:rPr>
                <w:rFonts w:ascii="Arial" w:hAnsi="Arial" w:cs="Arial"/>
                <w:sz w:val="22"/>
                <w:szCs w:val="22"/>
              </w:rPr>
              <w:t>Date authorised:</w:t>
            </w:r>
          </w:p>
        </w:tc>
      </w:tr>
      <w:tr w:rsidR="0047748A" w:rsidRPr="00A65DDB" w14:paraId="0609987C" w14:textId="77777777" w:rsidTr="0047748A">
        <w:tc>
          <w:tcPr>
            <w:tcW w:w="4962" w:type="dxa"/>
            <w:vAlign w:val="bottom"/>
          </w:tcPr>
          <w:p w14:paraId="66DE4059" w14:textId="77777777" w:rsidR="0047748A" w:rsidRDefault="0047748A" w:rsidP="0047748A">
            <w:pPr>
              <w:jc w:val="both"/>
              <w:rPr>
                <w:rFonts w:ascii="Arial" w:hAnsi="Arial" w:cs="Arial"/>
                <w:sz w:val="22"/>
                <w:szCs w:val="22"/>
              </w:rPr>
            </w:pPr>
          </w:p>
          <w:p w14:paraId="0159D552" w14:textId="7D0C95DD" w:rsidR="0047748A" w:rsidRPr="00A65DDB" w:rsidRDefault="0047748A" w:rsidP="0047748A">
            <w:pPr>
              <w:jc w:val="both"/>
              <w:rPr>
                <w:rFonts w:ascii="Arial" w:hAnsi="Arial" w:cs="Arial"/>
              </w:rPr>
            </w:pPr>
            <w:r w:rsidRPr="00A65DDB">
              <w:rPr>
                <w:rFonts w:ascii="Arial" w:hAnsi="Arial" w:cs="Arial"/>
                <w:sz w:val="22"/>
                <w:szCs w:val="22"/>
              </w:rPr>
              <w:t>Chief Investigator:</w:t>
            </w:r>
          </w:p>
          <w:p w14:paraId="6E5969F3" w14:textId="77777777" w:rsidR="0047748A" w:rsidRPr="00A65DDB" w:rsidRDefault="0047748A" w:rsidP="0047748A">
            <w:pPr>
              <w:jc w:val="both"/>
              <w:rPr>
                <w:rFonts w:ascii="Arial" w:hAnsi="Arial" w:cs="Arial"/>
              </w:rPr>
            </w:pPr>
            <w:r>
              <w:rPr>
                <w:rFonts w:ascii="Arial" w:hAnsi="Arial" w:cs="Arial"/>
                <w:sz w:val="22"/>
                <w:szCs w:val="22"/>
              </w:rPr>
              <w:t>Professor Dean Fennell</w:t>
            </w:r>
          </w:p>
          <w:p w14:paraId="6DEDFF72" w14:textId="77777777" w:rsidR="0047748A" w:rsidRDefault="0047748A" w:rsidP="0047748A">
            <w:pPr>
              <w:jc w:val="both"/>
              <w:rPr>
                <w:rFonts w:ascii="Arial" w:hAnsi="Arial" w:cs="Arial"/>
                <w:sz w:val="22"/>
                <w:szCs w:val="22"/>
              </w:rPr>
            </w:pPr>
            <w:r w:rsidRPr="006379E9">
              <w:rPr>
                <w:rFonts w:ascii="Arial" w:hAnsi="Arial" w:cs="Arial"/>
                <w:sz w:val="22"/>
                <w:szCs w:val="22"/>
              </w:rPr>
              <w:t>Chair of Thoracic Medical Oncology</w:t>
            </w:r>
          </w:p>
          <w:p w14:paraId="77429433" w14:textId="33C37F0E" w:rsidR="0047748A" w:rsidRPr="00A65DDB" w:rsidRDefault="0047748A" w:rsidP="0047748A">
            <w:pPr>
              <w:jc w:val="both"/>
              <w:rPr>
                <w:rFonts w:ascii="Arial" w:hAnsi="Arial" w:cs="Arial"/>
              </w:rPr>
            </w:pPr>
          </w:p>
        </w:tc>
        <w:tc>
          <w:tcPr>
            <w:tcW w:w="2552" w:type="dxa"/>
          </w:tcPr>
          <w:p w14:paraId="6A2679D6" w14:textId="77777777" w:rsidR="0047748A" w:rsidRDefault="0047748A" w:rsidP="0047748A">
            <w:pPr>
              <w:jc w:val="both"/>
              <w:rPr>
                <w:rFonts w:ascii="Arial" w:hAnsi="Arial" w:cs="Arial"/>
              </w:rPr>
            </w:pPr>
          </w:p>
          <w:p w14:paraId="1CE2362D" w14:textId="77777777" w:rsidR="0047748A" w:rsidRDefault="0047748A" w:rsidP="0047748A">
            <w:pPr>
              <w:jc w:val="both"/>
              <w:rPr>
                <w:rFonts w:ascii="Arial" w:hAnsi="Arial" w:cs="Arial"/>
              </w:rPr>
            </w:pPr>
          </w:p>
          <w:p w14:paraId="503C56BF" w14:textId="6F006262" w:rsidR="0047748A" w:rsidRPr="00A65DDB" w:rsidRDefault="0047748A" w:rsidP="0047748A">
            <w:pPr>
              <w:jc w:val="both"/>
              <w:rPr>
                <w:rFonts w:ascii="Arial" w:hAnsi="Arial" w:cs="Arial"/>
              </w:rPr>
            </w:pPr>
            <w:r>
              <w:rPr>
                <w:rFonts w:ascii="Arial" w:hAnsi="Arial" w:cs="Arial"/>
              </w:rPr>
              <w:t>_________________</w:t>
            </w:r>
          </w:p>
        </w:tc>
        <w:tc>
          <w:tcPr>
            <w:tcW w:w="283" w:type="dxa"/>
          </w:tcPr>
          <w:p w14:paraId="35D8BEB8" w14:textId="77777777" w:rsidR="0047748A" w:rsidRPr="00A65DDB" w:rsidRDefault="0047748A" w:rsidP="0047748A">
            <w:pPr>
              <w:jc w:val="both"/>
              <w:rPr>
                <w:rFonts w:ascii="Arial" w:hAnsi="Arial" w:cs="Arial"/>
              </w:rPr>
            </w:pPr>
          </w:p>
        </w:tc>
        <w:tc>
          <w:tcPr>
            <w:tcW w:w="1893" w:type="dxa"/>
          </w:tcPr>
          <w:p w14:paraId="7B1B48E2" w14:textId="77777777" w:rsidR="0047748A" w:rsidRDefault="0047748A" w:rsidP="0047748A">
            <w:pPr>
              <w:jc w:val="both"/>
              <w:rPr>
                <w:rFonts w:ascii="Arial" w:hAnsi="Arial" w:cs="Arial"/>
              </w:rPr>
            </w:pPr>
          </w:p>
          <w:p w14:paraId="2866B9D4" w14:textId="77777777" w:rsidR="0047748A" w:rsidRDefault="0047748A" w:rsidP="0047748A">
            <w:pPr>
              <w:jc w:val="both"/>
              <w:rPr>
                <w:rFonts w:ascii="Arial" w:hAnsi="Arial" w:cs="Arial"/>
              </w:rPr>
            </w:pPr>
          </w:p>
          <w:p w14:paraId="571970CF" w14:textId="12D83C2B" w:rsidR="0047748A" w:rsidRPr="00A65DDB" w:rsidRDefault="0047748A" w:rsidP="0047748A">
            <w:pPr>
              <w:jc w:val="both"/>
              <w:rPr>
                <w:rFonts w:ascii="Arial" w:hAnsi="Arial" w:cs="Arial"/>
              </w:rPr>
            </w:pPr>
            <w:r>
              <w:rPr>
                <w:rFonts w:ascii="Arial" w:hAnsi="Arial" w:cs="Arial"/>
              </w:rPr>
              <w:t>____________</w:t>
            </w:r>
          </w:p>
        </w:tc>
      </w:tr>
      <w:tr w:rsidR="0047748A" w:rsidRPr="00B4680E" w14:paraId="5E61A779" w14:textId="77777777" w:rsidTr="0047748A">
        <w:tc>
          <w:tcPr>
            <w:tcW w:w="4962" w:type="dxa"/>
          </w:tcPr>
          <w:p w14:paraId="402B5496" w14:textId="77777777" w:rsidR="0047748A" w:rsidRPr="00B4680E" w:rsidRDefault="0047748A" w:rsidP="0047748A">
            <w:pPr>
              <w:jc w:val="both"/>
              <w:rPr>
                <w:rFonts w:ascii="Arial" w:hAnsi="Arial" w:cs="Arial"/>
              </w:rPr>
            </w:pPr>
            <w:r w:rsidRPr="00B4680E">
              <w:rPr>
                <w:rFonts w:ascii="Arial" w:hAnsi="Arial" w:cs="Arial"/>
                <w:sz w:val="22"/>
                <w:szCs w:val="22"/>
              </w:rPr>
              <w:t>For the Sponsor:</w:t>
            </w:r>
          </w:p>
          <w:p w14:paraId="5958DED9" w14:textId="77777777" w:rsidR="0047748A" w:rsidRPr="00B4680E" w:rsidRDefault="0047748A" w:rsidP="0047748A">
            <w:pPr>
              <w:jc w:val="both"/>
              <w:rPr>
                <w:rFonts w:ascii="Arial" w:hAnsi="Arial" w:cs="Arial"/>
              </w:rPr>
            </w:pPr>
            <w:r w:rsidRPr="00B4680E">
              <w:rPr>
                <w:rFonts w:ascii="Arial" w:hAnsi="Arial" w:cs="Arial"/>
                <w:sz w:val="22"/>
                <w:szCs w:val="22"/>
              </w:rPr>
              <w:t>Professor Jonathan Ledermann</w:t>
            </w:r>
          </w:p>
          <w:p w14:paraId="25D23D1D" w14:textId="77777777" w:rsidR="0047748A" w:rsidRDefault="0047748A" w:rsidP="0047748A">
            <w:pPr>
              <w:jc w:val="both"/>
              <w:rPr>
                <w:rFonts w:ascii="Arial" w:hAnsi="Arial" w:cs="Arial"/>
                <w:sz w:val="22"/>
                <w:szCs w:val="22"/>
              </w:rPr>
            </w:pPr>
            <w:r w:rsidRPr="00B4680E">
              <w:rPr>
                <w:rFonts w:ascii="Arial" w:hAnsi="Arial" w:cs="Arial"/>
                <w:sz w:val="22"/>
                <w:szCs w:val="22"/>
              </w:rPr>
              <w:t>Director, UCL CTC</w:t>
            </w:r>
          </w:p>
          <w:p w14:paraId="392B7403" w14:textId="322A8F8F" w:rsidR="0047748A" w:rsidRPr="00B4680E" w:rsidRDefault="0047748A" w:rsidP="0047748A">
            <w:pPr>
              <w:jc w:val="both"/>
              <w:rPr>
                <w:rFonts w:ascii="Arial" w:hAnsi="Arial" w:cs="Arial"/>
              </w:rPr>
            </w:pPr>
          </w:p>
        </w:tc>
        <w:tc>
          <w:tcPr>
            <w:tcW w:w="2552" w:type="dxa"/>
          </w:tcPr>
          <w:p w14:paraId="08C32484" w14:textId="77777777" w:rsidR="0047748A" w:rsidRDefault="0047748A" w:rsidP="0047748A">
            <w:pPr>
              <w:jc w:val="both"/>
              <w:rPr>
                <w:rFonts w:ascii="Arial" w:hAnsi="Arial" w:cs="Arial"/>
              </w:rPr>
            </w:pPr>
          </w:p>
          <w:p w14:paraId="415CA2FC" w14:textId="77777777" w:rsidR="0047748A" w:rsidRDefault="0047748A" w:rsidP="0047748A">
            <w:pPr>
              <w:jc w:val="both"/>
              <w:rPr>
                <w:rFonts w:ascii="Arial" w:hAnsi="Arial" w:cs="Arial"/>
              </w:rPr>
            </w:pPr>
          </w:p>
          <w:p w14:paraId="530E5BF3" w14:textId="19E57EE2" w:rsidR="0047748A" w:rsidRPr="00B4680E" w:rsidRDefault="0047748A" w:rsidP="0047748A">
            <w:pPr>
              <w:jc w:val="both"/>
              <w:rPr>
                <w:rFonts w:ascii="Arial" w:hAnsi="Arial" w:cs="Arial"/>
              </w:rPr>
            </w:pPr>
            <w:r>
              <w:rPr>
                <w:rFonts w:ascii="Arial" w:hAnsi="Arial" w:cs="Arial"/>
              </w:rPr>
              <w:t>_________________</w:t>
            </w:r>
          </w:p>
        </w:tc>
        <w:tc>
          <w:tcPr>
            <w:tcW w:w="283" w:type="dxa"/>
          </w:tcPr>
          <w:p w14:paraId="68EA5058" w14:textId="77777777" w:rsidR="0047748A" w:rsidRPr="00B4680E" w:rsidRDefault="0047748A" w:rsidP="0047748A">
            <w:pPr>
              <w:jc w:val="both"/>
              <w:rPr>
                <w:rFonts w:ascii="Arial" w:hAnsi="Arial" w:cs="Arial"/>
              </w:rPr>
            </w:pPr>
          </w:p>
        </w:tc>
        <w:tc>
          <w:tcPr>
            <w:tcW w:w="1893" w:type="dxa"/>
          </w:tcPr>
          <w:p w14:paraId="272DB8CA" w14:textId="77777777" w:rsidR="0047748A" w:rsidRDefault="0047748A" w:rsidP="0047748A">
            <w:pPr>
              <w:jc w:val="both"/>
              <w:rPr>
                <w:rFonts w:ascii="Arial" w:hAnsi="Arial" w:cs="Arial"/>
              </w:rPr>
            </w:pPr>
          </w:p>
          <w:p w14:paraId="3FCE5FD0" w14:textId="77777777" w:rsidR="0047748A" w:rsidRDefault="0047748A" w:rsidP="0047748A">
            <w:pPr>
              <w:jc w:val="both"/>
              <w:rPr>
                <w:rFonts w:ascii="Arial" w:hAnsi="Arial" w:cs="Arial"/>
              </w:rPr>
            </w:pPr>
          </w:p>
          <w:p w14:paraId="00191C5C" w14:textId="3F7D2A59" w:rsidR="0047748A" w:rsidRPr="00B4680E" w:rsidRDefault="0047748A" w:rsidP="0047748A">
            <w:pPr>
              <w:jc w:val="both"/>
              <w:rPr>
                <w:rFonts w:ascii="Arial" w:hAnsi="Arial" w:cs="Arial"/>
              </w:rPr>
            </w:pPr>
            <w:r>
              <w:rPr>
                <w:rFonts w:ascii="Arial" w:hAnsi="Arial" w:cs="Arial"/>
              </w:rPr>
              <w:t>____________</w:t>
            </w:r>
          </w:p>
        </w:tc>
      </w:tr>
      <w:tr w:rsidR="0047748A" w:rsidRPr="00B4680E" w14:paraId="21D75F8A" w14:textId="77777777" w:rsidTr="0047748A">
        <w:tc>
          <w:tcPr>
            <w:tcW w:w="4962" w:type="dxa"/>
            <w:vAlign w:val="bottom"/>
          </w:tcPr>
          <w:p w14:paraId="44587DEA" w14:textId="77777777" w:rsidR="0047748A" w:rsidRDefault="0047748A" w:rsidP="0047748A">
            <w:pPr>
              <w:jc w:val="both"/>
              <w:rPr>
                <w:rFonts w:ascii="Arial" w:hAnsi="Arial" w:cs="Arial"/>
                <w:sz w:val="22"/>
                <w:szCs w:val="22"/>
              </w:rPr>
            </w:pPr>
          </w:p>
          <w:p w14:paraId="5091393E" w14:textId="3AAAC51B" w:rsidR="0047748A" w:rsidRPr="00B4680E" w:rsidRDefault="0047748A" w:rsidP="0047748A">
            <w:pPr>
              <w:jc w:val="both"/>
              <w:rPr>
                <w:rFonts w:ascii="Arial" w:hAnsi="Arial" w:cs="Arial"/>
              </w:rPr>
            </w:pPr>
            <w:r>
              <w:rPr>
                <w:rFonts w:ascii="Arial" w:hAnsi="Arial" w:cs="Arial"/>
                <w:sz w:val="22"/>
                <w:szCs w:val="22"/>
              </w:rPr>
              <w:t>Laura Farrelly</w:t>
            </w:r>
          </w:p>
          <w:p w14:paraId="7FE7AB97" w14:textId="77777777" w:rsidR="0047748A" w:rsidRDefault="0047748A" w:rsidP="0047748A">
            <w:pPr>
              <w:jc w:val="both"/>
              <w:rPr>
                <w:rFonts w:ascii="Arial" w:hAnsi="Arial" w:cs="Arial"/>
                <w:sz w:val="22"/>
                <w:szCs w:val="22"/>
              </w:rPr>
            </w:pPr>
            <w:r>
              <w:rPr>
                <w:rFonts w:ascii="Arial" w:hAnsi="Arial" w:cs="Arial"/>
                <w:sz w:val="22"/>
                <w:szCs w:val="22"/>
              </w:rPr>
              <w:t>Trials</w:t>
            </w:r>
            <w:r w:rsidRPr="00E23505">
              <w:rPr>
                <w:rFonts w:ascii="Arial" w:hAnsi="Arial" w:cs="Arial"/>
                <w:sz w:val="22"/>
                <w:szCs w:val="22"/>
              </w:rPr>
              <w:t xml:space="preserve"> Group Lead</w:t>
            </w:r>
            <w:r>
              <w:rPr>
                <w:rFonts w:ascii="Arial" w:hAnsi="Arial" w:cs="Arial"/>
                <w:sz w:val="22"/>
                <w:szCs w:val="22"/>
              </w:rPr>
              <w:t xml:space="preserve"> for lung and gynae</w:t>
            </w:r>
            <w:r w:rsidRPr="00E23505">
              <w:rPr>
                <w:rFonts w:ascii="Arial" w:hAnsi="Arial" w:cs="Arial"/>
                <w:sz w:val="22"/>
                <w:szCs w:val="22"/>
              </w:rPr>
              <w:t>, UCL CTC</w:t>
            </w:r>
          </w:p>
          <w:p w14:paraId="37870E1B" w14:textId="07526B36" w:rsidR="0047748A" w:rsidRPr="00B4680E" w:rsidRDefault="0047748A" w:rsidP="0047748A">
            <w:pPr>
              <w:jc w:val="both"/>
              <w:rPr>
                <w:rFonts w:ascii="Arial" w:hAnsi="Arial" w:cs="Arial"/>
              </w:rPr>
            </w:pPr>
          </w:p>
        </w:tc>
        <w:tc>
          <w:tcPr>
            <w:tcW w:w="2552" w:type="dxa"/>
          </w:tcPr>
          <w:p w14:paraId="23A6F245" w14:textId="77777777" w:rsidR="0047748A" w:rsidRDefault="0047748A" w:rsidP="0047748A">
            <w:pPr>
              <w:jc w:val="both"/>
              <w:rPr>
                <w:rFonts w:ascii="Arial" w:hAnsi="Arial" w:cs="Arial"/>
              </w:rPr>
            </w:pPr>
          </w:p>
          <w:p w14:paraId="56A9022E" w14:textId="77777777" w:rsidR="0047748A" w:rsidRDefault="0047748A" w:rsidP="0047748A">
            <w:pPr>
              <w:jc w:val="both"/>
              <w:rPr>
                <w:rFonts w:ascii="Arial" w:hAnsi="Arial" w:cs="Arial"/>
              </w:rPr>
            </w:pPr>
          </w:p>
          <w:p w14:paraId="5334F368" w14:textId="2CC572A2" w:rsidR="0047748A" w:rsidRPr="00B4680E" w:rsidRDefault="0047748A" w:rsidP="0047748A">
            <w:pPr>
              <w:jc w:val="both"/>
              <w:rPr>
                <w:rFonts w:ascii="Arial" w:hAnsi="Arial" w:cs="Arial"/>
              </w:rPr>
            </w:pPr>
            <w:r>
              <w:rPr>
                <w:rFonts w:ascii="Arial" w:hAnsi="Arial" w:cs="Arial"/>
              </w:rPr>
              <w:t>_________________</w:t>
            </w:r>
          </w:p>
        </w:tc>
        <w:tc>
          <w:tcPr>
            <w:tcW w:w="283" w:type="dxa"/>
          </w:tcPr>
          <w:p w14:paraId="316AAF34" w14:textId="77777777" w:rsidR="0047748A" w:rsidRPr="00B4680E" w:rsidRDefault="0047748A" w:rsidP="0047748A">
            <w:pPr>
              <w:jc w:val="both"/>
              <w:rPr>
                <w:rFonts w:ascii="Arial" w:hAnsi="Arial" w:cs="Arial"/>
              </w:rPr>
            </w:pPr>
          </w:p>
        </w:tc>
        <w:tc>
          <w:tcPr>
            <w:tcW w:w="1893" w:type="dxa"/>
          </w:tcPr>
          <w:p w14:paraId="1D3DCC67" w14:textId="77777777" w:rsidR="0047748A" w:rsidRDefault="0047748A" w:rsidP="0047748A">
            <w:pPr>
              <w:jc w:val="both"/>
              <w:rPr>
                <w:rFonts w:ascii="Arial" w:hAnsi="Arial" w:cs="Arial"/>
              </w:rPr>
            </w:pPr>
          </w:p>
          <w:p w14:paraId="3125FF1B" w14:textId="77777777" w:rsidR="0047748A" w:rsidRDefault="0047748A" w:rsidP="0047748A">
            <w:pPr>
              <w:jc w:val="both"/>
              <w:rPr>
                <w:rFonts w:ascii="Arial" w:hAnsi="Arial" w:cs="Arial"/>
              </w:rPr>
            </w:pPr>
          </w:p>
          <w:p w14:paraId="64D0303C" w14:textId="01DA5CC7" w:rsidR="0047748A" w:rsidRPr="00B4680E" w:rsidRDefault="0047748A" w:rsidP="0047748A">
            <w:pPr>
              <w:jc w:val="both"/>
              <w:rPr>
                <w:rFonts w:ascii="Arial" w:hAnsi="Arial" w:cs="Arial"/>
              </w:rPr>
            </w:pPr>
            <w:r>
              <w:rPr>
                <w:rFonts w:ascii="Arial" w:hAnsi="Arial" w:cs="Arial"/>
              </w:rPr>
              <w:t>____________</w:t>
            </w:r>
          </w:p>
        </w:tc>
      </w:tr>
    </w:tbl>
    <w:p w14:paraId="6EA2D658" w14:textId="77777777" w:rsidR="00FE4CD8" w:rsidRDefault="00FE4CD8" w:rsidP="001773A1">
      <w:pPr>
        <w:pStyle w:val="ProtTempparagraph"/>
        <w:spacing w:before="240" w:after="60"/>
        <w:rPr>
          <w:b/>
          <w:sz w:val="22"/>
          <w:szCs w:val="22"/>
        </w:rPr>
      </w:pPr>
    </w:p>
    <w:p w14:paraId="7805CEA0" w14:textId="09D9A2DA" w:rsidR="00DA67E8" w:rsidRPr="00B4680E" w:rsidRDefault="00DA67E8" w:rsidP="001773A1">
      <w:pPr>
        <w:pStyle w:val="ProtTempparagraph"/>
        <w:spacing w:before="240" w:after="60"/>
        <w:rPr>
          <w:sz w:val="22"/>
          <w:szCs w:val="22"/>
        </w:rPr>
      </w:pPr>
      <w:r w:rsidRPr="00B4680E">
        <w:rPr>
          <w:b/>
          <w:sz w:val="22"/>
          <w:szCs w:val="22"/>
        </w:rPr>
        <w:t>Please note:</w:t>
      </w:r>
      <w:r w:rsidRPr="00B4680E">
        <w:rPr>
          <w:sz w:val="22"/>
          <w:szCs w:val="22"/>
        </w:rPr>
        <w:t xml:space="preserve"> This trial protocol must not be applied to patients treated outside the MESO</w:t>
      </w:r>
      <w:r w:rsidR="0022131D">
        <w:rPr>
          <w:sz w:val="22"/>
          <w:szCs w:val="22"/>
        </w:rPr>
        <w:noBreakHyphen/>
      </w:r>
      <w:r w:rsidRPr="00B4680E">
        <w:rPr>
          <w:sz w:val="22"/>
          <w:szCs w:val="22"/>
        </w:rPr>
        <w:t>02</w:t>
      </w:r>
      <w:r w:rsidR="00602586">
        <w:rPr>
          <w:sz w:val="22"/>
          <w:szCs w:val="22"/>
        </w:rPr>
        <w:t xml:space="preserve"> </w:t>
      </w:r>
      <w:r w:rsidRPr="00B4680E">
        <w:rPr>
          <w:sz w:val="22"/>
          <w:szCs w:val="22"/>
        </w:rPr>
        <w:t>trial.  UCL CTC can only ensure that a</w:t>
      </w:r>
      <w:r w:rsidR="0047748A">
        <w:rPr>
          <w:sz w:val="22"/>
          <w:szCs w:val="22"/>
        </w:rPr>
        <w:t>pproved trial investigators are</w:t>
      </w:r>
      <w:r w:rsidR="007D1AA2">
        <w:rPr>
          <w:sz w:val="22"/>
          <w:szCs w:val="22"/>
        </w:rPr>
        <w:t xml:space="preserve"> </w:t>
      </w:r>
      <w:r w:rsidRPr="00B4680E">
        <w:rPr>
          <w:sz w:val="22"/>
          <w:szCs w:val="22"/>
        </w:rPr>
        <w:t>provided with amendments to the protocol.</w:t>
      </w:r>
    </w:p>
    <w:p w14:paraId="11D4B641" w14:textId="77777777" w:rsidR="00DA67E8" w:rsidRPr="00A65DDB" w:rsidRDefault="00DA67E8" w:rsidP="00BF3FC9">
      <w:pPr>
        <w:autoSpaceDE w:val="0"/>
        <w:autoSpaceDN w:val="0"/>
        <w:adjustRightInd w:val="0"/>
        <w:jc w:val="both"/>
        <w:rPr>
          <w:rFonts w:ascii="Arial" w:hAnsi="Arial" w:cs="Arial"/>
          <w:color w:val="FF0000"/>
          <w:sz w:val="22"/>
          <w:szCs w:val="22"/>
        </w:rPr>
      </w:pPr>
    </w:p>
    <w:p w14:paraId="2860A545" w14:textId="00006605" w:rsidR="00DA67E8" w:rsidRPr="00B4680E" w:rsidRDefault="008B69D5" w:rsidP="00BF3FC9">
      <w:pPr>
        <w:autoSpaceDE w:val="0"/>
        <w:autoSpaceDN w:val="0"/>
        <w:adjustRightInd w:val="0"/>
        <w:jc w:val="both"/>
        <w:rPr>
          <w:rFonts w:ascii="Arial" w:hAnsi="Arial" w:cs="Arial"/>
          <w:sz w:val="22"/>
          <w:szCs w:val="22"/>
        </w:rPr>
      </w:pPr>
      <w:proofErr w:type="spellStart"/>
      <w:r>
        <w:rPr>
          <w:rFonts w:ascii="Arial" w:hAnsi="Arial" w:cs="Arial"/>
          <w:sz w:val="22"/>
          <w:szCs w:val="22"/>
        </w:rPr>
        <w:t>Aldeyra</w:t>
      </w:r>
      <w:proofErr w:type="spellEnd"/>
      <w:r>
        <w:rPr>
          <w:rFonts w:ascii="Arial" w:hAnsi="Arial" w:cs="Arial"/>
          <w:sz w:val="22"/>
          <w:szCs w:val="22"/>
        </w:rPr>
        <w:t xml:space="preserve"> </w:t>
      </w:r>
      <w:r w:rsidR="009D2ACC">
        <w:rPr>
          <w:rFonts w:ascii="Arial" w:hAnsi="Arial" w:cs="Arial"/>
          <w:sz w:val="22"/>
          <w:szCs w:val="22"/>
        </w:rPr>
        <w:t>Therapeutics</w:t>
      </w:r>
      <w:r w:rsidR="000D0BB9">
        <w:rPr>
          <w:rFonts w:ascii="Arial" w:hAnsi="Arial" w:cs="Arial"/>
          <w:sz w:val="22"/>
          <w:szCs w:val="22"/>
        </w:rPr>
        <w:t>, Inc.</w:t>
      </w:r>
      <w:r w:rsidR="009D2ACC">
        <w:rPr>
          <w:rFonts w:ascii="Arial" w:hAnsi="Arial" w:cs="Arial"/>
          <w:sz w:val="22"/>
          <w:szCs w:val="22"/>
        </w:rPr>
        <w:t xml:space="preserve"> </w:t>
      </w:r>
      <w:r>
        <w:rPr>
          <w:rFonts w:ascii="Arial" w:hAnsi="Arial" w:cs="Arial"/>
          <w:sz w:val="22"/>
          <w:szCs w:val="22"/>
        </w:rPr>
        <w:t xml:space="preserve">and </w:t>
      </w:r>
      <w:r w:rsidR="00855641" w:rsidRPr="00855641">
        <w:rPr>
          <w:rFonts w:ascii="Arial" w:hAnsi="Arial" w:cs="Arial"/>
          <w:sz w:val="22"/>
          <w:szCs w:val="22"/>
        </w:rPr>
        <w:t>Madrigal Pharmaceuticals</w:t>
      </w:r>
      <w:r w:rsidR="00F449B5">
        <w:rPr>
          <w:rFonts w:ascii="Arial" w:hAnsi="Arial" w:cs="Arial"/>
          <w:sz w:val="22"/>
          <w:szCs w:val="22"/>
        </w:rPr>
        <w:t>,</w:t>
      </w:r>
      <w:r w:rsidR="00855641" w:rsidRPr="00855641">
        <w:rPr>
          <w:rFonts w:ascii="Arial" w:hAnsi="Arial" w:cs="Arial"/>
          <w:sz w:val="22"/>
          <w:szCs w:val="22"/>
        </w:rPr>
        <w:t xml:space="preserve"> Inc (formerly </w:t>
      </w:r>
      <w:proofErr w:type="spellStart"/>
      <w:r w:rsidR="00855641" w:rsidRPr="00855641">
        <w:rPr>
          <w:rFonts w:ascii="Arial" w:hAnsi="Arial" w:cs="Arial"/>
          <w:sz w:val="22"/>
          <w:szCs w:val="22"/>
        </w:rPr>
        <w:t>Synta</w:t>
      </w:r>
      <w:proofErr w:type="spellEnd"/>
      <w:r w:rsidR="00855641" w:rsidRPr="00855641">
        <w:rPr>
          <w:rFonts w:ascii="Arial" w:hAnsi="Arial" w:cs="Arial"/>
          <w:sz w:val="22"/>
          <w:szCs w:val="22"/>
        </w:rPr>
        <w:t xml:space="preserve"> Pharmaceuticals Corp</w:t>
      </w:r>
      <w:r>
        <w:rPr>
          <w:rFonts w:ascii="Arial" w:hAnsi="Arial" w:cs="Arial"/>
          <w:sz w:val="22"/>
          <w:szCs w:val="22"/>
        </w:rPr>
        <w:t>.</w:t>
      </w:r>
      <w:r w:rsidR="00855641" w:rsidRPr="00855641">
        <w:rPr>
          <w:rFonts w:ascii="Arial" w:hAnsi="Arial" w:cs="Arial"/>
          <w:sz w:val="22"/>
          <w:szCs w:val="22"/>
        </w:rPr>
        <w:t>)</w:t>
      </w:r>
      <w:r w:rsidR="00DA67E8" w:rsidRPr="000E3773">
        <w:rPr>
          <w:rFonts w:ascii="Arial" w:hAnsi="Arial" w:cs="Arial"/>
          <w:sz w:val="22"/>
          <w:szCs w:val="22"/>
        </w:rPr>
        <w:t xml:space="preserve"> </w:t>
      </w:r>
      <w:r>
        <w:rPr>
          <w:rFonts w:ascii="Arial" w:hAnsi="Arial" w:cs="Arial"/>
          <w:sz w:val="22"/>
          <w:szCs w:val="22"/>
        </w:rPr>
        <w:t>are</w:t>
      </w:r>
      <w:r w:rsidR="00DA67E8" w:rsidRPr="00B4680E">
        <w:rPr>
          <w:rFonts w:ascii="Arial" w:hAnsi="Arial" w:cs="Arial"/>
          <w:sz w:val="22"/>
          <w:szCs w:val="22"/>
        </w:rPr>
        <w:t xml:space="preserve"> providing free </w:t>
      </w:r>
      <w:r w:rsidR="00DA67E8">
        <w:rPr>
          <w:rFonts w:ascii="Arial" w:hAnsi="Arial" w:cs="Arial"/>
          <w:sz w:val="22"/>
          <w:szCs w:val="22"/>
        </w:rPr>
        <w:t xml:space="preserve">of charge </w:t>
      </w:r>
      <w:r w:rsidR="00DA67E8" w:rsidRPr="00B4680E">
        <w:rPr>
          <w:rFonts w:ascii="Arial" w:hAnsi="Arial" w:cs="Arial"/>
          <w:sz w:val="22"/>
          <w:szCs w:val="22"/>
        </w:rPr>
        <w:t xml:space="preserve">ganetespib and are supporting </w:t>
      </w:r>
      <w:r w:rsidR="00DA67E8">
        <w:rPr>
          <w:rFonts w:ascii="Arial" w:hAnsi="Arial" w:cs="Arial"/>
          <w:sz w:val="22"/>
          <w:szCs w:val="22"/>
        </w:rPr>
        <w:t>study</w:t>
      </w:r>
      <w:r w:rsidR="00DA67E8" w:rsidRPr="00B4680E">
        <w:rPr>
          <w:rFonts w:ascii="Arial" w:hAnsi="Arial" w:cs="Arial"/>
          <w:sz w:val="22"/>
          <w:szCs w:val="22"/>
        </w:rPr>
        <w:t xml:space="preserve"> coordination through the Cancer Research UK &amp; UCL Cancer Trials Centre (UCL CTC) – the coordinating centre for the trial.  Problems relating to this trial should be referred, in the first instance, to the UCL CTC.</w:t>
      </w:r>
    </w:p>
    <w:p w14:paraId="1EB110C0" w14:textId="77777777" w:rsidR="00DA67E8" w:rsidRPr="00A23D8C" w:rsidRDefault="00DA67E8" w:rsidP="001773A1">
      <w:pPr>
        <w:pStyle w:val="SIGNCJ"/>
        <w:spacing w:after="360"/>
        <w:jc w:val="both"/>
        <w:rPr>
          <w:rFonts w:ascii="Arial" w:hAnsi="Arial" w:cs="Arial"/>
          <w:bCs/>
          <w:sz w:val="32"/>
          <w:szCs w:val="32"/>
        </w:rPr>
      </w:pPr>
      <w:r w:rsidRPr="00A23D8C">
        <w:rPr>
          <w:rFonts w:ascii="Arial" w:hAnsi="Arial" w:cs="Arial"/>
          <w:color w:val="FF0000"/>
        </w:rPr>
        <w:br w:type="page"/>
      </w:r>
      <w:r w:rsidRPr="00A23D8C">
        <w:rPr>
          <w:rFonts w:ascii="Arial" w:hAnsi="Arial" w:cs="Arial"/>
          <w:bCs/>
          <w:sz w:val="32"/>
          <w:szCs w:val="32"/>
        </w:rPr>
        <w:lastRenderedPageBreak/>
        <w:t>Coordinating Centre:</w:t>
      </w:r>
    </w:p>
    <w:p w14:paraId="09DC5093" w14:textId="77777777" w:rsidR="00DA67E8" w:rsidRPr="00B4680E" w:rsidRDefault="00DA67E8" w:rsidP="001773A1">
      <w:pPr>
        <w:pStyle w:val="ProtTempparagraph"/>
        <w:spacing w:before="240" w:after="60"/>
        <w:rPr>
          <w:sz w:val="22"/>
          <w:szCs w:val="22"/>
        </w:rPr>
      </w:pPr>
      <w:r w:rsidRPr="00B4680E">
        <w:rPr>
          <w:sz w:val="22"/>
          <w:szCs w:val="22"/>
        </w:rPr>
        <w:t>For general queries, supply of trial documentation and central data management please contact:</w:t>
      </w:r>
    </w:p>
    <w:p w14:paraId="640BBB11" w14:textId="77777777" w:rsidR="00DA67E8" w:rsidRPr="00B4680E" w:rsidRDefault="00DA67E8" w:rsidP="00DD7812">
      <w:pPr>
        <w:tabs>
          <w:tab w:val="left" w:pos="1276"/>
        </w:tabs>
        <w:spacing w:before="240"/>
        <w:ind w:left="425"/>
        <w:jc w:val="both"/>
        <w:rPr>
          <w:rFonts w:ascii="Arial" w:hAnsi="Arial" w:cs="Arial"/>
          <w:sz w:val="22"/>
          <w:szCs w:val="22"/>
        </w:rPr>
      </w:pPr>
      <w:r w:rsidRPr="00B4680E">
        <w:rPr>
          <w:rFonts w:ascii="Arial" w:hAnsi="Arial" w:cs="Arial"/>
          <w:sz w:val="22"/>
          <w:szCs w:val="22"/>
        </w:rPr>
        <w:t>MESO-02 Trial Coordinator</w:t>
      </w:r>
    </w:p>
    <w:p w14:paraId="311466B3" w14:textId="77777777" w:rsidR="00DA67E8" w:rsidRPr="00B4680E" w:rsidRDefault="00DA67E8" w:rsidP="00DD7812">
      <w:pPr>
        <w:tabs>
          <w:tab w:val="left" w:pos="1276"/>
        </w:tabs>
        <w:ind w:left="425"/>
        <w:jc w:val="both"/>
        <w:rPr>
          <w:rFonts w:ascii="Arial" w:hAnsi="Arial" w:cs="Arial"/>
          <w:sz w:val="22"/>
          <w:szCs w:val="22"/>
        </w:rPr>
      </w:pPr>
      <w:r w:rsidRPr="00B4680E">
        <w:rPr>
          <w:rFonts w:ascii="Arial" w:hAnsi="Arial" w:cs="Arial"/>
          <w:sz w:val="22"/>
          <w:szCs w:val="22"/>
        </w:rPr>
        <w:t>Cancer Research UK &amp; UCL Cancer Trials Centre</w:t>
      </w:r>
    </w:p>
    <w:p w14:paraId="76B4AD9A" w14:textId="77777777" w:rsidR="00DA67E8" w:rsidRPr="00B4680E" w:rsidRDefault="00DA67E8" w:rsidP="00DD7812">
      <w:pPr>
        <w:tabs>
          <w:tab w:val="left" w:pos="1276"/>
        </w:tabs>
        <w:ind w:left="425"/>
        <w:jc w:val="both"/>
        <w:rPr>
          <w:rFonts w:ascii="Arial" w:hAnsi="Arial" w:cs="Arial"/>
          <w:sz w:val="22"/>
          <w:szCs w:val="22"/>
        </w:rPr>
      </w:pPr>
      <w:r w:rsidRPr="00B4680E">
        <w:rPr>
          <w:rFonts w:ascii="Arial" w:hAnsi="Arial" w:cs="Arial"/>
          <w:sz w:val="22"/>
          <w:szCs w:val="22"/>
        </w:rPr>
        <w:t>90 Tottenham Court Road</w:t>
      </w:r>
    </w:p>
    <w:p w14:paraId="0C74DF37" w14:textId="77777777" w:rsidR="00DA67E8" w:rsidRPr="00B4680E" w:rsidRDefault="00DA67E8" w:rsidP="00DD7812">
      <w:pPr>
        <w:tabs>
          <w:tab w:val="left" w:pos="1276"/>
        </w:tabs>
        <w:ind w:left="425"/>
        <w:jc w:val="both"/>
        <w:rPr>
          <w:rFonts w:ascii="Arial" w:hAnsi="Arial" w:cs="Arial"/>
          <w:sz w:val="22"/>
          <w:szCs w:val="22"/>
        </w:rPr>
      </w:pPr>
      <w:r w:rsidRPr="00B4680E">
        <w:rPr>
          <w:rFonts w:ascii="Arial" w:hAnsi="Arial" w:cs="Arial"/>
          <w:sz w:val="22"/>
          <w:szCs w:val="22"/>
        </w:rPr>
        <w:t>London</w:t>
      </w:r>
    </w:p>
    <w:p w14:paraId="7AA3F49A" w14:textId="77777777" w:rsidR="00DA67E8" w:rsidRDefault="00DA67E8" w:rsidP="00DD7812">
      <w:pPr>
        <w:tabs>
          <w:tab w:val="left" w:pos="1276"/>
        </w:tabs>
        <w:ind w:left="425"/>
        <w:jc w:val="both"/>
        <w:rPr>
          <w:rFonts w:ascii="Arial" w:hAnsi="Arial" w:cs="Arial"/>
          <w:sz w:val="22"/>
          <w:szCs w:val="22"/>
        </w:rPr>
      </w:pPr>
      <w:r w:rsidRPr="00B4680E">
        <w:rPr>
          <w:rFonts w:ascii="Arial" w:hAnsi="Arial" w:cs="Arial"/>
          <w:sz w:val="22"/>
          <w:szCs w:val="22"/>
        </w:rPr>
        <w:t>W1T 4TJ</w:t>
      </w:r>
    </w:p>
    <w:p w14:paraId="7EEBBDEA" w14:textId="77777777" w:rsidR="008E0DC3" w:rsidRPr="00B4680E" w:rsidRDefault="008E0DC3" w:rsidP="00DD7812">
      <w:pPr>
        <w:tabs>
          <w:tab w:val="left" w:pos="1276"/>
        </w:tabs>
        <w:ind w:left="425"/>
        <w:jc w:val="both"/>
        <w:rPr>
          <w:rFonts w:ascii="Arial" w:hAnsi="Arial" w:cs="Arial"/>
          <w:sz w:val="22"/>
          <w:szCs w:val="22"/>
        </w:rPr>
      </w:pPr>
    </w:p>
    <w:p w14:paraId="34E1B185" w14:textId="77777777" w:rsidR="00DA67E8" w:rsidRPr="00B4680E" w:rsidRDefault="00DA67E8" w:rsidP="00DD7812">
      <w:pPr>
        <w:tabs>
          <w:tab w:val="left" w:pos="1276"/>
        </w:tabs>
        <w:ind w:left="426"/>
        <w:jc w:val="both"/>
        <w:rPr>
          <w:rFonts w:ascii="Arial" w:hAnsi="Arial" w:cs="Arial"/>
          <w:sz w:val="22"/>
          <w:szCs w:val="22"/>
        </w:rPr>
      </w:pPr>
      <w:r w:rsidRPr="00B4680E">
        <w:rPr>
          <w:rFonts w:ascii="Arial" w:hAnsi="Arial" w:cs="Arial"/>
          <w:sz w:val="22"/>
          <w:szCs w:val="22"/>
        </w:rPr>
        <w:t xml:space="preserve">Tel: </w:t>
      </w:r>
      <w:r w:rsidRPr="00B4680E">
        <w:rPr>
          <w:rFonts w:ascii="Arial" w:hAnsi="Arial" w:cs="Arial"/>
          <w:sz w:val="22"/>
          <w:szCs w:val="22"/>
        </w:rPr>
        <w:tab/>
        <w:t xml:space="preserve">+44 (0) 20 7679 </w:t>
      </w:r>
      <w:r w:rsidR="00523CD1">
        <w:rPr>
          <w:rFonts w:ascii="Arial" w:hAnsi="Arial" w:cs="Arial"/>
          <w:sz w:val="22"/>
          <w:szCs w:val="22"/>
        </w:rPr>
        <w:t>9</w:t>
      </w:r>
      <w:r w:rsidR="00AD4E6F">
        <w:rPr>
          <w:rFonts w:ascii="Arial" w:hAnsi="Arial" w:cs="Arial"/>
          <w:sz w:val="22"/>
          <w:szCs w:val="22"/>
        </w:rPr>
        <w:t>105</w:t>
      </w:r>
    </w:p>
    <w:p w14:paraId="51640A5D" w14:textId="77777777" w:rsidR="00DA67E8" w:rsidRPr="00B4680E" w:rsidRDefault="00DA67E8" w:rsidP="00DD7812">
      <w:pPr>
        <w:tabs>
          <w:tab w:val="left" w:pos="1276"/>
        </w:tabs>
        <w:ind w:left="425"/>
        <w:jc w:val="both"/>
        <w:rPr>
          <w:rFonts w:ascii="Arial" w:hAnsi="Arial" w:cs="Arial"/>
          <w:sz w:val="22"/>
          <w:szCs w:val="22"/>
        </w:rPr>
      </w:pPr>
      <w:r w:rsidRPr="00B4680E">
        <w:rPr>
          <w:rFonts w:ascii="Arial" w:hAnsi="Arial" w:cs="Arial"/>
          <w:sz w:val="22"/>
          <w:szCs w:val="22"/>
        </w:rPr>
        <w:t>Fax:</w:t>
      </w:r>
      <w:r w:rsidRPr="00B4680E">
        <w:rPr>
          <w:rFonts w:ascii="Arial" w:hAnsi="Arial" w:cs="Arial"/>
          <w:sz w:val="22"/>
          <w:szCs w:val="22"/>
        </w:rPr>
        <w:tab/>
        <w:t>+44 (0) 20 7679 9871</w:t>
      </w:r>
    </w:p>
    <w:p w14:paraId="05EE83D4" w14:textId="77777777" w:rsidR="00DA67E8" w:rsidRPr="00B4680E" w:rsidRDefault="00DA67E8" w:rsidP="00DD7812">
      <w:pPr>
        <w:tabs>
          <w:tab w:val="left" w:pos="1276"/>
        </w:tabs>
        <w:spacing w:after="60"/>
        <w:ind w:left="425"/>
        <w:jc w:val="both"/>
        <w:rPr>
          <w:rFonts w:ascii="Arial" w:hAnsi="Arial" w:cs="Arial"/>
          <w:sz w:val="22"/>
          <w:szCs w:val="22"/>
        </w:rPr>
      </w:pPr>
      <w:r w:rsidRPr="00B4680E">
        <w:rPr>
          <w:rFonts w:ascii="Arial" w:hAnsi="Arial" w:cs="Arial"/>
          <w:sz w:val="22"/>
          <w:szCs w:val="22"/>
        </w:rPr>
        <w:t xml:space="preserve">09:00 to 17:00 Monday to Friday </w:t>
      </w:r>
    </w:p>
    <w:p w14:paraId="2A442107" w14:textId="77777777" w:rsidR="00DA67E8" w:rsidRDefault="00DA67E8" w:rsidP="001773A1">
      <w:pPr>
        <w:tabs>
          <w:tab w:val="left" w:pos="1276"/>
        </w:tabs>
        <w:spacing w:before="240" w:after="60"/>
        <w:ind w:left="426"/>
        <w:jc w:val="both"/>
        <w:rPr>
          <w:rStyle w:val="Hyperlink"/>
          <w:rFonts w:ascii="Arial" w:hAnsi="Arial" w:cs="Arial"/>
          <w:color w:val="auto"/>
          <w:sz w:val="22"/>
          <w:szCs w:val="22"/>
        </w:rPr>
      </w:pPr>
      <w:r w:rsidRPr="00B4680E">
        <w:rPr>
          <w:rFonts w:ascii="Arial" w:hAnsi="Arial" w:cs="Arial"/>
          <w:sz w:val="22"/>
          <w:szCs w:val="22"/>
        </w:rPr>
        <w:t>Email:</w:t>
      </w:r>
      <w:r w:rsidRPr="00670919">
        <w:rPr>
          <w:rFonts w:ascii="Arial" w:hAnsi="Arial" w:cs="Arial"/>
          <w:sz w:val="22"/>
          <w:szCs w:val="22"/>
        </w:rPr>
        <w:tab/>
      </w:r>
      <w:hyperlink r:id="rId17" w:history="1">
        <w:r w:rsidR="00F755C0" w:rsidRPr="00670919">
          <w:rPr>
            <w:rStyle w:val="Hyperlink"/>
            <w:rFonts w:ascii="Arial" w:hAnsi="Arial" w:cs="Arial"/>
            <w:color w:val="auto"/>
            <w:sz w:val="22"/>
            <w:szCs w:val="22"/>
          </w:rPr>
          <w:t>ctc.meso-02@ucl.ac.uk</w:t>
        </w:r>
      </w:hyperlink>
    </w:p>
    <w:p w14:paraId="2ABFF521" w14:textId="77777777" w:rsidR="00C951EB" w:rsidRPr="00C951EB" w:rsidRDefault="00C951EB" w:rsidP="00C951EB">
      <w:pPr>
        <w:tabs>
          <w:tab w:val="left" w:pos="1276"/>
        </w:tabs>
        <w:ind w:left="426"/>
        <w:jc w:val="both"/>
        <w:rPr>
          <w:rFonts w:ascii="Arial" w:hAnsi="Arial" w:cs="Arial"/>
          <w:b/>
          <w:bCs/>
          <w:i/>
          <w:iCs/>
          <w:sz w:val="16"/>
          <w:szCs w:val="16"/>
        </w:rPr>
      </w:pPr>
    </w:p>
    <w:p w14:paraId="12B3C830" w14:textId="77777777" w:rsidR="00DA67E8" w:rsidRPr="00B4680E" w:rsidRDefault="00DA67E8" w:rsidP="00C951EB">
      <w:pPr>
        <w:tabs>
          <w:tab w:val="left" w:pos="2160"/>
        </w:tabs>
        <w:spacing w:after="60"/>
        <w:jc w:val="both"/>
        <w:rPr>
          <w:rFonts w:ascii="Arial" w:hAnsi="Arial" w:cs="Arial"/>
          <w:b/>
          <w:bCs/>
          <w:sz w:val="22"/>
          <w:szCs w:val="22"/>
        </w:rPr>
      </w:pPr>
      <w:r w:rsidRPr="00B4680E">
        <w:rPr>
          <w:rFonts w:ascii="Arial" w:hAnsi="Arial" w:cs="Arial"/>
          <w:b/>
          <w:bCs/>
          <w:sz w:val="22"/>
          <w:szCs w:val="22"/>
        </w:rPr>
        <w:t>Other trial contacts:</w:t>
      </w:r>
    </w:p>
    <w:tbl>
      <w:tblPr>
        <w:tblW w:w="0" w:type="auto"/>
        <w:tblLook w:val="0000" w:firstRow="0" w:lastRow="0" w:firstColumn="0" w:lastColumn="0" w:noHBand="0" w:noVBand="0"/>
      </w:tblPr>
      <w:tblGrid>
        <w:gridCol w:w="2268"/>
        <w:gridCol w:w="6254"/>
      </w:tblGrid>
      <w:tr w:rsidR="00DA67E8" w:rsidRPr="00B4680E" w14:paraId="11E582EA" w14:textId="77777777">
        <w:tc>
          <w:tcPr>
            <w:tcW w:w="2268" w:type="dxa"/>
          </w:tcPr>
          <w:p w14:paraId="16138739" w14:textId="77777777" w:rsidR="00DA67E8" w:rsidRPr="00B4680E" w:rsidRDefault="00DA67E8">
            <w:pPr>
              <w:tabs>
                <w:tab w:val="left" w:pos="2160"/>
              </w:tabs>
              <w:jc w:val="both"/>
              <w:rPr>
                <w:rFonts w:ascii="Arial" w:hAnsi="Arial" w:cs="Arial"/>
              </w:rPr>
            </w:pPr>
            <w:r w:rsidRPr="00B4680E">
              <w:rPr>
                <w:rFonts w:ascii="Arial" w:hAnsi="Arial" w:cs="Arial"/>
                <w:sz w:val="22"/>
                <w:szCs w:val="22"/>
              </w:rPr>
              <w:t>Chief Investigator:</w:t>
            </w:r>
          </w:p>
        </w:tc>
        <w:tc>
          <w:tcPr>
            <w:tcW w:w="6254" w:type="dxa"/>
          </w:tcPr>
          <w:p w14:paraId="06374883" w14:textId="77777777" w:rsidR="00DA67E8" w:rsidRPr="00B4680E" w:rsidRDefault="00DA67E8">
            <w:pPr>
              <w:tabs>
                <w:tab w:val="left" w:pos="2160"/>
              </w:tabs>
              <w:jc w:val="both"/>
              <w:rPr>
                <w:rFonts w:ascii="Arial" w:hAnsi="Arial" w:cs="Arial"/>
                <w:highlight w:val="yellow"/>
              </w:rPr>
            </w:pPr>
            <w:r w:rsidRPr="00B4680E">
              <w:rPr>
                <w:rFonts w:ascii="Arial" w:hAnsi="Arial" w:cs="Arial"/>
                <w:sz w:val="22"/>
                <w:szCs w:val="22"/>
              </w:rPr>
              <w:t>Professor Dean Fennell</w:t>
            </w:r>
          </w:p>
        </w:tc>
      </w:tr>
      <w:tr w:rsidR="00523CD1" w:rsidRPr="00B4680E" w14:paraId="5BA164BF" w14:textId="77777777">
        <w:tc>
          <w:tcPr>
            <w:tcW w:w="2268" w:type="dxa"/>
          </w:tcPr>
          <w:p w14:paraId="2CDBFCC3" w14:textId="77777777" w:rsidR="00523CD1" w:rsidRPr="00B4680E" w:rsidRDefault="00523CD1">
            <w:pPr>
              <w:tabs>
                <w:tab w:val="left" w:pos="2160"/>
              </w:tabs>
              <w:jc w:val="both"/>
              <w:rPr>
                <w:rFonts w:ascii="Arial" w:hAnsi="Arial" w:cs="Arial"/>
              </w:rPr>
            </w:pPr>
            <w:r w:rsidRPr="00B4680E">
              <w:rPr>
                <w:rFonts w:ascii="Arial" w:hAnsi="Arial" w:cs="Arial"/>
                <w:sz w:val="22"/>
                <w:szCs w:val="22"/>
              </w:rPr>
              <w:t>Address:</w:t>
            </w:r>
          </w:p>
        </w:tc>
        <w:tc>
          <w:tcPr>
            <w:tcW w:w="6254" w:type="dxa"/>
          </w:tcPr>
          <w:p w14:paraId="0E7C8FB2" w14:textId="77777777" w:rsidR="00523CD1" w:rsidRPr="00507641" w:rsidRDefault="00523CD1" w:rsidP="00507641">
            <w:pPr>
              <w:tabs>
                <w:tab w:val="left" w:pos="2160"/>
              </w:tabs>
              <w:jc w:val="both"/>
              <w:rPr>
                <w:rFonts w:ascii="Arial" w:hAnsi="Arial" w:cs="Arial"/>
              </w:rPr>
            </w:pPr>
            <w:r w:rsidRPr="00507641">
              <w:rPr>
                <w:rFonts w:ascii="Arial" w:hAnsi="Arial" w:cs="Arial"/>
                <w:sz w:val="22"/>
                <w:szCs w:val="22"/>
              </w:rPr>
              <w:t>University of Leicester &amp; Leicester University Hospitals</w:t>
            </w:r>
          </w:p>
        </w:tc>
      </w:tr>
      <w:tr w:rsidR="00523CD1" w:rsidRPr="00B4680E" w14:paraId="6437D849" w14:textId="77777777">
        <w:tc>
          <w:tcPr>
            <w:tcW w:w="2268" w:type="dxa"/>
          </w:tcPr>
          <w:p w14:paraId="59A2DF5B" w14:textId="77777777" w:rsidR="00523CD1" w:rsidRPr="00B4680E" w:rsidRDefault="00523CD1">
            <w:pPr>
              <w:tabs>
                <w:tab w:val="left" w:pos="2160"/>
              </w:tabs>
              <w:jc w:val="both"/>
              <w:rPr>
                <w:rFonts w:ascii="Arial" w:hAnsi="Arial" w:cs="Arial"/>
              </w:rPr>
            </w:pPr>
          </w:p>
        </w:tc>
        <w:tc>
          <w:tcPr>
            <w:tcW w:w="6254" w:type="dxa"/>
          </w:tcPr>
          <w:p w14:paraId="585F9C72" w14:textId="77777777" w:rsidR="00024B19" w:rsidRPr="00507641" w:rsidRDefault="00523CD1" w:rsidP="00507641">
            <w:pPr>
              <w:tabs>
                <w:tab w:val="left" w:pos="2160"/>
              </w:tabs>
              <w:jc w:val="both"/>
              <w:rPr>
                <w:rFonts w:ascii="Arial" w:hAnsi="Arial" w:cs="Arial"/>
              </w:rPr>
            </w:pPr>
            <w:r w:rsidRPr="00507641">
              <w:rPr>
                <w:rFonts w:ascii="Arial" w:hAnsi="Arial" w:cs="Arial"/>
                <w:sz w:val="22"/>
                <w:szCs w:val="22"/>
              </w:rPr>
              <w:t xml:space="preserve">Hodgkin Building </w:t>
            </w:r>
          </w:p>
          <w:p w14:paraId="67019AF4" w14:textId="77777777" w:rsidR="00024B19" w:rsidRPr="00507641" w:rsidRDefault="00024B19" w:rsidP="00507641">
            <w:pPr>
              <w:tabs>
                <w:tab w:val="left" w:pos="2160"/>
              </w:tabs>
              <w:jc w:val="both"/>
              <w:rPr>
                <w:rFonts w:ascii="Arial" w:hAnsi="Arial" w:cs="Arial"/>
              </w:rPr>
            </w:pPr>
            <w:r w:rsidRPr="00507641">
              <w:rPr>
                <w:rFonts w:ascii="Arial" w:hAnsi="Arial" w:cs="Arial"/>
                <w:sz w:val="22"/>
                <w:szCs w:val="22"/>
              </w:rPr>
              <w:t>PO Box 138</w:t>
            </w:r>
          </w:p>
          <w:p w14:paraId="43A25ECD" w14:textId="77777777" w:rsidR="00024B19" w:rsidRPr="00507641" w:rsidRDefault="00024B19" w:rsidP="00507641">
            <w:pPr>
              <w:tabs>
                <w:tab w:val="left" w:pos="2160"/>
              </w:tabs>
              <w:jc w:val="both"/>
              <w:rPr>
                <w:rFonts w:ascii="Arial" w:hAnsi="Arial" w:cs="Arial"/>
              </w:rPr>
            </w:pPr>
            <w:r w:rsidRPr="00507641">
              <w:rPr>
                <w:rFonts w:ascii="Arial" w:hAnsi="Arial" w:cs="Arial"/>
                <w:sz w:val="22"/>
                <w:szCs w:val="22"/>
              </w:rPr>
              <w:t>Lancaster Road</w:t>
            </w:r>
          </w:p>
          <w:p w14:paraId="471BC859" w14:textId="77777777" w:rsidR="00024B19" w:rsidRPr="00507641" w:rsidRDefault="00024B19" w:rsidP="00507641">
            <w:pPr>
              <w:tabs>
                <w:tab w:val="left" w:pos="2160"/>
              </w:tabs>
              <w:jc w:val="both"/>
              <w:rPr>
                <w:rFonts w:ascii="Arial" w:hAnsi="Arial" w:cs="Arial"/>
              </w:rPr>
            </w:pPr>
            <w:r w:rsidRPr="00507641">
              <w:rPr>
                <w:rFonts w:ascii="Arial" w:hAnsi="Arial" w:cs="Arial"/>
                <w:sz w:val="22"/>
                <w:szCs w:val="22"/>
              </w:rPr>
              <w:t>Leicester</w:t>
            </w:r>
          </w:p>
          <w:p w14:paraId="0FE1CB10" w14:textId="77777777" w:rsidR="00523CD1" w:rsidRPr="00507641" w:rsidRDefault="00523CD1" w:rsidP="00507641">
            <w:pPr>
              <w:tabs>
                <w:tab w:val="left" w:pos="2160"/>
              </w:tabs>
              <w:jc w:val="both"/>
              <w:rPr>
                <w:rFonts w:ascii="Arial" w:hAnsi="Arial" w:cs="Arial"/>
              </w:rPr>
            </w:pPr>
            <w:r w:rsidRPr="00507641">
              <w:rPr>
                <w:rFonts w:ascii="Arial" w:hAnsi="Arial" w:cs="Arial"/>
                <w:sz w:val="22"/>
                <w:szCs w:val="22"/>
              </w:rPr>
              <w:t>LE1 9HN</w:t>
            </w:r>
          </w:p>
        </w:tc>
      </w:tr>
      <w:tr w:rsidR="00523CD1" w:rsidRPr="00B4680E" w14:paraId="293C450C" w14:textId="77777777">
        <w:tc>
          <w:tcPr>
            <w:tcW w:w="2268" w:type="dxa"/>
          </w:tcPr>
          <w:p w14:paraId="4D71608E" w14:textId="77777777" w:rsidR="00523CD1" w:rsidRPr="00B4680E" w:rsidRDefault="00523CD1">
            <w:pPr>
              <w:tabs>
                <w:tab w:val="left" w:pos="2160"/>
              </w:tabs>
              <w:jc w:val="both"/>
              <w:rPr>
                <w:rFonts w:ascii="Arial" w:hAnsi="Arial" w:cs="Arial"/>
              </w:rPr>
            </w:pPr>
          </w:p>
        </w:tc>
        <w:tc>
          <w:tcPr>
            <w:tcW w:w="6254" w:type="dxa"/>
          </w:tcPr>
          <w:p w14:paraId="119200FB" w14:textId="77777777" w:rsidR="00523CD1" w:rsidRPr="00296501" w:rsidRDefault="00523CD1" w:rsidP="00523CD1"/>
        </w:tc>
      </w:tr>
    </w:tbl>
    <w:p w14:paraId="0831A91E" w14:textId="77777777" w:rsidR="00DA67E8" w:rsidRPr="00BB7AE9" w:rsidRDefault="00DA67E8" w:rsidP="00CA5D58">
      <w:pPr>
        <w:tabs>
          <w:tab w:val="left" w:pos="2160"/>
        </w:tabs>
        <w:jc w:val="both"/>
        <w:rPr>
          <w:rFonts w:ascii="Arial" w:hAnsi="Arial" w:cs="Arial"/>
          <w:b/>
          <w:sz w:val="22"/>
          <w:szCs w:val="22"/>
        </w:rPr>
      </w:pPr>
      <w:r w:rsidRPr="00BB7AE9">
        <w:rPr>
          <w:rFonts w:ascii="Arial" w:hAnsi="Arial" w:cs="Arial"/>
          <w:b/>
          <w:sz w:val="22"/>
          <w:szCs w:val="22"/>
        </w:rPr>
        <w:t>Trial Management Group (TMG):</w:t>
      </w:r>
    </w:p>
    <w:tbl>
      <w:tblPr>
        <w:tblW w:w="9464" w:type="dxa"/>
        <w:tblLayout w:type="fixed"/>
        <w:tblLook w:val="0000" w:firstRow="0" w:lastRow="0" w:firstColumn="0" w:lastColumn="0" w:noHBand="0" w:noVBand="0"/>
      </w:tblPr>
      <w:tblGrid>
        <w:gridCol w:w="2070"/>
        <w:gridCol w:w="3364"/>
        <w:gridCol w:w="4030"/>
      </w:tblGrid>
      <w:tr w:rsidR="00DA67E8" w:rsidRPr="005E2C7F" w14:paraId="3B651AD6" w14:textId="77777777" w:rsidTr="00316BAD">
        <w:tc>
          <w:tcPr>
            <w:tcW w:w="2069" w:type="dxa"/>
          </w:tcPr>
          <w:p w14:paraId="74318982" w14:textId="77777777" w:rsidR="00DA67E8" w:rsidRPr="00B742F8" w:rsidRDefault="00DA67E8" w:rsidP="00CA5D58">
            <w:pPr>
              <w:spacing w:before="60"/>
              <w:jc w:val="both"/>
              <w:rPr>
                <w:rFonts w:ascii="Arial" w:hAnsi="Arial" w:cs="Arial"/>
                <w:color w:val="FF0000"/>
              </w:rPr>
            </w:pPr>
            <w:r w:rsidRPr="00B742F8">
              <w:rPr>
                <w:rFonts w:ascii="Arial" w:hAnsi="Arial" w:cs="Arial"/>
                <w:color w:val="000000"/>
                <w:sz w:val="22"/>
                <w:szCs w:val="22"/>
              </w:rPr>
              <w:t>Dean A. Fennell</w:t>
            </w:r>
          </w:p>
        </w:tc>
        <w:tc>
          <w:tcPr>
            <w:tcW w:w="3362" w:type="dxa"/>
          </w:tcPr>
          <w:p w14:paraId="2B754779" w14:textId="77777777" w:rsidR="00DA67E8" w:rsidRPr="00B742F8" w:rsidRDefault="00DA67E8" w:rsidP="00CA5D58">
            <w:pPr>
              <w:spacing w:before="60"/>
              <w:jc w:val="both"/>
              <w:rPr>
                <w:rFonts w:ascii="Arial" w:hAnsi="Arial" w:cs="Arial"/>
                <w:color w:val="FF0000"/>
              </w:rPr>
            </w:pPr>
            <w:r w:rsidRPr="00B742F8">
              <w:rPr>
                <w:rFonts w:ascii="Arial" w:hAnsi="Arial" w:cs="Arial"/>
                <w:color w:val="000000"/>
                <w:sz w:val="22"/>
                <w:szCs w:val="20"/>
              </w:rPr>
              <w:t>Chief Investigator</w:t>
            </w:r>
          </w:p>
        </w:tc>
        <w:tc>
          <w:tcPr>
            <w:tcW w:w="4027" w:type="dxa"/>
          </w:tcPr>
          <w:p w14:paraId="4D43C18D" w14:textId="77777777" w:rsidR="00DA67E8" w:rsidRPr="00B742F8" w:rsidRDefault="00024B19" w:rsidP="00CA5D58">
            <w:pPr>
              <w:spacing w:before="60"/>
              <w:jc w:val="both"/>
              <w:rPr>
                <w:rFonts w:ascii="Arial" w:hAnsi="Arial" w:cs="Arial"/>
                <w:color w:val="000000"/>
                <w:szCs w:val="20"/>
              </w:rPr>
            </w:pPr>
            <w:r w:rsidRPr="00B742F8">
              <w:rPr>
                <w:rFonts w:ascii="Arial" w:hAnsi="Arial" w:cs="Arial"/>
                <w:color w:val="000000"/>
                <w:sz w:val="22"/>
                <w:szCs w:val="20"/>
              </w:rPr>
              <w:t>University of Leicester &amp; Leicester University Hospitals</w:t>
            </w:r>
          </w:p>
        </w:tc>
      </w:tr>
      <w:tr w:rsidR="00D9067A" w:rsidRPr="005E2C7F" w14:paraId="49CA846A" w14:textId="77777777" w:rsidTr="00316BAD">
        <w:tc>
          <w:tcPr>
            <w:tcW w:w="2069" w:type="dxa"/>
          </w:tcPr>
          <w:p w14:paraId="30C34AB3" w14:textId="08E066F9" w:rsidR="00D9067A" w:rsidRPr="00B742F8" w:rsidRDefault="00D60435" w:rsidP="00CA5D58">
            <w:pPr>
              <w:spacing w:before="60"/>
              <w:jc w:val="both"/>
              <w:rPr>
                <w:rFonts w:ascii="Arial" w:hAnsi="Arial" w:cs="Arial"/>
                <w:color w:val="FF0000"/>
              </w:rPr>
            </w:pPr>
            <w:r>
              <w:rPr>
                <w:rFonts w:ascii="Arial" w:hAnsi="Arial" w:cs="Arial"/>
                <w:color w:val="000000"/>
                <w:sz w:val="22"/>
                <w:szCs w:val="20"/>
              </w:rPr>
              <w:t>Graham Wheeler</w:t>
            </w:r>
          </w:p>
        </w:tc>
        <w:tc>
          <w:tcPr>
            <w:tcW w:w="3362" w:type="dxa"/>
          </w:tcPr>
          <w:p w14:paraId="4F158F64" w14:textId="2A568D82" w:rsidR="00D9067A" w:rsidRPr="00B742F8" w:rsidRDefault="00D9067A" w:rsidP="00D60435">
            <w:pPr>
              <w:spacing w:before="60"/>
              <w:rPr>
                <w:rFonts w:ascii="Arial" w:hAnsi="Arial" w:cs="Arial"/>
                <w:color w:val="FF0000"/>
              </w:rPr>
            </w:pPr>
            <w:r w:rsidRPr="00B742F8">
              <w:rPr>
                <w:rFonts w:ascii="Arial" w:hAnsi="Arial" w:cs="Arial"/>
                <w:color w:val="000000"/>
                <w:sz w:val="22"/>
                <w:szCs w:val="20"/>
              </w:rPr>
              <w:t>Trial Statistician</w:t>
            </w:r>
          </w:p>
        </w:tc>
        <w:tc>
          <w:tcPr>
            <w:tcW w:w="4027" w:type="dxa"/>
          </w:tcPr>
          <w:p w14:paraId="092ACB6B" w14:textId="77777777" w:rsidR="00AF2631" w:rsidRPr="00B742F8" w:rsidRDefault="00D9067A" w:rsidP="00CA5D58">
            <w:pPr>
              <w:spacing w:before="60"/>
              <w:jc w:val="both"/>
              <w:rPr>
                <w:rFonts w:ascii="Arial" w:hAnsi="Arial" w:cs="Arial"/>
                <w:color w:val="000000"/>
                <w:szCs w:val="20"/>
              </w:rPr>
            </w:pPr>
            <w:r w:rsidRPr="00B742F8">
              <w:rPr>
                <w:rFonts w:ascii="Arial" w:hAnsi="Arial" w:cs="Arial"/>
                <w:color w:val="000000"/>
                <w:sz w:val="22"/>
                <w:szCs w:val="20"/>
              </w:rPr>
              <w:t>CR UK &amp; UCL Clinical Trials Centre</w:t>
            </w:r>
          </w:p>
        </w:tc>
      </w:tr>
      <w:tr w:rsidR="00D9067A" w:rsidRPr="005E2C7F" w14:paraId="67EF5CBF" w14:textId="77777777" w:rsidTr="00D9067A">
        <w:trPr>
          <w:trHeight w:val="235"/>
        </w:trPr>
        <w:tc>
          <w:tcPr>
            <w:tcW w:w="2069" w:type="dxa"/>
          </w:tcPr>
          <w:p w14:paraId="7946A75A" w14:textId="77777777" w:rsidR="00D9067A" w:rsidRPr="00B742F8" w:rsidRDefault="00D9067A" w:rsidP="00CA5D58">
            <w:pPr>
              <w:spacing w:before="60"/>
              <w:jc w:val="both"/>
              <w:rPr>
                <w:rFonts w:ascii="Arial" w:hAnsi="Arial" w:cs="Arial"/>
              </w:rPr>
            </w:pPr>
            <w:r w:rsidRPr="00B742F8">
              <w:rPr>
                <w:rFonts w:ascii="Arial" w:hAnsi="Arial" w:cs="Arial"/>
                <w:sz w:val="22"/>
              </w:rPr>
              <w:t>Denis Talbot</w:t>
            </w:r>
          </w:p>
        </w:tc>
        <w:tc>
          <w:tcPr>
            <w:tcW w:w="3362" w:type="dxa"/>
          </w:tcPr>
          <w:p w14:paraId="268F2786" w14:textId="77777777" w:rsidR="00D9067A" w:rsidRPr="00B742F8" w:rsidRDefault="00D9067A" w:rsidP="00CA5D58">
            <w:pPr>
              <w:spacing w:before="60"/>
              <w:jc w:val="both"/>
              <w:rPr>
                <w:rFonts w:ascii="Arial" w:hAnsi="Arial" w:cs="Arial"/>
              </w:rPr>
            </w:pPr>
            <w:r w:rsidRPr="00B742F8">
              <w:rPr>
                <w:rFonts w:ascii="Arial" w:hAnsi="Arial" w:cs="Arial"/>
                <w:sz w:val="22"/>
              </w:rPr>
              <w:t>Co-investigator</w:t>
            </w:r>
          </w:p>
        </w:tc>
        <w:tc>
          <w:tcPr>
            <w:tcW w:w="4027" w:type="dxa"/>
          </w:tcPr>
          <w:p w14:paraId="5CEC1506" w14:textId="77777777" w:rsidR="00D9067A" w:rsidRPr="00B742F8" w:rsidRDefault="00D9067A" w:rsidP="00CA5D58">
            <w:pPr>
              <w:spacing w:before="60"/>
              <w:jc w:val="both"/>
              <w:rPr>
                <w:rFonts w:ascii="Arial" w:hAnsi="Arial" w:cs="Arial"/>
              </w:rPr>
            </w:pPr>
            <w:r w:rsidRPr="00B742F8">
              <w:rPr>
                <w:rFonts w:ascii="Arial" w:hAnsi="Arial" w:cs="Arial"/>
                <w:sz w:val="22"/>
                <w:szCs w:val="22"/>
              </w:rPr>
              <w:t>Churchill Hospital, Oxford</w:t>
            </w:r>
          </w:p>
        </w:tc>
      </w:tr>
      <w:tr w:rsidR="00D9067A" w:rsidRPr="005E2C7F" w14:paraId="58890D25" w14:textId="77777777" w:rsidTr="00316BAD">
        <w:tc>
          <w:tcPr>
            <w:tcW w:w="2069" w:type="dxa"/>
          </w:tcPr>
          <w:p w14:paraId="64C5F5DC" w14:textId="77777777" w:rsidR="00966D42" w:rsidRPr="00622649" w:rsidRDefault="00966D42" w:rsidP="00CA5D58">
            <w:pPr>
              <w:pStyle w:val="PlainText"/>
              <w:spacing w:before="60"/>
              <w:rPr>
                <w:rFonts w:ascii="Arial" w:hAnsi="Arial" w:cs="Arial"/>
                <w:color w:val="000000"/>
                <w:sz w:val="22"/>
                <w:szCs w:val="22"/>
                <w:lang w:val="en-GB"/>
              </w:rPr>
            </w:pPr>
            <w:r>
              <w:rPr>
                <w:rFonts w:ascii="Arial" w:hAnsi="Arial" w:cs="Arial"/>
                <w:color w:val="000000"/>
                <w:sz w:val="22"/>
                <w:szCs w:val="22"/>
                <w:lang w:val="en-GB"/>
              </w:rPr>
              <w:t>Dan Barnes</w:t>
            </w:r>
          </w:p>
          <w:p w14:paraId="1975D709" w14:textId="77777777" w:rsidR="00AF2631" w:rsidRPr="00CE2CAA" w:rsidRDefault="00AF2631" w:rsidP="00CA5D58">
            <w:pPr>
              <w:pStyle w:val="PlainText"/>
              <w:spacing w:before="60"/>
              <w:rPr>
                <w:rFonts w:ascii="Arial" w:hAnsi="Arial" w:cs="Arial"/>
                <w:sz w:val="22"/>
                <w:szCs w:val="22"/>
              </w:rPr>
            </w:pPr>
            <w:r w:rsidRPr="00CE2CAA">
              <w:rPr>
                <w:rFonts w:ascii="Arial" w:hAnsi="Arial" w:cs="Arial"/>
                <w:color w:val="000000"/>
                <w:sz w:val="22"/>
                <w:szCs w:val="22"/>
              </w:rPr>
              <w:t>Jacqui Shaw</w:t>
            </w:r>
          </w:p>
        </w:tc>
        <w:tc>
          <w:tcPr>
            <w:tcW w:w="3362" w:type="dxa"/>
          </w:tcPr>
          <w:p w14:paraId="58C72D24" w14:textId="77777777" w:rsidR="00966D42" w:rsidRPr="00AD35CC" w:rsidRDefault="00966D42" w:rsidP="00622649">
            <w:pPr>
              <w:spacing w:before="60"/>
              <w:jc w:val="both"/>
              <w:rPr>
                <w:rFonts w:ascii="Arial" w:hAnsi="Arial"/>
                <w:color w:val="000000"/>
                <w:sz w:val="22"/>
              </w:rPr>
            </w:pPr>
            <w:r>
              <w:rPr>
                <w:rFonts w:ascii="Arial" w:hAnsi="Arial" w:cs="Arial"/>
                <w:color w:val="000000"/>
                <w:sz w:val="22"/>
                <w:szCs w:val="22"/>
              </w:rPr>
              <w:t>Consultant</w:t>
            </w:r>
            <w:r w:rsidRPr="00AD35CC">
              <w:rPr>
                <w:rFonts w:ascii="Arial" w:hAnsi="Arial"/>
                <w:color w:val="000000"/>
                <w:sz w:val="22"/>
              </w:rPr>
              <w:t xml:space="preserve"> Radiologist</w:t>
            </w:r>
          </w:p>
          <w:p w14:paraId="6C1B92BF" w14:textId="77777777" w:rsidR="00AF2631" w:rsidRPr="00CE2CAA" w:rsidRDefault="00AF2631" w:rsidP="00622649">
            <w:pPr>
              <w:spacing w:before="60"/>
              <w:jc w:val="both"/>
              <w:rPr>
                <w:rFonts w:ascii="Arial" w:hAnsi="Arial" w:cs="Arial"/>
                <w:color w:val="000000"/>
                <w:sz w:val="22"/>
                <w:szCs w:val="22"/>
              </w:rPr>
            </w:pPr>
            <w:r w:rsidRPr="00CE2CAA">
              <w:rPr>
                <w:rFonts w:ascii="Arial" w:hAnsi="Arial" w:cs="Arial"/>
                <w:color w:val="000000"/>
                <w:sz w:val="22"/>
                <w:szCs w:val="22"/>
              </w:rPr>
              <w:t>Senior Lecturer</w:t>
            </w:r>
          </w:p>
        </w:tc>
        <w:tc>
          <w:tcPr>
            <w:tcW w:w="4027" w:type="dxa"/>
          </w:tcPr>
          <w:p w14:paraId="78D98CF7" w14:textId="77777777" w:rsidR="00966D42" w:rsidRPr="00AD35CC" w:rsidRDefault="00966D42" w:rsidP="00622649">
            <w:pPr>
              <w:spacing w:before="60"/>
              <w:jc w:val="both"/>
              <w:rPr>
                <w:rFonts w:ascii="Arial" w:hAnsi="Arial"/>
                <w:color w:val="000000"/>
                <w:sz w:val="22"/>
              </w:rPr>
            </w:pPr>
            <w:r>
              <w:rPr>
                <w:rFonts w:ascii="Arial" w:hAnsi="Arial" w:cs="Arial"/>
                <w:color w:val="000000"/>
                <w:sz w:val="22"/>
                <w:szCs w:val="22"/>
              </w:rPr>
              <w:t>University Hospitals</w:t>
            </w:r>
            <w:r w:rsidRPr="00AD35CC">
              <w:rPr>
                <w:rFonts w:ascii="Arial" w:hAnsi="Arial"/>
                <w:color w:val="000000"/>
                <w:sz w:val="22"/>
              </w:rPr>
              <w:t>, Leicester</w:t>
            </w:r>
          </w:p>
          <w:p w14:paraId="4D01C901" w14:textId="77777777" w:rsidR="00AF2631" w:rsidRPr="00CE2CAA" w:rsidRDefault="00AF2631" w:rsidP="00622649">
            <w:pPr>
              <w:spacing w:before="60"/>
              <w:jc w:val="both"/>
              <w:rPr>
                <w:rFonts w:ascii="Arial" w:hAnsi="Arial" w:cs="Arial"/>
                <w:color w:val="000000"/>
                <w:sz w:val="22"/>
                <w:szCs w:val="22"/>
              </w:rPr>
            </w:pPr>
            <w:r w:rsidRPr="00CE2CAA">
              <w:rPr>
                <w:rFonts w:ascii="Arial" w:hAnsi="Arial" w:cs="Arial"/>
                <w:color w:val="000000"/>
                <w:sz w:val="22"/>
                <w:szCs w:val="22"/>
              </w:rPr>
              <w:t>University of Leicester</w:t>
            </w:r>
          </w:p>
        </w:tc>
      </w:tr>
      <w:tr w:rsidR="00D9067A" w:rsidRPr="005E2C7F" w14:paraId="6862A743" w14:textId="77777777" w:rsidTr="00316BAD">
        <w:trPr>
          <w:trHeight w:val="292"/>
        </w:trPr>
        <w:tc>
          <w:tcPr>
            <w:tcW w:w="2069" w:type="dxa"/>
          </w:tcPr>
          <w:p w14:paraId="1CCA1FDB" w14:textId="77777777" w:rsidR="00D9067A" w:rsidRPr="00B742F8" w:rsidRDefault="00D9067A" w:rsidP="00CA5D58">
            <w:pPr>
              <w:spacing w:before="60"/>
              <w:jc w:val="both"/>
              <w:rPr>
                <w:rFonts w:ascii="Arial" w:hAnsi="Arial" w:cs="Arial"/>
              </w:rPr>
            </w:pPr>
            <w:r w:rsidRPr="00B742F8">
              <w:rPr>
                <w:rFonts w:ascii="Arial" w:hAnsi="Arial" w:cs="Arial"/>
                <w:sz w:val="22"/>
              </w:rPr>
              <w:t>Keith Kerr</w:t>
            </w:r>
          </w:p>
        </w:tc>
        <w:tc>
          <w:tcPr>
            <w:tcW w:w="3362" w:type="dxa"/>
          </w:tcPr>
          <w:p w14:paraId="1134DF1E" w14:textId="77777777" w:rsidR="00D9067A" w:rsidRPr="00B742F8" w:rsidRDefault="00D9067A" w:rsidP="00CA5D58">
            <w:pPr>
              <w:spacing w:before="60"/>
              <w:jc w:val="both"/>
              <w:rPr>
                <w:rFonts w:ascii="Arial" w:hAnsi="Arial" w:cs="Arial"/>
              </w:rPr>
            </w:pPr>
            <w:r w:rsidRPr="00B742F8">
              <w:rPr>
                <w:rFonts w:ascii="Arial" w:hAnsi="Arial" w:cs="Arial"/>
                <w:sz w:val="22"/>
                <w:szCs w:val="20"/>
              </w:rPr>
              <w:t>Lead Pathologist</w:t>
            </w:r>
          </w:p>
        </w:tc>
        <w:tc>
          <w:tcPr>
            <w:tcW w:w="4027" w:type="dxa"/>
          </w:tcPr>
          <w:p w14:paraId="34602B1C" w14:textId="77777777" w:rsidR="00D9067A" w:rsidRPr="00B742F8" w:rsidRDefault="00D9067A" w:rsidP="00CA5D58">
            <w:pPr>
              <w:spacing w:before="60"/>
              <w:jc w:val="both"/>
              <w:rPr>
                <w:rFonts w:ascii="Arial" w:hAnsi="Arial" w:cs="Arial"/>
              </w:rPr>
            </w:pPr>
            <w:r w:rsidRPr="00B742F8">
              <w:rPr>
                <w:rFonts w:ascii="Arial" w:hAnsi="Arial" w:cs="Arial"/>
                <w:sz w:val="22"/>
              </w:rPr>
              <w:t>Aberdeen Royal Infirmary</w:t>
            </w:r>
          </w:p>
        </w:tc>
      </w:tr>
      <w:tr w:rsidR="00D9067A" w:rsidRPr="005E2C7F" w14:paraId="6A2610B2" w14:textId="77777777" w:rsidTr="00316BAD">
        <w:tc>
          <w:tcPr>
            <w:tcW w:w="2069" w:type="dxa"/>
          </w:tcPr>
          <w:p w14:paraId="2BB7AA3B" w14:textId="77777777" w:rsidR="00D9067A" w:rsidRPr="00B742F8" w:rsidRDefault="00D9067A" w:rsidP="00CA5D58">
            <w:pPr>
              <w:spacing w:before="60"/>
              <w:jc w:val="both"/>
              <w:rPr>
                <w:rFonts w:ascii="Arial" w:hAnsi="Arial" w:cs="Arial"/>
              </w:rPr>
            </w:pPr>
            <w:r w:rsidRPr="00B742F8">
              <w:rPr>
                <w:rFonts w:ascii="Arial" w:hAnsi="Arial" w:cs="Arial"/>
                <w:sz w:val="22"/>
              </w:rPr>
              <w:t>Marianne Nicolson</w:t>
            </w:r>
          </w:p>
        </w:tc>
        <w:tc>
          <w:tcPr>
            <w:tcW w:w="3362" w:type="dxa"/>
          </w:tcPr>
          <w:p w14:paraId="400A5AB2" w14:textId="77777777" w:rsidR="00D9067A" w:rsidRPr="00B742F8" w:rsidRDefault="00D9067A" w:rsidP="00CA5D58">
            <w:pPr>
              <w:spacing w:before="60"/>
              <w:jc w:val="both"/>
              <w:rPr>
                <w:rFonts w:ascii="Arial" w:hAnsi="Arial" w:cs="Arial"/>
              </w:rPr>
            </w:pPr>
            <w:r w:rsidRPr="00B742F8">
              <w:rPr>
                <w:rFonts w:ascii="Arial" w:hAnsi="Arial" w:cs="Arial"/>
                <w:sz w:val="22"/>
              </w:rPr>
              <w:t>Co-investigator</w:t>
            </w:r>
          </w:p>
        </w:tc>
        <w:tc>
          <w:tcPr>
            <w:tcW w:w="4027" w:type="dxa"/>
          </w:tcPr>
          <w:p w14:paraId="68464085" w14:textId="77777777" w:rsidR="00D9067A" w:rsidRPr="00B742F8" w:rsidRDefault="00D9067A" w:rsidP="00CA5D58">
            <w:pPr>
              <w:spacing w:before="60"/>
              <w:jc w:val="both"/>
              <w:rPr>
                <w:rFonts w:ascii="Arial" w:hAnsi="Arial" w:cs="Arial"/>
              </w:rPr>
            </w:pPr>
            <w:r w:rsidRPr="00B742F8">
              <w:rPr>
                <w:rFonts w:ascii="Arial" w:hAnsi="Arial" w:cs="Arial"/>
                <w:sz w:val="22"/>
              </w:rPr>
              <w:t>Aberdeen Royal Infirmary</w:t>
            </w:r>
          </w:p>
        </w:tc>
      </w:tr>
      <w:tr w:rsidR="00D9067A" w:rsidRPr="005E2C7F" w14:paraId="6348F76B" w14:textId="77777777" w:rsidTr="00697BA9">
        <w:tc>
          <w:tcPr>
            <w:tcW w:w="2069" w:type="dxa"/>
          </w:tcPr>
          <w:p w14:paraId="515B6976" w14:textId="77777777" w:rsidR="00D9067A" w:rsidRPr="00B742F8" w:rsidRDefault="00D9067A" w:rsidP="00CA5D58">
            <w:pPr>
              <w:spacing w:before="60"/>
              <w:jc w:val="both"/>
              <w:rPr>
                <w:rFonts w:ascii="Arial" w:hAnsi="Arial" w:cs="Arial"/>
              </w:rPr>
            </w:pPr>
            <w:r w:rsidRPr="00B742F8">
              <w:rPr>
                <w:rFonts w:ascii="Arial" w:hAnsi="Arial" w:cs="Arial"/>
                <w:sz w:val="22"/>
              </w:rPr>
              <w:t>Martin Forster</w:t>
            </w:r>
          </w:p>
        </w:tc>
        <w:tc>
          <w:tcPr>
            <w:tcW w:w="3362" w:type="dxa"/>
          </w:tcPr>
          <w:p w14:paraId="3AE9A3D1" w14:textId="77777777" w:rsidR="00D9067A" w:rsidRPr="00B742F8" w:rsidRDefault="00D9067A" w:rsidP="00CA5D58">
            <w:pPr>
              <w:spacing w:before="60"/>
              <w:jc w:val="both"/>
              <w:rPr>
                <w:rFonts w:ascii="Arial" w:hAnsi="Arial" w:cs="Arial"/>
              </w:rPr>
            </w:pPr>
            <w:r w:rsidRPr="00B742F8">
              <w:rPr>
                <w:rFonts w:ascii="Arial" w:hAnsi="Arial" w:cs="Arial"/>
                <w:sz w:val="22"/>
              </w:rPr>
              <w:t>Co-investigator</w:t>
            </w:r>
          </w:p>
        </w:tc>
        <w:tc>
          <w:tcPr>
            <w:tcW w:w="4027" w:type="dxa"/>
          </w:tcPr>
          <w:p w14:paraId="303E5B80" w14:textId="77777777" w:rsidR="00D9067A" w:rsidRPr="00B742F8" w:rsidRDefault="00D9067A" w:rsidP="00CA5D58">
            <w:pPr>
              <w:spacing w:before="60"/>
              <w:jc w:val="both"/>
              <w:rPr>
                <w:rFonts w:ascii="Arial" w:hAnsi="Arial" w:cs="Arial"/>
              </w:rPr>
            </w:pPr>
            <w:r w:rsidRPr="00B742F8">
              <w:rPr>
                <w:rFonts w:ascii="Arial" w:hAnsi="Arial" w:cs="Arial"/>
                <w:sz w:val="22"/>
              </w:rPr>
              <w:t>University College London Hospital</w:t>
            </w:r>
          </w:p>
        </w:tc>
      </w:tr>
      <w:tr w:rsidR="00D9067A" w:rsidRPr="005E2C7F" w14:paraId="4E1E05FF" w14:textId="77777777" w:rsidTr="00316BAD">
        <w:tc>
          <w:tcPr>
            <w:tcW w:w="2069" w:type="dxa"/>
          </w:tcPr>
          <w:p w14:paraId="0148AD60" w14:textId="77777777" w:rsidR="00D9067A" w:rsidRPr="00B742F8" w:rsidRDefault="00D9067A" w:rsidP="00CA5D58">
            <w:pPr>
              <w:spacing w:before="60"/>
              <w:jc w:val="both"/>
              <w:rPr>
                <w:rFonts w:ascii="Arial" w:hAnsi="Arial" w:cs="Arial"/>
              </w:rPr>
            </w:pPr>
            <w:r w:rsidRPr="00B742F8">
              <w:rPr>
                <w:rFonts w:ascii="Arial" w:hAnsi="Arial" w:cs="Arial"/>
                <w:sz w:val="22"/>
              </w:rPr>
              <w:t>Mike Lind</w:t>
            </w:r>
          </w:p>
        </w:tc>
        <w:tc>
          <w:tcPr>
            <w:tcW w:w="3362" w:type="dxa"/>
          </w:tcPr>
          <w:p w14:paraId="5C2FE5C2" w14:textId="77777777" w:rsidR="00D9067A" w:rsidRPr="00B742F8" w:rsidRDefault="00D9067A" w:rsidP="00CA5D58">
            <w:pPr>
              <w:spacing w:before="60"/>
              <w:jc w:val="both"/>
              <w:rPr>
                <w:rFonts w:ascii="Arial" w:hAnsi="Arial" w:cs="Arial"/>
              </w:rPr>
            </w:pPr>
            <w:r w:rsidRPr="00B742F8">
              <w:rPr>
                <w:rFonts w:ascii="Arial" w:hAnsi="Arial" w:cs="Arial"/>
                <w:sz w:val="22"/>
              </w:rPr>
              <w:t>Co-investigator</w:t>
            </w:r>
          </w:p>
        </w:tc>
        <w:tc>
          <w:tcPr>
            <w:tcW w:w="4027" w:type="dxa"/>
          </w:tcPr>
          <w:p w14:paraId="348E31EC" w14:textId="77777777" w:rsidR="00D9067A" w:rsidRPr="00B742F8" w:rsidRDefault="00D9067A" w:rsidP="00CA5D58">
            <w:pPr>
              <w:spacing w:before="60"/>
              <w:jc w:val="both"/>
              <w:rPr>
                <w:rFonts w:ascii="Arial" w:hAnsi="Arial" w:cs="Arial"/>
                <w:color w:val="FF0000"/>
              </w:rPr>
            </w:pPr>
            <w:r w:rsidRPr="00B742F8">
              <w:rPr>
                <w:rFonts w:ascii="Arial" w:hAnsi="Arial" w:cs="Arial"/>
                <w:sz w:val="22"/>
              </w:rPr>
              <w:t>Castle Hill Hospital, Hull</w:t>
            </w:r>
          </w:p>
        </w:tc>
      </w:tr>
      <w:tr w:rsidR="00D9067A" w:rsidRPr="005E2C7F" w14:paraId="1C7D2BB9" w14:textId="77777777" w:rsidTr="00D9067A">
        <w:tc>
          <w:tcPr>
            <w:tcW w:w="2069" w:type="dxa"/>
          </w:tcPr>
          <w:p w14:paraId="70D8EA9D" w14:textId="77777777" w:rsidR="00D9067A" w:rsidRPr="00B742F8" w:rsidRDefault="00D9067A" w:rsidP="00CA5D58">
            <w:pPr>
              <w:spacing w:before="60"/>
              <w:jc w:val="both"/>
              <w:rPr>
                <w:rFonts w:ascii="Arial" w:hAnsi="Arial" w:cs="Arial"/>
                <w:color w:val="FF0000"/>
              </w:rPr>
            </w:pPr>
            <w:r w:rsidRPr="00B742F8">
              <w:rPr>
                <w:rFonts w:ascii="Arial" w:hAnsi="Arial" w:cs="Arial"/>
                <w:sz w:val="22"/>
              </w:rPr>
              <w:t>Paul Taylor</w:t>
            </w:r>
          </w:p>
        </w:tc>
        <w:tc>
          <w:tcPr>
            <w:tcW w:w="3362" w:type="dxa"/>
          </w:tcPr>
          <w:p w14:paraId="4CAD8737" w14:textId="77777777" w:rsidR="00D9067A" w:rsidRPr="00B742F8" w:rsidRDefault="00D9067A" w:rsidP="00CA5D58">
            <w:pPr>
              <w:spacing w:before="60"/>
              <w:jc w:val="both"/>
              <w:rPr>
                <w:rFonts w:ascii="Arial" w:hAnsi="Arial" w:cs="Arial"/>
                <w:color w:val="FF0000"/>
              </w:rPr>
            </w:pPr>
            <w:r w:rsidRPr="00B742F8">
              <w:rPr>
                <w:rFonts w:ascii="Arial" w:hAnsi="Arial" w:cs="Arial"/>
                <w:sz w:val="22"/>
              </w:rPr>
              <w:t>Co-investigator</w:t>
            </w:r>
          </w:p>
        </w:tc>
        <w:tc>
          <w:tcPr>
            <w:tcW w:w="4027" w:type="dxa"/>
          </w:tcPr>
          <w:p w14:paraId="38291E53" w14:textId="77777777" w:rsidR="00D9067A" w:rsidRPr="00B742F8" w:rsidRDefault="00D9067A" w:rsidP="00CA5D58">
            <w:pPr>
              <w:spacing w:before="60"/>
              <w:jc w:val="both"/>
              <w:rPr>
                <w:rFonts w:ascii="Arial" w:hAnsi="Arial" w:cs="Arial"/>
              </w:rPr>
            </w:pPr>
            <w:r w:rsidRPr="00B742F8">
              <w:rPr>
                <w:rFonts w:ascii="Arial" w:hAnsi="Arial" w:cs="Arial"/>
                <w:sz w:val="22"/>
              </w:rPr>
              <w:t>Wythenshawe Hospital, Manchester</w:t>
            </w:r>
          </w:p>
        </w:tc>
      </w:tr>
      <w:tr w:rsidR="00D9067A" w:rsidRPr="005E2C7F" w14:paraId="15C7BB09" w14:textId="77777777" w:rsidTr="00D9067A">
        <w:tc>
          <w:tcPr>
            <w:tcW w:w="2069" w:type="dxa"/>
          </w:tcPr>
          <w:p w14:paraId="09031C52" w14:textId="77777777" w:rsidR="00D9067A" w:rsidRPr="00B742F8" w:rsidRDefault="00D9067A" w:rsidP="00CA5D58">
            <w:pPr>
              <w:spacing w:before="60"/>
              <w:jc w:val="both"/>
              <w:rPr>
                <w:rFonts w:ascii="Arial" w:hAnsi="Arial" w:cs="Arial"/>
                <w:color w:val="FF0000"/>
              </w:rPr>
            </w:pPr>
            <w:r w:rsidRPr="00B742F8">
              <w:rPr>
                <w:rFonts w:ascii="Arial" w:hAnsi="Arial" w:cs="Arial"/>
                <w:sz w:val="22"/>
              </w:rPr>
              <w:t xml:space="preserve">Peter </w:t>
            </w:r>
            <w:proofErr w:type="spellStart"/>
            <w:r w:rsidRPr="00B742F8">
              <w:rPr>
                <w:rFonts w:ascii="Arial" w:hAnsi="Arial" w:cs="Arial"/>
                <w:sz w:val="22"/>
              </w:rPr>
              <w:t>Szlosarek</w:t>
            </w:r>
            <w:proofErr w:type="spellEnd"/>
          </w:p>
        </w:tc>
        <w:tc>
          <w:tcPr>
            <w:tcW w:w="3362" w:type="dxa"/>
          </w:tcPr>
          <w:p w14:paraId="57622D89" w14:textId="77777777" w:rsidR="00D9067A" w:rsidRPr="00B742F8" w:rsidRDefault="00D9067A" w:rsidP="00CA5D58">
            <w:pPr>
              <w:spacing w:before="60"/>
              <w:jc w:val="both"/>
              <w:rPr>
                <w:rFonts w:ascii="Arial" w:hAnsi="Arial" w:cs="Arial"/>
                <w:color w:val="FF0000"/>
              </w:rPr>
            </w:pPr>
            <w:r w:rsidRPr="00B742F8">
              <w:rPr>
                <w:rFonts w:ascii="Arial" w:hAnsi="Arial" w:cs="Arial"/>
                <w:sz w:val="22"/>
              </w:rPr>
              <w:t>Co-investigator</w:t>
            </w:r>
          </w:p>
        </w:tc>
        <w:tc>
          <w:tcPr>
            <w:tcW w:w="4027" w:type="dxa"/>
          </w:tcPr>
          <w:p w14:paraId="6C79C000" w14:textId="77777777" w:rsidR="00D9067A" w:rsidRPr="00B742F8" w:rsidRDefault="00D9067A" w:rsidP="00CA5D58">
            <w:pPr>
              <w:spacing w:before="60"/>
              <w:jc w:val="both"/>
              <w:rPr>
                <w:rFonts w:ascii="Arial" w:hAnsi="Arial" w:cs="Arial"/>
              </w:rPr>
            </w:pPr>
            <w:r w:rsidRPr="00B742F8">
              <w:rPr>
                <w:rFonts w:ascii="Arial" w:hAnsi="Arial" w:cs="Arial"/>
                <w:sz w:val="22"/>
              </w:rPr>
              <w:t xml:space="preserve">St </w:t>
            </w:r>
            <w:proofErr w:type="spellStart"/>
            <w:r w:rsidRPr="00B742F8">
              <w:rPr>
                <w:rFonts w:ascii="Arial" w:hAnsi="Arial" w:cs="Arial"/>
                <w:sz w:val="22"/>
              </w:rPr>
              <w:t>Barts</w:t>
            </w:r>
            <w:proofErr w:type="spellEnd"/>
            <w:r w:rsidRPr="00B742F8">
              <w:rPr>
                <w:rFonts w:ascii="Arial" w:hAnsi="Arial" w:cs="Arial"/>
                <w:sz w:val="22"/>
              </w:rPr>
              <w:t xml:space="preserve"> Hospital, London</w:t>
            </w:r>
          </w:p>
        </w:tc>
      </w:tr>
      <w:tr w:rsidR="00D9067A" w:rsidRPr="005E2C7F" w14:paraId="047BB91A" w14:textId="77777777" w:rsidTr="00D9067A">
        <w:tc>
          <w:tcPr>
            <w:tcW w:w="2069" w:type="dxa"/>
            <w:vAlign w:val="center"/>
          </w:tcPr>
          <w:p w14:paraId="2A5F05A3" w14:textId="77777777" w:rsidR="00D9067A" w:rsidRPr="00B742F8" w:rsidRDefault="00D9067A" w:rsidP="00CA5D58">
            <w:pPr>
              <w:spacing w:before="60"/>
              <w:jc w:val="both"/>
              <w:rPr>
                <w:rFonts w:ascii="Arial" w:hAnsi="Arial" w:cs="Arial"/>
              </w:rPr>
            </w:pPr>
            <w:proofErr w:type="spellStart"/>
            <w:r w:rsidRPr="00B742F8">
              <w:rPr>
                <w:rFonts w:ascii="Arial" w:hAnsi="Arial" w:cs="Arial"/>
                <w:sz w:val="22"/>
              </w:rPr>
              <w:t>Samreen</w:t>
            </w:r>
            <w:proofErr w:type="spellEnd"/>
            <w:r w:rsidRPr="00B742F8">
              <w:rPr>
                <w:rFonts w:ascii="Arial" w:hAnsi="Arial" w:cs="Arial"/>
                <w:sz w:val="22"/>
              </w:rPr>
              <w:t xml:space="preserve"> Ahmed</w:t>
            </w:r>
          </w:p>
        </w:tc>
        <w:tc>
          <w:tcPr>
            <w:tcW w:w="3362" w:type="dxa"/>
            <w:vAlign w:val="center"/>
          </w:tcPr>
          <w:p w14:paraId="1A680EFD" w14:textId="77777777" w:rsidR="00D9067A" w:rsidRPr="00B742F8" w:rsidRDefault="00D9067A" w:rsidP="00CA5D58">
            <w:pPr>
              <w:spacing w:before="60"/>
              <w:jc w:val="both"/>
              <w:rPr>
                <w:rFonts w:ascii="Arial" w:hAnsi="Arial" w:cs="Arial"/>
              </w:rPr>
            </w:pPr>
            <w:r w:rsidRPr="00B742F8">
              <w:rPr>
                <w:rFonts w:ascii="Arial" w:hAnsi="Arial" w:cs="Arial"/>
                <w:sz w:val="22"/>
              </w:rPr>
              <w:t>Co-investigator</w:t>
            </w:r>
          </w:p>
        </w:tc>
        <w:tc>
          <w:tcPr>
            <w:tcW w:w="4027" w:type="dxa"/>
          </w:tcPr>
          <w:p w14:paraId="2513D268" w14:textId="77777777" w:rsidR="00D9067A" w:rsidRPr="00B742F8" w:rsidRDefault="00D9067A" w:rsidP="00CA5D58">
            <w:pPr>
              <w:spacing w:before="60"/>
              <w:jc w:val="both"/>
              <w:rPr>
                <w:rFonts w:ascii="Arial" w:hAnsi="Arial" w:cs="Arial"/>
              </w:rPr>
            </w:pPr>
            <w:r w:rsidRPr="00B742F8">
              <w:rPr>
                <w:rFonts w:ascii="Arial" w:hAnsi="Arial" w:cs="Arial"/>
                <w:sz w:val="22"/>
              </w:rPr>
              <w:t xml:space="preserve">Leicester Royal Infirmary </w:t>
            </w:r>
          </w:p>
        </w:tc>
      </w:tr>
      <w:tr w:rsidR="00D9067A" w:rsidRPr="005E2C7F" w14:paraId="4DFFEEEC" w14:textId="77777777" w:rsidTr="00316BAD">
        <w:tc>
          <w:tcPr>
            <w:tcW w:w="2069" w:type="dxa"/>
          </w:tcPr>
          <w:p w14:paraId="1978BB57" w14:textId="77777777" w:rsidR="00D9067A" w:rsidRPr="00B742F8" w:rsidRDefault="00D9067A" w:rsidP="00CA5D58">
            <w:pPr>
              <w:spacing w:before="60"/>
              <w:jc w:val="both"/>
              <w:rPr>
                <w:rFonts w:ascii="Arial" w:hAnsi="Arial" w:cs="Arial"/>
                <w:color w:val="FF0000"/>
              </w:rPr>
            </w:pPr>
            <w:r w:rsidRPr="00B742F8">
              <w:rPr>
                <w:rFonts w:ascii="Arial" w:hAnsi="Arial" w:cs="Arial"/>
                <w:sz w:val="22"/>
              </w:rPr>
              <w:t xml:space="preserve">Sanjay </w:t>
            </w:r>
            <w:proofErr w:type="spellStart"/>
            <w:r w:rsidRPr="00B742F8">
              <w:rPr>
                <w:rFonts w:ascii="Arial" w:hAnsi="Arial" w:cs="Arial"/>
                <w:sz w:val="22"/>
              </w:rPr>
              <w:t>Popat</w:t>
            </w:r>
            <w:proofErr w:type="spellEnd"/>
          </w:p>
        </w:tc>
        <w:tc>
          <w:tcPr>
            <w:tcW w:w="3362" w:type="dxa"/>
          </w:tcPr>
          <w:p w14:paraId="47B7C87B" w14:textId="77777777" w:rsidR="00D9067A" w:rsidRPr="00B742F8" w:rsidRDefault="00D9067A" w:rsidP="00CA5D58">
            <w:pPr>
              <w:spacing w:before="60"/>
              <w:jc w:val="both"/>
              <w:rPr>
                <w:rFonts w:ascii="Arial" w:hAnsi="Arial" w:cs="Arial"/>
                <w:color w:val="FF0000"/>
              </w:rPr>
            </w:pPr>
            <w:r w:rsidRPr="00B742F8">
              <w:rPr>
                <w:rFonts w:ascii="Arial" w:hAnsi="Arial" w:cs="Arial"/>
                <w:sz w:val="22"/>
              </w:rPr>
              <w:t>Co-investigator</w:t>
            </w:r>
          </w:p>
        </w:tc>
        <w:tc>
          <w:tcPr>
            <w:tcW w:w="4027" w:type="dxa"/>
          </w:tcPr>
          <w:p w14:paraId="7092E249" w14:textId="77777777" w:rsidR="00D9067A" w:rsidRPr="00B742F8" w:rsidRDefault="00D9067A" w:rsidP="00CA5D58">
            <w:pPr>
              <w:spacing w:before="60"/>
              <w:jc w:val="both"/>
              <w:rPr>
                <w:rFonts w:ascii="Arial" w:hAnsi="Arial" w:cs="Arial"/>
              </w:rPr>
            </w:pPr>
            <w:r w:rsidRPr="00B742F8">
              <w:rPr>
                <w:rFonts w:ascii="Arial" w:hAnsi="Arial" w:cs="Arial"/>
                <w:sz w:val="22"/>
              </w:rPr>
              <w:t>Royal Marsden Hospital, London</w:t>
            </w:r>
          </w:p>
        </w:tc>
      </w:tr>
      <w:tr w:rsidR="00D9067A" w:rsidRPr="005E2C7F" w14:paraId="433B2094" w14:textId="77777777" w:rsidTr="00D9067A">
        <w:tc>
          <w:tcPr>
            <w:tcW w:w="2069" w:type="dxa"/>
          </w:tcPr>
          <w:p w14:paraId="6E7DBCDB" w14:textId="77777777" w:rsidR="00D9067A" w:rsidRPr="00B742F8" w:rsidRDefault="00D9067A" w:rsidP="00CA5D58">
            <w:pPr>
              <w:spacing w:before="60"/>
              <w:jc w:val="both"/>
              <w:rPr>
                <w:rFonts w:ascii="Arial" w:hAnsi="Arial" w:cs="Arial"/>
              </w:rPr>
            </w:pPr>
            <w:r w:rsidRPr="00B742F8">
              <w:rPr>
                <w:rFonts w:ascii="Arial" w:hAnsi="Arial" w:cs="Arial"/>
                <w:sz w:val="22"/>
              </w:rPr>
              <w:t>Sarah Danson</w:t>
            </w:r>
            <w:r w:rsidRPr="00B742F8">
              <w:rPr>
                <w:rFonts w:ascii="Arial" w:hAnsi="Arial" w:cs="Arial"/>
                <w:sz w:val="22"/>
              </w:rPr>
              <w:tab/>
            </w:r>
          </w:p>
        </w:tc>
        <w:tc>
          <w:tcPr>
            <w:tcW w:w="3362" w:type="dxa"/>
          </w:tcPr>
          <w:p w14:paraId="68C317B1" w14:textId="77777777" w:rsidR="00D9067A" w:rsidRPr="00B742F8" w:rsidRDefault="00D9067A" w:rsidP="00CA5D58">
            <w:pPr>
              <w:spacing w:before="60"/>
              <w:jc w:val="both"/>
              <w:rPr>
                <w:rFonts w:ascii="Arial" w:hAnsi="Arial" w:cs="Arial"/>
              </w:rPr>
            </w:pPr>
            <w:r w:rsidRPr="00B742F8">
              <w:rPr>
                <w:rFonts w:ascii="Arial" w:hAnsi="Arial" w:cs="Arial"/>
                <w:sz w:val="22"/>
              </w:rPr>
              <w:t>Co-investigator</w:t>
            </w:r>
          </w:p>
        </w:tc>
        <w:tc>
          <w:tcPr>
            <w:tcW w:w="4027" w:type="dxa"/>
          </w:tcPr>
          <w:p w14:paraId="1F70BE24" w14:textId="77777777" w:rsidR="00D9067A" w:rsidRPr="00B742F8" w:rsidRDefault="00D9067A" w:rsidP="00CA5D58">
            <w:pPr>
              <w:spacing w:before="60"/>
              <w:jc w:val="both"/>
              <w:rPr>
                <w:rFonts w:ascii="Arial" w:hAnsi="Arial" w:cs="Arial"/>
              </w:rPr>
            </w:pPr>
            <w:r w:rsidRPr="00B742F8">
              <w:rPr>
                <w:rFonts w:ascii="Arial" w:hAnsi="Arial" w:cs="Arial"/>
                <w:sz w:val="22"/>
              </w:rPr>
              <w:t xml:space="preserve">Weston Park Hospital, Sheffield </w:t>
            </w:r>
          </w:p>
        </w:tc>
      </w:tr>
      <w:tr w:rsidR="00D9067A" w:rsidRPr="005E2C7F" w14:paraId="689A19AA" w14:textId="77777777" w:rsidTr="00316BAD">
        <w:tc>
          <w:tcPr>
            <w:tcW w:w="2069" w:type="dxa"/>
          </w:tcPr>
          <w:p w14:paraId="4E5D9BC4" w14:textId="77777777" w:rsidR="00D9067A" w:rsidRPr="00B742F8" w:rsidRDefault="00D9067A" w:rsidP="00CA5D58">
            <w:pPr>
              <w:spacing w:before="60"/>
              <w:jc w:val="both"/>
              <w:rPr>
                <w:rFonts w:ascii="Arial" w:hAnsi="Arial" w:cs="Arial"/>
              </w:rPr>
            </w:pPr>
            <w:proofErr w:type="spellStart"/>
            <w:r w:rsidRPr="00B742F8">
              <w:rPr>
                <w:rFonts w:ascii="Arial" w:hAnsi="Arial" w:cs="Arial"/>
                <w:sz w:val="22"/>
              </w:rPr>
              <w:t>Siow</w:t>
            </w:r>
            <w:proofErr w:type="spellEnd"/>
            <w:r w:rsidRPr="00B742F8">
              <w:rPr>
                <w:rFonts w:ascii="Arial" w:hAnsi="Arial" w:cs="Arial"/>
                <w:sz w:val="22"/>
              </w:rPr>
              <w:t xml:space="preserve"> Ming Lee</w:t>
            </w:r>
          </w:p>
        </w:tc>
        <w:tc>
          <w:tcPr>
            <w:tcW w:w="3362" w:type="dxa"/>
          </w:tcPr>
          <w:p w14:paraId="782D8B69" w14:textId="77777777" w:rsidR="00D9067A" w:rsidRPr="00B742F8" w:rsidRDefault="00D9067A" w:rsidP="00CA5D58">
            <w:pPr>
              <w:spacing w:before="60"/>
              <w:jc w:val="both"/>
              <w:rPr>
                <w:rFonts w:ascii="Arial" w:hAnsi="Arial" w:cs="Arial"/>
              </w:rPr>
            </w:pPr>
            <w:r w:rsidRPr="00B742F8">
              <w:rPr>
                <w:rFonts w:ascii="Arial" w:hAnsi="Arial" w:cs="Arial"/>
                <w:sz w:val="22"/>
              </w:rPr>
              <w:t>Co-investigator</w:t>
            </w:r>
          </w:p>
        </w:tc>
        <w:tc>
          <w:tcPr>
            <w:tcW w:w="4027" w:type="dxa"/>
          </w:tcPr>
          <w:p w14:paraId="064A39DA" w14:textId="77777777" w:rsidR="00D9067A" w:rsidRPr="00B742F8" w:rsidRDefault="00D9067A" w:rsidP="00CA5D58">
            <w:pPr>
              <w:spacing w:before="60"/>
              <w:jc w:val="both"/>
              <w:rPr>
                <w:rFonts w:ascii="Arial" w:hAnsi="Arial" w:cs="Arial"/>
              </w:rPr>
            </w:pPr>
            <w:r w:rsidRPr="00B742F8">
              <w:rPr>
                <w:rFonts w:ascii="Arial" w:hAnsi="Arial" w:cs="Arial"/>
                <w:sz w:val="22"/>
              </w:rPr>
              <w:t>University College London Hospital</w:t>
            </w:r>
          </w:p>
        </w:tc>
      </w:tr>
      <w:tr w:rsidR="00D60435" w:rsidRPr="005E2C7F" w14:paraId="11007A7F" w14:textId="77777777" w:rsidTr="00D9067A">
        <w:trPr>
          <w:trHeight w:val="301"/>
        </w:trPr>
        <w:tc>
          <w:tcPr>
            <w:tcW w:w="2069" w:type="dxa"/>
          </w:tcPr>
          <w:p w14:paraId="2465402E" w14:textId="6712785B" w:rsidR="00D60435" w:rsidRPr="00B742F8" w:rsidRDefault="00D60435" w:rsidP="00CA5D58">
            <w:pPr>
              <w:spacing w:before="60"/>
              <w:jc w:val="both"/>
              <w:rPr>
                <w:rFonts w:ascii="Arial" w:hAnsi="Arial" w:cs="Arial"/>
                <w:sz w:val="22"/>
              </w:rPr>
            </w:pPr>
            <w:r>
              <w:rPr>
                <w:rFonts w:ascii="Arial" w:hAnsi="Arial" w:cs="Arial"/>
                <w:sz w:val="22"/>
              </w:rPr>
              <w:t>Laura Farrelly</w:t>
            </w:r>
          </w:p>
        </w:tc>
        <w:tc>
          <w:tcPr>
            <w:tcW w:w="3362" w:type="dxa"/>
          </w:tcPr>
          <w:p w14:paraId="444B2D97" w14:textId="77777777" w:rsidR="00193309" w:rsidRDefault="00D60435" w:rsidP="00CA5D58">
            <w:pPr>
              <w:spacing w:before="60"/>
              <w:jc w:val="both"/>
              <w:rPr>
                <w:rFonts w:ascii="Arial" w:hAnsi="Arial" w:cs="Arial"/>
                <w:sz w:val="22"/>
              </w:rPr>
            </w:pPr>
            <w:r>
              <w:rPr>
                <w:rFonts w:ascii="Arial" w:hAnsi="Arial" w:cs="Arial"/>
                <w:sz w:val="22"/>
              </w:rPr>
              <w:t>Trials Group Lead</w:t>
            </w:r>
          </w:p>
          <w:p w14:paraId="5B5BECCA" w14:textId="5AD54F2C" w:rsidR="00D60435" w:rsidRPr="00B742F8" w:rsidRDefault="00D60435" w:rsidP="00CA5D58">
            <w:pPr>
              <w:spacing w:before="60"/>
              <w:jc w:val="both"/>
              <w:rPr>
                <w:rFonts w:ascii="Arial" w:hAnsi="Arial" w:cs="Arial"/>
                <w:sz w:val="22"/>
              </w:rPr>
            </w:pPr>
            <w:r>
              <w:rPr>
                <w:rFonts w:ascii="Arial" w:hAnsi="Arial" w:cs="Arial"/>
                <w:sz w:val="22"/>
              </w:rPr>
              <w:t>/Trial Oversight</w:t>
            </w:r>
          </w:p>
        </w:tc>
        <w:tc>
          <w:tcPr>
            <w:tcW w:w="4027" w:type="dxa"/>
          </w:tcPr>
          <w:p w14:paraId="7097F78B" w14:textId="7582EAB8" w:rsidR="00D60435" w:rsidRPr="00B742F8" w:rsidRDefault="00D60435" w:rsidP="00CA5D58">
            <w:pPr>
              <w:spacing w:before="60"/>
              <w:jc w:val="both"/>
              <w:rPr>
                <w:rFonts w:ascii="Arial" w:hAnsi="Arial" w:cs="Arial"/>
                <w:sz w:val="22"/>
              </w:rPr>
            </w:pPr>
            <w:r w:rsidRPr="00B742F8">
              <w:rPr>
                <w:rFonts w:ascii="Arial" w:hAnsi="Arial" w:cs="Arial"/>
                <w:sz w:val="22"/>
              </w:rPr>
              <w:t>CR UK &amp; UCL Clinical Trials Centre</w:t>
            </w:r>
          </w:p>
        </w:tc>
      </w:tr>
      <w:tr w:rsidR="00D9067A" w:rsidRPr="005E2C7F" w14:paraId="01CEBF84" w14:textId="77777777" w:rsidTr="00D9067A">
        <w:trPr>
          <w:trHeight w:val="301"/>
        </w:trPr>
        <w:tc>
          <w:tcPr>
            <w:tcW w:w="2069" w:type="dxa"/>
          </w:tcPr>
          <w:p w14:paraId="7AD774CF" w14:textId="77777777" w:rsidR="00D9067A" w:rsidRPr="00B742F8" w:rsidRDefault="00D9067A" w:rsidP="00CA5D58">
            <w:pPr>
              <w:spacing w:before="60"/>
              <w:jc w:val="both"/>
              <w:rPr>
                <w:rFonts w:ascii="Arial" w:hAnsi="Arial" w:cs="Arial"/>
              </w:rPr>
            </w:pPr>
            <w:r w:rsidRPr="00B742F8">
              <w:rPr>
                <w:rFonts w:ascii="Arial" w:hAnsi="Arial" w:cs="Arial"/>
                <w:sz w:val="22"/>
              </w:rPr>
              <w:t>Yenting Ngai</w:t>
            </w:r>
          </w:p>
        </w:tc>
        <w:tc>
          <w:tcPr>
            <w:tcW w:w="3362" w:type="dxa"/>
          </w:tcPr>
          <w:p w14:paraId="36A9122D" w14:textId="77777777" w:rsidR="00D9067A" w:rsidRPr="00B742F8" w:rsidRDefault="00D9067A" w:rsidP="00CA5D58">
            <w:pPr>
              <w:spacing w:before="60"/>
              <w:jc w:val="both"/>
              <w:rPr>
                <w:rFonts w:ascii="Arial" w:hAnsi="Arial" w:cs="Arial"/>
              </w:rPr>
            </w:pPr>
            <w:r w:rsidRPr="00B742F8">
              <w:rPr>
                <w:rFonts w:ascii="Arial" w:hAnsi="Arial" w:cs="Arial"/>
                <w:sz w:val="22"/>
              </w:rPr>
              <w:t>Senior Trial Coordinator</w:t>
            </w:r>
          </w:p>
        </w:tc>
        <w:tc>
          <w:tcPr>
            <w:tcW w:w="4027" w:type="dxa"/>
          </w:tcPr>
          <w:p w14:paraId="0F2B0E42" w14:textId="77777777" w:rsidR="00D9067A" w:rsidRPr="00B742F8" w:rsidRDefault="00D9067A" w:rsidP="00CA5D58">
            <w:pPr>
              <w:spacing w:before="60"/>
              <w:jc w:val="both"/>
              <w:rPr>
                <w:rFonts w:ascii="Arial" w:hAnsi="Arial" w:cs="Arial"/>
              </w:rPr>
            </w:pPr>
            <w:r w:rsidRPr="00B742F8">
              <w:rPr>
                <w:rFonts w:ascii="Arial" w:hAnsi="Arial" w:cs="Arial"/>
                <w:sz w:val="22"/>
              </w:rPr>
              <w:t>CR UK &amp; UCL Clinical Trials Centre</w:t>
            </w:r>
            <w:r w:rsidRPr="00B742F8">
              <w:rPr>
                <w:rFonts w:ascii="Arial" w:hAnsi="Arial" w:cs="Arial"/>
              </w:rPr>
              <w:t xml:space="preserve"> </w:t>
            </w:r>
          </w:p>
        </w:tc>
      </w:tr>
      <w:tr w:rsidR="00D9067A" w:rsidRPr="005E2C7F" w14:paraId="4B39AE7F" w14:textId="77777777" w:rsidTr="00D9067A">
        <w:tc>
          <w:tcPr>
            <w:tcW w:w="2069" w:type="dxa"/>
          </w:tcPr>
          <w:p w14:paraId="7395CDA4" w14:textId="77777777" w:rsidR="00D9067A" w:rsidRPr="00B742F8" w:rsidRDefault="00486353" w:rsidP="00CA5D58">
            <w:pPr>
              <w:spacing w:before="60"/>
              <w:jc w:val="both"/>
              <w:rPr>
                <w:rFonts w:ascii="Arial" w:hAnsi="Arial" w:cs="Arial"/>
              </w:rPr>
            </w:pPr>
            <w:r>
              <w:rPr>
                <w:rFonts w:ascii="Arial" w:hAnsi="Arial" w:cs="Arial"/>
                <w:sz w:val="22"/>
              </w:rPr>
              <w:t>Jennifer Child</w:t>
            </w:r>
          </w:p>
        </w:tc>
        <w:tc>
          <w:tcPr>
            <w:tcW w:w="3362" w:type="dxa"/>
          </w:tcPr>
          <w:p w14:paraId="54FF109A" w14:textId="77777777" w:rsidR="00D9067A" w:rsidRPr="00B742F8" w:rsidRDefault="00D9067A" w:rsidP="00CA5D58">
            <w:pPr>
              <w:spacing w:before="60"/>
              <w:jc w:val="both"/>
              <w:rPr>
                <w:rFonts w:ascii="Arial" w:hAnsi="Arial" w:cs="Arial"/>
              </w:rPr>
            </w:pPr>
            <w:r w:rsidRPr="00B742F8">
              <w:rPr>
                <w:rFonts w:ascii="Arial" w:hAnsi="Arial" w:cs="Arial"/>
                <w:sz w:val="22"/>
              </w:rPr>
              <w:t>Trial Coordinator</w:t>
            </w:r>
          </w:p>
        </w:tc>
        <w:tc>
          <w:tcPr>
            <w:tcW w:w="4027" w:type="dxa"/>
          </w:tcPr>
          <w:p w14:paraId="582CD6CF" w14:textId="77777777" w:rsidR="00D9067A" w:rsidRPr="00B742F8" w:rsidRDefault="00D9067A" w:rsidP="00CA5D58">
            <w:pPr>
              <w:spacing w:before="60"/>
              <w:jc w:val="both"/>
              <w:rPr>
                <w:rFonts w:ascii="Arial" w:hAnsi="Arial" w:cs="Arial"/>
              </w:rPr>
            </w:pPr>
            <w:r w:rsidRPr="00B742F8">
              <w:rPr>
                <w:rFonts w:ascii="Arial" w:hAnsi="Arial" w:cs="Arial"/>
                <w:sz w:val="22"/>
              </w:rPr>
              <w:t>CR UK &amp; UCL Clinical Trials Centre</w:t>
            </w:r>
          </w:p>
        </w:tc>
      </w:tr>
    </w:tbl>
    <w:bookmarkStart w:id="0" w:name="_Toc283027256" w:displacedByCustomXml="next"/>
    <w:bookmarkEnd w:id="0" w:displacedByCustomXml="next"/>
    <w:bookmarkStart w:id="1" w:name="_Toc283027478" w:displacedByCustomXml="next"/>
    <w:bookmarkEnd w:id="1" w:displacedByCustomXml="next"/>
    <w:bookmarkStart w:id="2" w:name="_Toc283027660" w:displacedByCustomXml="next"/>
    <w:bookmarkEnd w:id="2" w:displacedByCustomXml="next"/>
    <w:bookmarkStart w:id="3" w:name="_Toc283027841" w:displacedByCustomXml="next"/>
    <w:bookmarkEnd w:id="3" w:displacedByCustomXml="next"/>
    <w:bookmarkStart w:id="4" w:name="_Toc283028134" w:displacedByCustomXml="next"/>
    <w:bookmarkEnd w:id="4" w:displacedByCustomXml="next"/>
    <w:bookmarkStart w:id="5" w:name="_Toc283028299" w:displacedByCustomXml="next"/>
    <w:bookmarkEnd w:id="5" w:displacedByCustomXml="next"/>
    <w:bookmarkStart w:id="6" w:name="_Toc283029361" w:displacedByCustomXml="next"/>
    <w:bookmarkEnd w:id="6" w:displacedByCustomXml="next"/>
    <w:bookmarkStart w:id="7" w:name="_Toc283029526" w:displacedByCustomXml="next"/>
    <w:bookmarkEnd w:id="7" w:displacedByCustomXml="next"/>
    <w:bookmarkStart w:id="8" w:name="_Toc283031734" w:displacedByCustomXml="next"/>
    <w:bookmarkEnd w:id="8" w:displacedByCustomXml="next"/>
    <w:bookmarkStart w:id="9" w:name="_Toc283376269" w:displacedByCustomXml="next"/>
    <w:bookmarkEnd w:id="9" w:displacedByCustomXml="next"/>
    <w:bookmarkStart w:id="10" w:name="_Toc283027257" w:displacedByCustomXml="next"/>
    <w:bookmarkEnd w:id="10" w:displacedByCustomXml="next"/>
    <w:bookmarkStart w:id="11" w:name="_Toc283027479" w:displacedByCustomXml="next"/>
    <w:bookmarkEnd w:id="11" w:displacedByCustomXml="next"/>
    <w:bookmarkStart w:id="12" w:name="_Toc283027661" w:displacedByCustomXml="next"/>
    <w:bookmarkEnd w:id="12" w:displacedByCustomXml="next"/>
    <w:bookmarkStart w:id="13" w:name="_Toc283027842" w:displacedByCustomXml="next"/>
    <w:bookmarkEnd w:id="13" w:displacedByCustomXml="next"/>
    <w:bookmarkStart w:id="14" w:name="_Toc283028135" w:displacedByCustomXml="next"/>
    <w:bookmarkEnd w:id="14" w:displacedByCustomXml="next"/>
    <w:bookmarkStart w:id="15" w:name="_Toc283028300" w:displacedByCustomXml="next"/>
    <w:bookmarkEnd w:id="15" w:displacedByCustomXml="next"/>
    <w:bookmarkStart w:id="16" w:name="_Toc283029362" w:displacedByCustomXml="next"/>
    <w:bookmarkEnd w:id="16" w:displacedByCustomXml="next"/>
    <w:bookmarkStart w:id="17" w:name="_Toc283029527" w:displacedByCustomXml="next"/>
    <w:bookmarkEnd w:id="17" w:displacedByCustomXml="next"/>
    <w:bookmarkStart w:id="18" w:name="_Toc283031735" w:displacedByCustomXml="next"/>
    <w:bookmarkEnd w:id="18" w:displacedByCustomXml="next"/>
    <w:bookmarkStart w:id="19" w:name="_Toc283376270" w:displacedByCustomXml="next"/>
    <w:bookmarkEnd w:id="19" w:displacedByCustomXml="next"/>
    <w:bookmarkStart w:id="20" w:name="_Toc283031737" w:displacedByCustomXml="next"/>
    <w:bookmarkStart w:id="21" w:name="_Toc283376272" w:displacedByCustomXml="next"/>
    <w:bookmarkStart w:id="22" w:name="_Toc333484710" w:displacedByCustomXml="next"/>
    <w:bookmarkStart w:id="23" w:name="_Toc333484825" w:displacedByCustomXml="next"/>
    <w:bookmarkStart w:id="24" w:name="_Toc351624779" w:displacedByCustomXml="next"/>
    <w:sdt>
      <w:sdtPr>
        <w:rPr>
          <w:rFonts w:asciiTheme="majorHAnsi" w:hAnsiTheme="majorHAnsi" w:cstheme="majorHAnsi"/>
          <w:b w:val="0"/>
          <w:bCs w:val="0"/>
          <w:color w:val="auto"/>
          <w:sz w:val="18"/>
          <w:szCs w:val="18"/>
          <w:lang w:val="en-GB"/>
        </w:rPr>
        <w:id w:val="-433212565"/>
        <w:docPartObj>
          <w:docPartGallery w:val="Table of Contents"/>
          <w:docPartUnique/>
        </w:docPartObj>
      </w:sdtPr>
      <w:sdtEndPr>
        <w:rPr>
          <w:rFonts w:ascii="Tahoma" w:hAnsi="Tahoma" w:cs="Times New Roman"/>
          <w:noProof/>
          <w:sz w:val="24"/>
          <w:szCs w:val="24"/>
        </w:rPr>
      </w:sdtEndPr>
      <w:sdtContent>
        <w:p w14:paraId="28220E41" w14:textId="09BB5777" w:rsidR="00F54B31" w:rsidRPr="00F54B31" w:rsidRDefault="00F54B31">
          <w:pPr>
            <w:pStyle w:val="TOCHeading"/>
            <w:rPr>
              <w:rFonts w:asciiTheme="majorHAnsi" w:hAnsiTheme="majorHAnsi" w:cstheme="majorHAnsi"/>
              <w:color w:val="auto"/>
              <w:sz w:val="18"/>
              <w:szCs w:val="18"/>
            </w:rPr>
          </w:pPr>
          <w:r w:rsidRPr="00F54B31">
            <w:rPr>
              <w:rFonts w:asciiTheme="majorHAnsi" w:hAnsiTheme="majorHAnsi" w:cstheme="majorHAnsi"/>
              <w:color w:val="auto"/>
              <w:sz w:val="18"/>
              <w:szCs w:val="18"/>
            </w:rPr>
            <w:t>Table of Contents</w:t>
          </w:r>
        </w:p>
        <w:p w14:paraId="418F664F" w14:textId="0715CB26" w:rsidR="00F54B31" w:rsidRPr="00F54B31" w:rsidRDefault="00F54B31">
          <w:pPr>
            <w:pStyle w:val="TOC1"/>
            <w:framePr w:wrap="around"/>
            <w:rPr>
              <w:rFonts w:asciiTheme="majorHAnsi" w:eastAsiaTheme="minorEastAsia" w:hAnsiTheme="majorHAnsi" w:cstheme="majorHAnsi"/>
              <w:b w:val="0"/>
              <w:bCs w:val="0"/>
              <w:i w:val="0"/>
              <w:iCs w:val="0"/>
              <w:noProof/>
              <w:sz w:val="18"/>
              <w:szCs w:val="18"/>
              <w:lang w:eastAsia="en-GB"/>
            </w:rPr>
          </w:pPr>
          <w:r w:rsidRPr="00F54B31">
            <w:rPr>
              <w:rFonts w:asciiTheme="majorHAnsi" w:hAnsiTheme="majorHAnsi" w:cstheme="majorHAnsi"/>
              <w:sz w:val="18"/>
              <w:szCs w:val="18"/>
            </w:rPr>
            <w:fldChar w:fldCharType="begin"/>
          </w:r>
          <w:r w:rsidRPr="00F54B31">
            <w:rPr>
              <w:rFonts w:asciiTheme="majorHAnsi" w:hAnsiTheme="majorHAnsi" w:cstheme="majorHAnsi"/>
              <w:sz w:val="18"/>
              <w:szCs w:val="18"/>
            </w:rPr>
            <w:instrText xml:space="preserve"> TOC \o "1-3" \h \z \u </w:instrText>
          </w:r>
          <w:r w:rsidRPr="00F54B31">
            <w:rPr>
              <w:rFonts w:asciiTheme="majorHAnsi" w:hAnsiTheme="majorHAnsi" w:cstheme="majorHAnsi"/>
              <w:sz w:val="18"/>
              <w:szCs w:val="18"/>
            </w:rPr>
            <w:fldChar w:fldCharType="separate"/>
          </w:r>
          <w:hyperlink w:anchor="_Toc528323484" w:history="1">
            <w:r w:rsidRPr="00F54B31">
              <w:rPr>
                <w:rStyle w:val="Hyperlink"/>
                <w:rFonts w:asciiTheme="majorHAnsi" w:hAnsiTheme="majorHAnsi" w:cstheme="majorHAnsi"/>
                <w:noProof/>
                <w:sz w:val="18"/>
                <w:szCs w:val="18"/>
              </w:rPr>
              <w:t>1</w:t>
            </w:r>
            <w:r w:rsidRPr="00F54B31">
              <w:rPr>
                <w:rFonts w:asciiTheme="majorHAnsi" w:eastAsiaTheme="minorEastAsia" w:hAnsiTheme="majorHAnsi" w:cstheme="majorHAnsi"/>
                <w:b w:val="0"/>
                <w:bCs w:val="0"/>
                <w:i w:val="0"/>
                <w:iCs w:val="0"/>
                <w:noProof/>
                <w:sz w:val="18"/>
                <w:szCs w:val="18"/>
                <w:lang w:eastAsia="en-GB"/>
              </w:rPr>
              <w:tab/>
            </w:r>
            <w:r w:rsidRPr="00F54B31">
              <w:rPr>
                <w:rStyle w:val="Hyperlink"/>
                <w:rFonts w:asciiTheme="majorHAnsi" w:hAnsiTheme="majorHAnsi" w:cstheme="majorHAnsi"/>
                <w:noProof/>
                <w:sz w:val="18"/>
                <w:szCs w:val="18"/>
              </w:rPr>
              <w:t>PROTOCOL SUMMARY</w:t>
            </w:r>
            <w:r w:rsidRPr="00F54B31">
              <w:rPr>
                <w:rFonts w:asciiTheme="majorHAnsi" w:hAnsiTheme="majorHAnsi" w:cstheme="majorHAnsi"/>
                <w:noProof/>
                <w:webHidden/>
                <w:sz w:val="18"/>
                <w:szCs w:val="18"/>
              </w:rPr>
              <w:tab/>
            </w:r>
            <w:r w:rsidRPr="00F54B31">
              <w:rPr>
                <w:rFonts w:asciiTheme="majorHAnsi" w:hAnsiTheme="majorHAnsi" w:cstheme="majorHAnsi"/>
                <w:noProof/>
                <w:webHidden/>
                <w:sz w:val="18"/>
                <w:szCs w:val="18"/>
              </w:rPr>
              <w:fldChar w:fldCharType="begin"/>
            </w:r>
            <w:r w:rsidRPr="00F54B31">
              <w:rPr>
                <w:rFonts w:asciiTheme="majorHAnsi" w:hAnsiTheme="majorHAnsi" w:cstheme="majorHAnsi"/>
                <w:noProof/>
                <w:webHidden/>
                <w:sz w:val="18"/>
                <w:szCs w:val="18"/>
              </w:rPr>
              <w:instrText xml:space="preserve"> PAGEREF _Toc528323484 \h </w:instrText>
            </w:r>
            <w:r w:rsidRPr="00F54B31">
              <w:rPr>
                <w:rFonts w:asciiTheme="majorHAnsi" w:hAnsiTheme="majorHAnsi" w:cstheme="majorHAnsi"/>
                <w:noProof/>
                <w:webHidden/>
                <w:sz w:val="18"/>
                <w:szCs w:val="18"/>
              </w:rPr>
            </w:r>
            <w:r w:rsidRPr="00F54B31">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F54B31">
              <w:rPr>
                <w:rFonts w:asciiTheme="majorHAnsi" w:hAnsiTheme="majorHAnsi" w:cstheme="majorHAnsi"/>
                <w:noProof/>
                <w:webHidden/>
                <w:sz w:val="18"/>
                <w:szCs w:val="18"/>
              </w:rPr>
              <w:fldChar w:fldCharType="end"/>
            </w:r>
          </w:hyperlink>
        </w:p>
        <w:p w14:paraId="3554C19C" w14:textId="47C56F92"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48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Summary of Trial Design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_Toc528323485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w:t>
            </w:r>
            <w:r w:rsidR="00F54B31" w:rsidRPr="00F54B31">
              <w:rPr>
                <w:rFonts w:asciiTheme="majorHAnsi" w:hAnsiTheme="majorHAnsi" w:cstheme="majorHAnsi"/>
                <w:noProof/>
                <w:webHidden/>
                <w:sz w:val="18"/>
                <w:szCs w:val="18"/>
              </w:rPr>
              <w:fldChar w:fldCharType="end"/>
            </w:r>
          </w:hyperlink>
        </w:p>
        <w:p w14:paraId="0F946081" w14:textId="0B11D16A"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486" w:history="1">
            <w:r w:rsidR="00F54B31" w:rsidRPr="00F54B31">
              <w:rPr>
                <w:rStyle w:val="Hyperlink"/>
                <w:rFonts w:asciiTheme="majorHAnsi" w:hAnsiTheme="majorHAnsi" w:cstheme="majorHAnsi"/>
                <w:noProof/>
                <w:sz w:val="18"/>
                <w:szCs w:val="18"/>
              </w:rPr>
              <w:t>Patient Inclusion Criteria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_Toc528323486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8</w:t>
            </w:r>
            <w:r w:rsidR="00F54B31" w:rsidRPr="00F54B31">
              <w:rPr>
                <w:rFonts w:asciiTheme="majorHAnsi" w:hAnsiTheme="majorHAnsi" w:cstheme="majorHAnsi"/>
                <w:noProof/>
                <w:webHidden/>
                <w:sz w:val="18"/>
                <w:szCs w:val="18"/>
              </w:rPr>
              <w:fldChar w:fldCharType="end"/>
            </w:r>
          </w:hyperlink>
        </w:p>
        <w:p w14:paraId="4A46FEBE" w14:textId="7C97B136"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487" w:history="1">
            <w:r w:rsidR="00F54B31" w:rsidRPr="00F54B31">
              <w:rPr>
                <w:rStyle w:val="Hyperlink"/>
                <w:rFonts w:asciiTheme="majorHAnsi" w:hAnsiTheme="majorHAnsi" w:cstheme="majorHAnsi"/>
                <w:noProof/>
                <w:sz w:val="18"/>
                <w:szCs w:val="18"/>
              </w:rPr>
              <w:t>Patient Exclusion Criteria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_Toc528323487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9</w:t>
            </w:r>
            <w:r w:rsidR="00F54B31" w:rsidRPr="00F54B31">
              <w:rPr>
                <w:rFonts w:asciiTheme="majorHAnsi" w:hAnsiTheme="majorHAnsi" w:cstheme="majorHAnsi"/>
                <w:noProof/>
                <w:webHidden/>
                <w:sz w:val="18"/>
                <w:szCs w:val="18"/>
              </w:rPr>
              <w:fldChar w:fldCharType="end"/>
            </w:r>
          </w:hyperlink>
        </w:p>
        <w:p w14:paraId="20A79C9C" w14:textId="736859A3"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48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Trial Schema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_Toc528323488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12</w:t>
            </w:r>
            <w:r w:rsidR="00F54B31" w:rsidRPr="00F54B31">
              <w:rPr>
                <w:rFonts w:asciiTheme="majorHAnsi" w:hAnsiTheme="majorHAnsi" w:cstheme="majorHAnsi"/>
                <w:noProof/>
                <w:webHidden/>
                <w:sz w:val="18"/>
                <w:szCs w:val="18"/>
              </w:rPr>
              <w:fldChar w:fldCharType="end"/>
            </w:r>
          </w:hyperlink>
        </w:p>
        <w:p w14:paraId="592FE17D" w14:textId="10C0547D" w:rsidR="00F54B31" w:rsidRPr="00F54B31" w:rsidRDefault="00625F72">
          <w:pPr>
            <w:pStyle w:val="TOC3"/>
            <w:rPr>
              <w:rFonts w:asciiTheme="majorHAnsi" w:eastAsiaTheme="minorEastAsia" w:hAnsiTheme="majorHAnsi" w:cstheme="majorHAnsi"/>
              <w:noProof/>
              <w:sz w:val="18"/>
              <w:szCs w:val="18"/>
              <w:lang w:eastAsia="en-GB"/>
            </w:rPr>
          </w:pPr>
          <w:hyperlink w:anchor="_Toc528323489"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Phase 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_Toc528323489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12</w:t>
            </w:r>
            <w:r w:rsidR="00F54B31" w:rsidRPr="00F54B31">
              <w:rPr>
                <w:rFonts w:asciiTheme="majorHAnsi" w:hAnsiTheme="majorHAnsi" w:cstheme="majorHAnsi"/>
                <w:noProof/>
                <w:webHidden/>
                <w:sz w:val="18"/>
                <w:szCs w:val="18"/>
              </w:rPr>
              <w:fldChar w:fldCharType="end"/>
            </w:r>
          </w:hyperlink>
        </w:p>
        <w:p w14:paraId="1CEA69EE" w14:textId="73F33D9B" w:rsidR="00F54B31" w:rsidRPr="00F54B31" w:rsidRDefault="00625F72">
          <w:pPr>
            <w:pStyle w:val="TOC3"/>
            <w:rPr>
              <w:rFonts w:asciiTheme="majorHAnsi" w:eastAsiaTheme="minorEastAsia" w:hAnsiTheme="majorHAnsi" w:cstheme="majorHAnsi"/>
              <w:noProof/>
              <w:sz w:val="18"/>
              <w:szCs w:val="18"/>
              <w:lang w:eastAsia="en-GB"/>
            </w:rPr>
          </w:pPr>
          <w:hyperlink w:anchor="_Toc52832349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Moving from Phase I to Phase II</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13</w:t>
            </w:r>
            <w:r w:rsidR="00F54B31" w:rsidRPr="00F54B31">
              <w:rPr>
                <w:rFonts w:asciiTheme="majorHAnsi" w:hAnsiTheme="majorHAnsi" w:cstheme="majorHAnsi"/>
                <w:noProof/>
                <w:webHidden/>
                <w:sz w:val="18"/>
                <w:szCs w:val="18"/>
              </w:rPr>
              <w:fldChar w:fldCharType="end"/>
            </w:r>
          </w:hyperlink>
        </w:p>
        <w:p w14:paraId="67EE8A0E" w14:textId="74ECF82B" w:rsidR="00F54B31" w:rsidRPr="00F54B31" w:rsidRDefault="00625F72">
          <w:pPr>
            <w:pStyle w:val="TOC3"/>
            <w:rPr>
              <w:rFonts w:asciiTheme="majorHAnsi" w:eastAsiaTheme="minorEastAsia" w:hAnsiTheme="majorHAnsi" w:cstheme="majorHAnsi"/>
              <w:noProof/>
              <w:sz w:val="18"/>
              <w:szCs w:val="18"/>
              <w:lang w:eastAsia="en-GB"/>
            </w:rPr>
          </w:pPr>
          <w:hyperlink w:anchor="_Toc52832349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1.2.3</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Randomised phase II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14</w:t>
            </w:r>
            <w:r w:rsidR="00F54B31" w:rsidRPr="00F54B31">
              <w:rPr>
                <w:rFonts w:asciiTheme="majorHAnsi" w:hAnsiTheme="majorHAnsi" w:cstheme="majorHAnsi"/>
                <w:noProof/>
                <w:webHidden/>
                <w:sz w:val="18"/>
                <w:szCs w:val="18"/>
              </w:rPr>
              <w:fldChar w:fldCharType="end"/>
            </w:r>
          </w:hyperlink>
        </w:p>
        <w:p w14:paraId="45331693" w14:textId="1DDE4D54"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492" w:history="1">
            <w:r w:rsidR="00F54B31" w:rsidRPr="00F54B31">
              <w:rPr>
                <w:rStyle w:val="Hyperlink"/>
                <w:rFonts w:asciiTheme="majorHAnsi" w:hAnsiTheme="majorHAnsi" w:cstheme="majorHAnsi"/>
                <w:noProof/>
                <w:sz w:val="18"/>
                <w:szCs w:val="18"/>
              </w:rPr>
              <w:t>2</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Introduction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15</w:t>
            </w:r>
            <w:r w:rsidR="00F54B31" w:rsidRPr="00F54B31">
              <w:rPr>
                <w:rFonts w:asciiTheme="majorHAnsi" w:hAnsiTheme="majorHAnsi" w:cstheme="majorHAnsi"/>
                <w:noProof/>
                <w:webHidden/>
                <w:sz w:val="18"/>
                <w:szCs w:val="18"/>
              </w:rPr>
              <w:fldChar w:fldCharType="end"/>
            </w:r>
          </w:hyperlink>
        </w:p>
        <w:p w14:paraId="53F5D6EC" w14:textId="3CF75547"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49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2.1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Background</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15</w:t>
            </w:r>
            <w:r w:rsidR="00F54B31" w:rsidRPr="00F54B31">
              <w:rPr>
                <w:rFonts w:asciiTheme="majorHAnsi" w:hAnsiTheme="majorHAnsi" w:cstheme="majorHAnsi"/>
                <w:noProof/>
                <w:webHidden/>
                <w:sz w:val="18"/>
                <w:szCs w:val="18"/>
              </w:rPr>
              <w:fldChar w:fldCharType="end"/>
            </w:r>
          </w:hyperlink>
        </w:p>
        <w:p w14:paraId="19430D8E" w14:textId="5170870F"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49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2.2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Trial Design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18</w:t>
            </w:r>
            <w:r w:rsidR="00F54B31" w:rsidRPr="00F54B31">
              <w:rPr>
                <w:rFonts w:asciiTheme="majorHAnsi" w:hAnsiTheme="majorHAnsi" w:cstheme="majorHAnsi"/>
                <w:noProof/>
                <w:webHidden/>
                <w:sz w:val="18"/>
                <w:szCs w:val="18"/>
              </w:rPr>
              <w:fldChar w:fldCharType="end"/>
            </w:r>
          </w:hyperlink>
        </w:p>
        <w:p w14:paraId="3C6BB0B1" w14:textId="6BC1F761" w:rsidR="00F54B31" w:rsidRPr="00F54B31" w:rsidRDefault="00625F72">
          <w:pPr>
            <w:pStyle w:val="TOC3"/>
            <w:rPr>
              <w:rFonts w:asciiTheme="majorHAnsi" w:eastAsiaTheme="minorEastAsia" w:hAnsiTheme="majorHAnsi" w:cstheme="majorHAnsi"/>
              <w:noProof/>
              <w:sz w:val="18"/>
              <w:szCs w:val="18"/>
              <w:lang w:eastAsia="en-GB"/>
            </w:rPr>
          </w:pPr>
          <w:hyperlink w:anchor="_Toc52832349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2.2.1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Phase 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18</w:t>
            </w:r>
            <w:r w:rsidR="00F54B31" w:rsidRPr="00F54B31">
              <w:rPr>
                <w:rFonts w:asciiTheme="majorHAnsi" w:hAnsiTheme="majorHAnsi" w:cstheme="majorHAnsi"/>
                <w:noProof/>
                <w:webHidden/>
                <w:sz w:val="18"/>
                <w:szCs w:val="18"/>
              </w:rPr>
              <w:fldChar w:fldCharType="end"/>
            </w:r>
          </w:hyperlink>
        </w:p>
        <w:p w14:paraId="0A66414F" w14:textId="2054493C" w:rsidR="00F54B31" w:rsidRPr="00F54B31" w:rsidRDefault="00625F72">
          <w:pPr>
            <w:pStyle w:val="TOC3"/>
            <w:rPr>
              <w:rFonts w:asciiTheme="majorHAnsi" w:eastAsiaTheme="minorEastAsia" w:hAnsiTheme="majorHAnsi" w:cstheme="majorHAnsi"/>
              <w:noProof/>
              <w:sz w:val="18"/>
              <w:szCs w:val="18"/>
              <w:lang w:eastAsia="en-GB"/>
            </w:rPr>
          </w:pPr>
          <w:hyperlink w:anchor="_Toc528323496"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2.2.2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Randomised phase II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19</w:t>
            </w:r>
            <w:r w:rsidR="00F54B31" w:rsidRPr="00F54B31">
              <w:rPr>
                <w:rFonts w:asciiTheme="majorHAnsi" w:hAnsiTheme="majorHAnsi" w:cstheme="majorHAnsi"/>
                <w:noProof/>
                <w:webHidden/>
                <w:sz w:val="18"/>
                <w:szCs w:val="18"/>
              </w:rPr>
              <w:fldChar w:fldCharType="end"/>
            </w:r>
          </w:hyperlink>
        </w:p>
        <w:p w14:paraId="0FE4205C" w14:textId="3E22C3A9" w:rsidR="00F54B31" w:rsidRPr="00F54B31" w:rsidRDefault="00625F72">
          <w:pPr>
            <w:pStyle w:val="TOC3"/>
            <w:rPr>
              <w:rFonts w:asciiTheme="majorHAnsi" w:eastAsiaTheme="minorEastAsia" w:hAnsiTheme="majorHAnsi" w:cstheme="majorHAnsi"/>
              <w:noProof/>
              <w:sz w:val="18"/>
              <w:szCs w:val="18"/>
              <w:lang w:eastAsia="en-GB"/>
            </w:rPr>
          </w:pPr>
          <w:hyperlink w:anchor="_Toc52832349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2.2.3</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Translational research</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19</w:t>
            </w:r>
            <w:r w:rsidR="00F54B31" w:rsidRPr="00F54B31">
              <w:rPr>
                <w:rFonts w:asciiTheme="majorHAnsi" w:hAnsiTheme="majorHAnsi" w:cstheme="majorHAnsi"/>
                <w:noProof/>
                <w:webHidden/>
                <w:sz w:val="18"/>
                <w:szCs w:val="18"/>
              </w:rPr>
              <w:fldChar w:fldCharType="end"/>
            </w:r>
          </w:hyperlink>
        </w:p>
        <w:p w14:paraId="3DBA26CA" w14:textId="13BBD9C6"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49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2.3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Trial activation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20</w:t>
            </w:r>
            <w:r w:rsidR="00F54B31" w:rsidRPr="00F54B31">
              <w:rPr>
                <w:rFonts w:asciiTheme="majorHAnsi" w:hAnsiTheme="majorHAnsi" w:cstheme="majorHAnsi"/>
                <w:noProof/>
                <w:webHidden/>
                <w:sz w:val="18"/>
                <w:szCs w:val="18"/>
              </w:rPr>
              <w:fldChar w:fldCharType="end"/>
            </w:r>
          </w:hyperlink>
        </w:p>
        <w:p w14:paraId="296EE428" w14:textId="57E8AFFA"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499" w:history="1">
            <w:r w:rsidR="00F54B31" w:rsidRPr="00F54B31">
              <w:rPr>
                <w:rStyle w:val="Hyperlink"/>
                <w:rFonts w:asciiTheme="majorHAnsi" w:hAnsiTheme="majorHAnsi" w:cstheme="majorHAnsi"/>
                <w:noProof/>
                <w:sz w:val="18"/>
                <w:szCs w:val="18"/>
              </w:rPr>
              <w:t>3</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Selection of Sites/Site Investigators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_Toc528323499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21</w:t>
            </w:r>
            <w:r w:rsidR="00F54B31" w:rsidRPr="00F54B31">
              <w:rPr>
                <w:rFonts w:asciiTheme="majorHAnsi" w:hAnsiTheme="majorHAnsi" w:cstheme="majorHAnsi"/>
                <w:noProof/>
                <w:webHidden/>
                <w:sz w:val="18"/>
                <w:szCs w:val="18"/>
              </w:rPr>
              <w:fldChar w:fldCharType="end"/>
            </w:r>
          </w:hyperlink>
        </w:p>
        <w:p w14:paraId="1E33A508" w14:textId="587E8A89"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0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3.1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Site selection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21</w:t>
            </w:r>
            <w:r w:rsidR="00F54B31" w:rsidRPr="00F54B31">
              <w:rPr>
                <w:rFonts w:asciiTheme="majorHAnsi" w:hAnsiTheme="majorHAnsi" w:cstheme="majorHAnsi"/>
                <w:noProof/>
                <w:webHidden/>
                <w:sz w:val="18"/>
                <w:szCs w:val="18"/>
              </w:rPr>
              <w:fldChar w:fldCharType="end"/>
            </w:r>
          </w:hyperlink>
        </w:p>
        <w:p w14:paraId="3E4ED6DC" w14:textId="4703B38F"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0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3.2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Selection of Principal Investigator and other investigators at sites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21</w:t>
            </w:r>
            <w:r w:rsidR="00F54B31" w:rsidRPr="00F54B31">
              <w:rPr>
                <w:rFonts w:asciiTheme="majorHAnsi" w:hAnsiTheme="majorHAnsi" w:cstheme="majorHAnsi"/>
                <w:noProof/>
                <w:webHidden/>
                <w:sz w:val="18"/>
                <w:szCs w:val="18"/>
              </w:rPr>
              <w:fldChar w:fldCharType="end"/>
            </w:r>
          </w:hyperlink>
        </w:p>
        <w:p w14:paraId="71957D2D" w14:textId="19F1EDA2"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0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3.3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Training requirements for site staff</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21</w:t>
            </w:r>
            <w:r w:rsidR="00F54B31" w:rsidRPr="00F54B31">
              <w:rPr>
                <w:rFonts w:asciiTheme="majorHAnsi" w:hAnsiTheme="majorHAnsi" w:cstheme="majorHAnsi"/>
                <w:noProof/>
                <w:webHidden/>
                <w:sz w:val="18"/>
                <w:szCs w:val="18"/>
              </w:rPr>
              <w:fldChar w:fldCharType="end"/>
            </w:r>
          </w:hyperlink>
        </w:p>
        <w:p w14:paraId="0EF01D96" w14:textId="41E996B0"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0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3.4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Site initiation and activation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21</w:t>
            </w:r>
            <w:r w:rsidR="00F54B31" w:rsidRPr="00F54B31">
              <w:rPr>
                <w:rFonts w:asciiTheme="majorHAnsi" w:hAnsiTheme="majorHAnsi" w:cstheme="majorHAnsi"/>
                <w:noProof/>
                <w:webHidden/>
                <w:sz w:val="18"/>
                <w:szCs w:val="18"/>
              </w:rPr>
              <w:fldChar w:fldCharType="end"/>
            </w:r>
          </w:hyperlink>
        </w:p>
        <w:p w14:paraId="2CABCF3F" w14:textId="6A47107A" w:rsidR="00F54B31" w:rsidRPr="00F54B31" w:rsidRDefault="00625F72">
          <w:pPr>
            <w:pStyle w:val="TOC3"/>
            <w:rPr>
              <w:rFonts w:asciiTheme="majorHAnsi" w:eastAsiaTheme="minorEastAsia" w:hAnsiTheme="majorHAnsi" w:cstheme="majorHAnsi"/>
              <w:noProof/>
              <w:sz w:val="18"/>
              <w:szCs w:val="18"/>
              <w:lang w:eastAsia="en-GB"/>
            </w:rPr>
          </w:pPr>
          <w:hyperlink w:anchor="_Toc52832350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3.4.1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Site initiation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21</w:t>
            </w:r>
            <w:r w:rsidR="00F54B31" w:rsidRPr="00F54B31">
              <w:rPr>
                <w:rFonts w:asciiTheme="majorHAnsi" w:hAnsiTheme="majorHAnsi" w:cstheme="majorHAnsi"/>
                <w:noProof/>
                <w:webHidden/>
                <w:sz w:val="18"/>
                <w:szCs w:val="18"/>
              </w:rPr>
              <w:fldChar w:fldCharType="end"/>
            </w:r>
          </w:hyperlink>
        </w:p>
        <w:p w14:paraId="563A6FDD" w14:textId="728A6132" w:rsidR="00F54B31" w:rsidRPr="00F54B31" w:rsidRDefault="00625F72">
          <w:pPr>
            <w:pStyle w:val="TOC3"/>
            <w:rPr>
              <w:rFonts w:asciiTheme="majorHAnsi" w:eastAsiaTheme="minorEastAsia" w:hAnsiTheme="majorHAnsi" w:cstheme="majorHAnsi"/>
              <w:noProof/>
              <w:sz w:val="18"/>
              <w:szCs w:val="18"/>
              <w:lang w:eastAsia="en-GB"/>
            </w:rPr>
          </w:pPr>
          <w:hyperlink w:anchor="_Toc52832350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3.4.2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Required documentation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22</w:t>
            </w:r>
            <w:r w:rsidR="00F54B31" w:rsidRPr="00F54B31">
              <w:rPr>
                <w:rFonts w:asciiTheme="majorHAnsi" w:hAnsiTheme="majorHAnsi" w:cstheme="majorHAnsi"/>
                <w:noProof/>
                <w:webHidden/>
                <w:sz w:val="18"/>
                <w:szCs w:val="18"/>
              </w:rPr>
              <w:fldChar w:fldCharType="end"/>
            </w:r>
          </w:hyperlink>
        </w:p>
        <w:p w14:paraId="1AE2522C" w14:textId="6FC981D4" w:rsidR="00F54B31" w:rsidRPr="00F54B31" w:rsidRDefault="00625F72">
          <w:pPr>
            <w:pStyle w:val="TOC3"/>
            <w:rPr>
              <w:rFonts w:asciiTheme="majorHAnsi" w:eastAsiaTheme="minorEastAsia" w:hAnsiTheme="majorHAnsi" w:cstheme="majorHAnsi"/>
              <w:noProof/>
              <w:sz w:val="18"/>
              <w:szCs w:val="18"/>
              <w:lang w:eastAsia="en-GB"/>
            </w:rPr>
          </w:pPr>
          <w:hyperlink w:anchor="_Toc528323506" w:history="1">
            <w:r w:rsidR="00F54B31" w:rsidRPr="00F54B31">
              <w:rPr>
                <w:rStyle w:val="Hyperlink"/>
                <w:rFonts w:asciiTheme="majorHAnsi" w:hAnsiTheme="majorHAnsi" w:cstheme="majorHAnsi"/>
                <w:noProof/>
                <w:sz w:val="18"/>
                <w:szCs w:val="18"/>
              </w:rPr>
              <w:t>3.4.3</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Site activation letter</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22</w:t>
            </w:r>
            <w:r w:rsidR="00F54B31" w:rsidRPr="00F54B31">
              <w:rPr>
                <w:rFonts w:asciiTheme="majorHAnsi" w:hAnsiTheme="majorHAnsi" w:cstheme="majorHAnsi"/>
                <w:noProof/>
                <w:webHidden/>
                <w:sz w:val="18"/>
                <w:szCs w:val="18"/>
              </w:rPr>
              <w:fldChar w:fldCharType="end"/>
            </w:r>
          </w:hyperlink>
        </w:p>
        <w:p w14:paraId="77771023" w14:textId="6715BB28"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07" w:history="1">
            <w:r w:rsidR="00F54B31" w:rsidRPr="00F54B31">
              <w:rPr>
                <w:rStyle w:val="Hyperlink"/>
                <w:rFonts w:asciiTheme="majorHAnsi" w:hAnsiTheme="majorHAnsi" w:cstheme="majorHAnsi"/>
                <w:noProof/>
                <w:sz w:val="18"/>
                <w:szCs w:val="18"/>
              </w:rPr>
              <w:t>4</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Informed consent</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23</w:t>
            </w:r>
            <w:r w:rsidR="00F54B31" w:rsidRPr="00F54B31">
              <w:rPr>
                <w:rFonts w:asciiTheme="majorHAnsi" w:hAnsiTheme="majorHAnsi" w:cstheme="majorHAnsi"/>
                <w:noProof/>
                <w:webHidden/>
                <w:sz w:val="18"/>
                <w:szCs w:val="18"/>
              </w:rPr>
              <w:fldChar w:fldCharType="end"/>
            </w:r>
          </w:hyperlink>
        </w:p>
        <w:p w14:paraId="2DB30AB9" w14:textId="3FE8593E"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08" w:history="1">
            <w:r w:rsidR="00F54B31" w:rsidRPr="00F54B31">
              <w:rPr>
                <w:rStyle w:val="Hyperlink"/>
                <w:rFonts w:asciiTheme="majorHAnsi" w:hAnsiTheme="majorHAnsi" w:cstheme="majorHAnsi"/>
                <w:noProof/>
                <w:sz w:val="18"/>
                <w:szCs w:val="18"/>
              </w:rPr>
              <w:t>5</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Selection of Patients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24</w:t>
            </w:r>
            <w:r w:rsidR="00F54B31" w:rsidRPr="00F54B31">
              <w:rPr>
                <w:rFonts w:asciiTheme="majorHAnsi" w:hAnsiTheme="majorHAnsi" w:cstheme="majorHAnsi"/>
                <w:noProof/>
                <w:webHidden/>
                <w:sz w:val="18"/>
                <w:szCs w:val="18"/>
              </w:rPr>
              <w:fldChar w:fldCharType="end"/>
            </w:r>
          </w:hyperlink>
        </w:p>
        <w:p w14:paraId="48AF265C" w14:textId="567EBA8A"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09"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5.1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Pre-registration (phase I) &amp; pre-randomisation (phase II) Evaluation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_Toc528323509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24</w:t>
            </w:r>
            <w:r w:rsidR="00F54B31" w:rsidRPr="00F54B31">
              <w:rPr>
                <w:rFonts w:asciiTheme="majorHAnsi" w:hAnsiTheme="majorHAnsi" w:cstheme="majorHAnsi"/>
                <w:noProof/>
                <w:webHidden/>
                <w:sz w:val="18"/>
                <w:szCs w:val="18"/>
              </w:rPr>
              <w:fldChar w:fldCharType="end"/>
            </w:r>
          </w:hyperlink>
        </w:p>
        <w:p w14:paraId="025F7862" w14:textId="2EFFD9D9"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1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5.2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Screening Log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24</w:t>
            </w:r>
            <w:r w:rsidR="00F54B31" w:rsidRPr="00F54B31">
              <w:rPr>
                <w:rFonts w:asciiTheme="majorHAnsi" w:hAnsiTheme="majorHAnsi" w:cstheme="majorHAnsi"/>
                <w:noProof/>
                <w:webHidden/>
                <w:sz w:val="18"/>
                <w:szCs w:val="18"/>
              </w:rPr>
              <w:fldChar w:fldCharType="end"/>
            </w:r>
          </w:hyperlink>
        </w:p>
        <w:p w14:paraId="2399FCBA" w14:textId="6353B134"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1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5.3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Patient Eligibility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24</w:t>
            </w:r>
            <w:r w:rsidR="00F54B31" w:rsidRPr="00F54B31">
              <w:rPr>
                <w:rFonts w:asciiTheme="majorHAnsi" w:hAnsiTheme="majorHAnsi" w:cstheme="majorHAnsi"/>
                <w:noProof/>
                <w:webHidden/>
                <w:sz w:val="18"/>
                <w:szCs w:val="18"/>
              </w:rPr>
              <w:fldChar w:fldCharType="end"/>
            </w:r>
          </w:hyperlink>
        </w:p>
        <w:p w14:paraId="65813D18" w14:textId="5A9C5F7D"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1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5.4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Patient Inclusion Criteria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24</w:t>
            </w:r>
            <w:r w:rsidR="00F54B31" w:rsidRPr="00F54B31">
              <w:rPr>
                <w:rFonts w:asciiTheme="majorHAnsi" w:hAnsiTheme="majorHAnsi" w:cstheme="majorHAnsi"/>
                <w:noProof/>
                <w:webHidden/>
                <w:sz w:val="18"/>
                <w:szCs w:val="18"/>
              </w:rPr>
              <w:fldChar w:fldCharType="end"/>
            </w:r>
          </w:hyperlink>
        </w:p>
        <w:p w14:paraId="2A11A42D" w14:textId="1E7FF673"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1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5.5</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Patient Exclusion Criteria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25</w:t>
            </w:r>
            <w:r w:rsidR="00F54B31" w:rsidRPr="00F54B31">
              <w:rPr>
                <w:rFonts w:asciiTheme="majorHAnsi" w:hAnsiTheme="majorHAnsi" w:cstheme="majorHAnsi"/>
                <w:noProof/>
                <w:webHidden/>
                <w:sz w:val="18"/>
                <w:szCs w:val="18"/>
              </w:rPr>
              <w:fldChar w:fldCharType="end"/>
            </w:r>
          </w:hyperlink>
        </w:p>
        <w:p w14:paraId="01D41FC1" w14:textId="5D2D1546"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1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5.6</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Pregnancy and Birth Control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26</w:t>
            </w:r>
            <w:r w:rsidR="00F54B31" w:rsidRPr="00F54B31">
              <w:rPr>
                <w:rFonts w:asciiTheme="majorHAnsi" w:hAnsiTheme="majorHAnsi" w:cstheme="majorHAnsi"/>
                <w:noProof/>
                <w:webHidden/>
                <w:sz w:val="18"/>
                <w:szCs w:val="18"/>
              </w:rPr>
              <w:fldChar w:fldCharType="end"/>
            </w:r>
          </w:hyperlink>
        </w:p>
        <w:p w14:paraId="41D2D494" w14:textId="068493AE" w:rsidR="00F54B31" w:rsidRPr="00F54B31" w:rsidRDefault="00625F72">
          <w:pPr>
            <w:pStyle w:val="TOC3"/>
            <w:rPr>
              <w:rFonts w:asciiTheme="majorHAnsi" w:eastAsiaTheme="minorEastAsia" w:hAnsiTheme="majorHAnsi" w:cstheme="majorHAnsi"/>
              <w:noProof/>
              <w:sz w:val="18"/>
              <w:szCs w:val="18"/>
              <w:lang w:eastAsia="en-GB"/>
            </w:rPr>
          </w:pPr>
          <w:hyperlink w:anchor="_Toc52832351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5.6.1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Pregnancy Testing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26</w:t>
            </w:r>
            <w:r w:rsidR="00F54B31" w:rsidRPr="00F54B31">
              <w:rPr>
                <w:rFonts w:asciiTheme="majorHAnsi" w:hAnsiTheme="majorHAnsi" w:cstheme="majorHAnsi"/>
                <w:noProof/>
                <w:webHidden/>
                <w:sz w:val="18"/>
                <w:szCs w:val="18"/>
              </w:rPr>
              <w:fldChar w:fldCharType="end"/>
            </w:r>
          </w:hyperlink>
        </w:p>
        <w:p w14:paraId="503204B7" w14:textId="660BA16D"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16" w:history="1">
            <w:r w:rsidR="00F54B31" w:rsidRPr="00F54B31">
              <w:rPr>
                <w:rStyle w:val="Hyperlink"/>
                <w:rFonts w:asciiTheme="majorHAnsi" w:hAnsiTheme="majorHAnsi" w:cstheme="majorHAnsi"/>
                <w:noProof/>
                <w:sz w:val="18"/>
                <w:szCs w:val="18"/>
              </w:rPr>
              <w:t>6</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Registration (phase I) and Randomisation (phase II) Procedures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28</w:t>
            </w:r>
            <w:r w:rsidR="00F54B31" w:rsidRPr="00F54B31">
              <w:rPr>
                <w:rFonts w:asciiTheme="majorHAnsi" w:hAnsiTheme="majorHAnsi" w:cstheme="majorHAnsi"/>
                <w:noProof/>
                <w:webHidden/>
                <w:sz w:val="18"/>
                <w:szCs w:val="18"/>
              </w:rPr>
              <w:fldChar w:fldCharType="end"/>
            </w:r>
          </w:hyperlink>
        </w:p>
        <w:p w14:paraId="29EBADE2" w14:textId="1FC3DE70"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1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6.1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Registration to the phase 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28</w:t>
            </w:r>
            <w:r w:rsidR="00F54B31" w:rsidRPr="00F54B31">
              <w:rPr>
                <w:rFonts w:asciiTheme="majorHAnsi" w:hAnsiTheme="majorHAnsi" w:cstheme="majorHAnsi"/>
                <w:noProof/>
                <w:webHidden/>
                <w:sz w:val="18"/>
                <w:szCs w:val="18"/>
              </w:rPr>
              <w:fldChar w:fldCharType="end"/>
            </w:r>
          </w:hyperlink>
        </w:p>
        <w:p w14:paraId="517A82EE" w14:textId="038A0F4E"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1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6.2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Randomisation to the phase II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28</w:t>
            </w:r>
            <w:r w:rsidR="00F54B31" w:rsidRPr="00F54B31">
              <w:rPr>
                <w:rFonts w:asciiTheme="majorHAnsi" w:hAnsiTheme="majorHAnsi" w:cstheme="majorHAnsi"/>
                <w:noProof/>
                <w:webHidden/>
                <w:sz w:val="18"/>
                <w:szCs w:val="18"/>
              </w:rPr>
              <w:fldChar w:fldCharType="end"/>
            </w:r>
          </w:hyperlink>
        </w:p>
        <w:p w14:paraId="63FDB768" w14:textId="75303261"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19"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6.3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Initial trial drug supply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_Toc528323519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29</w:t>
            </w:r>
            <w:r w:rsidR="00F54B31" w:rsidRPr="00F54B31">
              <w:rPr>
                <w:rFonts w:asciiTheme="majorHAnsi" w:hAnsiTheme="majorHAnsi" w:cstheme="majorHAnsi"/>
                <w:noProof/>
                <w:webHidden/>
                <w:sz w:val="18"/>
                <w:szCs w:val="18"/>
              </w:rPr>
              <w:fldChar w:fldCharType="end"/>
            </w:r>
          </w:hyperlink>
        </w:p>
        <w:p w14:paraId="1771ED8C" w14:textId="7174D984"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20" w:history="1">
            <w:r w:rsidR="00F54B31" w:rsidRPr="00F54B31">
              <w:rPr>
                <w:rStyle w:val="Hyperlink"/>
                <w:rFonts w:asciiTheme="majorHAnsi" w:hAnsiTheme="majorHAnsi" w:cstheme="majorHAnsi"/>
                <w:noProof/>
                <w:sz w:val="18"/>
                <w:szCs w:val="18"/>
              </w:rPr>
              <w:t>7</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Trial Treatment</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30</w:t>
            </w:r>
            <w:r w:rsidR="00F54B31" w:rsidRPr="00F54B31">
              <w:rPr>
                <w:rFonts w:asciiTheme="majorHAnsi" w:hAnsiTheme="majorHAnsi" w:cstheme="majorHAnsi"/>
                <w:noProof/>
                <w:webHidden/>
                <w:sz w:val="18"/>
                <w:szCs w:val="18"/>
              </w:rPr>
              <w:fldChar w:fldCharType="end"/>
            </w:r>
          </w:hyperlink>
        </w:p>
        <w:p w14:paraId="08B2C265" w14:textId="10549F40"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2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Treatment summary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30</w:t>
            </w:r>
            <w:r w:rsidR="00F54B31" w:rsidRPr="00F54B31">
              <w:rPr>
                <w:rFonts w:asciiTheme="majorHAnsi" w:hAnsiTheme="majorHAnsi" w:cstheme="majorHAnsi"/>
                <w:noProof/>
                <w:webHidden/>
                <w:sz w:val="18"/>
                <w:szCs w:val="18"/>
              </w:rPr>
              <w:fldChar w:fldCharType="end"/>
            </w:r>
          </w:hyperlink>
        </w:p>
        <w:p w14:paraId="4CD84873" w14:textId="2D1195C1"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2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Summary Treatment Schedule</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30</w:t>
            </w:r>
            <w:r w:rsidR="00F54B31" w:rsidRPr="00F54B31">
              <w:rPr>
                <w:rFonts w:asciiTheme="majorHAnsi" w:hAnsiTheme="majorHAnsi" w:cstheme="majorHAnsi"/>
                <w:noProof/>
                <w:webHidden/>
                <w:sz w:val="18"/>
                <w:szCs w:val="18"/>
              </w:rPr>
              <w:fldChar w:fldCharType="end"/>
            </w:r>
          </w:hyperlink>
        </w:p>
        <w:p w14:paraId="2060409E" w14:textId="32D2EE30"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2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Phase 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30</w:t>
            </w:r>
            <w:r w:rsidR="00F54B31" w:rsidRPr="00F54B31">
              <w:rPr>
                <w:rFonts w:asciiTheme="majorHAnsi" w:hAnsiTheme="majorHAnsi" w:cstheme="majorHAnsi"/>
                <w:noProof/>
                <w:webHidden/>
                <w:sz w:val="18"/>
                <w:szCs w:val="18"/>
              </w:rPr>
              <w:fldChar w:fldCharType="end"/>
            </w:r>
          </w:hyperlink>
        </w:p>
        <w:p w14:paraId="279BA2E6" w14:textId="1D31FF87" w:rsidR="00F54B31" w:rsidRPr="00F54B31" w:rsidRDefault="00625F72">
          <w:pPr>
            <w:pStyle w:val="TOC3"/>
            <w:rPr>
              <w:rFonts w:asciiTheme="majorHAnsi" w:eastAsiaTheme="minorEastAsia" w:hAnsiTheme="majorHAnsi" w:cstheme="majorHAnsi"/>
              <w:noProof/>
              <w:sz w:val="18"/>
              <w:szCs w:val="18"/>
              <w:lang w:eastAsia="en-GB"/>
            </w:rPr>
          </w:pPr>
          <w:hyperlink w:anchor="_Toc52832352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7.3.1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Determining the ganetespib dose from the phase I trial to be used in phase II (maximum tolerated dose, MTD)</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31</w:t>
            </w:r>
            <w:r w:rsidR="00F54B31" w:rsidRPr="00F54B31">
              <w:rPr>
                <w:rFonts w:asciiTheme="majorHAnsi" w:hAnsiTheme="majorHAnsi" w:cstheme="majorHAnsi"/>
                <w:noProof/>
                <w:webHidden/>
                <w:sz w:val="18"/>
                <w:szCs w:val="18"/>
              </w:rPr>
              <w:fldChar w:fldCharType="end"/>
            </w:r>
          </w:hyperlink>
        </w:p>
        <w:p w14:paraId="18C51F8F" w14:textId="74C09581" w:rsidR="00F54B31" w:rsidRPr="00F54B31" w:rsidRDefault="00625F72">
          <w:pPr>
            <w:pStyle w:val="TOC3"/>
            <w:rPr>
              <w:rFonts w:asciiTheme="majorHAnsi" w:eastAsiaTheme="minorEastAsia" w:hAnsiTheme="majorHAnsi" w:cstheme="majorHAnsi"/>
              <w:noProof/>
              <w:sz w:val="18"/>
              <w:szCs w:val="18"/>
              <w:lang w:eastAsia="en-GB"/>
            </w:rPr>
          </w:pPr>
          <w:hyperlink w:anchor="_Toc52832352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7.3.2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Randomised Phase II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37</w:t>
            </w:r>
            <w:r w:rsidR="00F54B31" w:rsidRPr="00F54B31">
              <w:rPr>
                <w:rFonts w:asciiTheme="majorHAnsi" w:hAnsiTheme="majorHAnsi" w:cstheme="majorHAnsi"/>
                <w:noProof/>
                <w:webHidden/>
                <w:sz w:val="18"/>
                <w:szCs w:val="18"/>
              </w:rPr>
              <w:fldChar w:fldCharType="end"/>
            </w:r>
          </w:hyperlink>
        </w:p>
        <w:p w14:paraId="5D5867CC" w14:textId="46156256"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26"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Pharmacy responsibilities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38</w:t>
            </w:r>
            <w:r w:rsidR="00F54B31" w:rsidRPr="00F54B31">
              <w:rPr>
                <w:rFonts w:asciiTheme="majorHAnsi" w:hAnsiTheme="majorHAnsi" w:cstheme="majorHAnsi"/>
                <w:noProof/>
                <w:webHidden/>
                <w:sz w:val="18"/>
                <w:szCs w:val="18"/>
              </w:rPr>
              <w:fldChar w:fldCharType="end"/>
            </w:r>
          </w:hyperlink>
        </w:p>
        <w:p w14:paraId="2392D574" w14:textId="31654BC7" w:rsidR="00F54B31" w:rsidRPr="00F54B31" w:rsidRDefault="00625F72">
          <w:pPr>
            <w:pStyle w:val="TOC3"/>
            <w:rPr>
              <w:rFonts w:asciiTheme="majorHAnsi" w:eastAsiaTheme="minorEastAsia" w:hAnsiTheme="majorHAnsi" w:cstheme="majorHAnsi"/>
              <w:noProof/>
              <w:sz w:val="18"/>
              <w:szCs w:val="18"/>
              <w:lang w:eastAsia="en-GB"/>
            </w:rPr>
          </w:pPr>
          <w:hyperlink w:anchor="_Toc52832352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7.4.1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Temperature Excursions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38</w:t>
            </w:r>
            <w:r w:rsidR="00F54B31" w:rsidRPr="00F54B31">
              <w:rPr>
                <w:rFonts w:asciiTheme="majorHAnsi" w:hAnsiTheme="majorHAnsi" w:cstheme="majorHAnsi"/>
                <w:noProof/>
                <w:webHidden/>
                <w:sz w:val="18"/>
                <w:szCs w:val="18"/>
              </w:rPr>
              <w:fldChar w:fldCharType="end"/>
            </w:r>
          </w:hyperlink>
        </w:p>
        <w:p w14:paraId="53137C89" w14:textId="55DE9F10" w:rsidR="00F54B31" w:rsidRPr="00F54B31" w:rsidRDefault="00625F72">
          <w:pPr>
            <w:pStyle w:val="TOC3"/>
            <w:rPr>
              <w:rFonts w:asciiTheme="majorHAnsi" w:eastAsiaTheme="minorEastAsia" w:hAnsiTheme="majorHAnsi" w:cstheme="majorHAnsi"/>
              <w:noProof/>
              <w:sz w:val="18"/>
              <w:szCs w:val="18"/>
              <w:lang w:eastAsia="en-GB"/>
            </w:rPr>
          </w:pPr>
          <w:hyperlink w:anchor="_Toc52832352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7.4.2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Drug accountability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38</w:t>
            </w:r>
            <w:r w:rsidR="00F54B31" w:rsidRPr="00F54B31">
              <w:rPr>
                <w:rFonts w:asciiTheme="majorHAnsi" w:hAnsiTheme="majorHAnsi" w:cstheme="majorHAnsi"/>
                <w:noProof/>
                <w:webHidden/>
                <w:sz w:val="18"/>
                <w:szCs w:val="18"/>
              </w:rPr>
              <w:fldChar w:fldCharType="end"/>
            </w:r>
          </w:hyperlink>
        </w:p>
        <w:p w14:paraId="2D9D72DB" w14:textId="1F5682E1"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29"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7.5</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Ganetespib</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_Toc528323529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38</w:t>
            </w:r>
            <w:r w:rsidR="00F54B31" w:rsidRPr="00F54B31">
              <w:rPr>
                <w:rFonts w:asciiTheme="majorHAnsi" w:hAnsiTheme="majorHAnsi" w:cstheme="majorHAnsi"/>
                <w:noProof/>
                <w:webHidden/>
                <w:sz w:val="18"/>
                <w:szCs w:val="18"/>
              </w:rPr>
              <w:fldChar w:fldCharType="end"/>
            </w:r>
          </w:hyperlink>
        </w:p>
        <w:p w14:paraId="0C4C024B" w14:textId="58F8BB47"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3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7.6</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Pemetrexed</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40</w:t>
            </w:r>
            <w:r w:rsidR="00F54B31" w:rsidRPr="00F54B31">
              <w:rPr>
                <w:rFonts w:asciiTheme="majorHAnsi" w:hAnsiTheme="majorHAnsi" w:cstheme="majorHAnsi"/>
                <w:noProof/>
                <w:webHidden/>
                <w:sz w:val="18"/>
                <w:szCs w:val="18"/>
              </w:rPr>
              <w:fldChar w:fldCharType="end"/>
            </w:r>
          </w:hyperlink>
        </w:p>
        <w:p w14:paraId="5B00BCB4" w14:textId="7141F845"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3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7.7</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Cisplatin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41</w:t>
            </w:r>
            <w:r w:rsidR="00F54B31" w:rsidRPr="00F54B31">
              <w:rPr>
                <w:rFonts w:asciiTheme="majorHAnsi" w:hAnsiTheme="majorHAnsi" w:cstheme="majorHAnsi"/>
                <w:noProof/>
                <w:webHidden/>
                <w:sz w:val="18"/>
                <w:szCs w:val="18"/>
              </w:rPr>
              <w:fldChar w:fldCharType="end"/>
            </w:r>
          </w:hyperlink>
        </w:p>
        <w:p w14:paraId="46542DD7" w14:textId="12F7D4E3"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3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7.8</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Carboplatin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41</w:t>
            </w:r>
            <w:r w:rsidR="00F54B31" w:rsidRPr="00F54B31">
              <w:rPr>
                <w:rFonts w:asciiTheme="majorHAnsi" w:hAnsiTheme="majorHAnsi" w:cstheme="majorHAnsi"/>
                <w:noProof/>
                <w:webHidden/>
                <w:sz w:val="18"/>
                <w:szCs w:val="18"/>
              </w:rPr>
              <w:fldChar w:fldCharType="end"/>
            </w:r>
          </w:hyperlink>
        </w:p>
        <w:p w14:paraId="266F72E4" w14:textId="741EEAB1"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3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7.9</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Vitamin supplementation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41</w:t>
            </w:r>
            <w:r w:rsidR="00F54B31" w:rsidRPr="00F54B31">
              <w:rPr>
                <w:rFonts w:asciiTheme="majorHAnsi" w:hAnsiTheme="majorHAnsi" w:cstheme="majorHAnsi"/>
                <w:noProof/>
                <w:webHidden/>
                <w:sz w:val="18"/>
                <w:szCs w:val="18"/>
              </w:rPr>
              <w:fldChar w:fldCharType="end"/>
            </w:r>
          </w:hyperlink>
        </w:p>
        <w:p w14:paraId="1C9749E1" w14:textId="6A117DEC"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3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7.10</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Anti-emetics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41</w:t>
            </w:r>
            <w:r w:rsidR="00F54B31" w:rsidRPr="00F54B31">
              <w:rPr>
                <w:rFonts w:asciiTheme="majorHAnsi" w:hAnsiTheme="majorHAnsi" w:cstheme="majorHAnsi"/>
                <w:noProof/>
                <w:webHidden/>
                <w:sz w:val="18"/>
                <w:szCs w:val="18"/>
              </w:rPr>
              <w:fldChar w:fldCharType="end"/>
            </w:r>
          </w:hyperlink>
        </w:p>
        <w:p w14:paraId="72FA074A" w14:textId="1C4465FE"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3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Prophylactic antibiotics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42</w:t>
            </w:r>
            <w:r w:rsidR="00F54B31" w:rsidRPr="00F54B31">
              <w:rPr>
                <w:rFonts w:asciiTheme="majorHAnsi" w:hAnsiTheme="majorHAnsi" w:cstheme="majorHAnsi"/>
                <w:noProof/>
                <w:webHidden/>
                <w:sz w:val="18"/>
                <w:szCs w:val="18"/>
              </w:rPr>
              <w:fldChar w:fldCharType="end"/>
            </w:r>
          </w:hyperlink>
        </w:p>
        <w:p w14:paraId="7CF697D1" w14:textId="1403F691"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36"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Dose modifications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42</w:t>
            </w:r>
            <w:r w:rsidR="00F54B31" w:rsidRPr="00F54B31">
              <w:rPr>
                <w:rFonts w:asciiTheme="majorHAnsi" w:hAnsiTheme="majorHAnsi" w:cstheme="majorHAnsi"/>
                <w:noProof/>
                <w:webHidden/>
                <w:sz w:val="18"/>
                <w:szCs w:val="18"/>
              </w:rPr>
              <w:fldChar w:fldCharType="end"/>
            </w:r>
          </w:hyperlink>
        </w:p>
        <w:p w14:paraId="1B2B2989" w14:textId="42C7CD24" w:rsidR="00F54B31" w:rsidRPr="00F54B31" w:rsidRDefault="00625F72">
          <w:pPr>
            <w:pStyle w:val="TOC3"/>
            <w:rPr>
              <w:rFonts w:asciiTheme="majorHAnsi" w:eastAsiaTheme="minorEastAsia" w:hAnsiTheme="majorHAnsi" w:cstheme="majorHAnsi"/>
              <w:noProof/>
              <w:sz w:val="18"/>
              <w:szCs w:val="18"/>
              <w:lang w:eastAsia="en-GB"/>
            </w:rPr>
          </w:pPr>
          <w:hyperlink w:anchor="_Toc52832353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7.12.1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Ganetespib reductions (phase I only)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42</w:t>
            </w:r>
            <w:r w:rsidR="00F54B31" w:rsidRPr="00F54B31">
              <w:rPr>
                <w:rFonts w:asciiTheme="majorHAnsi" w:hAnsiTheme="majorHAnsi" w:cstheme="majorHAnsi"/>
                <w:noProof/>
                <w:webHidden/>
                <w:sz w:val="18"/>
                <w:szCs w:val="18"/>
              </w:rPr>
              <w:fldChar w:fldCharType="end"/>
            </w:r>
          </w:hyperlink>
        </w:p>
        <w:p w14:paraId="61E522F1" w14:textId="073566F7" w:rsidR="00F54B31" w:rsidRPr="00F54B31" w:rsidRDefault="00625F72">
          <w:pPr>
            <w:pStyle w:val="TOC3"/>
            <w:rPr>
              <w:rFonts w:asciiTheme="majorHAnsi" w:eastAsiaTheme="minorEastAsia" w:hAnsiTheme="majorHAnsi" w:cstheme="majorHAnsi"/>
              <w:noProof/>
              <w:sz w:val="18"/>
              <w:szCs w:val="18"/>
              <w:lang w:eastAsia="en-GB"/>
            </w:rPr>
          </w:pPr>
          <w:hyperlink w:anchor="_Toc52832353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7.12.2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Ganetespib reductions (phase II only)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38</w:t>
            </w:r>
            <w:r w:rsidR="00F54B31" w:rsidRPr="00F54B31">
              <w:rPr>
                <w:rFonts w:asciiTheme="majorHAnsi" w:hAnsiTheme="majorHAnsi" w:cstheme="majorHAnsi"/>
                <w:noProof/>
                <w:webHidden/>
                <w:sz w:val="18"/>
                <w:szCs w:val="18"/>
              </w:rPr>
              <w:fldChar w:fldCharType="end"/>
            </w:r>
          </w:hyperlink>
        </w:p>
        <w:p w14:paraId="2E7A5DE7" w14:textId="0C7DD472" w:rsidR="00F54B31" w:rsidRPr="00F54B31" w:rsidRDefault="00625F72">
          <w:pPr>
            <w:pStyle w:val="TOC3"/>
            <w:rPr>
              <w:rFonts w:asciiTheme="majorHAnsi" w:eastAsiaTheme="minorEastAsia" w:hAnsiTheme="majorHAnsi" w:cstheme="majorHAnsi"/>
              <w:noProof/>
              <w:sz w:val="18"/>
              <w:szCs w:val="18"/>
              <w:lang w:eastAsia="en-GB"/>
            </w:rPr>
          </w:pPr>
          <w:hyperlink w:anchor="_Toc528323539"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7.12.3</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Pemetrexed/cisplatin dose reduction guidelines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_Toc528323539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38</w:t>
            </w:r>
            <w:r w:rsidR="00F54B31" w:rsidRPr="00F54B31">
              <w:rPr>
                <w:rFonts w:asciiTheme="majorHAnsi" w:hAnsiTheme="majorHAnsi" w:cstheme="majorHAnsi"/>
                <w:noProof/>
                <w:webHidden/>
                <w:sz w:val="18"/>
                <w:szCs w:val="18"/>
              </w:rPr>
              <w:fldChar w:fldCharType="end"/>
            </w:r>
          </w:hyperlink>
        </w:p>
        <w:p w14:paraId="27714568" w14:textId="43673CD3"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4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Drug Interactions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39</w:t>
            </w:r>
            <w:r w:rsidR="00F54B31" w:rsidRPr="00F54B31">
              <w:rPr>
                <w:rFonts w:asciiTheme="majorHAnsi" w:hAnsiTheme="majorHAnsi" w:cstheme="majorHAnsi"/>
                <w:noProof/>
                <w:webHidden/>
                <w:sz w:val="18"/>
                <w:szCs w:val="18"/>
              </w:rPr>
              <w:fldChar w:fldCharType="end"/>
            </w:r>
          </w:hyperlink>
        </w:p>
        <w:p w14:paraId="3F805C21" w14:textId="7B716771" w:rsidR="00F54B31" w:rsidRPr="00F54B31" w:rsidRDefault="00625F72">
          <w:pPr>
            <w:pStyle w:val="TOC3"/>
            <w:rPr>
              <w:rFonts w:asciiTheme="majorHAnsi" w:eastAsiaTheme="minorEastAsia" w:hAnsiTheme="majorHAnsi" w:cstheme="majorHAnsi"/>
              <w:noProof/>
              <w:sz w:val="18"/>
              <w:szCs w:val="18"/>
              <w:lang w:eastAsia="en-GB"/>
            </w:rPr>
          </w:pPr>
          <w:hyperlink w:anchor="_Toc528323541" w:history="1">
            <w:r w:rsidR="00F54B31" w:rsidRPr="00F54B31">
              <w:rPr>
                <w:rStyle w:val="Hyperlink"/>
                <w:rFonts w:asciiTheme="majorHAnsi" w:hAnsiTheme="majorHAnsi" w:cstheme="majorHAnsi"/>
                <w:noProof/>
                <w:sz w:val="18"/>
                <w:szCs w:val="18"/>
              </w:rPr>
              <w:t>7.13.1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Interactions Common to all Cytotoxics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39</w:t>
            </w:r>
            <w:r w:rsidR="00F54B31" w:rsidRPr="00F54B31">
              <w:rPr>
                <w:rFonts w:asciiTheme="majorHAnsi" w:hAnsiTheme="majorHAnsi" w:cstheme="majorHAnsi"/>
                <w:noProof/>
                <w:webHidden/>
                <w:sz w:val="18"/>
                <w:szCs w:val="18"/>
              </w:rPr>
              <w:fldChar w:fldCharType="end"/>
            </w:r>
          </w:hyperlink>
        </w:p>
        <w:p w14:paraId="3A5B446A" w14:textId="64740222" w:rsidR="00F54B31" w:rsidRPr="00F54B31" w:rsidRDefault="00625F72">
          <w:pPr>
            <w:pStyle w:val="TOC3"/>
            <w:rPr>
              <w:rFonts w:asciiTheme="majorHAnsi" w:eastAsiaTheme="minorEastAsia" w:hAnsiTheme="majorHAnsi" w:cstheme="majorHAnsi"/>
              <w:noProof/>
              <w:sz w:val="18"/>
              <w:szCs w:val="18"/>
              <w:lang w:eastAsia="en-GB"/>
            </w:rPr>
          </w:pPr>
          <w:hyperlink w:anchor="_Toc528323542" w:history="1">
            <w:r w:rsidR="00F54B31" w:rsidRPr="00F54B31">
              <w:rPr>
                <w:rStyle w:val="Hyperlink"/>
                <w:rFonts w:asciiTheme="majorHAnsi" w:hAnsiTheme="majorHAnsi" w:cstheme="majorHAnsi"/>
                <w:noProof/>
                <w:sz w:val="18"/>
                <w:szCs w:val="18"/>
              </w:rPr>
              <w:t>7.13.2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Ganetespib (also refer to the latest version of ganetespib Investigator brochure and SoDA)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39</w:t>
            </w:r>
            <w:r w:rsidR="00F54B31" w:rsidRPr="00F54B31">
              <w:rPr>
                <w:rFonts w:asciiTheme="majorHAnsi" w:hAnsiTheme="majorHAnsi" w:cstheme="majorHAnsi"/>
                <w:noProof/>
                <w:webHidden/>
                <w:sz w:val="18"/>
                <w:szCs w:val="18"/>
              </w:rPr>
              <w:fldChar w:fldCharType="end"/>
            </w:r>
          </w:hyperlink>
        </w:p>
        <w:p w14:paraId="5A5C7BF6" w14:textId="21C34F8C" w:rsidR="00F54B31" w:rsidRPr="00F54B31" w:rsidRDefault="00625F72">
          <w:pPr>
            <w:pStyle w:val="TOC3"/>
            <w:rPr>
              <w:rFonts w:asciiTheme="majorHAnsi" w:eastAsiaTheme="minorEastAsia" w:hAnsiTheme="majorHAnsi" w:cstheme="majorHAnsi"/>
              <w:noProof/>
              <w:sz w:val="18"/>
              <w:szCs w:val="18"/>
              <w:lang w:eastAsia="en-GB"/>
            </w:rPr>
          </w:pPr>
          <w:hyperlink w:anchor="_Toc528323543" w:history="1">
            <w:r w:rsidR="00F54B31" w:rsidRPr="00F54B31">
              <w:rPr>
                <w:rStyle w:val="Hyperlink"/>
                <w:rFonts w:asciiTheme="majorHAnsi" w:hAnsiTheme="majorHAnsi" w:cstheme="majorHAnsi"/>
                <w:noProof/>
                <w:sz w:val="18"/>
                <w:szCs w:val="18"/>
              </w:rPr>
              <w:t>7.13.3</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Pemetrexed</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40</w:t>
            </w:r>
            <w:r w:rsidR="00F54B31" w:rsidRPr="00F54B31">
              <w:rPr>
                <w:rFonts w:asciiTheme="majorHAnsi" w:hAnsiTheme="majorHAnsi" w:cstheme="majorHAnsi"/>
                <w:noProof/>
                <w:webHidden/>
                <w:sz w:val="18"/>
                <w:szCs w:val="18"/>
              </w:rPr>
              <w:fldChar w:fldCharType="end"/>
            </w:r>
          </w:hyperlink>
        </w:p>
        <w:p w14:paraId="290C63F6" w14:textId="1BF2851D" w:rsidR="00F54B31" w:rsidRPr="00F54B31" w:rsidRDefault="00625F72">
          <w:pPr>
            <w:pStyle w:val="TOC3"/>
            <w:rPr>
              <w:rFonts w:asciiTheme="majorHAnsi" w:eastAsiaTheme="minorEastAsia" w:hAnsiTheme="majorHAnsi" w:cstheme="majorHAnsi"/>
              <w:noProof/>
              <w:sz w:val="18"/>
              <w:szCs w:val="18"/>
              <w:lang w:eastAsia="en-GB"/>
            </w:rPr>
          </w:pPr>
          <w:hyperlink w:anchor="_Toc528323544" w:history="1">
            <w:r w:rsidR="00F54B31" w:rsidRPr="00F54B31">
              <w:rPr>
                <w:rStyle w:val="Hyperlink"/>
                <w:rFonts w:asciiTheme="majorHAnsi" w:hAnsiTheme="majorHAnsi" w:cstheme="majorHAnsi"/>
                <w:noProof/>
                <w:sz w:val="18"/>
                <w:szCs w:val="18"/>
              </w:rPr>
              <w:t>7.13.4</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Cisplatin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41</w:t>
            </w:r>
            <w:r w:rsidR="00F54B31" w:rsidRPr="00F54B31">
              <w:rPr>
                <w:rFonts w:asciiTheme="majorHAnsi" w:hAnsiTheme="majorHAnsi" w:cstheme="majorHAnsi"/>
                <w:noProof/>
                <w:webHidden/>
                <w:sz w:val="18"/>
                <w:szCs w:val="18"/>
              </w:rPr>
              <w:fldChar w:fldCharType="end"/>
            </w:r>
          </w:hyperlink>
        </w:p>
        <w:p w14:paraId="5B6394CE" w14:textId="32AA565B"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4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Support and Concomitant medication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41</w:t>
            </w:r>
            <w:r w:rsidR="00F54B31" w:rsidRPr="00F54B31">
              <w:rPr>
                <w:rFonts w:asciiTheme="majorHAnsi" w:hAnsiTheme="majorHAnsi" w:cstheme="majorHAnsi"/>
                <w:noProof/>
                <w:webHidden/>
                <w:sz w:val="18"/>
                <w:szCs w:val="18"/>
              </w:rPr>
              <w:fldChar w:fldCharType="end"/>
            </w:r>
          </w:hyperlink>
        </w:p>
        <w:p w14:paraId="165084C5" w14:textId="12D4195D" w:rsidR="00F54B31" w:rsidRPr="00F54B31" w:rsidRDefault="00625F72">
          <w:pPr>
            <w:pStyle w:val="TOC3"/>
            <w:rPr>
              <w:rFonts w:asciiTheme="majorHAnsi" w:eastAsiaTheme="minorEastAsia" w:hAnsiTheme="majorHAnsi" w:cstheme="majorHAnsi"/>
              <w:noProof/>
              <w:sz w:val="18"/>
              <w:szCs w:val="18"/>
              <w:lang w:eastAsia="en-GB"/>
            </w:rPr>
          </w:pPr>
          <w:hyperlink w:anchor="_Toc528323546"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7.14.1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Medications Used with Caution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42</w:t>
            </w:r>
            <w:r w:rsidR="00F54B31" w:rsidRPr="00F54B31">
              <w:rPr>
                <w:rFonts w:asciiTheme="majorHAnsi" w:hAnsiTheme="majorHAnsi" w:cstheme="majorHAnsi"/>
                <w:noProof/>
                <w:webHidden/>
                <w:sz w:val="18"/>
                <w:szCs w:val="18"/>
              </w:rPr>
              <w:fldChar w:fldCharType="end"/>
            </w:r>
          </w:hyperlink>
        </w:p>
        <w:p w14:paraId="2A023C8E" w14:textId="6E0C92D8" w:rsidR="00F54B31" w:rsidRPr="00F54B31" w:rsidRDefault="00625F72">
          <w:pPr>
            <w:pStyle w:val="TOC3"/>
            <w:rPr>
              <w:rFonts w:asciiTheme="majorHAnsi" w:eastAsiaTheme="minorEastAsia" w:hAnsiTheme="majorHAnsi" w:cstheme="majorHAnsi"/>
              <w:noProof/>
              <w:sz w:val="18"/>
              <w:szCs w:val="18"/>
              <w:lang w:eastAsia="en-GB"/>
            </w:rPr>
          </w:pPr>
          <w:hyperlink w:anchor="_Toc52832354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7.14.2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Permitted Concomitant Treatment</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42</w:t>
            </w:r>
            <w:r w:rsidR="00F54B31" w:rsidRPr="00F54B31">
              <w:rPr>
                <w:rFonts w:asciiTheme="majorHAnsi" w:hAnsiTheme="majorHAnsi" w:cstheme="majorHAnsi"/>
                <w:noProof/>
                <w:webHidden/>
                <w:sz w:val="18"/>
                <w:szCs w:val="18"/>
              </w:rPr>
              <w:fldChar w:fldCharType="end"/>
            </w:r>
          </w:hyperlink>
        </w:p>
        <w:p w14:paraId="32D9D5E6" w14:textId="5460DEAE"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4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7.15</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Management of Events of Special Interest associated with ganetespib</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43</w:t>
            </w:r>
            <w:r w:rsidR="00F54B31" w:rsidRPr="00F54B31">
              <w:rPr>
                <w:rFonts w:asciiTheme="majorHAnsi" w:hAnsiTheme="majorHAnsi" w:cstheme="majorHAnsi"/>
                <w:noProof/>
                <w:webHidden/>
                <w:sz w:val="18"/>
                <w:szCs w:val="18"/>
              </w:rPr>
              <w:fldChar w:fldCharType="end"/>
            </w:r>
          </w:hyperlink>
        </w:p>
        <w:p w14:paraId="69EFA8E0" w14:textId="24A8B328" w:rsidR="00F54B31" w:rsidRPr="00F54B31" w:rsidRDefault="00625F72">
          <w:pPr>
            <w:pStyle w:val="TOC3"/>
            <w:rPr>
              <w:rFonts w:asciiTheme="majorHAnsi" w:eastAsiaTheme="minorEastAsia" w:hAnsiTheme="majorHAnsi" w:cstheme="majorHAnsi"/>
              <w:noProof/>
              <w:sz w:val="18"/>
              <w:szCs w:val="18"/>
              <w:lang w:eastAsia="en-GB"/>
            </w:rPr>
          </w:pPr>
          <w:hyperlink w:anchor="_Toc528323549"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7.15.1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Management of Gastrointestinal Adverse Events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_Toc528323549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43</w:t>
            </w:r>
            <w:r w:rsidR="00F54B31" w:rsidRPr="00F54B31">
              <w:rPr>
                <w:rFonts w:asciiTheme="majorHAnsi" w:hAnsiTheme="majorHAnsi" w:cstheme="majorHAnsi"/>
                <w:noProof/>
                <w:webHidden/>
                <w:sz w:val="18"/>
                <w:szCs w:val="18"/>
              </w:rPr>
              <w:fldChar w:fldCharType="end"/>
            </w:r>
          </w:hyperlink>
        </w:p>
        <w:p w14:paraId="2A2E8ECA" w14:textId="1B5D76B1" w:rsidR="00F54B31" w:rsidRPr="00F54B31" w:rsidRDefault="00625F72">
          <w:pPr>
            <w:pStyle w:val="TOC3"/>
            <w:rPr>
              <w:rFonts w:asciiTheme="majorHAnsi" w:eastAsiaTheme="minorEastAsia" w:hAnsiTheme="majorHAnsi" w:cstheme="majorHAnsi"/>
              <w:noProof/>
              <w:sz w:val="18"/>
              <w:szCs w:val="18"/>
              <w:lang w:eastAsia="en-GB"/>
            </w:rPr>
          </w:pPr>
          <w:hyperlink w:anchor="_Toc52832355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7.15.2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Management of Neutropenia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43</w:t>
            </w:r>
            <w:r w:rsidR="00F54B31" w:rsidRPr="00F54B31">
              <w:rPr>
                <w:rFonts w:asciiTheme="majorHAnsi" w:hAnsiTheme="majorHAnsi" w:cstheme="majorHAnsi"/>
                <w:noProof/>
                <w:webHidden/>
                <w:sz w:val="18"/>
                <w:szCs w:val="18"/>
              </w:rPr>
              <w:fldChar w:fldCharType="end"/>
            </w:r>
          </w:hyperlink>
        </w:p>
        <w:p w14:paraId="5728A70F" w14:textId="522EF5A7" w:rsidR="00F54B31" w:rsidRPr="00F54B31" w:rsidRDefault="00625F72">
          <w:pPr>
            <w:pStyle w:val="TOC3"/>
            <w:rPr>
              <w:rFonts w:asciiTheme="majorHAnsi" w:eastAsiaTheme="minorEastAsia" w:hAnsiTheme="majorHAnsi" w:cstheme="majorHAnsi"/>
              <w:noProof/>
              <w:sz w:val="18"/>
              <w:szCs w:val="18"/>
              <w:lang w:eastAsia="en-GB"/>
            </w:rPr>
          </w:pPr>
          <w:hyperlink w:anchor="_Toc52832355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7.15.3</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Severe or Complicated Neutropenia: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44</w:t>
            </w:r>
            <w:r w:rsidR="00F54B31" w:rsidRPr="00F54B31">
              <w:rPr>
                <w:rFonts w:asciiTheme="majorHAnsi" w:hAnsiTheme="majorHAnsi" w:cstheme="majorHAnsi"/>
                <w:noProof/>
                <w:webHidden/>
                <w:sz w:val="18"/>
                <w:szCs w:val="18"/>
              </w:rPr>
              <w:fldChar w:fldCharType="end"/>
            </w:r>
          </w:hyperlink>
        </w:p>
        <w:p w14:paraId="4D9DD5D2" w14:textId="155D78D5" w:rsidR="00F54B31" w:rsidRPr="00F54B31" w:rsidRDefault="00625F72">
          <w:pPr>
            <w:pStyle w:val="TOC3"/>
            <w:rPr>
              <w:rFonts w:asciiTheme="majorHAnsi" w:eastAsiaTheme="minorEastAsia" w:hAnsiTheme="majorHAnsi" w:cstheme="majorHAnsi"/>
              <w:noProof/>
              <w:sz w:val="18"/>
              <w:szCs w:val="18"/>
              <w:lang w:eastAsia="en-GB"/>
            </w:rPr>
          </w:pPr>
          <w:hyperlink w:anchor="_Toc52832355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7.15.4</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Ganetespib Premedication and Management of Hypersensitivity Reactions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44</w:t>
            </w:r>
            <w:r w:rsidR="00F54B31" w:rsidRPr="00F54B31">
              <w:rPr>
                <w:rFonts w:asciiTheme="majorHAnsi" w:hAnsiTheme="majorHAnsi" w:cstheme="majorHAnsi"/>
                <w:noProof/>
                <w:webHidden/>
                <w:sz w:val="18"/>
                <w:szCs w:val="18"/>
              </w:rPr>
              <w:fldChar w:fldCharType="end"/>
            </w:r>
          </w:hyperlink>
        </w:p>
        <w:p w14:paraId="3B20BE4B" w14:textId="68BE4DA5"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5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7.16</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Medical drug-specific advice for ganetespib (24 hours)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45</w:t>
            </w:r>
            <w:r w:rsidR="00F54B31" w:rsidRPr="00F54B31">
              <w:rPr>
                <w:rFonts w:asciiTheme="majorHAnsi" w:hAnsiTheme="majorHAnsi" w:cstheme="majorHAnsi"/>
                <w:noProof/>
                <w:webHidden/>
                <w:sz w:val="18"/>
                <w:szCs w:val="18"/>
              </w:rPr>
              <w:fldChar w:fldCharType="end"/>
            </w:r>
          </w:hyperlink>
        </w:p>
        <w:p w14:paraId="72311763" w14:textId="3CA1526A"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5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7.17</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Clinical management after treatment discontinuation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45</w:t>
            </w:r>
            <w:r w:rsidR="00F54B31" w:rsidRPr="00F54B31">
              <w:rPr>
                <w:rFonts w:asciiTheme="majorHAnsi" w:hAnsiTheme="majorHAnsi" w:cstheme="majorHAnsi"/>
                <w:noProof/>
                <w:webHidden/>
                <w:sz w:val="18"/>
                <w:szCs w:val="18"/>
              </w:rPr>
              <w:fldChar w:fldCharType="end"/>
            </w:r>
          </w:hyperlink>
        </w:p>
        <w:p w14:paraId="605B307E" w14:textId="17757ABC"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5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7.18</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Drug provision after the end of the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46</w:t>
            </w:r>
            <w:r w:rsidR="00F54B31" w:rsidRPr="00F54B31">
              <w:rPr>
                <w:rFonts w:asciiTheme="majorHAnsi" w:hAnsiTheme="majorHAnsi" w:cstheme="majorHAnsi"/>
                <w:noProof/>
                <w:webHidden/>
                <w:sz w:val="18"/>
                <w:szCs w:val="18"/>
              </w:rPr>
              <w:fldChar w:fldCharType="end"/>
            </w:r>
          </w:hyperlink>
        </w:p>
        <w:p w14:paraId="2560319C" w14:textId="394669C1"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56" w:history="1">
            <w:r w:rsidR="00F54B31" w:rsidRPr="00F54B31">
              <w:rPr>
                <w:rStyle w:val="Hyperlink"/>
                <w:rFonts w:asciiTheme="majorHAnsi" w:hAnsiTheme="majorHAnsi" w:cstheme="majorHAnsi"/>
                <w:noProof/>
                <w:sz w:val="18"/>
                <w:szCs w:val="18"/>
              </w:rPr>
              <w:t>8</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Assessments - Appendices 2 and 3</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47</w:t>
            </w:r>
            <w:r w:rsidR="00F54B31" w:rsidRPr="00F54B31">
              <w:rPr>
                <w:rFonts w:asciiTheme="majorHAnsi" w:hAnsiTheme="majorHAnsi" w:cstheme="majorHAnsi"/>
                <w:noProof/>
                <w:webHidden/>
                <w:sz w:val="18"/>
                <w:szCs w:val="18"/>
              </w:rPr>
              <w:fldChar w:fldCharType="end"/>
            </w:r>
          </w:hyperlink>
        </w:p>
        <w:p w14:paraId="765BED5C" w14:textId="75B477F8"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5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8.1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Pre-registration (phase I) / pre-randomisation (phase II) assessments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47</w:t>
            </w:r>
            <w:r w:rsidR="00F54B31" w:rsidRPr="00F54B31">
              <w:rPr>
                <w:rFonts w:asciiTheme="majorHAnsi" w:hAnsiTheme="majorHAnsi" w:cstheme="majorHAnsi"/>
                <w:noProof/>
                <w:webHidden/>
                <w:sz w:val="18"/>
                <w:szCs w:val="18"/>
              </w:rPr>
              <w:fldChar w:fldCharType="end"/>
            </w:r>
          </w:hyperlink>
        </w:p>
        <w:p w14:paraId="3FADCB66" w14:textId="5A2BD39E"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5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8.2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Assessments during treatment (phase I and phase II)</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47</w:t>
            </w:r>
            <w:r w:rsidR="00F54B31" w:rsidRPr="00F54B31">
              <w:rPr>
                <w:rFonts w:asciiTheme="majorHAnsi" w:hAnsiTheme="majorHAnsi" w:cstheme="majorHAnsi"/>
                <w:noProof/>
                <w:webHidden/>
                <w:sz w:val="18"/>
                <w:szCs w:val="18"/>
              </w:rPr>
              <w:fldChar w:fldCharType="end"/>
            </w:r>
          </w:hyperlink>
        </w:p>
        <w:p w14:paraId="0960CDF7" w14:textId="7BFE5901"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59"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8.3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Assessments following completion of trial treatment (phase I only)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_Toc528323559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49</w:t>
            </w:r>
            <w:r w:rsidR="00F54B31" w:rsidRPr="00F54B31">
              <w:rPr>
                <w:rFonts w:asciiTheme="majorHAnsi" w:hAnsiTheme="majorHAnsi" w:cstheme="majorHAnsi"/>
                <w:noProof/>
                <w:webHidden/>
                <w:sz w:val="18"/>
                <w:szCs w:val="18"/>
              </w:rPr>
              <w:fldChar w:fldCharType="end"/>
            </w:r>
          </w:hyperlink>
        </w:p>
        <w:p w14:paraId="61CA4243" w14:textId="6AA5EAA0"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6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8.4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Assessments following completion of trial treatment (phase II only)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49</w:t>
            </w:r>
            <w:r w:rsidR="00F54B31" w:rsidRPr="00F54B31">
              <w:rPr>
                <w:rFonts w:asciiTheme="majorHAnsi" w:hAnsiTheme="majorHAnsi" w:cstheme="majorHAnsi"/>
                <w:noProof/>
                <w:webHidden/>
                <w:sz w:val="18"/>
                <w:szCs w:val="18"/>
              </w:rPr>
              <w:fldChar w:fldCharType="end"/>
            </w:r>
          </w:hyperlink>
        </w:p>
        <w:p w14:paraId="275CF3C3" w14:textId="4435197D"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61" w:history="1">
            <w:r w:rsidR="00F54B31" w:rsidRPr="00F54B31">
              <w:rPr>
                <w:rStyle w:val="Hyperlink"/>
                <w:rFonts w:asciiTheme="majorHAnsi" w:hAnsiTheme="majorHAnsi" w:cstheme="majorHAnsi"/>
                <w:noProof/>
                <w:sz w:val="18"/>
                <w:szCs w:val="18"/>
              </w:rPr>
              <w:t>9</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Data Management and Data Handling Guidelines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50</w:t>
            </w:r>
            <w:r w:rsidR="00F54B31" w:rsidRPr="00F54B31">
              <w:rPr>
                <w:rFonts w:asciiTheme="majorHAnsi" w:hAnsiTheme="majorHAnsi" w:cstheme="majorHAnsi"/>
                <w:noProof/>
                <w:webHidden/>
                <w:sz w:val="18"/>
                <w:szCs w:val="18"/>
              </w:rPr>
              <w:fldChar w:fldCharType="end"/>
            </w:r>
          </w:hyperlink>
        </w:p>
        <w:p w14:paraId="34003723" w14:textId="1017D0CD"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6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9.1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Completing Case Report Forms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50</w:t>
            </w:r>
            <w:r w:rsidR="00F54B31" w:rsidRPr="00F54B31">
              <w:rPr>
                <w:rFonts w:asciiTheme="majorHAnsi" w:hAnsiTheme="majorHAnsi" w:cstheme="majorHAnsi"/>
                <w:noProof/>
                <w:webHidden/>
                <w:sz w:val="18"/>
                <w:szCs w:val="18"/>
              </w:rPr>
              <w:fldChar w:fldCharType="end"/>
            </w:r>
          </w:hyperlink>
        </w:p>
        <w:p w14:paraId="07501581" w14:textId="54C4D7CF"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6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9.2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Imaging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51</w:t>
            </w:r>
            <w:r w:rsidR="00F54B31" w:rsidRPr="00F54B31">
              <w:rPr>
                <w:rFonts w:asciiTheme="majorHAnsi" w:hAnsiTheme="majorHAnsi" w:cstheme="majorHAnsi"/>
                <w:noProof/>
                <w:webHidden/>
                <w:sz w:val="18"/>
                <w:szCs w:val="18"/>
              </w:rPr>
              <w:fldChar w:fldCharType="end"/>
            </w:r>
          </w:hyperlink>
        </w:p>
        <w:p w14:paraId="2655BCE6" w14:textId="47EA1D19"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6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9.3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Missing Data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51</w:t>
            </w:r>
            <w:r w:rsidR="00F54B31" w:rsidRPr="00F54B31">
              <w:rPr>
                <w:rFonts w:asciiTheme="majorHAnsi" w:hAnsiTheme="majorHAnsi" w:cstheme="majorHAnsi"/>
                <w:noProof/>
                <w:webHidden/>
                <w:sz w:val="18"/>
                <w:szCs w:val="18"/>
              </w:rPr>
              <w:fldChar w:fldCharType="end"/>
            </w:r>
          </w:hyperlink>
        </w:p>
        <w:p w14:paraId="423C7E86" w14:textId="5709F787"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6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9.4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Timelines for data return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51</w:t>
            </w:r>
            <w:r w:rsidR="00F54B31" w:rsidRPr="00F54B31">
              <w:rPr>
                <w:rFonts w:asciiTheme="majorHAnsi" w:hAnsiTheme="majorHAnsi" w:cstheme="majorHAnsi"/>
                <w:noProof/>
                <w:webHidden/>
                <w:sz w:val="18"/>
                <w:szCs w:val="18"/>
              </w:rPr>
              <w:fldChar w:fldCharType="end"/>
            </w:r>
          </w:hyperlink>
        </w:p>
        <w:p w14:paraId="25CEB2A6" w14:textId="5BA653C5"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66"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9.5</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Data Queries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51</w:t>
            </w:r>
            <w:r w:rsidR="00F54B31" w:rsidRPr="00F54B31">
              <w:rPr>
                <w:rFonts w:asciiTheme="majorHAnsi" w:hAnsiTheme="majorHAnsi" w:cstheme="majorHAnsi"/>
                <w:noProof/>
                <w:webHidden/>
                <w:sz w:val="18"/>
                <w:szCs w:val="18"/>
              </w:rPr>
              <w:fldChar w:fldCharType="end"/>
            </w:r>
          </w:hyperlink>
        </w:p>
        <w:p w14:paraId="05A8473A" w14:textId="74813288"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67" w:history="1">
            <w:r w:rsidR="00F54B31" w:rsidRPr="00F54B31">
              <w:rPr>
                <w:rStyle w:val="Hyperlink"/>
                <w:rFonts w:asciiTheme="majorHAnsi" w:hAnsiTheme="majorHAnsi" w:cstheme="majorHAnsi"/>
                <w:noProof/>
                <w:sz w:val="18"/>
                <w:szCs w:val="18"/>
              </w:rPr>
              <w:t>10</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Pharmacovigilance</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52</w:t>
            </w:r>
            <w:r w:rsidR="00F54B31" w:rsidRPr="00F54B31">
              <w:rPr>
                <w:rFonts w:asciiTheme="majorHAnsi" w:hAnsiTheme="majorHAnsi" w:cstheme="majorHAnsi"/>
                <w:noProof/>
                <w:webHidden/>
                <w:sz w:val="18"/>
                <w:szCs w:val="18"/>
              </w:rPr>
              <w:fldChar w:fldCharType="end"/>
            </w:r>
          </w:hyperlink>
        </w:p>
        <w:p w14:paraId="23C12309" w14:textId="13EDB275"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6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10.1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Definitions of Adverse Events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52</w:t>
            </w:r>
            <w:r w:rsidR="00F54B31" w:rsidRPr="00F54B31">
              <w:rPr>
                <w:rFonts w:asciiTheme="majorHAnsi" w:hAnsiTheme="majorHAnsi" w:cstheme="majorHAnsi"/>
                <w:noProof/>
                <w:webHidden/>
                <w:sz w:val="18"/>
                <w:szCs w:val="18"/>
              </w:rPr>
              <w:fldChar w:fldCharType="end"/>
            </w:r>
          </w:hyperlink>
        </w:p>
        <w:p w14:paraId="4369D521" w14:textId="6225BDEA"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69"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10.2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Reporting Procedures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_Toc528323569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52</w:t>
            </w:r>
            <w:r w:rsidR="00F54B31" w:rsidRPr="00F54B31">
              <w:rPr>
                <w:rFonts w:asciiTheme="majorHAnsi" w:hAnsiTheme="majorHAnsi" w:cstheme="majorHAnsi"/>
                <w:noProof/>
                <w:webHidden/>
                <w:sz w:val="18"/>
                <w:szCs w:val="18"/>
              </w:rPr>
              <w:fldChar w:fldCharType="end"/>
            </w:r>
          </w:hyperlink>
        </w:p>
        <w:p w14:paraId="4E222A0E" w14:textId="09A6848C" w:rsidR="00F54B31" w:rsidRPr="00F54B31" w:rsidRDefault="00625F72">
          <w:pPr>
            <w:pStyle w:val="TOC3"/>
            <w:rPr>
              <w:rFonts w:asciiTheme="majorHAnsi" w:eastAsiaTheme="minorEastAsia" w:hAnsiTheme="majorHAnsi" w:cstheme="majorHAnsi"/>
              <w:noProof/>
              <w:sz w:val="18"/>
              <w:szCs w:val="18"/>
              <w:lang w:eastAsia="en-GB"/>
            </w:rPr>
          </w:pPr>
          <w:hyperlink w:anchor="_Toc52832357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10.2.1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All Adverse Events (AEs)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52</w:t>
            </w:r>
            <w:r w:rsidR="00F54B31" w:rsidRPr="00F54B31">
              <w:rPr>
                <w:rFonts w:asciiTheme="majorHAnsi" w:hAnsiTheme="majorHAnsi" w:cstheme="majorHAnsi"/>
                <w:noProof/>
                <w:webHidden/>
                <w:sz w:val="18"/>
                <w:szCs w:val="18"/>
              </w:rPr>
              <w:fldChar w:fldCharType="end"/>
            </w:r>
          </w:hyperlink>
        </w:p>
        <w:p w14:paraId="0FB4377A" w14:textId="76D41DF8" w:rsidR="00F54B31" w:rsidRPr="00F54B31" w:rsidRDefault="00625F72">
          <w:pPr>
            <w:pStyle w:val="TOC3"/>
            <w:rPr>
              <w:rFonts w:asciiTheme="majorHAnsi" w:eastAsiaTheme="minorEastAsia" w:hAnsiTheme="majorHAnsi" w:cstheme="majorHAnsi"/>
              <w:noProof/>
              <w:sz w:val="18"/>
              <w:szCs w:val="18"/>
              <w:lang w:eastAsia="en-GB"/>
            </w:rPr>
          </w:pPr>
          <w:hyperlink w:anchor="_Toc52832357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10.2.2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Serious Adverse Events (SAEs)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54</w:t>
            </w:r>
            <w:r w:rsidR="00F54B31" w:rsidRPr="00F54B31">
              <w:rPr>
                <w:rFonts w:asciiTheme="majorHAnsi" w:hAnsiTheme="majorHAnsi" w:cstheme="majorHAnsi"/>
                <w:noProof/>
                <w:webHidden/>
                <w:sz w:val="18"/>
                <w:szCs w:val="18"/>
              </w:rPr>
              <w:fldChar w:fldCharType="end"/>
            </w:r>
          </w:hyperlink>
        </w:p>
        <w:p w14:paraId="0FC0F560" w14:textId="7705A1D7"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7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10.3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SUSARs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56</w:t>
            </w:r>
            <w:r w:rsidR="00F54B31" w:rsidRPr="00F54B31">
              <w:rPr>
                <w:rFonts w:asciiTheme="majorHAnsi" w:hAnsiTheme="majorHAnsi" w:cstheme="majorHAnsi"/>
                <w:noProof/>
                <w:webHidden/>
                <w:sz w:val="18"/>
                <w:szCs w:val="18"/>
              </w:rPr>
              <w:fldChar w:fldCharType="end"/>
            </w:r>
          </w:hyperlink>
        </w:p>
        <w:p w14:paraId="7892243C" w14:textId="68DCA383"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7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10.4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Safety Monitoring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56</w:t>
            </w:r>
            <w:r w:rsidR="00F54B31" w:rsidRPr="00F54B31">
              <w:rPr>
                <w:rFonts w:asciiTheme="majorHAnsi" w:hAnsiTheme="majorHAnsi" w:cstheme="majorHAnsi"/>
                <w:noProof/>
                <w:webHidden/>
                <w:sz w:val="18"/>
                <w:szCs w:val="18"/>
              </w:rPr>
              <w:fldChar w:fldCharType="end"/>
            </w:r>
          </w:hyperlink>
        </w:p>
        <w:p w14:paraId="19851320" w14:textId="242B592C"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7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10.5</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Pregnancy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57</w:t>
            </w:r>
            <w:r w:rsidR="00F54B31" w:rsidRPr="00F54B31">
              <w:rPr>
                <w:rFonts w:asciiTheme="majorHAnsi" w:hAnsiTheme="majorHAnsi" w:cstheme="majorHAnsi"/>
                <w:noProof/>
                <w:webHidden/>
                <w:sz w:val="18"/>
                <w:szCs w:val="18"/>
              </w:rPr>
              <w:fldChar w:fldCharType="end"/>
            </w:r>
          </w:hyperlink>
        </w:p>
        <w:p w14:paraId="213B79E2" w14:textId="1C9BD98F"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7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10.6</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Development Safety Update Reports (DSURs)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57</w:t>
            </w:r>
            <w:r w:rsidR="00F54B31" w:rsidRPr="00F54B31">
              <w:rPr>
                <w:rFonts w:asciiTheme="majorHAnsi" w:hAnsiTheme="majorHAnsi" w:cstheme="majorHAnsi"/>
                <w:noProof/>
                <w:webHidden/>
                <w:sz w:val="18"/>
                <w:szCs w:val="18"/>
              </w:rPr>
              <w:fldChar w:fldCharType="end"/>
            </w:r>
          </w:hyperlink>
        </w:p>
        <w:p w14:paraId="01BFA2FB" w14:textId="750F78DA"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76" w:history="1">
            <w:r w:rsidR="00F54B31" w:rsidRPr="00F54B31">
              <w:rPr>
                <w:rStyle w:val="Hyperlink"/>
                <w:rFonts w:asciiTheme="majorHAnsi" w:hAnsiTheme="majorHAnsi" w:cstheme="majorHAnsi"/>
                <w:noProof/>
                <w:sz w:val="18"/>
                <w:szCs w:val="18"/>
              </w:rPr>
              <w:t>11</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Incident Reporting and Serious Breaches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58</w:t>
            </w:r>
            <w:r w:rsidR="00F54B31" w:rsidRPr="00F54B31">
              <w:rPr>
                <w:rFonts w:asciiTheme="majorHAnsi" w:hAnsiTheme="majorHAnsi" w:cstheme="majorHAnsi"/>
                <w:noProof/>
                <w:webHidden/>
                <w:sz w:val="18"/>
                <w:szCs w:val="18"/>
              </w:rPr>
              <w:fldChar w:fldCharType="end"/>
            </w:r>
          </w:hyperlink>
        </w:p>
        <w:p w14:paraId="2FDC1C6D" w14:textId="1CF54746"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7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11.1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Incident Reporting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58</w:t>
            </w:r>
            <w:r w:rsidR="00F54B31" w:rsidRPr="00F54B31">
              <w:rPr>
                <w:rFonts w:asciiTheme="majorHAnsi" w:hAnsiTheme="majorHAnsi" w:cstheme="majorHAnsi"/>
                <w:noProof/>
                <w:webHidden/>
                <w:sz w:val="18"/>
                <w:szCs w:val="18"/>
              </w:rPr>
              <w:fldChar w:fldCharType="end"/>
            </w:r>
          </w:hyperlink>
        </w:p>
        <w:p w14:paraId="2A3B3FA4" w14:textId="2EC184B2"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7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11.2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Serious Breaches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58</w:t>
            </w:r>
            <w:r w:rsidR="00F54B31" w:rsidRPr="00F54B31">
              <w:rPr>
                <w:rFonts w:asciiTheme="majorHAnsi" w:hAnsiTheme="majorHAnsi" w:cstheme="majorHAnsi"/>
                <w:noProof/>
                <w:webHidden/>
                <w:sz w:val="18"/>
                <w:szCs w:val="18"/>
              </w:rPr>
              <w:fldChar w:fldCharType="end"/>
            </w:r>
          </w:hyperlink>
        </w:p>
        <w:p w14:paraId="3E055058" w14:textId="65770789"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79" w:history="1">
            <w:r w:rsidR="00F54B31" w:rsidRPr="00F54B31">
              <w:rPr>
                <w:rStyle w:val="Hyperlink"/>
                <w:rFonts w:asciiTheme="majorHAnsi" w:hAnsiTheme="majorHAnsi" w:cstheme="majorHAnsi"/>
                <w:noProof/>
                <w:sz w:val="18"/>
                <w:szCs w:val="18"/>
              </w:rPr>
              <w:t>12</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Trial Monitoring and Oversight</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_Toc528323579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59</w:t>
            </w:r>
            <w:r w:rsidR="00F54B31" w:rsidRPr="00F54B31">
              <w:rPr>
                <w:rFonts w:asciiTheme="majorHAnsi" w:hAnsiTheme="majorHAnsi" w:cstheme="majorHAnsi"/>
                <w:noProof/>
                <w:webHidden/>
                <w:sz w:val="18"/>
                <w:szCs w:val="18"/>
              </w:rPr>
              <w:fldChar w:fldCharType="end"/>
            </w:r>
          </w:hyperlink>
        </w:p>
        <w:p w14:paraId="6CE80AAB" w14:textId="30DF109A"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8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On-Site Monitoring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59</w:t>
            </w:r>
            <w:r w:rsidR="00F54B31" w:rsidRPr="00F54B31">
              <w:rPr>
                <w:rFonts w:asciiTheme="majorHAnsi" w:hAnsiTheme="majorHAnsi" w:cstheme="majorHAnsi"/>
                <w:noProof/>
                <w:webHidden/>
                <w:sz w:val="18"/>
                <w:szCs w:val="18"/>
              </w:rPr>
              <w:fldChar w:fldCharType="end"/>
            </w:r>
          </w:hyperlink>
        </w:p>
        <w:p w14:paraId="1CEE45FF" w14:textId="4637C949"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8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Central Monitoring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59</w:t>
            </w:r>
            <w:r w:rsidR="00F54B31" w:rsidRPr="00F54B31">
              <w:rPr>
                <w:rFonts w:asciiTheme="majorHAnsi" w:hAnsiTheme="majorHAnsi" w:cstheme="majorHAnsi"/>
                <w:noProof/>
                <w:webHidden/>
                <w:sz w:val="18"/>
                <w:szCs w:val="18"/>
              </w:rPr>
              <w:fldChar w:fldCharType="end"/>
            </w:r>
          </w:hyperlink>
        </w:p>
        <w:p w14:paraId="7C00157C" w14:textId="402F6DA6"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8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‘For Cause’ On-Site Monitoring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60</w:t>
            </w:r>
            <w:r w:rsidR="00F54B31" w:rsidRPr="00F54B31">
              <w:rPr>
                <w:rFonts w:asciiTheme="majorHAnsi" w:hAnsiTheme="majorHAnsi" w:cstheme="majorHAnsi"/>
                <w:noProof/>
                <w:webHidden/>
                <w:sz w:val="18"/>
                <w:szCs w:val="18"/>
              </w:rPr>
              <w:fldChar w:fldCharType="end"/>
            </w:r>
          </w:hyperlink>
        </w:p>
        <w:p w14:paraId="2A452BB0" w14:textId="4E3DB6EC"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8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Oversight Committees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60</w:t>
            </w:r>
            <w:r w:rsidR="00F54B31" w:rsidRPr="00F54B31">
              <w:rPr>
                <w:rFonts w:asciiTheme="majorHAnsi" w:hAnsiTheme="majorHAnsi" w:cstheme="majorHAnsi"/>
                <w:noProof/>
                <w:webHidden/>
                <w:sz w:val="18"/>
                <w:szCs w:val="18"/>
              </w:rPr>
              <w:fldChar w:fldCharType="end"/>
            </w:r>
          </w:hyperlink>
        </w:p>
        <w:p w14:paraId="3AA9B94F" w14:textId="6BD0B801" w:rsidR="00F54B31" w:rsidRPr="00F54B31" w:rsidRDefault="00625F72">
          <w:pPr>
            <w:pStyle w:val="TOC3"/>
            <w:rPr>
              <w:rFonts w:asciiTheme="majorHAnsi" w:eastAsiaTheme="minorEastAsia" w:hAnsiTheme="majorHAnsi" w:cstheme="majorHAnsi"/>
              <w:noProof/>
              <w:sz w:val="18"/>
              <w:szCs w:val="18"/>
              <w:lang w:eastAsia="en-GB"/>
            </w:rPr>
          </w:pPr>
          <w:hyperlink w:anchor="_Toc52832358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12.4.1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Trial Management Group (TMG)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60</w:t>
            </w:r>
            <w:r w:rsidR="00F54B31" w:rsidRPr="00F54B31">
              <w:rPr>
                <w:rFonts w:asciiTheme="majorHAnsi" w:hAnsiTheme="majorHAnsi" w:cstheme="majorHAnsi"/>
                <w:noProof/>
                <w:webHidden/>
                <w:sz w:val="18"/>
                <w:szCs w:val="18"/>
              </w:rPr>
              <w:fldChar w:fldCharType="end"/>
            </w:r>
          </w:hyperlink>
        </w:p>
        <w:p w14:paraId="1C36D249" w14:textId="6512C2CA" w:rsidR="00F54B31" w:rsidRPr="00F54B31" w:rsidRDefault="00625F72">
          <w:pPr>
            <w:pStyle w:val="TOC3"/>
            <w:rPr>
              <w:rFonts w:asciiTheme="majorHAnsi" w:eastAsiaTheme="minorEastAsia" w:hAnsiTheme="majorHAnsi" w:cstheme="majorHAnsi"/>
              <w:noProof/>
              <w:sz w:val="18"/>
              <w:szCs w:val="18"/>
              <w:lang w:eastAsia="en-GB"/>
            </w:rPr>
          </w:pPr>
          <w:hyperlink w:anchor="_Toc52832358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12.4.2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Trial Steering Committee (TSC)</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60</w:t>
            </w:r>
            <w:r w:rsidR="00F54B31" w:rsidRPr="00F54B31">
              <w:rPr>
                <w:rFonts w:asciiTheme="majorHAnsi" w:hAnsiTheme="majorHAnsi" w:cstheme="majorHAnsi"/>
                <w:noProof/>
                <w:webHidden/>
                <w:sz w:val="18"/>
                <w:szCs w:val="18"/>
              </w:rPr>
              <w:fldChar w:fldCharType="end"/>
            </w:r>
          </w:hyperlink>
        </w:p>
        <w:p w14:paraId="7E2DF20A" w14:textId="554ABA7D" w:rsidR="00F54B31" w:rsidRPr="00F54B31" w:rsidRDefault="00625F72">
          <w:pPr>
            <w:pStyle w:val="TOC3"/>
            <w:rPr>
              <w:rFonts w:asciiTheme="majorHAnsi" w:eastAsiaTheme="minorEastAsia" w:hAnsiTheme="majorHAnsi" w:cstheme="majorHAnsi"/>
              <w:noProof/>
              <w:sz w:val="18"/>
              <w:szCs w:val="18"/>
              <w:lang w:eastAsia="en-GB"/>
            </w:rPr>
          </w:pPr>
          <w:hyperlink w:anchor="_Toc528323586"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12.4.3</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Independent Data Monitoring Committee (IDMC)</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60</w:t>
            </w:r>
            <w:r w:rsidR="00F54B31" w:rsidRPr="00F54B31">
              <w:rPr>
                <w:rFonts w:asciiTheme="majorHAnsi" w:hAnsiTheme="majorHAnsi" w:cstheme="majorHAnsi"/>
                <w:noProof/>
                <w:webHidden/>
                <w:sz w:val="18"/>
                <w:szCs w:val="18"/>
              </w:rPr>
              <w:fldChar w:fldCharType="end"/>
            </w:r>
          </w:hyperlink>
        </w:p>
        <w:p w14:paraId="43AB5A53" w14:textId="0E86359B"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8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12.5</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Role of UCL CTC</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61</w:t>
            </w:r>
            <w:r w:rsidR="00F54B31" w:rsidRPr="00F54B31">
              <w:rPr>
                <w:rFonts w:asciiTheme="majorHAnsi" w:hAnsiTheme="majorHAnsi" w:cstheme="majorHAnsi"/>
                <w:noProof/>
                <w:webHidden/>
                <w:sz w:val="18"/>
                <w:szCs w:val="18"/>
              </w:rPr>
              <w:fldChar w:fldCharType="end"/>
            </w:r>
          </w:hyperlink>
        </w:p>
        <w:p w14:paraId="1FB50330" w14:textId="561CED37"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88" w:history="1">
            <w:r w:rsidR="00F54B31" w:rsidRPr="00F54B31">
              <w:rPr>
                <w:rStyle w:val="Hyperlink"/>
                <w:rFonts w:asciiTheme="majorHAnsi" w:hAnsiTheme="majorHAnsi" w:cstheme="majorHAnsi"/>
                <w:noProof/>
                <w:sz w:val="18"/>
                <w:szCs w:val="18"/>
              </w:rPr>
              <w:t>13</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Withdrawal of Patients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62</w:t>
            </w:r>
            <w:r w:rsidR="00F54B31" w:rsidRPr="00F54B31">
              <w:rPr>
                <w:rFonts w:asciiTheme="majorHAnsi" w:hAnsiTheme="majorHAnsi" w:cstheme="majorHAnsi"/>
                <w:noProof/>
                <w:webHidden/>
                <w:sz w:val="18"/>
                <w:szCs w:val="18"/>
              </w:rPr>
              <w:fldChar w:fldCharType="end"/>
            </w:r>
          </w:hyperlink>
        </w:p>
        <w:p w14:paraId="7E480487" w14:textId="5CEEE578"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89" w:history="1">
            <w:r w:rsidR="00F54B31" w:rsidRPr="00F54B31">
              <w:rPr>
                <w:rStyle w:val="Hyperlink"/>
                <w:rFonts w:asciiTheme="majorHAnsi" w:hAnsiTheme="majorHAnsi" w:cstheme="majorHAnsi"/>
                <w:noProof/>
                <w:sz w:val="18"/>
                <w:szCs w:val="18"/>
              </w:rPr>
              <w:t>14</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Trial Closure</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_Toc528323589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63</w:t>
            </w:r>
            <w:r w:rsidR="00F54B31" w:rsidRPr="00F54B31">
              <w:rPr>
                <w:rFonts w:asciiTheme="majorHAnsi" w:hAnsiTheme="majorHAnsi" w:cstheme="majorHAnsi"/>
                <w:noProof/>
                <w:webHidden/>
                <w:sz w:val="18"/>
                <w:szCs w:val="18"/>
              </w:rPr>
              <w:fldChar w:fldCharType="end"/>
            </w:r>
          </w:hyperlink>
        </w:p>
        <w:p w14:paraId="2BE2A2CF" w14:textId="3DB95DA8"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9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14.1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End of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63</w:t>
            </w:r>
            <w:r w:rsidR="00F54B31" w:rsidRPr="00F54B31">
              <w:rPr>
                <w:rFonts w:asciiTheme="majorHAnsi" w:hAnsiTheme="majorHAnsi" w:cstheme="majorHAnsi"/>
                <w:noProof/>
                <w:webHidden/>
                <w:sz w:val="18"/>
                <w:szCs w:val="18"/>
              </w:rPr>
              <w:fldChar w:fldCharType="end"/>
            </w:r>
          </w:hyperlink>
        </w:p>
        <w:p w14:paraId="308CAB1A" w14:textId="4EF31CBF"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9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14.2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Archiving of Trial Documentation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63</w:t>
            </w:r>
            <w:r w:rsidR="00F54B31" w:rsidRPr="00F54B31">
              <w:rPr>
                <w:rFonts w:asciiTheme="majorHAnsi" w:hAnsiTheme="majorHAnsi" w:cstheme="majorHAnsi"/>
                <w:noProof/>
                <w:webHidden/>
                <w:sz w:val="18"/>
                <w:szCs w:val="18"/>
              </w:rPr>
              <w:fldChar w:fldCharType="end"/>
            </w:r>
          </w:hyperlink>
        </w:p>
        <w:p w14:paraId="1F8CDE5D" w14:textId="7CBADE79"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9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14.3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Early discontinuation of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63</w:t>
            </w:r>
            <w:r w:rsidR="00F54B31" w:rsidRPr="00F54B31">
              <w:rPr>
                <w:rFonts w:asciiTheme="majorHAnsi" w:hAnsiTheme="majorHAnsi" w:cstheme="majorHAnsi"/>
                <w:noProof/>
                <w:webHidden/>
                <w:sz w:val="18"/>
                <w:szCs w:val="18"/>
              </w:rPr>
              <w:fldChar w:fldCharType="end"/>
            </w:r>
          </w:hyperlink>
        </w:p>
        <w:p w14:paraId="7A3B480F" w14:textId="1A7FC50E"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93"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14.4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Withdrawal from trial participation by a site</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63</w:t>
            </w:r>
            <w:r w:rsidR="00F54B31" w:rsidRPr="00F54B31">
              <w:rPr>
                <w:rFonts w:asciiTheme="majorHAnsi" w:hAnsiTheme="majorHAnsi" w:cstheme="majorHAnsi"/>
                <w:noProof/>
                <w:webHidden/>
                <w:sz w:val="18"/>
                <w:szCs w:val="18"/>
              </w:rPr>
              <w:fldChar w:fldCharType="end"/>
            </w:r>
          </w:hyperlink>
        </w:p>
        <w:p w14:paraId="4F486315" w14:textId="4316A63F"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594" w:history="1">
            <w:r w:rsidR="00F54B31" w:rsidRPr="00F54B31">
              <w:rPr>
                <w:rStyle w:val="Hyperlink"/>
                <w:rFonts w:asciiTheme="majorHAnsi" w:hAnsiTheme="majorHAnsi" w:cstheme="majorHAnsi"/>
                <w:noProof/>
                <w:sz w:val="18"/>
                <w:szCs w:val="18"/>
              </w:rPr>
              <w:t>15</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Statistical Considerations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64</w:t>
            </w:r>
            <w:r w:rsidR="00F54B31" w:rsidRPr="00F54B31">
              <w:rPr>
                <w:rFonts w:asciiTheme="majorHAnsi" w:hAnsiTheme="majorHAnsi" w:cstheme="majorHAnsi"/>
                <w:noProof/>
                <w:webHidden/>
                <w:sz w:val="18"/>
                <w:szCs w:val="18"/>
              </w:rPr>
              <w:fldChar w:fldCharType="end"/>
            </w:r>
          </w:hyperlink>
        </w:p>
        <w:p w14:paraId="270DEB61" w14:textId="01713F4A"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9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15.1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Endpoints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64</w:t>
            </w:r>
            <w:r w:rsidR="00F54B31" w:rsidRPr="00F54B31">
              <w:rPr>
                <w:rFonts w:asciiTheme="majorHAnsi" w:hAnsiTheme="majorHAnsi" w:cstheme="majorHAnsi"/>
                <w:noProof/>
                <w:webHidden/>
                <w:sz w:val="18"/>
                <w:szCs w:val="18"/>
              </w:rPr>
              <w:fldChar w:fldCharType="end"/>
            </w:r>
          </w:hyperlink>
        </w:p>
        <w:p w14:paraId="5C0BBE68" w14:textId="3787A6D9" w:rsidR="00F54B31" w:rsidRPr="00F54B31" w:rsidRDefault="00625F72">
          <w:pPr>
            <w:pStyle w:val="TOC3"/>
            <w:rPr>
              <w:rFonts w:asciiTheme="majorHAnsi" w:eastAsiaTheme="minorEastAsia" w:hAnsiTheme="majorHAnsi" w:cstheme="majorHAnsi"/>
              <w:noProof/>
              <w:sz w:val="18"/>
              <w:szCs w:val="18"/>
              <w:lang w:eastAsia="en-GB"/>
            </w:rPr>
          </w:pPr>
          <w:hyperlink w:anchor="_Toc528323596"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15.1.1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Phase 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64</w:t>
            </w:r>
            <w:r w:rsidR="00F54B31" w:rsidRPr="00F54B31">
              <w:rPr>
                <w:rFonts w:asciiTheme="majorHAnsi" w:hAnsiTheme="majorHAnsi" w:cstheme="majorHAnsi"/>
                <w:noProof/>
                <w:webHidden/>
                <w:sz w:val="18"/>
                <w:szCs w:val="18"/>
              </w:rPr>
              <w:fldChar w:fldCharType="end"/>
            </w:r>
          </w:hyperlink>
        </w:p>
        <w:p w14:paraId="49947146" w14:textId="4EE19CF3" w:rsidR="00F54B31" w:rsidRPr="00F54B31" w:rsidRDefault="00625F72">
          <w:pPr>
            <w:pStyle w:val="TOC3"/>
            <w:rPr>
              <w:rFonts w:asciiTheme="majorHAnsi" w:eastAsiaTheme="minorEastAsia" w:hAnsiTheme="majorHAnsi" w:cstheme="majorHAnsi"/>
              <w:noProof/>
              <w:sz w:val="18"/>
              <w:szCs w:val="18"/>
              <w:lang w:eastAsia="en-GB"/>
            </w:rPr>
          </w:pPr>
          <w:hyperlink w:anchor="_Toc52832359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15.1.2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Randomised phase II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64</w:t>
            </w:r>
            <w:r w:rsidR="00F54B31" w:rsidRPr="00F54B31">
              <w:rPr>
                <w:rFonts w:asciiTheme="majorHAnsi" w:hAnsiTheme="majorHAnsi" w:cstheme="majorHAnsi"/>
                <w:noProof/>
                <w:webHidden/>
                <w:sz w:val="18"/>
                <w:szCs w:val="18"/>
              </w:rPr>
              <w:fldChar w:fldCharType="end"/>
            </w:r>
          </w:hyperlink>
        </w:p>
        <w:p w14:paraId="5ECA6DEF" w14:textId="310DAD2C"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9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15.2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Sample size (phase II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65</w:t>
            </w:r>
            <w:r w:rsidR="00F54B31" w:rsidRPr="00F54B31">
              <w:rPr>
                <w:rFonts w:asciiTheme="majorHAnsi" w:hAnsiTheme="majorHAnsi" w:cstheme="majorHAnsi"/>
                <w:noProof/>
                <w:webHidden/>
                <w:sz w:val="18"/>
                <w:szCs w:val="18"/>
              </w:rPr>
              <w:fldChar w:fldCharType="end"/>
            </w:r>
          </w:hyperlink>
        </w:p>
        <w:p w14:paraId="16E84C0F" w14:textId="02C05A9B"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599"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15.3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Safety monitoring during the phase II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_Toc528323599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65</w:t>
            </w:r>
            <w:r w:rsidR="00F54B31" w:rsidRPr="00F54B31">
              <w:rPr>
                <w:rFonts w:asciiTheme="majorHAnsi" w:hAnsiTheme="majorHAnsi" w:cstheme="majorHAnsi"/>
                <w:noProof/>
                <w:webHidden/>
                <w:sz w:val="18"/>
                <w:szCs w:val="18"/>
              </w:rPr>
              <w:fldChar w:fldCharType="end"/>
            </w:r>
          </w:hyperlink>
        </w:p>
        <w:p w14:paraId="68BA93F1" w14:textId="1D1B3C7E"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60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15.4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Statistical analysis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65</w:t>
            </w:r>
            <w:r w:rsidR="00F54B31" w:rsidRPr="00F54B31">
              <w:rPr>
                <w:rFonts w:asciiTheme="majorHAnsi" w:hAnsiTheme="majorHAnsi" w:cstheme="majorHAnsi"/>
                <w:noProof/>
                <w:webHidden/>
                <w:sz w:val="18"/>
                <w:szCs w:val="18"/>
              </w:rPr>
              <w:fldChar w:fldCharType="end"/>
            </w:r>
          </w:hyperlink>
        </w:p>
        <w:p w14:paraId="58CA831A" w14:textId="5EBD8D09" w:rsidR="00F54B31" w:rsidRPr="00F54B31" w:rsidRDefault="00625F72">
          <w:pPr>
            <w:pStyle w:val="TOC3"/>
            <w:rPr>
              <w:rFonts w:asciiTheme="majorHAnsi" w:eastAsiaTheme="minorEastAsia" w:hAnsiTheme="majorHAnsi" w:cstheme="majorHAnsi"/>
              <w:noProof/>
              <w:sz w:val="18"/>
              <w:szCs w:val="18"/>
              <w:lang w:eastAsia="en-GB"/>
            </w:rPr>
          </w:pPr>
          <w:hyperlink w:anchor="_Toc52832360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15.4.1</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Phase 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65</w:t>
            </w:r>
            <w:r w:rsidR="00F54B31" w:rsidRPr="00F54B31">
              <w:rPr>
                <w:rFonts w:asciiTheme="majorHAnsi" w:hAnsiTheme="majorHAnsi" w:cstheme="majorHAnsi"/>
                <w:noProof/>
                <w:webHidden/>
                <w:sz w:val="18"/>
                <w:szCs w:val="18"/>
              </w:rPr>
              <w:fldChar w:fldCharType="end"/>
            </w:r>
          </w:hyperlink>
        </w:p>
        <w:p w14:paraId="6C1474A1" w14:textId="111FE6B4" w:rsidR="00F54B31" w:rsidRPr="00F54B31" w:rsidRDefault="00625F72">
          <w:pPr>
            <w:pStyle w:val="TOC3"/>
            <w:rPr>
              <w:rFonts w:asciiTheme="majorHAnsi" w:eastAsiaTheme="minorEastAsia" w:hAnsiTheme="majorHAnsi" w:cstheme="majorHAnsi"/>
              <w:noProof/>
              <w:sz w:val="18"/>
              <w:szCs w:val="18"/>
              <w:lang w:eastAsia="en-GB"/>
            </w:rPr>
          </w:pPr>
          <w:hyperlink w:anchor="_Toc528323602"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15.4.2</w:t>
            </w:r>
            <w:r w:rsidR="00F54B31" w:rsidRPr="00F54B31">
              <w:rPr>
                <w:rFonts w:asciiTheme="majorHAnsi" w:eastAsiaTheme="minorEastAsia" w:hAnsiTheme="majorHAnsi" w:cstheme="majorHAnsi"/>
                <w:noProof/>
                <w:sz w:val="18"/>
                <w:szCs w:val="18"/>
                <w:lang w:eastAsia="en-GB"/>
              </w:rPr>
              <w:tab/>
            </w:r>
            <w:r w:rsidR="00F54B31" w:rsidRPr="00F54B31">
              <w:rPr>
                <w:rStyle w:val="Hyperlink"/>
                <w:rFonts w:asciiTheme="majorHAnsi" w:hAnsiTheme="majorHAnsi" w:cstheme="majorHAnsi"/>
                <w:noProof/>
                <w:sz w:val="18"/>
                <w:szCs w:val="18"/>
              </w:rPr>
              <w:t>Randomised phase II trial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66</w:t>
            </w:r>
            <w:r w:rsidR="00F54B31" w:rsidRPr="00F54B31">
              <w:rPr>
                <w:rFonts w:asciiTheme="majorHAnsi" w:hAnsiTheme="majorHAnsi" w:cstheme="majorHAnsi"/>
                <w:noProof/>
                <w:webHidden/>
                <w:sz w:val="18"/>
                <w:szCs w:val="18"/>
              </w:rPr>
              <w:fldChar w:fldCharType="end"/>
            </w:r>
          </w:hyperlink>
        </w:p>
        <w:p w14:paraId="67CB2BD0" w14:textId="73249D66"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03" w:history="1">
            <w:r w:rsidR="00F54B31" w:rsidRPr="00F54B31">
              <w:rPr>
                <w:rStyle w:val="Hyperlink"/>
                <w:rFonts w:asciiTheme="majorHAnsi" w:hAnsiTheme="majorHAnsi" w:cstheme="majorHAnsi"/>
                <w:noProof/>
                <w:sz w:val="18"/>
                <w:szCs w:val="18"/>
              </w:rPr>
              <w:t>16</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Ethical and Regulatory Approvals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68</w:t>
            </w:r>
            <w:r w:rsidR="00F54B31" w:rsidRPr="00F54B31">
              <w:rPr>
                <w:rFonts w:asciiTheme="majorHAnsi" w:hAnsiTheme="majorHAnsi" w:cstheme="majorHAnsi"/>
                <w:noProof/>
                <w:webHidden/>
                <w:sz w:val="18"/>
                <w:szCs w:val="18"/>
              </w:rPr>
              <w:fldChar w:fldCharType="end"/>
            </w:r>
          </w:hyperlink>
        </w:p>
        <w:p w14:paraId="785CB6FB" w14:textId="36F8C109"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604"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16.1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Ethical Approval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68</w:t>
            </w:r>
            <w:r w:rsidR="00F54B31" w:rsidRPr="00F54B31">
              <w:rPr>
                <w:rFonts w:asciiTheme="majorHAnsi" w:hAnsiTheme="majorHAnsi" w:cstheme="majorHAnsi"/>
                <w:noProof/>
                <w:webHidden/>
                <w:sz w:val="18"/>
                <w:szCs w:val="18"/>
              </w:rPr>
              <w:fldChar w:fldCharType="end"/>
            </w:r>
          </w:hyperlink>
        </w:p>
        <w:p w14:paraId="17E4B505" w14:textId="595BB68F"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605"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16.2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Regulatory Approval</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68</w:t>
            </w:r>
            <w:r w:rsidR="00F54B31" w:rsidRPr="00F54B31">
              <w:rPr>
                <w:rFonts w:asciiTheme="majorHAnsi" w:hAnsiTheme="majorHAnsi" w:cstheme="majorHAnsi"/>
                <w:noProof/>
                <w:webHidden/>
                <w:sz w:val="18"/>
                <w:szCs w:val="18"/>
              </w:rPr>
              <w:fldChar w:fldCharType="end"/>
            </w:r>
          </w:hyperlink>
        </w:p>
        <w:p w14:paraId="3C0141C8" w14:textId="36F02587"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606"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16.3</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Site Approvals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68</w:t>
            </w:r>
            <w:r w:rsidR="00F54B31" w:rsidRPr="00F54B31">
              <w:rPr>
                <w:rFonts w:asciiTheme="majorHAnsi" w:hAnsiTheme="majorHAnsi" w:cstheme="majorHAnsi"/>
                <w:noProof/>
                <w:webHidden/>
                <w:sz w:val="18"/>
                <w:szCs w:val="18"/>
              </w:rPr>
              <w:fldChar w:fldCharType="end"/>
            </w:r>
          </w:hyperlink>
        </w:p>
        <w:p w14:paraId="17455BA4" w14:textId="65D879FD"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607"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16.4</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Protocol Amendments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68</w:t>
            </w:r>
            <w:r w:rsidR="00F54B31" w:rsidRPr="00F54B31">
              <w:rPr>
                <w:rFonts w:asciiTheme="majorHAnsi" w:hAnsiTheme="majorHAnsi" w:cstheme="majorHAnsi"/>
                <w:noProof/>
                <w:webHidden/>
                <w:sz w:val="18"/>
                <w:szCs w:val="18"/>
              </w:rPr>
              <w:fldChar w:fldCharType="end"/>
            </w:r>
          </w:hyperlink>
        </w:p>
        <w:p w14:paraId="5AD96F14" w14:textId="1A39517A"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608"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16.5</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Patient Confidentiality &amp; Data Protection</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69</w:t>
            </w:r>
            <w:r w:rsidR="00F54B31" w:rsidRPr="00F54B31">
              <w:rPr>
                <w:rFonts w:asciiTheme="majorHAnsi" w:hAnsiTheme="majorHAnsi" w:cstheme="majorHAnsi"/>
                <w:noProof/>
                <w:webHidden/>
                <w:sz w:val="18"/>
                <w:szCs w:val="18"/>
              </w:rPr>
              <w:fldChar w:fldCharType="end"/>
            </w:r>
          </w:hyperlink>
        </w:p>
        <w:p w14:paraId="62873D90" w14:textId="688CE879"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09" w:history="1">
            <w:r w:rsidR="00F54B31" w:rsidRPr="00F54B31">
              <w:rPr>
                <w:rStyle w:val="Hyperlink"/>
                <w:rFonts w:asciiTheme="majorHAnsi" w:hAnsiTheme="majorHAnsi" w:cstheme="majorHAnsi"/>
                <w:noProof/>
                <w:sz w:val="18"/>
                <w:szCs w:val="18"/>
              </w:rPr>
              <w:t>17</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Sponsorship and Indemnity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_Toc528323609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70</w:t>
            </w:r>
            <w:r w:rsidR="00F54B31" w:rsidRPr="00F54B31">
              <w:rPr>
                <w:rFonts w:asciiTheme="majorHAnsi" w:hAnsiTheme="majorHAnsi" w:cstheme="majorHAnsi"/>
                <w:noProof/>
                <w:webHidden/>
                <w:sz w:val="18"/>
                <w:szCs w:val="18"/>
              </w:rPr>
              <w:fldChar w:fldCharType="end"/>
            </w:r>
          </w:hyperlink>
        </w:p>
        <w:p w14:paraId="79519B58" w14:textId="48672EF1"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610"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17.1</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Sponsor Details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70</w:t>
            </w:r>
            <w:r w:rsidR="00F54B31" w:rsidRPr="00F54B31">
              <w:rPr>
                <w:rFonts w:asciiTheme="majorHAnsi" w:hAnsiTheme="majorHAnsi" w:cstheme="majorHAnsi"/>
                <w:noProof/>
                <w:webHidden/>
                <w:sz w:val="18"/>
                <w:szCs w:val="18"/>
              </w:rPr>
              <w:fldChar w:fldCharType="end"/>
            </w:r>
          </w:hyperlink>
        </w:p>
        <w:p w14:paraId="4AC17D99" w14:textId="16132ECA" w:rsidR="00F54B31" w:rsidRPr="00F54B31" w:rsidRDefault="00625F72">
          <w:pPr>
            <w:pStyle w:val="TOC2"/>
            <w:framePr w:wrap="around"/>
            <w:rPr>
              <w:rFonts w:asciiTheme="majorHAnsi" w:eastAsiaTheme="minorEastAsia" w:hAnsiTheme="majorHAnsi" w:cstheme="majorHAnsi"/>
              <w:i w:val="0"/>
              <w:iCs w:val="0"/>
              <w:noProof/>
              <w:sz w:val="18"/>
              <w:szCs w:val="18"/>
              <w:lang w:eastAsia="en-GB"/>
            </w:rPr>
          </w:pPr>
          <w:hyperlink w:anchor="_Toc528323611" w:history="1">
            <w:r w:rsidR="00F54B31" w:rsidRPr="00F54B31">
              <w:rPr>
                <w:rStyle w:val="Hyperlink"/>
                <w:rFonts w:asciiTheme="majorHAnsi" w:hAnsiTheme="majorHAnsi" w:cstheme="majorHAnsi"/>
                <w:noProof/>
                <w:sz w:val="18"/>
                <w:szCs w:val="18"/>
                <w14:scene3d>
                  <w14:camera w14:prst="orthographicFront"/>
                  <w14:lightRig w14:rig="threePt" w14:dir="t">
                    <w14:rot w14:lat="0" w14:lon="0" w14:rev="0"/>
                  </w14:lightRig>
                </w14:scene3d>
              </w:rPr>
              <w:t>17.2</w:t>
            </w:r>
            <w:r w:rsidR="00F54B31" w:rsidRPr="00F54B31">
              <w:rPr>
                <w:rFonts w:asciiTheme="majorHAnsi" w:eastAsiaTheme="minorEastAsia" w:hAnsiTheme="majorHAnsi" w:cstheme="majorHAnsi"/>
                <w:i w:val="0"/>
                <w:iCs w:val="0"/>
                <w:noProof/>
                <w:sz w:val="18"/>
                <w:szCs w:val="18"/>
                <w:lang w:eastAsia="en-GB"/>
              </w:rPr>
              <w:tab/>
            </w:r>
            <w:r w:rsidR="00F54B31" w:rsidRPr="00F54B31">
              <w:rPr>
                <w:rStyle w:val="Hyperlink"/>
                <w:rFonts w:asciiTheme="majorHAnsi" w:hAnsiTheme="majorHAnsi" w:cstheme="majorHAnsi"/>
                <w:noProof/>
                <w:sz w:val="18"/>
                <w:szCs w:val="18"/>
              </w:rPr>
              <w:t>Indemnity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70</w:t>
            </w:r>
            <w:r w:rsidR="00F54B31" w:rsidRPr="00F54B31">
              <w:rPr>
                <w:rFonts w:asciiTheme="majorHAnsi" w:hAnsiTheme="majorHAnsi" w:cstheme="majorHAnsi"/>
                <w:noProof/>
                <w:webHidden/>
                <w:sz w:val="18"/>
                <w:szCs w:val="18"/>
              </w:rPr>
              <w:fldChar w:fldCharType="end"/>
            </w:r>
          </w:hyperlink>
        </w:p>
        <w:p w14:paraId="7BFC2F85" w14:textId="2C5F6B6C"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12" w:history="1">
            <w:r w:rsidR="00F54B31" w:rsidRPr="00F54B31">
              <w:rPr>
                <w:rStyle w:val="Hyperlink"/>
                <w:rFonts w:asciiTheme="majorHAnsi" w:hAnsiTheme="majorHAnsi" w:cstheme="majorHAnsi"/>
                <w:noProof/>
                <w:sz w:val="18"/>
                <w:szCs w:val="18"/>
              </w:rPr>
              <w:t>18</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Funding</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71</w:t>
            </w:r>
            <w:r w:rsidR="00F54B31" w:rsidRPr="00F54B31">
              <w:rPr>
                <w:rFonts w:asciiTheme="majorHAnsi" w:hAnsiTheme="majorHAnsi" w:cstheme="majorHAnsi"/>
                <w:noProof/>
                <w:webHidden/>
                <w:sz w:val="18"/>
                <w:szCs w:val="18"/>
              </w:rPr>
              <w:fldChar w:fldCharType="end"/>
            </w:r>
          </w:hyperlink>
        </w:p>
        <w:p w14:paraId="14B7F276" w14:textId="5D752545"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13" w:history="1">
            <w:r w:rsidR="00F54B31" w:rsidRPr="00F54B31">
              <w:rPr>
                <w:rStyle w:val="Hyperlink"/>
                <w:rFonts w:asciiTheme="majorHAnsi" w:hAnsiTheme="majorHAnsi" w:cstheme="majorHAnsi"/>
                <w:noProof/>
                <w:sz w:val="18"/>
                <w:szCs w:val="18"/>
              </w:rPr>
              <w:t>19</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Publication Policy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_Toc528323613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72</w:t>
            </w:r>
            <w:r w:rsidR="00F54B31" w:rsidRPr="00F54B31">
              <w:rPr>
                <w:rFonts w:asciiTheme="majorHAnsi" w:hAnsiTheme="majorHAnsi" w:cstheme="majorHAnsi"/>
                <w:noProof/>
                <w:webHidden/>
                <w:sz w:val="18"/>
                <w:szCs w:val="18"/>
              </w:rPr>
              <w:fldChar w:fldCharType="end"/>
            </w:r>
          </w:hyperlink>
        </w:p>
        <w:p w14:paraId="6FDD5721" w14:textId="5C96CC7C"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14" w:history="1">
            <w:r w:rsidR="00F54B31" w:rsidRPr="00F54B31">
              <w:rPr>
                <w:rStyle w:val="Hyperlink"/>
                <w:rFonts w:asciiTheme="majorHAnsi" w:hAnsiTheme="majorHAnsi" w:cstheme="majorHAnsi"/>
                <w:noProof/>
                <w:sz w:val="18"/>
                <w:szCs w:val="18"/>
              </w:rPr>
              <w:t>20</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Translational Research</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_Toc528323614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73</w:t>
            </w:r>
            <w:r w:rsidR="00F54B31" w:rsidRPr="00F54B31">
              <w:rPr>
                <w:rFonts w:asciiTheme="majorHAnsi" w:hAnsiTheme="majorHAnsi" w:cstheme="majorHAnsi"/>
                <w:noProof/>
                <w:webHidden/>
                <w:sz w:val="18"/>
                <w:szCs w:val="18"/>
              </w:rPr>
              <w:fldChar w:fldCharType="end"/>
            </w:r>
          </w:hyperlink>
        </w:p>
        <w:p w14:paraId="19648B05" w14:textId="5E7C4F45"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15" w:history="1">
            <w:r w:rsidR="00F54B31" w:rsidRPr="00F54B31">
              <w:rPr>
                <w:rStyle w:val="Hyperlink"/>
                <w:rFonts w:asciiTheme="majorHAnsi" w:hAnsiTheme="majorHAnsi" w:cstheme="majorHAnsi"/>
                <w:noProof/>
                <w:sz w:val="18"/>
                <w:szCs w:val="18"/>
              </w:rPr>
              <w:t>21</w:t>
            </w:r>
            <w:r w:rsidR="00F54B31" w:rsidRPr="00F54B31">
              <w:rPr>
                <w:rFonts w:asciiTheme="majorHAnsi" w:eastAsiaTheme="minorEastAsia" w:hAnsiTheme="majorHAnsi" w:cstheme="majorHAnsi"/>
                <w:b w:val="0"/>
                <w:bCs w:val="0"/>
                <w:i w:val="0"/>
                <w:iCs w:val="0"/>
                <w:noProof/>
                <w:sz w:val="18"/>
                <w:szCs w:val="18"/>
                <w:lang w:eastAsia="en-GB"/>
              </w:rPr>
              <w:tab/>
            </w:r>
            <w:r w:rsidR="00F54B31" w:rsidRPr="00F54B31">
              <w:rPr>
                <w:rStyle w:val="Hyperlink"/>
                <w:rFonts w:asciiTheme="majorHAnsi" w:hAnsiTheme="majorHAnsi" w:cstheme="majorHAnsi"/>
                <w:noProof/>
                <w:sz w:val="18"/>
                <w:szCs w:val="18"/>
              </w:rPr>
              <w:t>References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_Toc528323615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74</w:t>
            </w:r>
            <w:r w:rsidR="00F54B31" w:rsidRPr="00F54B31">
              <w:rPr>
                <w:rFonts w:asciiTheme="majorHAnsi" w:hAnsiTheme="majorHAnsi" w:cstheme="majorHAnsi"/>
                <w:noProof/>
                <w:webHidden/>
                <w:sz w:val="18"/>
                <w:szCs w:val="18"/>
              </w:rPr>
              <w:fldChar w:fldCharType="end"/>
            </w:r>
          </w:hyperlink>
        </w:p>
        <w:p w14:paraId="41360660" w14:textId="4AE84A1C"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16" w:history="1">
            <w:r w:rsidR="00F54B31" w:rsidRPr="00F54B31">
              <w:rPr>
                <w:rStyle w:val="Hyperlink"/>
                <w:rFonts w:asciiTheme="majorHAnsi" w:hAnsiTheme="majorHAnsi" w:cstheme="majorHAnsi"/>
                <w:noProof/>
                <w:sz w:val="18"/>
                <w:szCs w:val="18"/>
              </w:rPr>
              <w:t>Appendix 1: Abbreviations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_Toc528323616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77</w:t>
            </w:r>
            <w:r w:rsidR="00F54B31" w:rsidRPr="00F54B31">
              <w:rPr>
                <w:rFonts w:asciiTheme="majorHAnsi" w:hAnsiTheme="majorHAnsi" w:cstheme="majorHAnsi"/>
                <w:noProof/>
                <w:webHidden/>
                <w:sz w:val="18"/>
                <w:szCs w:val="18"/>
              </w:rPr>
              <w:fldChar w:fldCharType="end"/>
            </w:r>
          </w:hyperlink>
        </w:p>
        <w:p w14:paraId="509F5642" w14:textId="7AE2D397"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17" w:history="1">
            <w:r w:rsidR="00F54B31" w:rsidRPr="00F54B31">
              <w:rPr>
                <w:rStyle w:val="Hyperlink"/>
                <w:rFonts w:asciiTheme="majorHAnsi" w:hAnsiTheme="majorHAnsi" w:cstheme="majorHAnsi"/>
                <w:noProof/>
                <w:sz w:val="18"/>
                <w:szCs w:val="18"/>
              </w:rPr>
              <w:t>Appendix 2: Schedule of Investigations – Phase I Trial. Each chemotherapy cycle is 21 days (3 weeks)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_Toc528323617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79</w:t>
            </w:r>
            <w:r w:rsidR="00F54B31" w:rsidRPr="00F54B31">
              <w:rPr>
                <w:rFonts w:asciiTheme="majorHAnsi" w:hAnsiTheme="majorHAnsi" w:cstheme="majorHAnsi"/>
                <w:noProof/>
                <w:webHidden/>
                <w:sz w:val="18"/>
                <w:szCs w:val="18"/>
              </w:rPr>
              <w:fldChar w:fldCharType="end"/>
            </w:r>
          </w:hyperlink>
        </w:p>
        <w:p w14:paraId="0BBD0376" w14:textId="1D8C12CE"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18" w:history="1">
            <w:r w:rsidR="00F54B31" w:rsidRPr="00F54B31">
              <w:rPr>
                <w:rStyle w:val="Hyperlink"/>
                <w:rFonts w:asciiTheme="majorHAnsi" w:hAnsiTheme="majorHAnsi" w:cstheme="majorHAnsi"/>
                <w:noProof/>
                <w:sz w:val="18"/>
                <w:szCs w:val="18"/>
              </w:rPr>
              <w:t>Appendix 3: Schedule of Investigations – Phase II Trial. Each chemotherapy cycle is 21 days (3 weeks)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_Toc528323618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80</w:t>
            </w:r>
            <w:r w:rsidR="00F54B31" w:rsidRPr="00F54B31">
              <w:rPr>
                <w:rFonts w:asciiTheme="majorHAnsi" w:hAnsiTheme="majorHAnsi" w:cstheme="majorHAnsi"/>
                <w:noProof/>
                <w:webHidden/>
                <w:sz w:val="18"/>
                <w:szCs w:val="18"/>
              </w:rPr>
              <w:fldChar w:fldCharType="end"/>
            </w:r>
          </w:hyperlink>
        </w:p>
        <w:p w14:paraId="6D3A8567" w14:textId="7E669D81"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19" w:history="1">
            <w:r w:rsidR="00F54B31" w:rsidRPr="00F54B31">
              <w:rPr>
                <w:rStyle w:val="Hyperlink"/>
                <w:rFonts w:asciiTheme="majorHAnsi" w:hAnsiTheme="majorHAnsi" w:cstheme="majorHAnsi"/>
                <w:noProof/>
                <w:sz w:val="18"/>
                <w:szCs w:val="18"/>
              </w:rPr>
              <w:t>Appendix 4: Cockcroft &amp; Gault Formula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_Toc528323619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81</w:t>
            </w:r>
            <w:r w:rsidR="00F54B31" w:rsidRPr="00F54B31">
              <w:rPr>
                <w:rFonts w:asciiTheme="majorHAnsi" w:hAnsiTheme="majorHAnsi" w:cstheme="majorHAnsi"/>
                <w:noProof/>
                <w:webHidden/>
                <w:sz w:val="18"/>
                <w:szCs w:val="18"/>
              </w:rPr>
              <w:fldChar w:fldCharType="end"/>
            </w:r>
          </w:hyperlink>
        </w:p>
        <w:p w14:paraId="791CC1D1" w14:textId="643D1710"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20" w:history="1">
            <w:r w:rsidR="00F54B31" w:rsidRPr="00F54B31">
              <w:rPr>
                <w:rStyle w:val="Hyperlink"/>
                <w:rFonts w:asciiTheme="majorHAnsi" w:hAnsiTheme="majorHAnsi" w:cstheme="majorHAnsi"/>
                <w:noProof/>
                <w:sz w:val="18"/>
                <w:szCs w:val="18"/>
              </w:rPr>
              <w:t>Appendix 5: Drugs With Risk Of Torsades De Pointes</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_Toc528323620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82</w:t>
            </w:r>
            <w:r w:rsidR="00F54B31" w:rsidRPr="00F54B31">
              <w:rPr>
                <w:rFonts w:asciiTheme="majorHAnsi" w:hAnsiTheme="majorHAnsi" w:cstheme="majorHAnsi"/>
                <w:noProof/>
                <w:webHidden/>
                <w:sz w:val="18"/>
                <w:szCs w:val="18"/>
              </w:rPr>
              <w:fldChar w:fldCharType="end"/>
            </w:r>
          </w:hyperlink>
        </w:p>
        <w:p w14:paraId="5F446370" w14:textId="2A6065D1"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21" w:history="1">
            <w:r w:rsidR="00F54B31" w:rsidRPr="00F54B31">
              <w:rPr>
                <w:rStyle w:val="Hyperlink"/>
                <w:rFonts w:asciiTheme="majorHAnsi" w:hAnsiTheme="majorHAnsi" w:cstheme="majorHAnsi"/>
                <w:noProof/>
                <w:sz w:val="18"/>
                <w:szCs w:val="18"/>
              </w:rPr>
              <w:t>Appendix 6 Meso - Modified RECIST criteria</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_Toc528323621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84</w:t>
            </w:r>
            <w:r w:rsidR="00F54B31" w:rsidRPr="00F54B31">
              <w:rPr>
                <w:rFonts w:asciiTheme="majorHAnsi" w:hAnsiTheme="majorHAnsi" w:cstheme="majorHAnsi"/>
                <w:noProof/>
                <w:webHidden/>
                <w:sz w:val="18"/>
                <w:szCs w:val="18"/>
              </w:rPr>
              <w:fldChar w:fldCharType="end"/>
            </w:r>
          </w:hyperlink>
        </w:p>
        <w:p w14:paraId="5DA7AAE9" w14:textId="4F68AFF5" w:rsidR="00F54B31" w:rsidRPr="00F54B31" w:rsidRDefault="00625F72">
          <w:pPr>
            <w:pStyle w:val="TOC1"/>
            <w:framePr w:wrap="around"/>
            <w:rPr>
              <w:rFonts w:asciiTheme="majorHAnsi" w:eastAsiaTheme="minorEastAsia" w:hAnsiTheme="majorHAnsi" w:cstheme="majorHAnsi"/>
              <w:b w:val="0"/>
              <w:bCs w:val="0"/>
              <w:i w:val="0"/>
              <w:iCs w:val="0"/>
              <w:noProof/>
              <w:sz w:val="18"/>
              <w:szCs w:val="18"/>
              <w:lang w:eastAsia="en-GB"/>
            </w:rPr>
          </w:pPr>
          <w:hyperlink w:anchor="_Toc528323622" w:history="1">
            <w:r w:rsidR="00F54B31" w:rsidRPr="00F54B31">
              <w:rPr>
                <w:rStyle w:val="Hyperlink"/>
                <w:rFonts w:asciiTheme="majorHAnsi" w:hAnsiTheme="majorHAnsi" w:cstheme="majorHAnsi"/>
                <w:noProof/>
                <w:sz w:val="18"/>
                <w:szCs w:val="18"/>
              </w:rPr>
              <w:t>Appendix 7: Protocol Version History</w:t>
            </w:r>
            <w:r w:rsidR="00F54B31" w:rsidRPr="00F54B31">
              <w:rPr>
                <w:rFonts w:asciiTheme="majorHAnsi" w:hAnsiTheme="majorHAnsi" w:cstheme="majorHAnsi"/>
                <w:noProof/>
                <w:webHidden/>
                <w:sz w:val="18"/>
                <w:szCs w:val="18"/>
              </w:rPr>
              <w:tab/>
            </w:r>
            <w:r w:rsidR="00F54B31" w:rsidRPr="00F54B31">
              <w:rPr>
                <w:rFonts w:asciiTheme="majorHAnsi" w:hAnsiTheme="majorHAnsi" w:cstheme="majorHAnsi"/>
                <w:noProof/>
                <w:webHidden/>
                <w:sz w:val="18"/>
                <w:szCs w:val="18"/>
              </w:rPr>
              <w:fldChar w:fldCharType="begin"/>
            </w:r>
            <w:r w:rsidR="00F54B31" w:rsidRPr="00F54B31">
              <w:rPr>
                <w:rFonts w:asciiTheme="majorHAnsi" w:hAnsiTheme="majorHAnsi" w:cstheme="majorHAnsi"/>
                <w:noProof/>
                <w:webHidden/>
                <w:sz w:val="18"/>
                <w:szCs w:val="18"/>
              </w:rPr>
              <w:instrText xml:space="preserve"> PAGEREF _Toc528323622 \h </w:instrText>
            </w:r>
            <w:r w:rsidR="00F54B31" w:rsidRPr="00F54B31">
              <w:rPr>
                <w:rFonts w:asciiTheme="majorHAnsi" w:hAnsiTheme="majorHAnsi" w:cstheme="majorHAnsi"/>
                <w:noProof/>
                <w:webHidden/>
                <w:sz w:val="18"/>
                <w:szCs w:val="18"/>
              </w:rPr>
            </w:r>
            <w:r w:rsidR="00F54B31" w:rsidRPr="00F54B31">
              <w:rPr>
                <w:rFonts w:asciiTheme="majorHAnsi" w:hAnsiTheme="majorHAnsi" w:cstheme="majorHAnsi"/>
                <w:noProof/>
                <w:webHidden/>
                <w:sz w:val="18"/>
                <w:szCs w:val="18"/>
              </w:rPr>
              <w:fldChar w:fldCharType="separate"/>
            </w:r>
            <w:r w:rsidR="00F54B31">
              <w:rPr>
                <w:rFonts w:asciiTheme="majorHAnsi" w:hAnsiTheme="majorHAnsi" w:cstheme="majorHAnsi"/>
                <w:noProof/>
                <w:webHidden/>
                <w:sz w:val="18"/>
                <w:szCs w:val="18"/>
              </w:rPr>
              <w:t>86</w:t>
            </w:r>
            <w:r w:rsidR="00F54B31" w:rsidRPr="00F54B31">
              <w:rPr>
                <w:rFonts w:asciiTheme="majorHAnsi" w:hAnsiTheme="majorHAnsi" w:cstheme="majorHAnsi"/>
                <w:noProof/>
                <w:webHidden/>
                <w:sz w:val="18"/>
                <w:szCs w:val="18"/>
              </w:rPr>
              <w:fldChar w:fldCharType="end"/>
            </w:r>
          </w:hyperlink>
        </w:p>
        <w:p w14:paraId="3D898FA2" w14:textId="71634E2F" w:rsidR="00F54B31" w:rsidRDefault="00F54B31">
          <w:r w:rsidRPr="00F54B31">
            <w:rPr>
              <w:rFonts w:asciiTheme="majorHAnsi" w:hAnsiTheme="majorHAnsi" w:cstheme="majorHAnsi"/>
              <w:b/>
              <w:bCs/>
              <w:noProof/>
              <w:sz w:val="18"/>
              <w:szCs w:val="18"/>
            </w:rPr>
            <w:fldChar w:fldCharType="end"/>
          </w:r>
        </w:p>
      </w:sdtContent>
    </w:sdt>
    <w:p w14:paraId="19F71248" w14:textId="74FE50E6" w:rsidR="00C77822" w:rsidRDefault="00C77822" w:rsidP="00C77822">
      <w:pPr>
        <w:pStyle w:val="TOCHeading"/>
      </w:pPr>
    </w:p>
    <w:p w14:paraId="40672FA9" w14:textId="77777777" w:rsidR="00BF16F9" w:rsidRPr="009400C8" w:rsidRDefault="002F600D" w:rsidP="00D65DE2">
      <w:pPr>
        <w:pStyle w:val="Heading1"/>
        <w:numPr>
          <w:ilvl w:val="0"/>
          <w:numId w:val="38"/>
        </w:numPr>
      </w:pPr>
      <w:bookmarkStart w:id="25" w:name="_Toc471826718"/>
      <w:bookmarkStart w:id="26" w:name="_Toc528323484"/>
      <w:r w:rsidRPr="009400C8">
        <w:rPr>
          <w:rFonts w:cs="Arial"/>
          <w:lang w:val="en-GB"/>
        </w:rPr>
        <w:t>PROTOCOL SUMMARY</w:t>
      </w:r>
      <w:bookmarkEnd w:id="25"/>
      <w:bookmarkEnd w:id="26"/>
      <w:r w:rsidRPr="009400C8">
        <w:rPr>
          <w:rFonts w:cs="Arial"/>
          <w:lang w:val="en-GB"/>
        </w:rPr>
        <w:tab/>
      </w:r>
    </w:p>
    <w:p w14:paraId="519C46FA" w14:textId="77777777" w:rsidR="00DA67E8" w:rsidRPr="00BF16F9" w:rsidRDefault="00DA67E8" w:rsidP="00D65DE2">
      <w:pPr>
        <w:pStyle w:val="Heading2"/>
        <w:numPr>
          <w:ilvl w:val="1"/>
          <w:numId w:val="51"/>
        </w:numPr>
      </w:pPr>
      <w:bookmarkStart w:id="27" w:name="_Toc471826719"/>
      <w:bookmarkStart w:id="28" w:name="_Toc528323485"/>
      <w:r w:rsidRPr="00BF16F9">
        <w:t>Summary of Trial Design</w:t>
      </w:r>
      <w:bookmarkEnd w:id="27"/>
      <w:bookmarkEnd w:id="28"/>
      <w:bookmarkEnd w:id="24"/>
      <w:bookmarkEnd w:id="23"/>
      <w:bookmarkEnd w:id="22"/>
      <w:bookmarkEnd w:id="21"/>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2"/>
        <w:gridCol w:w="5358"/>
      </w:tblGrid>
      <w:tr w:rsidR="00DA67E8" w:rsidRPr="00A23D8C" w14:paraId="6AB18F18" w14:textId="77777777" w:rsidTr="00552938">
        <w:tc>
          <w:tcPr>
            <w:tcW w:w="3639" w:type="dxa"/>
          </w:tcPr>
          <w:p w14:paraId="735BC3D4" w14:textId="77777777" w:rsidR="00DA67E8" w:rsidRPr="00D33C30" w:rsidRDefault="00DA67E8" w:rsidP="00A54FF3">
            <w:pPr>
              <w:rPr>
                <w:rFonts w:ascii="Arial" w:hAnsi="Arial" w:cs="Arial"/>
                <w:sz w:val="20"/>
                <w:szCs w:val="20"/>
              </w:rPr>
            </w:pPr>
            <w:r w:rsidRPr="00D33C30">
              <w:rPr>
                <w:rFonts w:ascii="Arial" w:hAnsi="Arial" w:cs="Arial"/>
                <w:b/>
                <w:bCs/>
                <w:sz w:val="20"/>
                <w:szCs w:val="20"/>
              </w:rPr>
              <w:t>Title:</w:t>
            </w:r>
          </w:p>
        </w:tc>
        <w:tc>
          <w:tcPr>
            <w:tcW w:w="5507" w:type="dxa"/>
          </w:tcPr>
          <w:p w14:paraId="22748225" w14:textId="77777777" w:rsidR="00DA67E8" w:rsidRPr="00507641" w:rsidRDefault="00DA67E8" w:rsidP="005A6367">
            <w:pPr>
              <w:spacing w:before="40" w:after="40"/>
              <w:ind w:right="34"/>
              <w:jc w:val="both"/>
              <w:rPr>
                <w:rFonts w:ascii="Arial" w:hAnsi="Arial" w:cs="Arial"/>
                <w:sz w:val="20"/>
                <w:szCs w:val="20"/>
              </w:rPr>
            </w:pPr>
            <w:r w:rsidRPr="00507641">
              <w:rPr>
                <w:rFonts w:ascii="Arial" w:hAnsi="Arial" w:cs="Arial"/>
                <w:sz w:val="20"/>
                <w:szCs w:val="20"/>
              </w:rPr>
              <w:t>A phase I/II trial of first line ganetespib with pemetrexed</w:t>
            </w:r>
            <w:r w:rsidR="00602586" w:rsidRPr="00507641">
              <w:rPr>
                <w:rFonts w:ascii="Arial" w:hAnsi="Arial" w:cs="Arial"/>
                <w:sz w:val="20"/>
                <w:szCs w:val="20"/>
              </w:rPr>
              <w:t>/</w:t>
            </w:r>
            <w:r w:rsidR="005E2C67">
              <w:rPr>
                <w:rFonts w:ascii="Arial" w:hAnsi="Arial" w:cs="Arial"/>
                <w:sz w:val="20"/>
                <w:szCs w:val="20"/>
              </w:rPr>
              <w:t>platinum</w:t>
            </w:r>
            <w:r w:rsidRPr="00507641">
              <w:rPr>
                <w:rFonts w:ascii="Arial" w:hAnsi="Arial" w:cs="Arial"/>
                <w:sz w:val="20"/>
                <w:szCs w:val="20"/>
              </w:rPr>
              <w:t>, in patients with malignant pleural mesothelioma</w:t>
            </w:r>
          </w:p>
        </w:tc>
      </w:tr>
      <w:tr w:rsidR="00DA67E8" w:rsidRPr="00A23D8C" w14:paraId="1009EC36" w14:textId="77777777" w:rsidTr="00552938">
        <w:tc>
          <w:tcPr>
            <w:tcW w:w="3639" w:type="dxa"/>
          </w:tcPr>
          <w:p w14:paraId="38CB7AC3" w14:textId="77777777" w:rsidR="00DA67E8" w:rsidRPr="00D33C30" w:rsidRDefault="00DA67E8" w:rsidP="00A54FF3">
            <w:pPr>
              <w:rPr>
                <w:rFonts w:ascii="Arial" w:hAnsi="Arial" w:cs="Arial"/>
                <w:b/>
                <w:bCs/>
                <w:sz w:val="20"/>
                <w:szCs w:val="20"/>
              </w:rPr>
            </w:pPr>
            <w:r w:rsidRPr="00D33C30">
              <w:rPr>
                <w:rFonts w:ascii="Arial" w:hAnsi="Arial" w:cs="Arial"/>
                <w:b/>
                <w:bCs/>
                <w:sz w:val="20"/>
                <w:szCs w:val="20"/>
              </w:rPr>
              <w:t>Short Title/acronym:</w:t>
            </w:r>
          </w:p>
        </w:tc>
        <w:tc>
          <w:tcPr>
            <w:tcW w:w="5507" w:type="dxa"/>
          </w:tcPr>
          <w:p w14:paraId="71316C05" w14:textId="77777777" w:rsidR="00DA67E8" w:rsidRPr="00507641" w:rsidRDefault="00DA67E8" w:rsidP="005A6367">
            <w:pPr>
              <w:spacing w:before="40" w:after="40"/>
              <w:jc w:val="both"/>
              <w:rPr>
                <w:rFonts w:ascii="Arial" w:hAnsi="Arial" w:cs="Arial"/>
                <w:bCs/>
                <w:iCs/>
                <w:sz w:val="20"/>
                <w:szCs w:val="20"/>
              </w:rPr>
            </w:pPr>
            <w:r w:rsidRPr="00507641">
              <w:rPr>
                <w:rFonts w:ascii="Arial" w:hAnsi="Arial" w:cs="Arial"/>
                <w:bCs/>
                <w:iCs/>
                <w:sz w:val="20"/>
                <w:szCs w:val="20"/>
              </w:rPr>
              <w:t>MESO-02</w:t>
            </w:r>
          </w:p>
        </w:tc>
      </w:tr>
      <w:tr w:rsidR="00DA67E8" w:rsidRPr="00A23D8C" w14:paraId="2F7BF4EA" w14:textId="77777777" w:rsidTr="00552938">
        <w:tc>
          <w:tcPr>
            <w:tcW w:w="3639" w:type="dxa"/>
          </w:tcPr>
          <w:p w14:paraId="67B798C6" w14:textId="77777777" w:rsidR="00DA67E8" w:rsidRPr="00D33C30" w:rsidRDefault="00DA67E8" w:rsidP="00A54FF3">
            <w:pPr>
              <w:rPr>
                <w:rFonts w:ascii="Arial" w:hAnsi="Arial" w:cs="Arial"/>
                <w:b/>
                <w:bCs/>
                <w:sz w:val="20"/>
                <w:szCs w:val="20"/>
              </w:rPr>
            </w:pPr>
            <w:r w:rsidRPr="00D33C30">
              <w:rPr>
                <w:rFonts w:ascii="Arial" w:hAnsi="Arial" w:cs="Arial"/>
                <w:b/>
                <w:bCs/>
                <w:sz w:val="20"/>
                <w:szCs w:val="20"/>
              </w:rPr>
              <w:t>EUDRACT no:</w:t>
            </w:r>
          </w:p>
        </w:tc>
        <w:tc>
          <w:tcPr>
            <w:tcW w:w="5507" w:type="dxa"/>
          </w:tcPr>
          <w:p w14:paraId="096CD6E0" w14:textId="77777777" w:rsidR="00DA67E8" w:rsidRPr="00507641" w:rsidRDefault="001D0E1E" w:rsidP="005A6367">
            <w:pPr>
              <w:spacing w:before="40" w:after="40"/>
              <w:jc w:val="both"/>
              <w:rPr>
                <w:rFonts w:ascii="Arial" w:hAnsi="Arial" w:cs="Arial"/>
                <w:bCs/>
                <w:iCs/>
                <w:sz w:val="20"/>
                <w:szCs w:val="20"/>
                <w:highlight w:val="yellow"/>
              </w:rPr>
            </w:pPr>
            <w:r w:rsidRPr="00507641">
              <w:rPr>
                <w:rFonts w:ascii="Arial" w:hAnsi="Arial" w:cs="Arial"/>
                <w:bCs/>
                <w:iCs/>
                <w:sz w:val="20"/>
                <w:szCs w:val="20"/>
              </w:rPr>
              <w:t>2012-001598-10</w:t>
            </w:r>
          </w:p>
        </w:tc>
      </w:tr>
      <w:tr w:rsidR="00DA67E8" w:rsidRPr="00A23D8C" w14:paraId="520F5425" w14:textId="77777777" w:rsidTr="00552938">
        <w:tc>
          <w:tcPr>
            <w:tcW w:w="3639" w:type="dxa"/>
          </w:tcPr>
          <w:p w14:paraId="416F8EEC" w14:textId="77777777" w:rsidR="00DA67E8" w:rsidRPr="00D33C30" w:rsidRDefault="00DA67E8" w:rsidP="00A54FF3">
            <w:pPr>
              <w:rPr>
                <w:rFonts w:ascii="Arial" w:hAnsi="Arial" w:cs="Arial"/>
                <w:b/>
                <w:bCs/>
                <w:sz w:val="20"/>
                <w:szCs w:val="20"/>
              </w:rPr>
            </w:pPr>
            <w:r w:rsidRPr="00D33C30">
              <w:rPr>
                <w:rFonts w:ascii="Arial" w:hAnsi="Arial" w:cs="Arial"/>
                <w:b/>
                <w:bCs/>
                <w:sz w:val="20"/>
                <w:szCs w:val="20"/>
              </w:rPr>
              <w:t>Sponsor name &amp; reference:</w:t>
            </w:r>
          </w:p>
        </w:tc>
        <w:tc>
          <w:tcPr>
            <w:tcW w:w="5507" w:type="dxa"/>
          </w:tcPr>
          <w:p w14:paraId="6FCACC5F" w14:textId="77777777" w:rsidR="00DA67E8" w:rsidRPr="00507641" w:rsidRDefault="002D383F" w:rsidP="002B0D56">
            <w:pPr>
              <w:spacing w:before="40" w:after="40"/>
              <w:rPr>
                <w:rFonts w:ascii="Arial" w:hAnsi="Arial" w:cs="Arial"/>
                <w:bCs/>
                <w:iCs/>
                <w:sz w:val="20"/>
                <w:szCs w:val="20"/>
                <w:highlight w:val="yellow"/>
              </w:rPr>
            </w:pPr>
            <w:r w:rsidRPr="00507641">
              <w:rPr>
                <w:rFonts w:ascii="Arial" w:hAnsi="Arial" w:cs="Arial"/>
                <w:bCs/>
                <w:iCs/>
                <w:sz w:val="20"/>
                <w:szCs w:val="20"/>
              </w:rPr>
              <w:t xml:space="preserve">University College London </w:t>
            </w:r>
            <w:r w:rsidR="00791C60">
              <w:rPr>
                <w:rFonts w:ascii="Arial" w:hAnsi="Arial" w:cs="Arial"/>
                <w:bCs/>
                <w:iCs/>
                <w:sz w:val="20"/>
                <w:szCs w:val="20"/>
              </w:rPr>
              <w:t>–</w:t>
            </w:r>
            <w:r w:rsidRPr="00507641">
              <w:rPr>
                <w:rFonts w:ascii="Arial" w:hAnsi="Arial" w:cs="Arial"/>
                <w:bCs/>
                <w:iCs/>
                <w:sz w:val="20"/>
                <w:szCs w:val="20"/>
              </w:rPr>
              <w:t xml:space="preserve"> UCL/12/0158</w:t>
            </w:r>
          </w:p>
        </w:tc>
      </w:tr>
      <w:tr w:rsidR="00DA67E8" w:rsidRPr="00A23D8C" w14:paraId="33FBA697" w14:textId="77777777" w:rsidTr="00552938">
        <w:tc>
          <w:tcPr>
            <w:tcW w:w="3639" w:type="dxa"/>
          </w:tcPr>
          <w:p w14:paraId="311BDE31" w14:textId="77777777" w:rsidR="00DA67E8" w:rsidRPr="00D33C30" w:rsidRDefault="00DA67E8" w:rsidP="00A54FF3">
            <w:pPr>
              <w:rPr>
                <w:rFonts w:ascii="Arial" w:hAnsi="Arial" w:cs="Arial"/>
                <w:b/>
                <w:bCs/>
                <w:sz w:val="20"/>
                <w:szCs w:val="20"/>
              </w:rPr>
            </w:pPr>
            <w:r>
              <w:rPr>
                <w:rFonts w:ascii="Arial" w:hAnsi="Arial" w:cs="Arial"/>
                <w:b/>
                <w:bCs/>
                <w:sz w:val="20"/>
                <w:szCs w:val="20"/>
              </w:rPr>
              <w:t>CTA no:</w:t>
            </w:r>
          </w:p>
        </w:tc>
        <w:tc>
          <w:tcPr>
            <w:tcW w:w="5507" w:type="dxa"/>
          </w:tcPr>
          <w:p w14:paraId="1527D3F9" w14:textId="77777777" w:rsidR="00DA67E8" w:rsidRPr="00912946" w:rsidRDefault="00AE64BA" w:rsidP="002B0D56">
            <w:pPr>
              <w:spacing w:before="40" w:after="40"/>
              <w:rPr>
                <w:rFonts w:ascii="Arial" w:hAnsi="Arial" w:cs="Arial"/>
                <w:bCs/>
                <w:iCs/>
                <w:sz w:val="20"/>
                <w:szCs w:val="20"/>
              </w:rPr>
            </w:pPr>
            <w:r w:rsidRPr="005762B2">
              <w:rPr>
                <w:rFonts w:ascii="Arial" w:hAnsi="Arial" w:cs="Arial"/>
                <w:bCs/>
                <w:iCs/>
                <w:sz w:val="20"/>
                <w:szCs w:val="22"/>
              </w:rPr>
              <w:t>20363/0317/001-0001</w:t>
            </w:r>
          </w:p>
        </w:tc>
      </w:tr>
      <w:tr w:rsidR="00DA67E8" w:rsidRPr="00A23D8C" w14:paraId="4F551E82" w14:textId="77777777" w:rsidTr="00552938">
        <w:tc>
          <w:tcPr>
            <w:tcW w:w="3639" w:type="dxa"/>
          </w:tcPr>
          <w:p w14:paraId="5832ABFF" w14:textId="77777777" w:rsidR="00DA67E8" w:rsidRPr="00D33C30" w:rsidRDefault="00DA67E8" w:rsidP="00A54FF3">
            <w:pPr>
              <w:rPr>
                <w:rFonts w:ascii="Arial" w:hAnsi="Arial" w:cs="Arial"/>
                <w:b/>
                <w:bCs/>
                <w:sz w:val="20"/>
                <w:szCs w:val="20"/>
              </w:rPr>
            </w:pPr>
            <w:r>
              <w:rPr>
                <w:rFonts w:ascii="Arial" w:hAnsi="Arial" w:cs="Arial"/>
                <w:b/>
                <w:bCs/>
                <w:sz w:val="20"/>
                <w:szCs w:val="20"/>
              </w:rPr>
              <w:t>REC no:</w:t>
            </w:r>
          </w:p>
        </w:tc>
        <w:tc>
          <w:tcPr>
            <w:tcW w:w="5507" w:type="dxa"/>
          </w:tcPr>
          <w:p w14:paraId="2AFD37DF" w14:textId="77777777" w:rsidR="00DA67E8" w:rsidRPr="00912946" w:rsidRDefault="00AE41D2" w:rsidP="002B0D56">
            <w:pPr>
              <w:spacing w:before="40" w:after="40"/>
              <w:rPr>
                <w:rFonts w:ascii="Arial" w:hAnsi="Arial" w:cs="Arial"/>
                <w:bCs/>
                <w:iCs/>
                <w:sz w:val="20"/>
                <w:szCs w:val="20"/>
              </w:rPr>
            </w:pPr>
            <w:r>
              <w:rPr>
                <w:rFonts w:ascii="Arial" w:hAnsi="Arial" w:cs="Arial"/>
                <w:bCs/>
                <w:iCs/>
                <w:sz w:val="20"/>
                <w:szCs w:val="20"/>
              </w:rPr>
              <w:t>12/EM/0448</w:t>
            </w:r>
          </w:p>
        </w:tc>
      </w:tr>
      <w:tr w:rsidR="00DA67E8" w:rsidRPr="00A23D8C" w14:paraId="19C060A1" w14:textId="77777777" w:rsidTr="00552938">
        <w:tc>
          <w:tcPr>
            <w:tcW w:w="3639" w:type="dxa"/>
          </w:tcPr>
          <w:p w14:paraId="0F80396C" w14:textId="77777777" w:rsidR="00DA67E8" w:rsidRPr="00D33C30" w:rsidRDefault="00DA67E8" w:rsidP="00F755C0">
            <w:pPr>
              <w:rPr>
                <w:rFonts w:ascii="Arial" w:hAnsi="Arial" w:cs="Arial"/>
                <w:b/>
                <w:bCs/>
                <w:sz w:val="20"/>
                <w:szCs w:val="20"/>
              </w:rPr>
            </w:pPr>
            <w:r w:rsidRPr="00D33C30">
              <w:rPr>
                <w:rFonts w:ascii="Arial" w:hAnsi="Arial" w:cs="Arial"/>
                <w:b/>
                <w:bCs/>
                <w:sz w:val="20"/>
                <w:szCs w:val="20"/>
              </w:rPr>
              <w:t>Funder name</w:t>
            </w:r>
          </w:p>
        </w:tc>
        <w:tc>
          <w:tcPr>
            <w:tcW w:w="5507" w:type="dxa"/>
          </w:tcPr>
          <w:p w14:paraId="45278FB1" w14:textId="0F8C47EE" w:rsidR="00DA67E8" w:rsidRPr="00912946" w:rsidRDefault="00855641" w:rsidP="002B0D56">
            <w:pPr>
              <w:spacing w:before="40" w:after="40"/>
              <w:rPr>
                <w:rFonts w:ascii="Arial" w:hAnsi="Arial" w:cs="Arial"/>
                <w:bCs/>
                <w:iCs/>
                <w:sz w:val="20"/>
                <w:szCs w:val="20"/>
              </w:rPr>
            </w:pPr>
            <w:r>
              <w:rPr>
                <w:rFonts w:ascii="Arial" w:hAnsi="Arial" w:cs="Arial"/>
                <w:sz w:val="20"/>
                <w:szCs w:val="20"/>
              </w:rPr>
              <w:t>Madrigal Pharma</w:t>
            </w:r>
            <w:r w:rsidRPr="00495549">
              <w:rPr>
                <w:rFonts w:ascii="Arial" w:hAnsi="Arial" w:cs="Arial"/>
                <w:sz w:val="20"/>
                <w:szCs w:val="20"/>
              </w:rPr>
              <w:t xml:space="preserve">ceuticals Inc (formerly </w:t>
            </w:r>
            <w:proofErr w:type="spellStart"/>
            <w:r w:rsidRPr="00495549">
              <w:rPr>
                <w:rFonts w:ascii="Arial" w:hAnsi="Arial" w:cs="Arial"/>
                <w:sz w:val="20"/>
                <w:szCs w:val="20"/>
              </w:rPr>
              <w:t>Synta</w:t>
            </w:r>
            <w:proofErr w:type="spellEnd"/>
            <w:r w:rsidRPr="00495549">
              <w:rPr>
                <w:rFonts w:ascii="Arial" w:hAnsi="Arial" w:cs="Arial"/>
                <w:sz w:val="20"/>
                <w:szCs w:val="20"/>
              </w:rPr>
              <w:t xml:space="preserve"> Pharmaceuticals Corp</w:t>
            </w:r>
            <w:r w:rsidR="00B90009">
              <w:rPr>
                <w:rFonts w:ascii="Arial" w:hAnsi="Arial" w:cs="Arial"/>
                <w:sz w:val="20"/>
                <w:szCs w:val="20"/>
              </w:rPr>
              <w:t>.</w:t>
            </w:r>
            <w:r w:rsidRPr="00495549">
              <w:rPr>
                <w:rFonts w:ascii="Arial" w:hAnsi="Arial" w:cs="Arial"/>
                <w:sz w:val="20"/>
                <w:szCs w:val="20"/>
              </w:rPr>
              <w:t>)</w:t>
            </w:r>
          </w:p>
        </w:tc>
      </w:tr>
      <w:tr w:rsidR="00F755C0" w:rsidRPr="00A23D8C" w14:paraId="20375FCE" w14:textId="77777777" w:rsidTr="00552938">
        <w:tc>
          <w:tcPr>
            <w:tcW w:w="3639" w:type="dxa"/>
          </w:tcPr>
          <w:p w14:paraId="0447C67A" w14:textId="77777777" w:rsidR="00F755C0" w:rsidRDefault="00F755C0" w:rsidP="00A84529">
            <w:pPr>
              <w:rPr>
                <w:rFonts w:ascii="Arial" w:hAnsi="Arial" w:cs="Arial"/>
                <w:b/>
                <w:sz w:val="20"/>
                <w:szCs w:val="20"/>
              </w:rPr>
            </w:pPr>
            <w:r>
              <w:rPr>
                <w:rFonts w:ascii="Arial" w:hAnsi="Arial" w:cs="Arial"/>
                <w:b/>
                <w:sz w:val="20"/>
                <w:szCs w:val="20"/>
              </w:rPr>
              <w:t xml:space="preserve">CR UK reference number </w:t>
            </w:r>
          </w:p>
        </w:tc>
        <w:tc>
          <w:tcPr>
            <w:tcW w:w="5507" w:type="dxa"/>
          </w:tcPr>
          <w:p w14:paraId="5095DC75" w14:textId="77777777" w:rsidR="00F755C0" w:rsidRPr="00912946" w:rsidRDefault="00F755C0" w:rsidP="002B0D56">
            <w:pPr>
              <w:spacing w:before="40" w:after="40"/>
              <w:jc w:val="both"/>
              <w:rPr>
                <w:rFonts w:ascii="Arial" w:hAnsi="Arial" w:cs="Arial"/>
                <w:bCs/>
                <w:iCs/>
                <w:sz w:val="20"/>
                <w:szCs w:val="20"/>
              </w:rPr>
            </w:pPr>
            <w:r w:rsidRPr="00912946">
              <w:rPr>
                <w:rFonts w:ascii="Arial" w:hAnsi="Arial" w:cs="Arial"/>
                <w:bCs/>
                <w:iCs/>
                <w:sz w:val="20"/>
                <w:szCs w:val="20"/>
              </w:rPr>
              <w:t>A15183</w:t>
            </w:r>
          </w:p>
        </w:tc>
      </w:tr>
      <w:tr w:rsidR="00DA67E8" w:rsidRPr="00A23D8C" w14:paraId="5F738290" w14:textId="77777777" w:rsidTr="00552938">
        <w:tc>
          <w:tcPr>
            <w:tcW w:w="3639" w:type="dxa"/>
          </w:tcPr>
          <w:p w14:paraId="07631983" w14:textId="77777777" w:rsidR="00DA67E8" w:rsidRPr="00D33C30" w:rsidRDefault="00B16E83" w:rsidP="00A84529">
            <w:pPr>
              <w:rPr>
                <w:rFonts w:ascii="Arial" w:hAnsi="Arial" w:cs="Arial"/>
                <w:b/>
                <w:bCs/>
                <w:sz w:val="20"/>
                <w:szCs w:val="20"/>
              </w:rPr>
            </w:pPr>
            <w:r>
              <w:rPr>
                <w:rFonts w:ascii="Arial" w:hAnsi="Arial" w:cs="Arial"/>
                <w:b/>
                <w:sz w:val="20"/>
                <w:szCs w:val="20"/>
              </w:rPr>
              <w:t>ISRCTN/</w:t>
            </w:r>
            <w:r w:rsidR="00DA67E8" w:rsidRPr="00D33C30">
              <w:rPr>
                <w:rFonts w:ascii="Arial" w:hAnsi="Arial" w:cs="Arial"/>
                <w:b/>
                <w:sz w:val="20"/>
                <w:szCs w:val="20"/>
              </w:rPr>
              <w:t>Clinicaltrials.gov</w:t>
            </w:r>
            <w:r w:rsidR="00DA67E8" w:rsidRPr="00D33C30">
              <w:rPr>
                <w:rFonts w:ascii="Arial" w:hAnsi="Arial" w:cs="Arial"/>
                <w:b/>
                <w:bCs/>
                <w:sz w:val="20"/>
                <w:szCs w:val="20"/>
              </w:rPr>
              <w:t xml:space="preserve"> no:</w:t>
            </w:r>
          </w:p>
        </w:tc>
        <w:tc>
          <w:tcPr>
            <w:tcW w:w="5507" w:type="dxa"/>
          </w:tcPr>
          <w:p w14:paraId="7FD6687D" w14:textId="77777777" w:rsidR="00DA67E8" w:rsidRPr="0040416B" w:rsidRDefault="006134B2" w:rsidP="002B0D56">
            <w:pPr>
              <w:spacing w:before="40" w:after="40"/>
              <w:jc w:val="both"/>
              <w:rPr>
                <w:rFonts w:ascii="Arial" w:hAnsi="Arial" w:cs="Arial"/>
                <w:bCs/>
                <w:iCs/>
                <w:sz w:val="20"/>
                <w:szCs w:val="20"/>
              </w:rPr>
            </w:pPr>
            <w:r w:rsidRPr="0040416B">
              <w:rPr>
                <w:rFonts w:ascii="Arial" w:hAnsi="Arial" w:cs="Arial"/>
                <w:sz w:val="20"/>
                <w:szCs w:val="22"/>
                <w:shd w:val="clear" w:color="auto" w:fill="FFFFFF"/>
              </w:rPr>
              <w:t>NCT01590160</w:t>
            </w:r>
          </w:p>
        </w:tc>
      </w:tr>
      <w:tr w:rsidR="00DA67E8" w:rsidRPr="00A23D8C" w14:paraId="274D1DEB" w14:textId="77777777" w:rsidTr="00552938">
        <w:tc>
          <w:tcPr>
            <w:tcW w:w="3639" w:type="dxa"/>
          </w:tcPr>
          <w:p w14:paraId="6D64B197" w14:textId="77777777" w:rsidR="00DA67E8" w:rsidRPr="00D33C30" w:rsidRDefault="00DA67E8" w:rsidP="00A54FF3">
            <w:pPr>
              <w:rPr>
                <w:rFonts w:ascii="Arial" w:hAnsi="Arial" w:cs="Arial"/>
                <w:sz w:val="20"/>
                <w:szCs w:val="20"/>
              </w:rPr>
            </w:pPr>
            <w:r w:rsidRPr="00D33C30">
              <w:rPr>
                <w:rFonts w:ascii="Arial" w:hAnsi="Arial" w:cs="Arial"/>
                <w:b/>
                <w:bCs/>
                <w:sz w:val="20"/>
                <w:szCs w:val="20"/>
              </w:rPr>
              <w:t>Design:</w:t>
            </w:r>
          </w:p>
        </w:tc>
        <w:tc>
          <w:tcPr>
            <w:tcW w:w="5507" w:type="dxa"/>
          </w:tcPr>
          <w:p w14:paraId="4AFDE18B" w14:textId="77777777" w:rsidR="0022131D" w:rsidRDefault="00DA67E8" w:rsidP="00552938">
            <w:pPr>
              <w:pStyle w:val="Header"/>
              <w:tabs>
                <w:tab w:val="clear" w:pos="4153"/>
                <w:tab w:val="clear" w:pos="8306"/>
              </w:tabs>
              <w:spacing w:before="40"/>
              <w:jc w:val="both"/>
              <w:rPr>
                <w:rFonts w:ascii="Arial" w:hAnsi="Arial" w:cs="Arial"/>
                <w:sz w:val="20"/>
                <w:szCs w:val="20"/>
                <w:lang w:val="en-GB"/>
              </w:rPr>
            </w:pPr>
            <w:r w:rsidRPr="00751BCE">
              <w:rPr>
                <w:rFonts w:ascii="Arial" w:hAnsi="Arial" w:cs="Arial"/>
                <w:b/>
                <w:sz w:val="20"/>
                <w:szCs w:val="20"/>
                <w:lang w:val="en-GB"/>
              </w:rPr>
              <w:t>Phase I</w:t>
            </w:r>
            <w:r w:rsidRPr="00751BCE">
              <w:rPr>
                <w:rFonts w:ascii="Arial" w:hAnsi="Arial" w:cs="Arial"/>
                <w:sz w:val="20"/>
                <w:szCs w:val="20"/>
                <w:lang w:val="en-GB"/>
              </w:rPr>
              <w:t>: 3 dose cohorts (pemetrexed</w:t>
            </w:r>
            <w:r w:rsidR="00602586" w:rsidRPr="00751BCE">
              <w:rPr>
                <w:rFonts w:ascii="Arial" w:hAnsi="Arial" w:cs="Arial"/>
                <w:sz w:val="20"/>
                <w:szCs w:val="20"/>
                <w:lang w:val="en-GB"/>
              </w:rPr>
              <w:t>/</w:t>
            </w:r>
            <w:r w:rsidRPr="00751BCE">
              <w:rPr>
                <w:rFonts w:ascii="Arial" w:hAnsi="Arial" w:cs="Arial"/>
                <w:sz w:val="20"/>
                <w:szCs w:val="20"/>
                <w:lang w:val="en-GB"/>
              </w:rPr>
              <w:t>cisplatin with ganetespib</w:t>
            </w:r>
            <w:r w:rsidR="005625DA">
              <w:rPr>
                <w:rFonts w:ascii="Arial" w:hAnsi="Arial" w:cs="Arial"/>
                <w:sz w:val="20"/>
                <w:szCs w:val="20"/>
                <w:lang w:val="en-GB"/>
              </w:rPr>
              <w:t>, followed by maintenance ganetespib</w:t>
            </w:r>
            <w:r w:rsidRPr="00751BCE">
              <w:rPr>
                <w:rFonts w:ascii="Arial" w:hAnsi="Arial" w:cs="Arial"/>
                <w:sz w:val="20"/>
                <w:szCs w:val="20"/>
                <w:lang w:val="en-GB"/>
              </w:rPr>
              <w:t>), 3+3 design</w:t>
            </w:r>
            <w:r w:rsidR="00EB4B55">
              <w:rPr>
                <w:rFonts w:ascii="Arial" w:hAnsi="Arial" w:cs="Arial"/>
                <w:sz w:val="20"/>
                <w:szCs w:val="20"/>
                <w:lang w:val="en-GB"/>
              </w:rPr>
              <w:t>.</w:t>
            </w:r>
          </w:p>
          <w:p w14:paraId="08C27CB9" w14:textId="77777777" w:rsidR="005E2C67" w:rsidRDefault="003A1984" w:rsidP="00552938">
            <w:pPr>
              <w:pStyle w:val="Header"/>
              <w:tabs>
                <w:tab w:val="clear" w:pos="4153"/>
                <w:tab w:val="clear" w:pos="8306"/>
              </w:tabs>
              <w:spacing w:before="120" w:after="240"/>
              <w:jc w:val="both"/>
              <w:rPr>
                <w:rFonts w:ascii="Arial" w:hAnsi="Arial" w:cs="Arial"/>
                <w:sz w:val="20"/>
                <w:szCs w:val="20"/>
                <w:lang w:val="en-GB"/>
              </w:rPr>
            </w:pPr>
            <w:r>
              <w:rPr>
                <w:rFonts w:ascii="Arial" w:hAnsi="Arial" w:cs="Arial"/>
                <w:sz w:val="20"/>
                <w:szCs w:val="20"/>
                <w:lang w:val="en-GB"/>
              </w:rPr>
              <w:t>A</w:t>
            </w:r>
            <w:r w:rsidR="0022131D">
              <w:rPr>
                <w:rFonts w:ascii="Arial" w:hAnsi="Arial" w:cs="Arial"/>
                <w:sz w:val="20"/>
                <w:szCs w:val="20"/>
                <w:lang w:val="en-GB"/>
              </w:rPr>
              <w:t xml:space="preserve">dditional patients will be treated with ganetespib and pemetrexed/carboplatin in </w:t>
            </w:r>
            <w:r>
              <w:rPr>
                <w:rFonts w:ascii="Arial" w:hAnsi="Arial" w:cs="Arial"/>
                <w:sz w:val="20"/>
                <w:szCs w:val="20"/>
                <w:lang w:val="en-GB"/>
              </w:rPr>
              <w:t xml:space="preserve">an accelerated titrated design, </w:t>
            </w:r>
            <w:r w:rsidR="0022131D">
              <w:rPr>
                <w:rFonts w:ascii="Arial" w:hAnsi="Arial" w:cs="Arial"/>
                <w:sz w:val="20"/>
                <w:szCs w:val="20"/>
                <w:lang w:val="en-GB"/>
              </w:rPr>
              <w:t xml:space="preserve">to confirm the MTD </w:t>
            </w:r>
            <w:r>
              <w:rPr>
                <w:rFonts w:ascii="Arial" w:hAnsi="Arial" w:cs="Arial"/>
                <w:sz w:val="20"/>
                <w:szCs w:val="20"/>
                <w:lang w:val="en-GB"/>
              </w:rPr>
              <w:t>in patients given carboplatin instead of cisplatin.</w:t>
            </w:r>
            <w:r w:rsidR="0022131D" w:rsidDel="0022131D">
              <w:rPr>
                <w:rFonts w:ascii="Arial" w:hAnsi="Arial" w:cs="Arial"/>
                <w:sz w:val="20"/>
                <w:szCs w:val="20"/>
                <w:lang w:val="en-GB"/>
              </w:rPr>
              <w:t xml:space="preserve"> </w:t>
            </w:r>
          </w:p>
          <w:p w14:paraId="283775EA" w14:textId="77777777" w:rsidR="00DA67E8" w:rsidRDefault="00DA67E8" w:rsidP="00552938">
            <w:pPr>
              <w:pStyle w:val="Header"/>
              <w:tabs>
                <w:tab w:val="clear" w:pos="4153"/>
                <w:tab w:val="clear" w:pos="8306"/>
              </w:tabs>
              <w:spacing w:before="40"/>
              <w:jc w:val="both"/>
              <w:rPr>
                <w:rFonts w:ascii="Arial" w:hAnsi="Arial" w:cs="Arial"/>
                <w:sz w:val="20"/>
                <w:szCs w:val="20"/>
                <w:lang w:val="en-GB"/>
              </w:rPr>
            </w:pPr>
            <w:r w:rsidRPr="00751BCE">
              <w:rPr>
                <w:rFonts w:ascii="Arial" w:hAnsi="Arial" w:cs="Arial"/>
                <w:b/>
                <w:sz w:val="20"/>
                <w:szCs w:val="20"/>
                <w:lang w:val="en-GB"/>
              </w:rPr>
              <w:t>Phase II:</w:t>
            </w:r>
            <w:r w:rsidRPr="00751BCE">
              <w:rPr>
                <w:rFonts w:ascii="Arial" w:hAnsi="Arial" w:cs="Arial"/>
                <w:sz w:val="20"/>
                <w:szCs w:val="20"/>
                <w:lang w:val="en-GB"/>
              </w:rPr>
              <w:t xml:space="preserve"> multicentre randomised phase II trial of pemetrexed</w:t>
            </w:r>
            <w:r w:rsidR="00602586" w:rsidRPr="00751BCE">
              <w:rPr>
                <w:rFonts w:ascii="Arial" w:hAnsi="Arial" w:cs="Arial"/>
                <w:sz w:val="20"/>
                <w:szCs w:val="20"/>
                <w:lang w:val="en-GB"/>
              </w:rPr>
              <w:t>/</w:t>
            </w:r>
            <w:r w:rsidR="0022131D">
              <w:rPr>
                <w:rFonts w:ascii="Arial" w:hAnsi="Arial" w:cs="Arial"/>
                <w:sz w:val="20"/>
                <w:szCs w:val="20"/>
                <w:lang w:val="en-GB"/>
              </w:rPr>
              <w:t>platinum</w:t>
            </w:r>
            <w:r w:rsidR="00EB4B55">
              <w:rPr>
                <w:rFonts w:ascii="Arial" w:hAnsi="Arial" w:cs="Arial"/>
                <w:sz w:val="20"/>
                <w:szCs w:val="20"/>
                <w:lang w:val="en-GB"/>
              </w:rPr>
              <w:t xml:space="preserve"> </w:t>
            </w:r>
            <w:r w:rsidR="00781D7F">
              <w:rPr>
                <w:rFonts w:ascii="Arial" w:hAnsi="Arial" w:cs="Arial"/>
                <w:sz w:val="20"/>
                <w:szCs w:val="20"/>
                <w:lang w:val="en-GB"/>
              </w:rPr>
              <w:t xml:space="preserve">(cis or carbo) </w:t>
            </w:r>
            <w:r w:rsidRPr="00751BCE">
              <w:rPr>
                <w:rFonts w:ascii="Arial" w:hAnsi="Arial" w:cs="Arial"/>
                <w:sz w:val="20"/>
                <w:szCs w:val="20"/>
                <w:lang w:val="en-GB"/>
              </w:rPr>
              <w:t xml:space="preserve">with ganetespib </w:t>
            </w:r>
            <w:r w:rsidR="005625DA">
              <w:rPr>
                <w:rFonts w:ascii="Arial" w:hAnsi="Arial" w:cs="Arial"/>
                <w:sz w:val="20"/>
                <w:szCs w:val="20"/>
                <w:lang w:val="en-GB"/>
              </w:rPr>
              <w:t>followed by maintenance ganetespib</w:t>
            </w:r>
            <w:r w:rsidR="005625DA" w:rsidRPr="00751BCE">
              <w:rPr>
                <w:rFonts w:ascii="Arial" w:hAnsi="Arial" w:cs="Arial"/>
                <w:sz w:val="20"/>
                <w:szCs w:val="20"/>
                <w:lang w:val="en-GB"/>
              </w:rPr>
              <w:t xml:space="preserve">, </w:t>
            </w:r>
            <w:r w:rsidR="00507641" w:rsidRPr="00751BCE">
              <w:rPr>
                <w:rFonts w:ascii="Arial" w:hAnsi="Arial" w:cs="Arial"/>
                <w:sz w:val="20"/>
                <w:szCs w:val="20"/>
                <w:lang w:val="en-GB"/>
              </w:rPr>
              <w:t>vs.</w:t>
            </w:r>
            <w:r w:rsidR="009564FF" w:rsidRPr="00751BCE">
              <w:rPr>
                <w:rFonts w:ascii="Arial" w:hAnsi="Arial" w:cs="Arial"/>
                <w:sz w:val="20"/>
                <w:szCs w:val="20"/>
                <w:lang w:val="en-GB"/>
              </w:rPr>
              <w:t xml:space="preserve"> </w:t>
            </w:r>
            <w:r w:rsidRPr="00751BCE">
              <w:rPr>
                <w:rFonts w:ascii="Arial" w:hAnsi="Arial" w:cs="Arial"/>
                <w:sz w:val="20"/>
                <w:szCs w:val="20"/>
                <w:lang w:val="en-GB"/>
              </w:rPr>
              <w:t xml:space="preserve"> </w:t>
            </w:r>
            <w:r w:rsidR="005625DA">
              <w:rPr>
                <w:rFonts w:ascii="Arial" w:hAnsi="Arial" w:cs="Arial"/>
                <w:sz w:val="20"/>
                <w:szCs w:val="20"/>
                <w:lang w:val="en-GB"/>
              </w:rPr>
              <w:t>p</w:t>
            </w:r>
            <w:r w:rsidR="00602586" w:rsidRPr="00751BCE">
              <w:rPr>
                <w:rFonts w:ascii="Arial" w:hAnsi="Arial" w:cs="Arial"/>
                <w:sz w:val="20"/>
                <w:szCs w:val="20"/>
                <w:lang w:val="en-GB"/>
              </w:rPr>
              <w:t>emetrexed/</w:t>
            </w:r>
            <w:r w:rsidR="0022131D">
              <w:rPr>
                <w:rFonts w:ascii="Arial" w:hAnsi="Arial" w:cs="Arial"/>
                <w:sz w:val="20"/>
                <w:szCs w:val="20"/>
                <w:lang w:val="en-GB"/>
              </w:rPr>
              <w:t>platinum</w:t>
            </w:r>
            <w:r w:rsidR="00781D7F">
              <w:rPr>
                <w:rFonts w:ascii="Arial" w:hAnsi="Arial" w:cs="Arial"/>
                <w:sz w:val="20"/>
                <w:szCs w:val="20"/>
                <w:lang w:val="en-GB"/>
              </w:rPr>
              <w:t xml:space="preserve"> (cis/carbo)</w:t>
            </w:r>
            <w:r w:rsidR="009564FF" w:rsidRPr="00751BCE">
              <w:rPr>
                <w:rFonts w:ascii="Arial" w:hAnsi="Arial" w:cs="Arial"/>
                <w:sz w:val="20"/>
                <w:szCs w:val="20"/>
                <w:lang w:val="en-GB"/>
              </w:rPr>
              <w:t xml:space="preserve"> alone</w:t>
            </w:r>
            <w:r w:rsidR="00DC36EF">
              <w:rPr>
                <w:rFonts w:ascii="Arial" w:hAnsi="Arial" w:cs="Arial"/>
                <w:sz w:val="20"/>
                <w:szCs w:val="20"/>
                <w:lang w:val="en-GB"/>
              </w:rPr>
              <w:t>,</w:t>
            </w:r>
            <w:r w:rsidR="009564FF" w:rsidRPr="00751BCE">
              <w:rPr>
                <w:rFonts w:ascii="Arial" w:hAnsi="Arial" w:cs="Arial"/>
                <w:sz w:val="20"/>
                <w:szCs w:val="20"/>
                <w:lang w:val="en-GB"/>
              </w:rPr>
              <w:t xml:space="preserve"> </w:t>
            </w:r>
            <w:r w:rsidRPr="00751BCE">
              <w:rPr>
                <w:rFonts w:ascii="Arial" w:hAnsi="Arial" w:cs="Arial"/>
                <w:sz w:val="20"/>
                <w:szCs w:val="20"/>
                <w:lang w:val="en-GB"/>
              </w:rPr>
              <w:t>in patients with malignant pleural mesothelioma.</w:t>
            </w:r>
          </w:p>
          <w:p w14:paraId="72B34807" w14:textId="77777777" w:rsidR="008D2465" w:rsidRDefault="008D2465" w:rsidP="00552938">
            <w:pPr>
              <w:pStyle w:val="Header"/>
              <w:tabs>
                <w:tab w:val="clear" w:pos="4153"/>
                <w:tab w:val="clear" w:pos="8306"/>
              </w:tabs>
              <w:spacing w:before="40"/>
              <w:jc w:val="both"/>
              <w:rPr>
                <w:rFonts w:ascii="Arial" w:hAnsi="Arial" w:cs="Arial"/>
                <w:sz w:val="20"/>
                <w:szCs w:val="20"/>
                <w:lang w:val="en-GB"/>
              </w:rPr>
            </w:pPr>
          </w:p>
          <w:p w14:paraId="3D84E3F5" w14:textId="3827E50C" w:rsidR="008D2465" w:rsidRDefault="00495549" w:rsidP="00552938">
            <w:pPr>
              <w:pStyle w:val="Header"/>
              <w:tabs>
                <w:tab w:val="clear" w:pos="4153"/>
                <w:tab w:val="clear" w:pos="8306"/>
              </w:tabs>
              <w:spacing w:before="40"/>
              <w:jc w:val="both"/>
              <w:rPr>
                <w:rFonts w:ascii="Arial" w:hAnsi="Arial" w:cs="Arial"/>
                <w:sz w:val="20"/>
                <w:szCs w:val="20"/>
                <w:lang w:val="en-GB"/>
              </w:rPr>
            </w:pPr>
            <w:r w:rsidRPr="00495549">
              <w:rPr>
                <w:rFonts w:ascii="Arial" w:hAnsi="Arial" w:cs="Arial"/>
                <w:sz w:val="20"/>
                <w:szCs w:val="20"/>
                <w:lang w:val="en-GB"/>
              </w:rPr>
              <w:t>The trial will no longer proceed to phase II following the busi</w:t>
            </w:r>
            <w:r>
              <w:rPr>
                <w:rFonts w:ascii="Arial" w:hAnsi="Arial" w:cs="Arial"/>
                <w:sz w:val="20"/>
                <w:szCs w:val="20"/>
                <w:lang w:val="en-GB"/>
              </w:rPr>
              <w:t>ness decision by Madrigal Pharma</w:t>
            </w:r>
            <w:r w:rsidRPr="00495549">
              <w:rPr>
                <w:rFonts w:ascii="Arial" w:hAnsi="Arial" w:cs="Arial"/>
                <w:sz w:val="20"/>
                <w:szCs w:val="20"/>
                <w:lang w:val="en-GB"/>
              </w:rPr>
              <w:t>ceuticals Inc</w:t>
            </w:r>
            <w:r w:rsidR="00B90009">
              <w:rPr>
                <w:rFonts w:ascii="Arial" w:hAnsi="Arial" w:cs="Arial"/>
                <w:sz w:val="20"/>
                <w:szCs w:val="20"/>
                <w:lang w:val="en-GB"/>
              </w:rPr>
              <w:t>.</w:t>
            </w:r>
            <w:r w:rsidRPr="00495549">
              <w:rPr>
                <w:rFonts w:ascii="Arial" w:hAnsi="Arial" w:cs="Arial"/>
                <w:sz w:val="20"/>
                <w:szCs w:val="20"/>
                <w:lang w:val="en-GB"/>
              </w:rPr>
              <w:t xml:space="preserve"> (formerly </w:t>
            </w:r>
            <w:proofErr w:type="spellStart"/>
            <w:r w:rsidRPr="00495549">
              <w:rPr>
                <w:rFonts w:ascii="Arial" w:hAnsi="Arial" w:cs="Arial"/>
                <w:sz w:val="20"/>
                <w:szCs w:val="20"/>
                <w:lang w:val="en-GB"/>
              </w:rPr>
              <w:t>Synta</w:t>
            </w:r>
            <w:proofErr w:type="spellEnd"/>
            <w:r w:rsidRPr="00495549">
              <w:rPr>
                <w:rFonts w:ascii="Arial" w:hAnsi="Arial" w:cs="Arial"/>
                <w:sz w:val="20"/>
                <w:szCs w:val="20"/>
                <w:lang w:val="en-GB"/>
              </w:rPr>
              <w:t xml:space="preserve"> Pharmaceuticals Corp</w:t>
            </w:r>
            <w:r w:rsidR="00B90009">
              <w:rPr>
                <w:rFonts w:ascii="Arial" w:hAnsi="Arial" w:cs="Arial"/>
                <w:sz w:val="20"/>
                <w:szCs w:val="20"/>
                <w:lang w:val="en-GB"/>
              </w:rPr>
              <w:t>.</w:t>
            </w:r>
            <w:r w:rsidRPr="00495549">
              <w:rPr>
                <w:rFonts w:ascii="Arial" w:hAnsi="Arial" w:cs="Arial"/>
                <w:sz w:val="20"/>
                <w:szCs w:val="20"/>
                <w:lang w:val="en-GB"/>
              </w:rPr>
              <w:t>) to cease development of ganetespib in this population.</w:t>
            </w:r>
          </w:p>
          <w:p w14:paraId="27C0B784" w14:textId="7C9D66FD" w:rsidR="00495549" w:rsidRPr="00751BCE" w:rsidRDefault="00495549" w:rsidP="00552938">
            <w:pPr>
              <w:pStyle w:val="Header"/>
              <w:tabs>
                <w:tab w:val="clear" w:pos="4153"/>
                <w:tab w:val="clear" w:pos="8306"/>
              </w:tabs>
              <w:spacing w:before="40"/>
              <w:jc w:val="both"/>
              <w:rPr>
                <w:rFonts w:ascii="Arial" w:hAnsi="Arial" w:cs="Arial"/>
                <w:bCs/>
                <w:iCs/>
                <w:sz w:val="20"/>
                <w:szCs w:val="20"/>
                <w:lang w:val="en-GB"/>
              </w:rPr>
            </w:pPr>
          </w:p>
        </w:tc>
      </w:tr>
      <w:tr w:rsidR="00DA67E8" w:rsidRPr="00A23D8C" w14:paraId="3BDC9C89" w14:textId="77777777" w:rsidTr="00552938">
        <w:tc>
          <w:tcPr>
            <w:tcW w:w="3639" w:type="dxa"/>
          </w:tcPr>
          <w:p w14:paraId="5481877A" w14:textId="77777777" w:rsidR="00DA67E8" w:rsidRPr="00D33C30" w:rsidRDefault="00DA67E8" w:rsidP="00A54FF3">
            <w:pPr>
              <w:rPr>
                <w:rFonts w:ascii="Arial" w:hAnsi="Arial" w:cs="Arial"/>
                <w:sz w:val="20"/>
                <w:szCs w:val="20"/>
              </w:rPr>
            </w:pPr>
            <w:r w:rsidRPr="00D33C30">
              <w:rPr>
                <w:rFonts w:ascii="Arial" w:hAnsi="Arial" w:cs="Arial"/>
                <w:b/>
                <w:bCs/>
                <w:sz w:val="20"/>
                <w:szCs w:val="20"/>
              </w:rPr>
              <w:t>Overall aim:</w:t>
            </w:r>
          </w:p>
        </w:tc>
        <w:tc>
          <w:tcPr>
            <w:tcW w:w="5507" w:type="dxa"/>
          </w:tcPr>
          <w:p w14:paraId="08373BA0" w14:textId="77777777" w:rsidR="00DA67E8" w:rsidRPr="00751BCE" w:rsidRDefault="00DA67E8" w:rsidP="002B0D56">
            <w:pPr>
              <w:pStyle w:val="Header"/>
              <w:tabs>
                <w:tab w:val="clear" w:pos="4153"/>
                <w:tab w:val="clear" w:pos="8306"/>
              </w:tabs>
              <w:spacing w:before="40"/>
              <w:jc w:val="both"/>
              <w:rPr>
                <w:rFonts w:ascii="Arial" w:hAnsi="Arial" w:cs="Arial"/>
                <w:sz w:val="20"/>
                <w:szCs w:val="20"/>
                <w:lang w:val="en-GB"/>
              </w:rPr>
            </w:pPr>
            <w:r w:rsidRPr="00751BCE">
              <w:rPr>
                <w:rFonts w:ascii="Arial" w:hAnsi="Arial" w:cs="Arial"/>
                <w:sz w:val="20"/>
                <w:szCs w:val="20"/>
                <w:lang w:val="en-GB"/>
              </w:rPr>
              <w:t>The primary aim of the phase I trial is to find the maximum tolerated dose of ganetespib, and use this with the number of chemotherapy cycles administered to determine the most appropriate dose of ganetespib for the phase II trial.</w:t>
            </w:r>
          </w:p>
          <w:p w14:paraId="49F7169B" w14:textId="77777777" w:rsidR="00507641" w:rsidRPr="00751BCE" w:rsidRDefault="00507641" w:rsidP="00F13C8B">
            <w:pPr>
              <w:pStyle w:val="Header"/>
              <w:tabs>
                <w:tab w:val="clear" w:pos="4153"/>
                <w:tab w:val="clear" w:pos="8306"/>
              </w:tabs>
              <w:jc w:val="both"/>
              <w:rPr>
                <w:rFonts w:ascii="Arial" w:hAnsi="Arial" w:cs="Arial"/>
                <w:sz w:val="20"/>
                <w:szCs w:val="20"/>
                <w:lang w:val="en-GB"/>
              </w:rPr>
            </w:pPr>
          </w:p>
          <w:p w14:paraId="272B1BF7" w14:textId="77777777" w:rsidR="00DA67E8" w:rsidRPr="00751BCE" w:rsidRDefault="00DA67E8" w:rsidP="005E2C67">
            <w:pPr>
              <w:pStyle w:val="Header"/>
              <w:tabs>
                <w:tab w:val="clear" w:pos="4153"/>
                <w:tab w:val="clear" w:pos="8306"/>
              </w:tabs>
              <w:spacing w:after="40"/>
              <w:jc w:val="both"/>
              <w:rPr>
                <w:rFonts w:ascii="Arial" w:hAnsi="Arial" w:cs="Arial"/>
                <w:b/>
                <w:bCs/>
                <w:i/>
                <w:iCs/>
                <w:color w:val="0000FF"/>
                <w:sz w:val="20"/>
                <w:szCs w:val="20"/>
                <w:lang w:val="en-GB"/>
              </w:rPr>
            </w:pPr>
            <w:r w:rsidRPr="00751BCE">
              <w:rPr>
                <w:rFonts w:ascii="Arial" w:hAnsi="Arial" w:cs="Arial"/>
                <w:sz w:val="20"/>
                <w:szCs w:val="20"/>
                <w:lang w:val="en-GB"/>
              </w:rPr>
              <w:t>The primary aim of the phase II trial is to determine whether the addit</w:t>
            </w:r>
            <w:r w:rsidR="00983832" w:rsidRPr="00751BCE">
              <w:rPr>
                <w:rFonts w:ascii="Arial" w:hAnsi="Arial" w:cs="Arial"/>
                <w:sz w:val="20"/>
                <w:szCs w:val="20"/>
                <w:lang w:val="en-GB"/>
              </w:rPr>
              <w:t>ion of ganetespib to pemetrexed/</w:t>
            </w:r>
            <w:r w:rsidR="005E2C67">
              <w:rPr>
                <w:rFonts w:ascii="Arial" w:hAnsi="Arial" w:cs="Arial"/>
                <w:sz w:val="20"/>
                <w:szCs w:val="20"/>
                <w:lang w:val="en-GB"/>
              </w:rPr>
              <w:t>platinum</w:t>
            </w:r>
            <w:r w:rsidR="005E2C67" w:rsidRPr="00751BCE">
              <w:rPr>
                <w:rFonts w:ascii="Arial" w:hAnsi="Arial" w:cs="Arial"/>
                <w:sz w:val="20"/>
                <w:szCs w:val="20"/>
                <w:lang w:val="en-GB"/>
              </w:rPr>
              <w:t xml:space="preserve"> </w:t>
            </w:r>
            <w:r w:rsidRPr="00751BCE">
              <w:rPr>
                <w:rFonts w:ascii="Arial" w:hAnsi="Arial" w:cs="Arial"/>
                <w:sz w:val="20"/>
                <w:szCs w:val="20"/>
                <w:lang w:val="en-GB"/>
              </w:rPr>
              <w:t xml:space="preserve">improves </w:t>
            </w:r>
            <w:r w:rsidRPr="00751BCE">
              <w:rPr>
                <w:rFonts w:ascii="Arial" w:hAnsi="Arial" w:cs="Arial"/>
                <w:bCs/>
                <w:sz w:val="20"/>
                <w:szCs w:val="20"/>
                <w:lang w:val="en-GB"/>
              </w:rPr>
              <w:t>progression free survival</w:t>
            </w:r>
            <w:r w:rsidRPr="00751BCE">
              <w:rPr>
                <w:rFonts w:ascii="Arial" w:hAnsi="Arial" w:cs="Arial"/>
                <w:sz w:val="20"/>
                <w:szCs w:val="20"/>
                <w:lang w:val="en-GB"/>
              </w:rPr>
              <w:t>. Secondary aims are to examine whether ganetespib affects tumour response rate, overall survival, or toxicity.</w:t>
            </w:r>
          </w:p>
        </w:tc>
      </w:tr>
      <w:tr w:rsidR="00DA67E8" w:rsidRPr="00A23D8C" w14:paraId="3AD99F0F" w14:textId="77777777" w:rsidTr="00552938">
        <w:tc>
          <w:tcPr>
            <w:tcW w:w="3639" w:type="dxa"/>
          </w:tcPr>
          <w:p w14:paraId="196E0A64" w14:textId="77777777" w:rsidR="00DA67E8" w:rsidRPr="00D33C30" w:rsidRDefault="00DA67E8" w:rsidP="00A54FF3">
            <w:pPr>
              <w:rPr>
                <w:rFonts w:ascii="Arial" w:hAnsi="Arial" w:cs="Arial"/>
                <w:sz w:val="20"/>
                <w:szCs w:val="20"/>
              </w:rPr>
            </w:pPr>
            <w:r w:rsidRPr="00D33C30">
              <w:rPr>
                <w:rFonts w:ascii="Arial" w:hAnsi="Arial" w:cs="Arial"/>
                <w:b/>
                <w:bCs/>
                <w:sz w:val="20"/>
                <w:szCs w:val="20"/>
              </w:rPr>
              <w:t>Primary endpoint (phase I):</w:t>
            </w:r>
          </w:p>
        </w:tc>
        <w:tc>
          <w:tcPr>
            <w:tcW w:w="5507" w:type="dxa"/>
          </w:tcPr>
          <w:p w14:paraId="2D9150E8" w14:textId="77777777" w:rsidR="00DA67E8" w:rsidRPr="00507641" w:rsidRDefault="00DA67E8" w:rsidP="00177946">
            <w:pPr>
              <w:spacing w:before="40" w:after="40"/>
              <w:jc w:val="both"/>
              <w:rPr>
                <w:rFonts w:ascii="Arial" w:hAnsi="Arial" w:cs="Arial"/>
                <w:b/>
                <w:bCs/>
                <w:i/>
                <w:iCs/>
                <w:color w:val="0000FF"/>
                <w:sz w:val="20"/>
                <w:szCs w:val="20"/>
              </w:rPr>
            </w:pPr>
            <w:r w:rsidRPr="00507641">
              <w:rPr>
                <w:rFonts w:ascii="Arial" w:hAnsi="Arial" w:cs="Arial"/>
                <w:sz w:val="20"/>
                <w:szCs w:val="20"/>
              </w:rPr>
              <w:t>Dose-limiting toxicities during Cycles 1 &amp; 2; and</w:t>
            </w:r>
            <w:r w:rsidR="00826740" w:rsidRPr="00507641">
              <w:rPr>
                <w:rFonts w:ascii="Arial" w:hAnsi="Arial" w:cs="Arial"/>
                <w:sz w:val="20"/>
                <w:szCs w:val="20"/>
              </w:rPr>
              <w:t xml:space="preserve"> number of cycles of pemetrexed/</w:t>
            </w:r>
            <w:r w:rsidR="00177946">
              <w:rPr>
                <w:rFonts w:ascii="Arial" w:hAnsi="Arial" w:cs="Arial"/>
                <w:sz w:val="20"/>
                <w:szCs w:val="20"/>
              </w:rPr>
              <w:t>platinum</w:t>
            </w:r>
            <w:r w:rsidR="00177946" w:rsidRPr="00507641">
              <w:rPr>
                <w:rFonts w:ascii="Arial" w:hAnsi="Arial" w:cs="Arial"/>
                <w:sz w:val="20"/>
                <w:szCs w:val="20"/>
              </w:rPr>
              <w:t xml:space="preserve"> </w:t>
            </w:r>
            <w:r w:rsidRPr="00507641">
              <w:rPr>
                <w:rFonts w:ascii="Arial" w:hAnsi="Arial" w:cs="Arial"/>
                <w:sz w:val="20"/>
                <w:szCs w:val="20"/>
              </w:rPr>
              <w:t>given.</w:t>
            </w:r>
          </w:p>
        </w:tc>
      </w:tr>
      <w:tr w:rsidR="00DA67E8" w:rsidRPr="00A23D8C" w14:paraId="4F6419F8" w14:textId="77777777" w:rsidTr="00552938">
        <w:tc>
          <w:tcPr>
            <w:tcW w:w="3639" w:type="dxa"/>
          </w:tcPr>
          <w:p w14:paraId="49B7E6EE" w14:textId="77777777" w:rsidR="00DA67E8" w:rsidRPr="00D33C30" w:rsidRDefault="00DA67E8" w:rsidP="00A54FF3">
            <w:pPr>
              <w:rPr>
                <w:rFonts w:ascii="Arial" w:hAnsi="Arial" w:cs="Arial"/>
                <w:b/>
                <w:bCs/>
                <w:sz w:val="20"/>
                <w:szCs w:val="20"/>
              </w:rPr>
            </w:pPr>
            <w:r w:rsidRPr="00D33C30">
              <w:rPr>
                <w:rFonts w:ascii="Arial" w:hAnsi="Arial" w:cs="Arial"/>
                <w:b/>
                <w:bCs/>
                <w:sz w:val="20"/>
                <w:szCs w:val="20"/>
              </w:rPr>
              <w:t>Primary endpoint (phase II):</w:t>
            </w:r>
          </w:p>
        </w:tc>
        <w:tc>
          <w:tcPr>
            <w:tcW w:w="5507" w:type="dxa"/>
          </w:tcPr>
          <w:p w14:paraId="2F230231" w14:textId="77777777" w:rsidR="00DA67E8" w:rsidRDefault="00DA67E8" w:rsidP="002B0D56">
            <w:pPr>
              <w:spacing w:before="40" w:after="40"/>
              <w:jc w:val="both"/>
              <w:rPr>
                <w:rFonts w:ascii="Arial" w:hAnsi="Arial" w:cs="Arial"/>
                <w:bCs/>
                <w:sz w:val="20"/>
                <w:szCs w:val="20"/>
              </w:rPr>
            </w:pPr>
            <w:r w:rsidRPr="00507641">
              <w:rPr>
                <w:rFonts w:ascii="Arial" w:hAnsi="Arial" w:cs="Arial"/>
                <w:bCs/>
                <w:sz w:val="20"/>
                <w:szCs w:val="20"/>
              </w:rPr>
              <w:t>Progression free survival</w:t>
            </w:r>
          </w:p>
          <w:p w14:paraId="6D17E172" w14:textId="77777777" w:rsidR="00BC0CDE" w:rsidRDefault="00BC0CDE" w:rsidP="002B0D56">
            <w:pPr>
              <w:spacing w:before="40" w:after="40"/>
              <w:jc w:val="both"/>
              <w:rPr>
                <w:rFonts w:ascii="Arial" w:hAnsi="Arial" w:cs="Arial"/>
                <w:bCs/>
                <w:sz w:val="20"/>
                <w:szCs w:val="20"/>
              </w:rPr>
            </w:pPr>
          </w:p>
          <w:p w14:paraId="148863A9" w14:textId="33FDC337" w:rsidR="00BC0CDE" w:rsidRPr="00507641" w:rsidRDefault="00495549" w:rsidP="002B0D56">
            <w:pPr>
              <w:spacing w:before="40" w:after="40"/>
              <w:jc w:val="both"/>
              <w:rPr>
                <w:rFonts w:ascii="Arial" w:hAnsi="Arial" w:cs="Arial"/>
                <w:sz w:val="20"/>
                <w:szCs w:val="20"/>
              </w:rPr>
            </w:pPr>
            <w:r w:rsidRPr="00495549">
              <w:rPr>
                <w:rFonts w:ascii="Arial" w:hAnsi="Arial" w:cs="Arial"/>
                <w:sz w:val="20"/>
                <w:szCs w:val="20"/>
              </w:rPr>
              <w:lastRenderedPageBreak/>
              <w:t>The trial will no longer proceed to phase II following the business decisio</w:t>
            </w:r>
            <w:r>
              <w:rPr>
                <w:rFonts w:ascii="Arial" w:hAnsi="Arial" w:cs="Arial"/>
                <w:sz w:val="20"/>
                <w:szCs w:val="20"/>
              </w:rPr>
              <w:t>n by Madrigal Pharma</w:t>
            </w:r>
            <w:r w:rsidRPr="00495549">
              <w:rPr>
                <w:rFonts w:ascii="Arial" w:hAnsi="Arial" w:cs="Arial"/>
                <w:sz w:val="20"/>
                <w:szCs w:val="20"/>
              </w:rPr>
              <w:t>ceuticals Inc</w:t>
            </w:r>
            <w:r w:rsidR="00B90009">
              <w:rPr>
                <w:rFonts w:ascii="Arial" w:hAnsi="Arial" w:cs="Arial"/>
                <w:sz w:val="20"/>
                <w:szCs w:val="20"/>
              </w:rPr>
              <w:t>.</w:t>
            </w:r>
            <w:r w:rsidRPr="00495549">
              <w:rPr>
                <w:rFonts w:ascii="Arial" w:hAnsi="Arial" w:cs="Arial"/>
                <w:sz w:val="20"/>
                <w:szCs w:val="20"/>
              </w:rPr>
              <w:t xml:space="preserve"> (formerly </w:t>
            </w:r>
            <w:proofErr w:type="spellStart"/>
            <w:r w:rsidRPr="00495549">
              <w:rPr>
                <w:rFonts w:ascii="Arial" w:hAnsi="Arial" w:cs="Arial"/>
                <w:sz w:val="20"/>
                <w:szCs w:val="20"/>
              </w:rPr>
              <w:t>Synta</w:t>
            </w:r>
            <w:proofErr w:type="spellEnd"/>
            <w:r w:rsidRPr="00495549">
              <w:rPr>
                <w:rFonts w:ascii="Arial" w:hAnsi="Arial" w:cs="Arial"/>
                <w:sz w:val="20"/>
                <w:szCs w:val="20"/>
              </w:rPr>
              <w:t xml:space="preserve"> Pharmaceuticals Corp</w:t>
            </w:r>
            <w:r w:rsidR="00B90009">
              <w:rPr>
                <w:rFonts w:ascii="Arial" w:hAnsi="Arial" w:cs="Arial"/>
                <w:sz w:val="20"/>
                <w:szCs w:val="20"/>
              </w:rPr>
              <w:t>.</w:t>
            </w:r>
            <w:r w:rsidRPr="00495549">
              <w:rPr>
                <w:rFonts w:ascii="Arial" w:hAnsi="Arial" w:cs="Arial"/>
                <w:sz w:val="20"/>
                <w:szCs w:val="20"/>
              </w:rPr>
              <w:t>) to cease development of ganetespib in this population.</w:t>
            </w:r>
          </w:p>
        </w:tc>
      </w:tr>
      <w:tr w:rsidR="00DA67E8" w:rsidRPr="00A23D8C" w14:paraId="52F4FFBB" w14:textId="77777777" w:rsidTr="00552938">
        <w:tc>
          <w:tcPr>
            <w:tcW w:w="3639" w:type="dxa"/>
          </w:tcPr>
          <w:p w14:paraId="4E451530" w14:textId="77777777" w:rsidR="00DA67E8" w:rsidRPr="00D33C30" w:rsidRDefault="00DA67E8" w:rsidP="00A54FF3">
            <w:pPr>
              <w:rPr>
                <w:rFonts w:ascii="Arial" w:hAnsi="Arial" w:cs="Arial"/>
                <w:sz w:val="20"/>
                <w:szCs w:val="20"/>
              </w:rPr>
            </w:pPr>
            <w:r w:rsidRPr="00D33C30">
              <w:rPr>
                <w:rFonts w:ascii="Arial" w:hAnsi="Arial" w:cs="Arial"/>
                <w:b/>
                <w:bCs/>
                <w:sz w:val="20"/>
                <w:szCs w:val="20"/>
              </w:rPr>
              <w:lastRenderedPageBreak/>
              <w:t>Secondary endpoints (phase I):</w:t>
            </w:r>
          </w:p>
        </w:tc>
        <w:tc>
          <w:tcPr>
            <w:tcW w:w="5507" w:type="dxa"/>
          </w:tcPr>
          <w:p w14:paraId="4B4AA0F6" w14:textId="77777777" w:rsidR="00DA67E8" w:rsidRPr="00507641" w:rsidRDefault="00DA67E8" w:rsidP="002F600D">
            <w:pPr>
              <w:pStyle w:val="ListParagraph"/>
              <w:numPr>
                <w:ilvl w:val="0"/>
                <w:numId w:val="15"/>
              </w:numPr>
              <w:spacing w:before="40"/>
              <w:ind w:left="176" w:hanging="142"/>
              <w:jc w:val="both"/>
              <w:rPr>
                <w:rFonts w:ascii="Arial" w:hAnsi="Arial" w:cs="Arial"/>
                <w:sz w:val="20"/>
                <w:szCs w:val="20"/>
              </w:rPr>
            </w:pPr>
            <w:r w:rsidRPr="00507641">
              <w:rPr>
                <w:rFonts w:ascii="Arial" w:hAnsi="Arial" w:cs="Arial"/>
                <w:sz w:val="20"/>
                <w:szCs w:val="20"/>
              </w:rPr>
              <w:t xml:space="preserve">To examine the number of cycles of </w:t>
            </w:r>
            <w:r w:rsidRPr="00507641">
              <w:rPr>
                <w:rFonts w:ascii="Arial" w:hAnsi="Arial" w:cs="Arial"/>
                <w:sz w:val="20"/>
                <w:szCs w:val="20"/>
                <w:lang w:eastAsia="ja-JP"/>
              </w:rPr>
              <w:t>pemetrexed/</w:t>
            </w:r>
            <w:r w:rsidR="00177946">
              <w:rPr>
                <w:rFonts w:ascii="Arial" w:hAnsi="Arial" w:cs="Arial"/>
                <w:sz w:val="20"/>
                <w:szCs w:val="20"/>
                <w:lang w:eastAsia="ja-JP"/>
              </w:rPr>
              <w:t>platinum</w:t>
            </w:r>
            <w:r w:rsidR="00177946" w:rsidRPr="00507641">
              <w:rPr>
                <w:rFonts w:ascii="Arial" w:hAnsi="Arial" w:cs="Arial"/>
                <w:sz w:val="20"/>
                <w:szCs w:val="20"/>
                <w:lang w:eastAsia="ja-JP"/>
              </w:rPr>
              <w:t xml:space="preserve"> </w:t>
            </w:r>
            <w:r w:rsidRPr="00507641">
              <w:rPr>
                <w:rFonts w:ascii="Arial" w:hAnsi="Arial" w:cs="Arial"/>
                <w:sz w:val="20"/>
                <w:szCs w:val="20"/>
              </w:rPr>
              <w:t>chemotherapy administered.</w:t>
            </w:r>
          </w:p>
          <w:p w14:paraId="090DE4FF" w14:textId="77777777" w:rsidR="00DA67E8" w:rsidRPr="00507641" w:rsidRDefault="00DA67E8" w:rsidP="002F600D">
            <w:pPr>
              <w:pStyle w:val="CS-Text"/>
              <w:numPr>
                <w:ilvl w:val="0"/>
                <w:numId w:val="15"/>
              </w:numPr>
              <w:spacing w:after="0"/>
              <w:ind w:left="176" w:hanging="142"/>
              <w:jc w:val="both"/>
              <w:rPr>
                <w:rFonts w:ascii="Arial" w:hAnsi="Arial" w:cs="Arial"/>
                <w:sz w:val="20"/>
              </w:rPr>
            </w:pPr>
            <w:r w:rsidRPr="00507641">
              <w:rPr>
                <w:rFonts w:ascii="Arial" w:hAnsi="Arial" w:cs="Arial"/>
                <w:sz w:val="20"/>
              </w:rPr>
              <w:t>To examine the frequency of all Adverse Events graded by NCI-CTCAE version 4.</w:t>
            </w:r>
          </w:p>
          <w:p w14:paraId="7516C620" w14:textId="77777777" w:rsidR="00DA67E8" w:rsidRPr="00507641" w:rsidRDefault="00DA67E8" w:rsidP="002F600D">
            <w:pPr>
              <w:pStyle w:val="CS-Text"/>
              <w:numPr>
                <w:ilvl w:val="0"/>
                <w:numId w:val="15"/>
              </w:numPr>
              <w:spacing w:after="0"/>
              <w:ind w:left="176" w:hanging="142"/>
              <w:jc w:val="both"/>
              <w:rPr>
                <w:rFonts w:ascii="Arial" w:hAnsi="Arial" w:cs="Arial"/>
                <w:sz w:val="20"/>
              </w:rPr>
            </w:pPr>
            <w:r w:rsidRPr="00507641">
              <w:rPr>
                <w:rFonts w:ascii="Arial" w:hAnsi="Arial" w:cs="Arial"/>
                <w:sz w:val="20"/>
              </w:rPr>
              <w:t xml:space="preserve">To evaluate the incidence of Dose Limiting Toxicities (DLTs) according to each </w:t>
            </w:r>
            <w:r w:rsidR="00826740" w:rsidRPr="00507641">
              <w:rPr>
                <w:rFonts w:ascii="Arial" w:hAnsi="Arial" w:cs="Arial"/>
                <w:sz w:val="20"/>
              </w:rPr>
              <w:t xml:space="preserve">ganetespib </w:t>
            </w:r>
            <w:r w:rsidRPr="00507641">
              <w:rPr>
                <w:rFonts w:ascii="Arial" w:hAnsi="Arial" w:cs="Arial"/>
                <w:sz w:val="20"/>
              </w:rPr>
              <w:t>dose cohort.</w:t>
            </w:r>
          </w:p>
          <w:p w14:paraId="05BBC25F" w14:textId="77777777" w:rsidR="00DA67E8" w:rsidRPr="00507641" w:rsidRDefault="00DA67E8" w:rsidP="002F600D">
            <w:pPr>
              <w:pStyle w:val="CS-Text"/>
              <w:numPr>
                <w:ilvl w:val="0"/>
                <w:numId w:val="15"/>
              </w:numPr>
              <w:spacing w:after="0"/>
              <w:ind w:left="176" w:hanging="142"/>
              <w:jc w:val="both"/>
              <w:rPr>
                <w:rFonts w:ascii="Arial" w:hAnsi="Arial" w:cs="Arial"/>
                <w:sz w:val="20"/>
              </w:rPr>
            </w:pPr>
            <w:r w:rsidRPr="00507641">
              <w:rPr>
                <w:rFonts w:ascii="Arial" w:hAnsi="Arial" w:cs="Arial"/>
                <w:sz w:val="20"/>
              </w:rPr>
              <w:t xml:space="preserve">To examine the objective tumour response according to </w:t>
            </w:r>
            <w:r w:rsidRPr="00507641">
              <w:rPr>
                <w:rFonts w:ascii="Arial" w:hAnsi="Arial" w:cs="Arial"/>
                <w:sz w:val="20"/>
                <w:lang w:val="en-US"/>
              </w:rPr>
              <w:t>meso-modified RECIST</w:t>
            </w:r>
            <w:r w:rsidRPr="00507641">
              <w:rPr>
                <w:rFonts w:ascii="Arial" w:hAnsi="Arial" w:cs="Arial"/>
                <w:sz w:val="20"/>
              </w:rPr>
              <w:t>, and the overall response rate.</w:t>
            </w:r>
          </w:p>
          <w:p w14:paraId="0F1C7D06" w14:textId="77777777" w:rsidR="00DA67E8" w:rsidRPr="00507641" w:rsidRDefault="00DA67E8" w:rsidP="002F600D">
            <w:pPr>
              <w:pStyle w:val="CS-Text"/>
              <w:numPr>
                <w:ilvl w:val="0"/>
                <w:numId w:val="15"/>
              </w:numPr>
              <w:spacing w:after="40"/>
              <w:ind w:left="176" w:hanging="142"/>
              <w:jc w:val="both"/>
              <w:rPr>
                <w:rFonts w:ascii="Arial" w:hAnsi="Arial" w:cs="Arial"/>
                <w:sz w:val="20"/>
              </w:rPr>
            </w:pPr>
            <w:r w:rsidRPr="00507641">
              <w:rPr>
                <w:rFonts w:ascii="Arial" w:hAnsi="Arial" w:cs="Arial"/>
                <w:sz w:val="20"/>
              </w:rPr>
              <w:t xml:space="preserve">To examine biomarkers for response, progression and survival within a translational research </w:t>
            </w:r>
            <w:proofErr w:type="spellStart"/>
            <w:r w:rsidRPr="00507641">
              <w:rPr>
                <w:rFonts w:ascii="Arial" w:hAnsi="Arial" w:cs="Arial"/>
                <w:sz w:val="20"/>
              </w:rPr>
              <w:t>substudy</w:t>
            </w:r>
            <w:proofErr w:type="spellEnd"/>
            <w:r w:rsidRPr="00507641">
              <w:rPr>
                <w:rFonts w:ascii="Arial" w:hAnsi="Arial" w:cs="Arial"/>
                <w:sz w:val="20"/>
              </w:rPr>
              <w:t xml:space="preserve"> (see section 2.2.3 for more details).</w:t>
            </w:r>
          </w:p>
        </w:tc>
      </w:tr>
      <w:tr w:rsidR="00DA67E8" w:rsidRPr="00A23D8C" w14:paraId="36103A2B" w14:textId="77777777" w:rsidTr="00552938">
        <w:trPr>
          <w:trHeight w:val="2252"/>
        </w:trPr>
        <w:tc>
          <w:tcPr>
            <w:tcW w:w="3639" w:type="dxa"/>
          </w:tcPr>
          <w:p w14:paraId="1C039DC0" w14:textId="77777777" w:rsidR="00DA67E8" w:rsidRPr="00D33C30" w:rsidRDefault="00DA67E8" w:rsidP="00A54FF3">
            <w:pPr>
              <w:rPr>
                <w:rFonts w:ascii="Arial" w:hAnsi="Arial" w:cs="Arial"/>
                <w:b/>
                <w:bCs/>
                <w:sz w:val="20"/>
                <w:szCs w:val="20"/>
              </w:rPr>
            </w:pPr>
            <w:r w:rsidRPr="00D33C30">
              <w:rPr>
                <w:rFonts w:ascii="Arial" w:hAnsi="Arial" w:cs="Arial"/>
                <w:b/>
                <w:bCs/>
                <w:sz w:val="20"/>
                <w:szCs w:val="20"/>
              </w:rPr>
              <w:t>Secondary endpoints (phase II):</w:t>
            </w:r>
          </w:p>
        </w:tc>
        <w:tc>
          <w:tcPr>
            <w:tcW w:w="5507" w:type="dxa"/>
          </w:tcPr>
          <w:p w14:paraId="51C7890B" w14:textId="77777777" w:rsidR="00DA67E8" w:rsidRPr="00507641" w:rsidRDefault="00DA67E8" w:rsidP="002F600D">
            <w:pPr>
              <w:pStyle w:val="CTR-Text"/>
              <w:numPr>
                <w:ilvl w:val="0"/>
                <w:numId w:val="16"/>
              </w:numPr>
              <w:spacing w:before="40" w:after="0"/>
              <w:ind w:left="176" w:hanging="142"/>
              <w:jc w:val="both"/>
              <w:rPr>
                <w:rFonts w:ascii="Arial" w:hAnsi="Arial" w:cs="Arial"/>
                <w:sz w:val="20"/>
              </w:rPr>
            </w:pPr>
            <w:r w:rsidRPr="00507641">
              <w:rPr>
                <w:rFonts w:ascii="Arial" w:hAnsi="Arial" w:cs="Arial"/>
                <w:sz w:val="20"/>
              </w:rPr>
              <w:t xml:space="preserve">To examine the frequency of all Adverse Events graded by NCI-CTCAE version 4, in particular those with </w:t>
            </w:r>
            <w:r w:rsidR="00483A47" w:rsidRPr="00507641">
              <w:rPr>
                <w:rFonts w:ascii="Arial" w:hAnsi="Arial" w:cs="Arial"/>
                <w:sz w:val="20"/>
              </w:rPr>
              <w:t xml:space="preserve">≥ </w:t>
            </w:r>
            <w:r w:rsidRPr="00507641">
              <w:rPr>
                <w:rFonts w:ascii="Arial" w:hAnsi="Arial" w:cs="Arial"/>
                <w:sz w:val="20"/>
              </w:rPr>
              <w:t>grade 3</w:t>
            </w:r>
          </w:p>
          <w:p w14:paraId="6EE150F9" w14:textId="77777777" w:rsidR="00DA67E8" w:rsidRPr="00507641" w:rsidRDefault="00DA67E8" w:rsidP="002F600D">
            <w:pPr>
              <w:pStyle w:val="CTR-Text"/>
              <w:numPr>
                <w:ilvl w:val="0"/>
                <w:numId w:val="16"/>
              </w:numPr>
              <w:spacing w:after="0"/>
              <w:ind w:left="176" w:hanging="142"/>
              <w:jc w:val="both"/>
              <w:rPr>
                <w:rFonts w:ascii="Arial" w:hAnsi="Arial" w:cs="Arial"/>
                <w:sz w:val="20"/>
              </w:rPr>
            </w:pPr>
            <w:r w:rsidRPr="00507641">
              <w:rPr>
                <w:rFonts w:ascii="Arial" w:hAnsi="Arial" w:cs="Arial"/>
                <w:sz w:val="20"/>
              </w:rPr>
              <w:t xml:space="preserve">To examine the objective tumour response according to </w:t>
            </w:r>
            <w:r w:rsidRPr="00507641">
              <w:rPr>
                <w:rFonts w:ascii="Arial" w:hAnsi="Arial" w:cs="Arial"/>
                <w:sz w:val="20"/>
                <w:lang w:val="en-US"/>
              </w:rPr>
              <w:t>meso-modified RECIST</w:t>
            </w:r>
            <w:r w:rsidRPr="00507641">
              <w:rPr>
                <w:rFonts w:ascii="Arial" w:hAnsi="Arial" w:cs="Arial"/>
                <w:sz w:val="20"/>
              </w:rPr>
              <w:t>, and the overall response rate.</w:t>
            </w:r>
          </w:p>
          <w:p w14:paraId="54EC4276" w14:textId="77777777" w:rsidR="00DA67E8" w:rsidRPr="00507641" w:rsidRDefault="00DA67E8" w:rsidP="002F600D">
            <w:pPr>
              <w:pStyle w:val="CTR-Text"/>
              <w:numPr>
                <w:ilvl w:val="0"/>
                <w:numId w:val="16"/>
              </w:numPr>
              <w:spacing w:after="100" w:afterAutospacing="1"/>
              <w:ind w:left="176" w:hanging="142"/>
              <w:jc w:val="both"/>
              <w:rPr>
                <w:rFonts w:ascii="Arial" w:hAnsi="Arial" w:cs="Arial"/>
                <w:sz w:val="20"/>
              </w:rPr>
            </w:pPr>
            <w:r w:rsidRPr="00507641">
              <w:rPr>
                <w:rFonts w:ascii="Arial" w:hAnsi="Arial" w:cs="Arial"/>
                <w:sz w:val="20"/>
              </w:rPr>
              <w:t>To examine overall survival.</w:t>
            </w:r>
          </w:p>
          <w:p w14:paraId="06BE9930" w14:textId="77777777" w:rsidR="00DA67E8" w:rsidRDefault="00DA67E8" w:rsidP="002F600D">
            <w:pPr>
              <w:pStyle w:val="CTR-Text"/>
              <w:numPr>
                <w:ilvl w:val="0"/>
                <w:numId w:val="16"/>
              </w:numPr>
              <w:spacing w:after="40"/>
              <w:ind w:left="176" w:hanging="142"/>
              <w:jc w:val="both"/>
              <w:rPr>
                <w:rFonts w:ascii="Arial" w:hAnsi="Arial" w:cs="Arial"/>
                <w:sz w:val="20"/>
              </w:rPr>
            </w:pPr>
            <w:r w:rsidRPr="00507641">
              <w:rPr>
                <w:rFonts w:ascii="Arial" w:hAnsi="Arial" w:cs="Arial"/>
                <w:sz w:val="20"/>
              </w:rPr>
              <w:t>To examine the number of chemotherapy cycles (pemetrexed</w:t>
            </w:r>
            <w:r w:rsidR="00826740" w:rsidRPr="00507641">
              <w:rPr>
                <w:rFonts w:ascii="Arial" w:hAnsi="Arial" w:cs="Arial"/>
                <w:sz w:val="20"/>
              </w:rPr>
              <w:t>/</w:t>
            </w:r>
            <w:r w:rsidR="0022131D">
              <w:rPr>
                <w:rFonts w:ascii="Arial" w:hAnsi="Arial" w:cs="Arial"/>
                <w:sz w:val="20"/>
              </w:rPr>
              <w:t>platinum</w:t>
            </w:r>
            <w:r w:rsidR="00781D7F">
              <w:rPr>
                <w:rFonts w:ascii="Arial" w:hAnsi="Arial" w:cs="Arial"/>
                <w:sz w:val="20"/>
              </w:rPr>
              <w:t xml:space="preserve"> (cis or carbo)</w:t>
            </w:r>
            <w:r w:rsidRPr="00507641">
              <w:rPr>
                <w:rFonts w:ascii="Arial" w:hAnsi="Arial" w:cs="Arial"/>
                <w:sz w:val="20"/>
              </w:rPr>
              <w:t>) completed; and for patients who stop before 6 cycles, the reasons for stopping early.</w:t>
            </w:r>
          </w:p>
          <w:p w14:paraId="590784A0" w14:textId="77777777" w:rsidR="00BC0CDE" w:rsidRDefault="00BC0CDE" w:rsidP="00BC0CDE">
            <w:pPr>
              <w:pStyle w:val="CTR-Text"/>
              <w:spacing w:after="40"/>
              <w:ind w:left="176"/>
              <w:jc w:val="both"/>
              <w:rPr>
                <w:rFonts w:ascii="Arial" w:hAnsi="Arial" w:cs="Arial"/>
                <w:sz w:val="20"/>
              </w:rPr>
            </w:pPr>
          </w:p>
          <w:p w14:paraId="62A02DF7" w14:textId="60FF0F2B" w:rsidR="00BC0CDE" w:rsidRPr="00507641" w:rsidRDefault="00495549" w:rsidP="00A2711A">
            <w:pPr>
              <w:pStyle w:val="CTR-Text"/>
              <w:spacing w:after="40"/>
              <w:jc w:val="both"/>
              <w:rPr>
                <w:rFonts w:ascii="Arial" w:hAnsi="Arial" w:cs="Arial"/>
                <w:sz w:val="20"/>
              </w:rPr>
            </w:pPr>
            <w:r w:rsidRPr="00495549">
              <w:rPr>
                <w:rFonts w:ascii="Arial" w:eastAsia="Times New Roman" w:hAnsi="Arial" w:cs="Arial"/>
                <w:sz w:val="20"/>
                <w:lang w:eastAsia="en-US"/>
              </w:rPr>
              <w:t>The trial will no longer proceed to phase II following the busi</w:t>
            </w:r>
            <w:r>
              <w:rPr>
                <w:rFonts w:ascii="Arial" w:eastAsia="Times New Roman" w:hAnsi="Arial" w:cs="Arial"/>
                <w:sz w:val="20"/>
                <w:lang w:eastAsia="en-US"/>
              </w:rPr>
              <w:t>ness decision by Madrigal Pharma</w:t>
            </w:r>
            <w:r w:rsidRPr="00495549">
              <w:rPr>
                <w:rFonts w:ascii="Arial" w:eastAsia="Times New Roman" w:hAnsi="Arial" w:cs="Arial"/>
                <w:sz w:val="20"/>
                <w:lang w:eastAsia="en-US"/>
              </w:rPr>
              <w:t>ceuticals Inc</w:t>
            </w:r>
            <w:r w:rsidR="00B90009">
              <w:rPr>
                <w:rFonts w:ascii="Arial" w:eastAsia="Times New Roman" w:hAnsi="Arial" w:cs="Arial"/>
                <w:sz w:val="20"/>
                <w:lang w:eastAsia="en-US"/>
              </w:rPr>
              <w:t>.</w:t>
            </w:r>
            <w:r w:rsidRPr="00495549">
              <w:rPr>
                <w:rFonts w:ascii="Arial" w:eastAsia="Times New Roman" w:hAnsi="Arial" w:cs="Arial"/>
                <w:sz w:val="20"/>
                <w:lang w:eastAsia="en-US"/>
              </w:rPr>
              <w:t xml:space="preserve"> (formerly </w:t>
            </w:r>
            <w:proofErr w:type="spellStart"/>
            <w:r w:rsidRPr="00495549">
              <w:rPr>
                <w:rFonts w:ascii="Arial" w:eastAsia="Times New Roman" w:hAnsi="Arial" w:cs="Arial"/>
                <w:sz w:val="20"/>
                <w:lang w:eastAsia="en-US"/>
              </w:rPr>
              <w:t>Synta</w:t>
            </w:r>
            <w:proofErr w:type="spellEnd"/>
            <w:r w:rsidRPr="00495549">
              <w:rPr>
                <w:rFonts w:ascii="Arial" w:eastAsia="Times New Roman" w:hAnsi="Arial" w:cs="Arial"/>
                <w:sz w:val="20"/>
                <w:lang w:eastAsia="en-US"/>
              </w:rPr>
              <w:t xml:space="preserve"> Pharmaceuticals Corp</w:t>
            </w:r>
            <w:r w:rsidR="00B90009">
              <w:rPr>
                <w:rFonts w:ascii="Arial" w:eastAsia="Times New Roman" w:hAnsi="Arial" w:cs="Arial"/>
                <w:sz w:val="20"/>
                <w:lang w:eastAsia="en-US"/>
              </w:rPr>
              <w:t>.</w:t>
            </w:r>
            <w:r w:rsidRPr="00495549">
              <w:rPr>
                <w:rFonts w:ascii="Arial" w:eastAsia="Times New Roman" w:hAnsi="Arial" w:cs="Arial"/>
                <w:sz w:val="20"/>
                <w:lang w:eastAsia="en-US"/>
              </w:rPr>
              <w:t>) to cease development of ganetespib in this population.</w:t>
            </w:r>
          </w:p>
        </w:tc>
      </w:tr>
      <w:tr w:rsidR="00DA67E8" w:rsidRPr="00A23D8C" w14:paraId="52EDFB9B" w14:textId="77777777" w:rsidTr="00552938">
        <w:tc>
          <w:tcPr>
            <w:tcW w:w="3639" w:type="dxa"/>
          </w:tcPr>
          <w:p w14:paraId="27944A81" w14:textId="77777777" w:rsidR="00DA67E8" w:rsidRPr="00D33C30" w:rsidRDefault="00DA67E8" w:rsidP="00A54FF3">
            <w:pPr>
              <w:rPr>
                <w:rFonts w:ascii="Arial" w:hAnsi="Arial" w:cs="Arial"/>
                <w:sz w:val="20"/>
                <w:szCs w:val="20"/>
              </w:rPr>
            </w:pPr>
            <w:r w:rsidRPr="00D33C30">
              <w:rPr>
                <w:rFonts w:ascii="Arial" w:hAnsi="Arial" w:cs="Arial"/>
                <w:b/>
                <w:bCs/>
                <w:sz w:val="20"/>
                <w:szCs w:val="20"/>
              </w:rPr>
              <w:t>Target accrual:</w:t>
            </w:r>
          </w:p>
        </w:tc>
        <w:tc>
          <w:tcPr>
            <w:tcW w:w="5507" w:type="dxa"/>
          </w:tcPr>
          <w:p w14:paraId="7EFB0A41" w14:textId="77777777" w:rsidR="00DA67E8" w:rsidRPr="00507641" w:rsidRDefault="00DA67E8" w:rsidP="005A6367">
            <w:pPr>
              <w:spacing w:before="40"/>
              <w:jc w:val="both"/>
              <w:rPr>
                <w:rFonts w:ascii="Arial" w:hAnsi="Arial" w:cs="Arial"/>
                <w:sz w:val="20"/>
                <w:szCs w:val="20"/>
              </w:rPr>
            </w:pPr>
            <w:r w:rsidRPr="00507641">
              <w:rPr>
                <w:rFonts w:ascii="Arial" w:hAnsi="Arial" w:cs="Arial"/>
                <w:sz w:val="20"/>
                <w:szCs w:val="20"/>
              </w:rPr>
              <w:t>Phase I: maximum 2</w:t>
            </w:r>
            <w:r w:rsidR="00BC68AD">
              <w:rPr>
                <w:rFonts w:ascii="Arial" w:hAnsi="Arial" w:cs="Arial"/>
                <w:sz w:val="20"/>
                <w:szCs w:val="20"/>
              </w:rPr>
              <w:t>7</w:t>
            </w:r>
            <w:r w:rsidRPr="00507641">
              <w:rPr>
                <w:rFonts w:ascii="Arial" w:hAnsi="Arial" w:cs="Arial"/>
                <w:sz w:val="20"/>
                <w:szCs w:val="20"/>
              </w:rPr>
              <w:t xml:space="preserve"> patients</w:t>
            </w:r>
            <w:r w:rsidR="003B3891">
              <w:rPr>
                <w:rFonts w:ascii="Arial" w:hAnsi="Arial" w:cs="Arial"/>
                <w:sz w:val="20"/>
                <w:szCs w:val="20"/>
              </w:rPr>
              <w:t xml:space="preserve"> for cisplatin; and 18 for carboplatin</w:t>
            </w:r>
          </w:p>
          <w:p w14:paraId="7FC5662E" w14:textId="77777777" w:rsidR="00DA67E8" w:rsidRPr="00507641" w:rsidRDefault="00DA67E8" w:rsidP="005A6367">
            <w:pPr>
              <w:spacing w:after="40"/>
              <w:jc w:val="both"/>
              <w:rPr>
                <w:rFonts w:ascii="Arial" w:hAnsi="Arial" w:cs="Arial"/>
                <w:b/>
                <w:bCs/>
                <w:i/>
                <w:iCs/>
                <w:color w:val="0000FF"/>
                <w:sz w:val="20"/>
                <w:szCs w:val="20"/>
              </w:rPr>
            </w:pPr>
            <w:r w:rsidRPr="00507641">
              <w:rPr>
                <w:rFonts w:ascii="Arial" w:hAnsi="Arial" w:cs="Arial"/>
                <w:sz w:val="20"/>
                <w:szCs w:val="20"/>
              </w:rPr>
              <w:t>Phase II: 110 patients (55 per arm)</w:t>
            </w:r>
          </w:p>
        </w:tc>
      </w:tr>
      <w:tr w:rsidR="00DA67E8" w:rsidRPr="00A23D8C" w14:paraId="3260B2D2" w14:textId="77777777" w:rsidTr="00552938">
        <w:tc>
          <w:tcPr>
            <w:tcW w:w="3639" w:type="dxa"/>
            <w:shd w:val="clear" w:color="auto" w:fill="auto"/>
          </w:tcPr>
          <w:p w14:paraId="0EDA3DC2" w14:textId="77777777" w:rsidR="00DA67E8" w:rsidRPr="00D33C30" w:rsidRDefault="00DA67E8" w:rsidP="00A54FF3">
            <w:pPr>
              <w:rPr>
                <w:rFonts w:ascii="Arial" w:hAnsi="Arial" w:cs="Arial"/>
                <w:b/>
                <w:bCs/>
                <w:sz w:val="20"/>
                <w:szCs w:val="20"/>
              </w:rPr>
            </w:pPr>
            <w:r w:rsidRPr="009349AF">
              <w:rPr>
                <w:rFonts w:ascii="Arial" w:hAnsi="Arial" w:cs="Arial"/>
                <w:b/>
                <w:bCs/>
                <w:sz w:val="20"/>
                <w:szCs w:val="20"/>
              </w:rPr>
              <w:t>Inclusion &amp;</w:t>
            </w:r>
            <w:r w:rsidR="00044004" w:rsidRPr="009349AF">
              <w:rPr>
                <w:rFonts w:ascii="Arial" w:hAnsi="Arial" w:cs="Arial"/>
                <w:b/>
                <w:bCs/>
                <w:sz w:val="20"/>
                <w:szCs w:val="20"/>
              </w:rPr>
              <w:t xml:space="preserve"> </w:t>
            </w:r>
            <w:r w:rsidRPr="005A5EC4">
              <w:rPr>
                <w:rFonts w:ascii="Arial" w:hAnsi="Arial" w:cs="Arial"/>
                <w:b/>
                <w:bCs/>
                <w:sz w:val="20"/>
                <w:szCs w:val="20"/>
              </w:rPr>
              <w:t>exclusion criteria:</w:t>
            </w:r>
          </w:p>
        </w:tc>
        <w:tc>
          <w:tcPr>
            <w:tcW w:w="5507" w:type="dxa"/>
          </w:tcPr>
          <w:p w14:paraId="657FE3C9" w14:textId="77777777" w:rsidR="00B1751D" w:rsidRPr="00925007" w:rsidRDefault="00044004" w:rsidP="005A6367">
            <w:pPr>
              <w:pStyle w:val="Heading2"/>
              <w:numPr>
                <w:ilvl w:val="0"/>
                <w:numId w:val="0"/>
              </w:numPr>
              <w:spacing w:before="40" w:after="60"/>
              <w:ind w:left="578" w:hanging="578"/>
              <w:rPr>
                <w:rFonts w:cs="Arial"/>
                <w:sz w:val="20"/>
                <w:szCs w:val="20"/>
                <w:u w:val="single"/>
                <w:lang w:val="en-GB"/>
              </w:rPr>
            </w:pPr>
            <w:bookmarkStart w:id="29" w:name="_Toc333484711"/>
            <w:bookmarkStart w:id="30" w:name="_Toc333484826"/>
            <w:bookmarkStart w:id="31" w:name="_Toc351624780"/>
            <w:bookmarkStart w:id="32" w:name="_Toc471826720"/>
            <w:bookmarkStart w:id="33" w:name="_Toc528323486"/>
            <w:r w:rsidRPr="00925007">
              <w:rPr>
                <w:rFonts w:cs="Arial"/>
                <w:sz w:val="20"/>
                <w:szCs w:val="20"/>
                <w:u w:val="single"/>
                <w:lang w:val="en-GB"/>
              </w:rPr>
              <w:t>Patient Inclusion Criteria</w:t>
            </w:r>
            <w:bookmarkEnd w:id="29"/>
            <w:bookmarkEnd w:id="30"/>
            <w:bookmarkEnd w:id="31"/>
            <w:bookmarkEnd w:id="32"/>
            <w:bookmarkEnd w:id="33"/>
          </w:p>
          <w:p w14:paraId="76528B94" w14:textId="77777777" w:rsidR="00F24CAF" w:rsidRPr="00925007" w:rsidRDefault="004C62B2" w:rsidP="00D65DE2">
            <w:pPr>
              <w:numPr>
                <w:ilvl w:val="0"/>
                <w:numId w:val="40"/>
              </w:numPr>
              <w:jc w:val="both"/>
              <w:rPr>
                <w:rFonts w:ascii="Arial" w:hAnsi="Arial" w:cs="Arial"/>
                <w:sz w:val="20"/>
                <w:szCs w:val="20"/>
              </w:rPr>
            </w:pPr>
            <w:r>
              <w:rPr>
                <w:rFonts w:ascii="Arial" w:hAnsi="Arial" w:cs="Arial"/>
                <w:sz w:val="20"/>
                <w:szCs w:val="20"/>
              </w:rPr>
              <w:t>Histop</w:t>
            </w:r>
            <w:r w:rsidRPr="00925007">
              <w:rPr>
                <w:rFonts w:ascii="Arial" w:hAnsi="Arial" w:cs="Arial"/>
                <w:sz w:val="20"/>
                <w:szCs w:val="20"/>
              </w:rPr>
              <w:t xml:space="preserve">athological </w:t>
            </w:r>
            <w:r w:rsidR="00F24CAF" w:rsidRPr="00925007">
              <w:rPr>
                <w:rFonts w:ascii="Arial" w:hAnsi="Arial" w:cs="Arial"/>
                <w:sz w:val="20"/>
                <w:szCs w:val="20"/>
              </w:rPr>
              <w:t>confirmation of malignant pleural mesothelioma</w:t>
            </w:r>
          </w:p>
          <w:p w14:paraId="57C1ACBE" w14:textId="77777777" w:rsidR="00F24CAF" w:rsidRPr="00925007" w:rsidRDefault="00F24CAF" w:rsidP="00D65DE2">
            <w:pPr>
              <w:numPr>
                <w:ilvl w:val="0"/>
                <w:numId w:val="40"/>
              </w:numPr>
              <w:jc w:val="both"/>
              <w:rPr>
                <w:rFonts w:ascii="Arial" w:hAnsi="Arial" w:cs="Arial"/>
                <w:b/>
                <w:sz w:val="20"/>
                <w:szCs w:val="20"/>
              </w:rPr>
            </w:pPr>
            <w:r w:rsidRPr="00925007">
              <w:rPr>
                <w:rFonts w:ascii="Arial" w:hAnsi="Arial" w:cs="Arial"/>
                <w:sz w:val="20"/>
                <w:szCs w:val="20"/>
              </w:rPr>
              <w:t xml:space="preserve">Measurable disease using meso-modified RECIST criteria </w:t>
            </w:r>
            <w:r w:rsidRPr="00925007">
              <w:rPr>
                <w:rFonts w:ascii="Arial" w:hAnsi="Arial" w:cs="Arial"/>
                <w:b/>
                <w:sz w:val="20"/>
                <w:szCs w:val="20"/>
              </w:rPr>
              <w:t>(CT scan must be within 28 days of registration/randomisation)</w:t>
            </w:r>
          </w:p>
          <w:p w14:paraId="3C0CD827"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Performance status ECOG 0-1</w:t>
            </w:r>
          </w:p>
          <w:p w14:paraId="53CD35EB"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Age at least 18 years</w:t>
            </w:r>
          </w:p>
          <w:p w14:paraId="029A6BD7"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Adequate haematological status:</w:t>
            </w:r>
          </w:p>
          <w:p w14:paraId="7927C70E" w14:textId="77777777" w:rsidR="00F24CAF" w:rsidRPr="00925007" w:rsidRDefault="00F24CAF" w:rsidP="00D65DE2">
            <w:pPr>
              <w:numPr>
                <w:ilvl w:val="1"/>
                <w:numId w:val="40"/>
              </w:numPr>
              <w:jc w:val="both"/>
              <w:rPr>
                <w:rFonts w:ascii="Arial" w:hAnsi="Arial" w:cs="Arial"/>
                <w:sz w:val="20"/>
                <w:szCs w:val="20"/>
              </w:rPr>
            </w:pPr>
            <w:r w:rsidRPr="00925007">
              <w:rPr>
                <w:rFonts w:ascii="Arial" w:hAnsi="Arial" w:cs="Arial"/>
                <w:sz w:val="20"/>
                <w:szCs w:val="20"/>
              </w:rPr>
              <w:t>Haemoglobin 1</w:t>
            </w:r>
            <w:r w:rsidR="00013F98">
              <w:rPr>
                <w:rFonts w:ascii="Arial" w:hAnsi="Arial" w:cs="Arial"/>
                <w:sz w:val="20"/>
                <w:szCs w:val="20"/>
              </w:rPr>
              <w:t>0</w:t>
            </w:r>
            <w:r w:rsidRPr="00925007">
              <w:rPr>
                <w:rFonts w:ascii="Arial" w:hAnsi="Arial" w:cs="Arial"/>
                <w:sz w:val="20"/>
                <w:szCs w:val="20"/>
              </w:rPr>
              <w:t>0g/</w:t>
            </w:r>
            <w:r w:rsidR="00013F98">
              <w:rPr>
                <w:rFonts w:ascii="Arial" w:hAnsi="Arial" w:cs="Arial"/>
                <w:sz w:val="20"/>
                <w:szCs w:val="20"/>
              </w:rPr>
              <w:t>L</w:t>
            </w:r>
            <w:r w:rsidRPr="00925007">
              <w:rPr>
                <w:rFonts w:ascii="Arial" w:hAnsi="Arial" w:cs="Arial"/>
                <w:sz w:val="20"/>
                <w:szCs w:val="20"/>
              </w:rPr>
              <w:t xml:space="preserve"> or greater</w:t>
            </w:r>
          </w:p>
          <w:p w14:paraId="060C6DE3" w14:textId="77777777" w:rsidR="00F24CAF" w:rsidRPr="00925007" w:rsidRDefault="00F24CAF" w:rsidP="00D65DE2">
            <w:pPr>
              <w:numPr>
                <w:ilvl w:val="1"/>
                <w:numId w:val="40"/>
              </w:numPr>
              <w:jc w:val="both"/>
              <w:rPr>
                <w:rFonts w:ascii="Arial" w:hAnsi="Arial" w:cs="Arial"/>
                <w:sz w:val="20"/>
                <w:szCs w:val="20"/>
              </w:rPr>
            </w:pPr>
            <w:r w:rsidRPr="00925007">
              <w:rPr>
                <w:rFonts w:ascii="Arial" w:hAnsi="Arial" w:cs="Arial"/>
                <w:sz w:val="20"/>
                <w:szCs w:val="20"/>
              </w:rPr>
              <w:t>Neutrophil count ≥</w:t>
            </w:r>
            <w:r w:rsidR="006420EB">
              <w:rPr>
                <w:rFonts w:ascii="Arial" w:hAnsi="Arial" w:cs="Arial"/>
                <w:sz w:val="20"/>
                <w:szCs w:val="20"/>
              </w:rPr>
              <w:t>2</w:t>
            </w:r>
            <w:r w:rsidRPr="00925007">
              <w:rPr>
                <w:rFonts w:ascii="Arial" w:hAnsi="Arial" w:cs="Arial"/>
                <w:sz w:val="20"/>
                <w:szCs w:val="20"/>
              </w:rPr>
              <w:t>.</w:t>
            </w:r>
            <w:r w:rsidR="006420EB">
              <w:rPr>
                <w:rFonts w:ascii="Arial" w:hAnsi="Arial" w:cs="Arial"/>
                <w:sz w:val="20"/>
                <w:szCs w:val="20"/>
              </w:rPr>
              <w:t>0</w:t>
            </w:r>
            <w:r w:rsidRPr="00925007">
              <w:rPr>
                <w:rFonts w:ascii="Arial" w:hAnsi="Arial" w:cs="Arial"/>
                <w:sz w:val="20"/>
                <w:szCs w:val="20"/>
              </w:rPr>
              <w:t xml:space="preserve"> x 10</w:t>
            </w:r>
            <w:r w:rsidRPr="00925007">
              <w:rPr>
                <w:rFonts w:ascii="Arial" w:hAnsi="Arial" w:cs="Arial"/>
                <w:sz w:val="20"/>
                <w:szCs w:val="20"/>
                <w:vertAlign w:val="superscript"/>
              </w:rPr>
              <w:t>9</w:t>
            </w:r>
            <w:r w:rsidRPr="00925007">
              <w:rPr>
                <w:rFonts w:ascii="Arial" w:hAnsi="Arial" w:cs="Arial"/>
                <w:sz w:val="20"/>
                <w:szCs w:val="20"/>
              </w:rPr>
              <w:t>/L</w:t>
            </w:r>
          </w:p>
          <w:p w14:paraId="25E04301" w14:textId="77777777" w:rsidR="00F24CAF" w:rsidRPr="00925007" w:rsidRDefault="00F24CAF" w:rsidP="00D65DE2">
            <w:pPr>
              <w:numPr>
                <w:ilvl w:val="1"/>
                <w:numId w:val="40"/>
              </w:numPr>
              <w:jc w:val="both"/>
              <w:rPr>
                <w:rFonts w:ascii="Arial" w:hAnsi="Arial" w:cs="Arial"/>
                <w:sz w:val="20"/>
                <w:szCs w:val="20"/>
              </w:rPr>
            </w:pPr>
            <w:r w:rsidRPr="00925007">
              <w:rPr>
                <w:rFonts w:ascii="Arial" w:hAnsi="Arial" w:cs="Arial"/>
                <w:sz w:val="20"/>
                <w:szCs w:val="20"/>
              </w:rPr>
              <w:t>Platelets ≥100 x 10</w:t>
            </w:r>
            <w:r w:rsidRPr="00925007">
              <w:rPr>
                <w:rFonts w:ascii="Arial" w:hAnsi="Arial" w:cs="Arial"/>
                <w:sz w:val="20"/>
                <w:szCs w:val="20"/>
                <w:vertAlign w:val="superscript"/>
              </w:rPr>
              <w:t>9</w:t>
            </w:r>
            <w:r w:rsidRPr="00925007">
              <w:rPr>
                <w:rFonts w:ascii="Arial" w:hAnsi="Arial" w:cs="Arial"/>
                <w:sz w:val="20"/>
                <w:szCs w:val="20"/>
              </w:rPr>
              <w:t xml:space="preserve"> /L</w:t>
            </w:r>
          </w:p>
          <w:p w14:paraId="27775747"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Adequate organ function:</w:t>
            </w:r>
          </w:p>
          <w:p w14:paraId="285C176F" w14:textId="77777777" w:rsidR="00F24CAF" w:rsidRPr="00925007" w:rsidRDefault="00F24CAF" w:rsidP="00D65DE2">
            <w:pPr>
              <w:numPr>
                <w:ilvl w:val="1"/>
                <w:numId w:val="40"/>
              </w:numPr>
              <w:jc w:val="both"/>
              <w:rPr>
                <w:rFonts w:ascii="Arial" w:hAnsi="Arial" w:cs="Arial"/>
                <w:sz w:val="20"/>
                <w:szCs w:val="20"/>
              </w:rPr>
            </w:pPr>
            <w:r w:rsidRPr="00925007">
              <w:rPr>
                <w:rFonts w:ascii="Arial" w:hAnsi="Arial" w:cs="Arial"/>
                <w:sz w:val="20"/>
                <w:szCs w:val="20"/>
              </w:rPr>
              <w:t>Bilirubin ≤1.5x ULN, ALP ≤2.5x ULN, ALT or AST ≤1.5x ULN</w:t>
            </w:r>
          </w:p>
          <w:p w14:paraId="6FFBD297" w14:textId="77777777" w:rsidR="00F24CAF" w:rsidRDefault="00F24CAF" w:rsidP="00D65DE2">
            <w:pPr>
              <w:numPr>
                <w:ilvl w:val="1"/>
                <w:numId w:val="40"/>
              </w:numPr>
              <w:jc w:val="both"/>
              <w:rPr>
                <w:rFonts w:ascii="Arial" w:hAnsi="Arial" w:cs="Arial"/>
                <w:sz w:val="20"/>
                <w:szCs w:val="20"/>
              </w:rPr>
            </w:pPr>
            <w:r w:rsidRPr="00925007">
              <w:rPr>
                <w:rFonts w:ascii="Arial" w:hAnsi="Arial" w:cs="Arial"/>
                <w:sz w:val="20"/>
                <w:szCs w:val="20"/>
              </w:rPr>
              <w:t>Serum creatinine ≤1.5 x ULN or calculated creatinine clearance</w:t>
            </w:r>
            <w:r w:rsidR="00C26972" w:rsidRPr="00925007">
              <w:rPr>
                <w:rFonts w:ascii="Arial" w:hAnsi="Arial" w:cs="Arial"/>
                <w:sz w:val="20"/>
                <w:szCs w:val="20"/>
              </w:rPr>
              <w:t xml:space="preserve"> ≥ 6</w:t>
            </w:r>
            <w:r w:rsidRPr="00925007">
              <w:rPr>
                <w:rFonts w:ascii="Arial" w:hAnsi="Arial" w:cs="Arial"/>
                <w:sz w:val="20"/>
                <w:szCs w:val="20"/>
              </w:rPr>
              <w:t>0ml/min (C&amp;G or EDTA) (appendix 4)</w:t>
            </w:r>
          </w:p>
          <w:p w14:paraId="2ACADFD2"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 xml:space="preserve">Chemotherapy naïve </w:t>
            </w:r>
          </w:p>
          <w:p w14:paraId="43F94398" w14:textId="144B2A35"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 xml:space="preserve">Negative serum pregnancy test for female patients of </w:t>
            </w:r>
            <w:r w:rsidR="005956A6">
              <w:rPr>
                <w:rFonts w:ascii="Arial" w:hAnsi="Arial" w:cs="Arial"/>
                <w:sz w:val="20"/>
                <w:szCs w:val="20"/>
              </w:rPr>
              <w:t xml:space="preserve">child-bearing </w:t>
            </w:r>
            <w:r w:rsidRPr="00925007">
              <w:rPr>
                <w:rFonts w:ascii="Arial" w:hAnsi="Arial" w:cs="Arial"/>
                <w:sz w:val="20"/>
                <w:szCs w:val="20"/>
              </w:rPr>
              <w:t xml:space="preserve">potential. </w:t>
            </w:r>
          </w:p>
          <w:p w14:paraId="4CA302EC" w14:textId="229EFC29"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Male subjects and women of child</w:t>
            </w:r>
            <w:r w:rsidR="00193309">
              <w:rPr>
                <w:rFonts w:ascii="Arial" w:hAnsi="Arial" w:cs="Arial"/>
                <w:sz w:val="20"/>
                <w:szCs w:val="20"/>
              </w:rPr>
              <w:t>-</w:t>
            </w:r>
            <w:r w:rsidRPr="00925007">
              <w:rPr>
                <w:rFonts w:ascii="Arial" w:hAnsi="Arial" w:cs="Arial"/>
                <w:sz w:val="20"/>
                <w:szCs w:val="20"/>
              </w:rPr>
              <w:t xml:space="preserve">bearing potential must agree to use an acceptable method of birth control for the duration of the trial and for 6 </w:t>
            </w:r>
            <w:r w:rsidRPr="00925007">
              <w:rPr>
                <w:rFonts w:ascii="Arial" w:hAnsi="Arial" w:cs="Arial"/>
                <w:sz w:val="20"/>
                <w:szCs w:val="20"/>
              </w:rPr>
              <w:lastRenderedPageBreak/>
              <w:t xml:space="preserve">months after the last trial treatment cycle has finished. </w:t>
            </w:r>
          </w:p>
          <w:p w14:paraId="24B3F65F"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Ability to understand and willing to sign the written informed consent to participate (including donation of diagnostic biopsy tissue for research)</w:t>
            </w:r>
          </w:p>
          <w:p w14:paraId="26FF5DCD"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Ability to comply with the requirements of the protocol</w:t>
            </w:r>
          </w:p>
          <w:p w14:paraId="2DBE394C" w14:textId="77777777" w:rsidR="00F24CAF" w:rsidRPr="00925007" w:rsidRDefault="00F24CAF" w:rsidP="00F24CAF">
            <w:pPr>
              <w:rPr>
                <w:sz w:val="20"/>
                <w:szCs w:val="20"/>
              </w:rPr>
            </w:pPr>
          </w:p>
          <w:p w14:paraId="75A8D872" w14:textId="77777777" w:rsidR="00F24CAF" w:rsidRPr="00925007" w:rsidRDefault="00F24CAF" w:rsidP="00F24CAF">
            <w:pPr>
              <w:pStyle w:val="Heading2"/>
              <w:numPr>
                <w:ilvl w:val="0"/>
                <w:numId w:val="0"/>
              </w:numPr>
              <w:spacing w:before="0" w:after="60"/>
              <w:ind w:left="578" w:hanging="578"/>
              <w:rPr>
                <w:rFonts w:cs="Arial"/>
                <w:sz w:val="20"/>
                <w:szCs w:val="20"/>
                <w:u w:val="single"/>
                <w:lang w:val="en-GB"/>
              </w:rPr>
            </w:pPr>
            <w:bookmarkStart w:id="34" w:name="_Toc351624781"/>
            <w:bookmarkStart w:id="35" w:name="_Toc471826721"/>
            <w:bookmarkStart w:id="36" w:name="_Toc528323487"/>
            <w:r w:rsidRPr="00925007">
              <w:rPr>
                <w:rFonts w:cs="Arial"/>
                <w:sz w:val="20"/>
                <w:szCs w:val="20"/>
                <w:u w:val="single"/>
                <w:lang w:val="en-GB"/>
              </w:rPr>
              <w:t>Patient Exclusion Criteria</w:t>
            </w:r>
            <w:bookmarkEnd w:id="34"/>
            <w:bookmarkEnd w:id="35"/>
            <w:bookmarkEnd w:id="36"/>
          </w:p>
          <w:p w14:paraId="69848453"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 xml:space="preserve">Prior exposure to other investigational or commercial agents or therapies administered with the intent of treating the patient’s malignancy. This includes </w:t>
            </w:r>
            <w:proofErr w:type="spellStart"/>
            <w:r w:rsidRPr="00925007">
              <w:rPr>
                <w:rFonts w:ascii="Arial" w:hAnsi="Arial" w:cs="Arial"/>
                <w:sz w:val="20"/>
                <w:szCs w:val="20"/>
              </w:rPr>
              <w:t>crizotinib</w:t>
            </w:r>
            <w:proofErr w:type="spellEnd"/>
            <w:r w:rsidRPr="00925007">
              <w:rPr>
                <w:rFonts w:ascii="Arial" w:hAnsi="Arial" w:cs="Arial"/>
                <w:sz w:val="20"/>
                <w:szCs w:val="20"/>
              </w:rPr>
              <w:t>, other ALK-targeted agents, and any Hsp90 inhibitor (e.g. ganetespib). Prior valproic acid is acceptable but only if there has been at least 30 days wash-out period</w:t>
            </w:r>
          </w:p>
          <w:p w14:paraId="1BD5482F" w14:textId="77777777" w:rsidR="00F24CAF" w:rsidRPr="00925007" w:rsidRDefault="00F24CAF" w:rsidP="00D65DE2">
            <w:pPr>
              <w:pStyle w:val="letterindent"/>
              <w:widowControl/>
              <w:numPr>
                <w:ilvl w:val="0"/>
                <w:numId w:val="40"/>
              </w:numPr>
              <w:spacing w:before="0"/>
              <w:rPr>
                <w:rFonts w:ascii="Arial" w:hAnsi="Arial" w:cs="Arial"/>
                <w:sz w:val="20"/>
                <w:szCs w:val="20"/>
                <w:lang w:val="en-GB"/>
              </w:rPr>
            </w:pPr>
            <w:r w:rsidRPr="00925007">
              <w:rPr>
                <w:rFonts w:ascii="Arial" w:hAnsi="Arial" w:cs="Arial"/>
                <w:sz w:val="20"/>
                <w:szCs w:val="20"/>
                <w:lang w:val="en-GB"/>
              </w:rPr>
              <w:t>Evidence of CNS metastases that in the opinion of the investigator should receive local treatment prior to systemic cytotoxic chemotherapy</w:t>
            </w:r>
          </w:p>
          <w:p w14:paraId="603EF95B"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Uncontrolled intercurrent illness including but not limited to:</w:t>
            </w:r>
          </w:p>
          <w:p w14:paraId="6AF1006E"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 xml:space="preserve">Symptomatic neurological illness </w:t>
            </w:r>
          </w:p>
          <w:p w14:paraId="3AAA7D23" w14:textId="77777777" w:rsidR="00F24CAF" w:rsidRPr="00925007" w:rsidRDefault="00F24CAF" w:rsidP="00D65DE2">
            <w:pPr>
              <w:numPr>
                <w:ilvl w:val="0"/>
                <w:numId w:val="40"/>
              </w:numPr>
              <w:spacing w:after="40"/>
              <w:jc w:val="both"/>
              <w:rPr>
                <w:rFonts w:ascii="Arial" w:hAnsi="Arial" w:cs="Arial"/>
                <w:sz w:val="20"/>
                <w:szCs w:val="20"/>
              </w:rPr>
            </w:pPr>
            <w:r w:rsidRPr="00925007">
              <w:rPr>
                <w:rFonts w:ascii="Arial" w:hAnsi="Arial" w:cs="Arial"/>
                <w:sz w:val="20"/>
                <w:szCs w:val="20"/>
              </w:rPr>
              <w:t>Active uncontrolled systemic infection considered opportunistic, life threatening or clinically significant at the time of treatment</w:t>
            </w:r>
          </w:p>
          <w:p w14:paraId="398F8740"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Significant pulmonary disease or hypoxia</w:t>
            </w:r>
          </w:p>
          <w:p w14:paraId="52446C6E"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Psychiatric illness/social situations that would limit compliance with trial requirements</w:t>
            </w:r>
          </w:p>
          <w:p w14:paraId="26008B0F"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Human immunodeficiency virus (HIV)-positive patients</w:t>
            </w:r>
          </w:p>
          <w:p w14:paraId="7DE382C8"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Known hepatitis B or C infection</w:t>
            </w:r>
          </w:p>
          <w:p w14:paraId="1C1D25AC" w14:textId="77777777" w:rsidR="00F24CAF" w:rsidRDefault="00F24CAF" w:rsidP="00D65DE2">
            <w:pPr>
              <w:numPr>
                <w:ilvl w:val="0"/>
                <w:numId w:val="40"/>
              </w:numPr>
              <w:jc w:val="both"/>
              <w:rPr>
                <w:rFonts w:ascii="Arial" w:hAnsi="Arial" w:cs="Arial"/>
                <w:sz w:val="20"/>
                <w:szCs w:val="20"/>
              </w:rPr>
            </w:pPr>
            <w:r w:rsidRPr="00925007">
              <w:rPr>
                <w:rFonts w:ascii="Arial" w:hAnsi="Arial" w:cs="Arial"/>
                <w:sz w:val="20"/>
                <w:szCs w:val="20"/>
              </w:rPr>
              <w:t>Uncontrolled diabetes mellitus</w:t>
            </w:r>
          </w:p>
          <w:p w14:paraId="253B0A6F" w14:textId="77777777" w:rsidR="00394E9E" w:rsidRPr="00394E9E" w:rsidRDefault="00394E9E" w:rsidP="00D65DE2">
            <w:pPr>
              <w:numPr>
                <w:ilvl w:val="0"/>
                <w:numId w:val="40"/>
              </w:numPr>
              <w:jc w:val="both"/>
              <w:rPr>
                <w:rFonts w:ascii="Arial" w:hAnsi="Arial" w:cs="Arial"/>
                <w:sz w:val="20"/>
                <w:szCs w:val="20"/>
              </w:rPr>
            </w:pPr>
            <w:r w:rsidRPr="00394E9E">
              <w:rPr>
                <w:rFonts w:ascii="Arial" w:hAnsi="Arial" w:cs="Arial"/>
                <w:sz w:val="20"/>
                <w:szCs w:val="20"/>
              </w:rPr>
              <w:t xml:space="preserve">Serum potassium, magnesium, and calcium levels </w:t>
            </w:r>
            <w:r w:rsidR="00966D42">
              <w:rPr>
                <w:rFonts w:ascii="Arial" w:hAnsi="Arial" w:cs="Arial"/>
                <w:sz w:val="20"/>
                <w:szCs w:val="20"/>
              </w:rPr>
              <w:t xml:space="preserve">no more than 10% </w:t>
            </w:r>
            <w:r w:rsidRPr="00394E9E">
              <w:rPr>
                <w:rFonts w:ascii="Arial" w:hAnsi="Arial" w:cs="Arial"/>
                <w:sz w:val="20"/>
                <w:szCs w:val="20"/>
              </w:rPr>
              <w:t>outside the Sites normal reference ranges</w:t>
            </w:r>
          </w:p>
          <w:p w14:paraId="650BFAB8" w14:textId="77777777" w:rsidR="00F24CAF" w:rsidRDefault="00F24CAF" w:rsidP="00D65DE2">
            <w:pPr>
              <w:pStyle w:val="ListParagraph"/>
              <w:numPr>
                <w:ilvl w:val="0"/>
                <w:numId w:val="40"/>
              </w:numPr>
              <w:jc w:val="both"/>
              <w:rPr>
                <w:rFonts w:ascii="Arial" w:hAnsi="Arial" w:cs="Arial"/>
                <w:sz w:val="20"/>
                <w:szCs w:val="20"/>
              </w:rPr>
            </w:pPr>
            <w:r w:rsidRPr="00925007">
              <w:rPr>
                <w:rFonts w:ascii="Arial" w:hAnsi="Arial" w:cs="Arial"/>
                <w:sz w:val="20"/>
                <w:szCs w:val="20"/>
              </w:rPr>
              <w:t>Known serious cardiac illness including but not confined to:</w:t>
            </w:r>
          </w:p>
          <w:p w14:paraId="179E601B" w14:textId="77777777" w:rsidR="00CF1C29" w:rsidRPr="00CF1C29" w:rsidRDefault="00CF1C29" w:rsidP="00D65DE2">
            <w:pPr>
              <w:numPr>
                <w:ilvl w:val="0"/>
                <w:numId w:val="40"/>
              </w:numPr>
              <w:jc w:val="both"/>
              <w:rPr>
                <w:rFonts w:ascii="Arial" w:hAnsi="Arial" w:cs="Arial"/>
                <w:sz w:val="20"/>
                <w:szCs w:val="20"/>
              </w:rPr>
            </w:pPr>
            <w:r w:rsidRPr="00CF1C29">
              <w:rPr>
                <w:rFonts w:ascii="Arial" w:hAnsi="Arial" w:cs="Arial"/>
                <w:sz w:val="20"/>
                <w:szCs w:val="20"/>
              </w:rPr>
              <w:t xml:space="preserve">Clinically unstable cardiac disease, including unstable atrial fibrillation, symptomatic bradycardia, unstable congestive heart failure, active myocardial ischemia, or indwelling temporary pacemaker </w:t>
            </w:r>
          </w:p>
          <w:p w14:paraId="31D99791" w14:textId="483C809E" w:rsidR="00CF1C29" w:rsidRPr="00CF1C29" w:rsidRDefault="00CF1C29" w:rsidP="00D65DE2">
            <w:pPr>
              <w:numPr>
                <w:ilvl w:val="0"/>
                <w:numId w:val="40"/>
              </w:numPr>
              <w:jc w:val="both"/>
              <w:rPr>
                <w:rFonts w:ascii="Arial" w:hAnsi="Arial" w:cs="Arial"/>
                <w:sz w:val="20"/>
                <w:szCs w:val="20"/>
              </w:rPr>
            </w:pPr>
            <w:r w:rsidRPr="00CF1C29">
              <w:rPr>
                <w:rFonts w:ascii="Arial" w:hAnsi="Arial" w:cs="Arial"/>
                <w:sz w:val="20"/>
                <w:szCs w:val="20"/>
              </w:rPr>
              <w:t xml:space="preserve">Ventricular tachycardia or a supraventricular tachycardia that requires treatment with a Class </w:t>
            </w:r>
            <w:proofErr w:type="spellStart"/>
            <w:r w:rsidRPr="00CF1C29">
              <w:rPr>
                <w:rFonts w:ascii="Arial" w:hAnsi="Arial" w:cs="Arial"/>
                <w:sz w:val="20"/>
                <w:szCs w:val="20"/>
              </w:rPr>
              <w:t>Ia</w:t>
            </w:r>
            <w:proofErr w:type="spellEnd"/>
            <w:r w:rsidRPr="00CF1C29">
              <w:rPr>
                <w:rFonts w:ascii="Arial" w:hAnsi="Arial" w:cs="Arial"/>
                <w:sz w:val="20"/>
                <w:szCs w:val="20"/>
              </w:rPr>
              <w:t xml:space="preserve"> anti-arrhythmic drug (</w:t>
            </w:r>
            <w:r w:rsidR="008533D3" w:rsidRPr="00CF1C29">
              <w:rPr>
                <w:rFonts w:ascii="Arial" w:hAnsi="Arial" w:cs="Arial"/>
                <w:sz w:val="20"/>
                <w:szCs w:val="20"/>
              </w:rPr>
              <w:t>e.g.</w:t>
            </w:r>
            <w:r w:rsidRPr="00CF1C29">
              <w:rPr>
                <w:rFonts w:ascii="Arial" w:hAnsi="Arial" w:cs="Arial"/>
                <w:sz w:val="20"/>
                <w:szCs w:val="20"/>
              </w:rPr>
              <w:t>, quinidine, procainamide, disopyramide) or Class III anti-arrhythmic drug (</w:t>
            </w:r>
            <w:r w:rsidR="008533D3" w:rsidRPr="00CF1C29">
              <w:rPr>
                <w:rFonts w:ascii="Arial" w:hAnsi="Arial" w:cs="Arial"/>
                <w:sz w:val="20"/>
                <w:szCs w:val="20"/>
              </w:rPr>
              <w:t>e.g.</w:t>
            </w:r>
            <w:r w:rsidRPr="00CF1C29">
              <w:rPr>
                <w:rFonts w:ascii="Arial" w:hAnsi="Arial" w:cs="Arial"/>
                <w:sz w:val="20"/>
                <w:szCs w:val="20"/>
              </w:rPr>
              <w:t xml:space="preserve"> sotalol, amiodarone, </w:t>
            </w:r>
            <w:proofErr w:type="spellStart"/>
            <w:r w:rsidRPr="00CF1C29">
              <w:rPr>
                <w:rFonts w:ascii="Arial" w:hAnsi="Arial" w:cs="Arial"/>
                <w:sz w:val="20"/>
                <w:szCs w:val="20"/>
              </w:rPr>
              <w:t>dofetilide</w:t>
            </w:r>
            <w:proofErr w:type="spellEnd"/>
            <w:r w:rsidRPr="00CF1C29">
              <w:rPr>
                <w:rFonts w:ascii="Arial" w:hAnsi="Arial" w:cs="Arial"/>
                <w:sz w:val="20"/>
                <w:szCs w:val="20"/>
              </w:rPr>
              <w:t xml:space="preserve">). Use of other anti-arrhythmic drugs is permitted. </w:t>
            </w:r>
          </w:p>
          <w:p w14:paraId="03987284" w14:textId="77777777" w:rsidR="00CF1C29" w:rsidRPr="00CF1C29" w:rsidRDefault="00CF1C29" w:rsidP="00D65DE2">
            <w:pPr>
              <w:numPr>
                <w:ilvl w:val="0"/>
                <w:numId w:val="40"/>
              </w:numPr>
              <w:jc w:val="both"/>
              <w:rPr>
                <w:rFonts w:ascii="Arial" w:hAnsi="Arial" w:cs="Arial"/>
                <w:sz w:val="20"/>
                <w:szCs w:val="20"/>
              </w:rPr>
            </w:pPr>
            <w:r w:rsidRPr="00CF1C29">
              <w:rPr>
                <w:rFonts w:ascii="Arial" w:hAnsi="Arial" w:cs="Arial"/>
                <w:sz w:val="20"/>
                <w:szCs w:val="20"/>
              </w:rPr>
              <w:t xml:space="preserve">Use of medications that have been linked to the occurrence of </w:t>
            </w:r>
            <w:proofErr w:type="spellStart"/>
            <w:r w:rsidRPr="00CF1C29">
              <w:rPr>
                <w:rFonts w:ascii="Arial" w:hAnsi="Arial" w:cs="Arial"/>
                <w:sz w:val="20"/>
                <w:szCs w:val="20"/>
              </w:rPr>
              <w:t>torsades</w:t>
            </w:r>
            <w:proofErr w:type="spellEnd"/>
            <w:r w:rsidRPr="00CF1C29">
              <w:rPr>
                <w:rFonts w:ascii="Arial" w:hAnsi="Arial" w:cs="Arial"/>
                <w:sz w:val="20"/>
                <w:szCs w:val="20"/>
              </w:rPr>
              <w:t xml:space="preserve"> de pointes (see Appendix 5 for the list of such medications) </w:t>
            </w:r>
          </w:p>
          <w:p w14:paraId="0A6DE775" w14:textId="77777777" w:rsidR="00CF1C29" w:rsidRPr="00CF1C29" w:rsidRDefault="00CF1C29" w:rsidP="00D65DE2">
            <w:pPr>
              <w:numPr>
                <w:ilvl w:val="0"/>
                <w:numId w:val="40"/>
              </w:numPr>
              <w:jc w:val="both"/>
              <w:rPr>
                <w:rFonts w:ascii="Arial" w:hAnsi="Arial" w:cs="Arial"/>
                <w:sz w:val="20"/>
                <w:szCs w:val="20"/>
              </w:rPr>
            </w:pPr>
            <w:r w:rsidRPr="00CF1C29">
              <w:rPr>
                <w:rFonts w:ascii="Arial" w:hAnsi="Arial" w:cs="Arial"/>
                <w:sz w:val="20"/>
                <w:szCs w:val="20"/>
              </w:rPr>
              <w:t xml:space="preserve">Second- or third-degree atrioventricular (AV) block unless treated with a permanent pacemaker </w:t>
            </w:r>
          </w:p>
          <w:p w14:paraId="35551B24" w14:textId="77777777" w:rsidR="00CF1C29" w:rsidRPr="00CF1C29" w:rsidRDefault="00CF1C29" w:rsidP="00D65DE2">
            <w:pPr>
              <w:numPr>
                <w:ilvl w:val="0"/>
                <w:numId w:val="40"/>
              </w:numPr>
              <w:jc w:val="both"/>
              <w:rPr>
                <w:rFonts w:ascii="Arial" w:hAnsi="Arial" w:cs="Arial"/>
                <w:sz w:val="20"/>
                <w:szCs w:val="20"/>
              </w:rPr>
            </w:pPr>
            <w:r w:rsidRPr="00CF1C29">
              <w:rPr>
                <w:rFonts w:ascii="Arial" w:hAnsi="Arial" w:cs="Arial"/>
                <w:sz w:val="20"/>
                <w:szCs w:val="20"/>
              </w:rPr>
              <w:t xml:space="preserve">Complete left bundle branch block (LBBB) </w:t>
            </w:r>
          </w:p>
          <w:p w14:paraId="1CFF114B" w14:textId="77777777" w:rsidR="00CF1C29" w:rsidRPr="00CF1C29" w:rsidRDefault="00CF1C29" w:rsidP="00D65DE2">
            <w:pPr>
              <w:numPr>
                <w:ilvl w:val="0"/>
                <w:numId w:val="40"/>
              </w:numPr>
              <w:jc w:val="both"/>
              <w:rPr>
                <w:rFonts w:ascii="Arial" w:hAnsi="Arial" w:cs="Arial"/>
                <w:sz w:val="20"/>
                <w:szCs w:val="20"/>
              </w:rPr>
            </w:pPr>
            <w:r w:rsidRPr="00CF1C29">
              <w:rPr>
                <w:rFonts w:ascii="Arial" w:hAnsi="Arial" w:cs="Arial"/>
                <w:sz w:val="20"/>
                <w:szCs w:val="20"/>
              </w:rPr>
              <w:t xml:space="preserve">History of long QT Syndrome or a family member with this condition </w:t>
            </w:r>
          </w:p>
          <w:p w14:paraId="00471C3A" w14:textId="77777777" w:rsidR="00CF1C29" w:rsidRDefault="008533D3" w:rsidP="00D65DE2">
            <w:pPr>
              <w:numPr>
                <w:ilvl w:val="0"/>
                <w:numId w:val="40"/>
              </w:numPr>
              <w:jc w:val="both"/>
              <w:rPr>
                <w:rFonts w:ascii="Arial" w:hAnsi="Arial" w:cs="Arial"/>
                <w:sz w:val="20"/>
                <w:szCs w:val="20"/>
              </w:rPr>
            </w:pPr>
            <w:r>
              <w:rPr>
                <w:rFonts w:ascii="Arial" w:hAnsi="Arial" w:cs="Arial"/>
                <w:sz w:val="20"/>
                <w:szCs w:val="20"/>
              </w:rPr>
              <w:lastRenderedPageBreak/>
              <w:t>QTc &gt;470</w:t>
            </w:r>
            <w:r w:rsidR="00CF1C29" w:rsidRPr="00CF1C29">
              <w:rPr>
                <w:rFonts w:ascii="Arial" w:hAnsi="Arial" w:cs="Arial"/>
                <w:sz w:val="20"/>
                <w:szCs w:val="20"/>
              </w:rPr>
              <w:t xml:space="preserve">ms (average of triplicate ECG recordings); a consistent method of QTc calculation must be used for each patient's QTc measurements. </w:t>
            </w:r>
            <w:proofErr w:type="spellStart"/>
            <w:r w:rsidR="00CF1C29" w:rsidRPr="00CF1C29">
              <w:rPr>
                <w:rFonts w:ascii="Arial" w:hAnsi="Arial" w:cs="Arial"/>
                <w:sz w:val="20"/>
                <w:szCs w:val="20"/>
              </w:rPr>
              <w:t>QTcF</w:t>
            </w:r>
            <w:proofErr w:type="spellEnd"/>
            <w:r w:rsidR="00CF1C29" w:rsidRPr="00CF1C29">
              <w:rPr>
                <w:rFonts w:ascii="Arial" w:hAnsi="Arial" w:cs="Arial"/>
                <w:sz w:val="20"/>
                <w:szCs w:val="20"/>
              </w:rPr>
              <w:t xml:space="preserve"> (</w:t>
            </w:r>
            <w:proofErr w:type="spellStart"/>
            <w:r w:rsidR="00CF1C29" w:rsidRPr="00CF1C29">
              <w:rPr>
                <w:rFonts w:ascii="Arial" w:hAnsi="Arial" w:cs="Arial"/>
                <w:sz w:val="20"/>
                <w:szCs w:val="20"/>
              </w:rPr>
              <w:t>Fridericia's</w:t>
            </w:r>
            <w:proofErr w:type="spellEnd"/>
            <w:r w:rsidR="00CF1C29" w:rsidRPr="00CF1C29">
              <w:rPr>
                <w:rFonts w:ascii="Arial" w:hAnsi="Arial" w:cs="Arial"/>
                <w:sz w:val="20"/>
                <w:szCs w:val="20"/>
              </w:rPr>
              <w:t xml:space="preserve"> formula) is preferred </w:t>
            </w:r>
          </w:p>
          <w:p w14:paraId="43129677" w14:textId="77777777" w:rsidR="002501A8" w:rsidRPr="00CF1C29" w:rsidRDefault="002501A8" w:rsidP="00D65DE2">
            <w:pPr>
              <w:numPr>
                <w:ilvl w:val="0"/>
                <w:numId w:val="40"/>
              </w:numPr>
              <w:jc w:val="both"/>
              <w:rPr>
                <w:rFonts w:ascii="Arial" w:hAnsi="Arial" w:cs="Arial"/>
                <w:sz w:val="20"/>
                <w:szCs w:val="20"/>
              </w:rPr>
            </w:pPr>
            <w:r>
              <w:rPr>
                <w:rFonts w:ascii="Arial" w:hAnsi="Arial" w:cs="Arial"/>
                <w:sz w:val="20"/>
                <w:szCs w:val="20"/>
              </w:rPr>
              <w:t>The patient has a history of prior gastrointestinal illness</w:t>
            </w:r>
            <w:r w:rsidR="00855A86">
              <w:rPr>
                <w:rFonts w:ascii="Arial" w:hAnsi="Arial" w:cs="Arial"/>
                <w:sz w:val="20"/>
                <w:szCs w:val="20"/>
              </w:rPr>
              <w:t xml:space="preserve"> or disorder. </w:t>
            </w:r>
          </w:p>
          <w:p w14:paraId="3B233251"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The patient has a history of prior malignant tumour, unless the patient has been without evidence of disease for at least three years, or the tumour was a non-melanoma skin tumour or in situ cervix carcinoma</w:t>
            </w:r>
          </w:p>
          <w:p w14:paraId="504E228B"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Pregnant women or those who are lactating</w:t>
            </w:r>
          </w:p>
          <w:p w14:paraId="60901585"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Pre-planned surgery or procedures that would interfere with the conduct of the trial</w:t>
            </w:r>
          </w:p>
          <w:p w14:paraId="12968628"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Patients who have had surgery (does not include pleurodesis or pleurectomy) within 28 days of randomisation should not be included</w:t>
            </w:r>
          </w:p>
          <w:p w14:paraId="33A56328"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 xml:space="preserve">Previous treatment </w:t>
            </w:r>
            <w:r w:rsidR="00D8316D" w:rsidRPr="00925007">
              <w:rPr>
                <w:rFonts w:ascii="Arial" w:hAnsi="Arial" w:cs="Arial"/>
                <w:sz w:val="20"/>
                <w:szCs w:val="20"/>
              </w:rPr>
              <w:t xml:space="preserve">of mesothelioma </w:t>
            </w:r>
            <w:r w:rsidRPr="00925007">
              <w:rPr>
                <w:rFonts w:ascii="Arial" w:hAnsi="Arial" w:cs="Arial"/>
                <w:sz w:val="20"/>
                <w:szCs w:val="20"/>
              </w:rPr>
              <w:t>with systemic chemotherapy</w:t>
            </w:r>
          </w:p>
          <w:p w14:paraId="6AD9B8F7"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Receipt of extensive radiation therapy, systemic chemotherapy, or other anti-neoplastic therapy within 4 weeks before enrolment is not allowed. However, drain site radiotherapy is allowed</w:t>
            </w:r>
          </w:p>
          <w:p w14:paraId="3D99C7DA"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Significant weight loss (≥10% body weight) within the 4 weeks prior to Cycle 1 Day 1.</w:t>
            </w:r>
          </w:p>
          <w:p w14:paraId="4F94D43B" w14:textId="77777777" w:rsidR="00F24CAF" w:rsidRPr="00925007" w:rsidRDefault="00F24CAF" w:rsidP="00D65DE2">
            <w:pPr>
              <w:numPr>
                <w:ilvl w:val="0"/>
                <w:numId w:val="40"/>
              </w:numPr>
              <w:jc w:val="both"/>
              <w:rPr>
                <w:rFonts w:ascii="Arial" w:hAnsi="Arial" w:cs="Arial"/>
                <w:sz w:val="20"/>
                <w:szCs w:val="20"/>
              </w:rPr>
            </w:pPr>
            <w:r w:rsidRPr="00925007">
              <w:rPr>
                <w:rFonts w:ascii="Arial" w:hAnsi="Arial" w:cs="Arial"/>
                <w:sz w:val="20"/>
                <w:szCs w:val="20"/>
              </w:rPr>
              <w:t>Patients who have had a yellow fever vaccination in the previous 30 days.</w:t>
            </w:r>
          </w:p>
          <w:p w14:paraId="1B9EB3B4" w14:textId="77777777" w:rsidR="00DA67E8" w:rsidRPr="005A6367" w:rsidRDefault="00F24CAF" w:rsidP="00D65DE2">
            <w:pPr>
              <w:numPr>
                <w:ilvl w:val="0"/>
                <w:numId w:val="40"/>
              </w:numPr>
              <w:spacing w:after="40"/>
              <w:jc w:val="both"/>
              <w:rPr>
                <w:rFonts w:ascii="Arial" w:hAnsi="Arial" w:cs="Arial"/>
                <w:sz w:val="20"/>
                <w:szCs w:val="20"/>
              </w:rPr>
            </w:pPr>
            <w:r w:rsidRPr="00925007">
              <w:rPr>
                <w:rFonts w:ascii="Arial" w:hAnsi="Arial" w:cs="Arial"/>
                <w:sz w:val="20"/>
                <w:szCs w:val="20"/>
              </w:rPr>
              <w:t>Other medications, severe acute/chronic medical or psychiatric condition, or laboratory abnormality that may increase the risk associated with study participation or study drug administration, or may interfere with the interpretation of study results, and in the judgment of the investigator would make the subject inappropriate for entry into this study.</w:t>
            </w:r>
          </w:p>
        </w:tc>
        <w:bookmarkStart w:id="37" w:name="_GoBack"/>
        <w:bookmarkEnd w:id="37"/>
      </w:tr>
      <w:tr w:rsidR="00DA67E8" w:rsidRPr="00A23D8C" w14:paraId="0799B1C7" w14:textId="77777777" w:rsidTr="00552938">
        <w:tc>
          <w:tcPr>
            <w:tcW w:w="3639" w:type="dxa"/>
          </w:tcPr>
          <w:p w14:paraId="42B8DF22" w14:textId="77777777" w:rsidR="00DA67E8" w:rsidRPr="00D33C30" w:rsidRDefault="00DA67E8" w:rsidP="00A54FF3">
            <w:pPr>
              <w:rPr>
                <w:rFonts w:ascii="Arial" w:hAnsi="Arial" w:cs="Arial"/>
                <w:b/>
                <w:bCs/>
                <w:sz w:val="20"/>
                <w:szCs w:val="20"/>
              </w:rPr>
            </w:pPr>
            <w:r w:rsidRPr="00D33C30">
              <w:rPr>
                <w:rFonts w:ascii="Arial" w:hAnsi="Arial" w:cs="Arial"/>
                <w:b/>
                <w:bCs/>
                <w:sz w:val="20"/>
                <w:szCs w:val="20"/>
              </w:rPr>
              <w:lastRenderedPageBreak/>
              <w:t>Planned number of sites:</w:t>
            </w:r>
          </w:p>
        </w:tc>
        <w:tc>
          <w:tcPr>
            <w:tcW w:w="5507" w:type="dxa"/>
          </w:tcPr>
          <w:p w14:paraId="4954E1B6" w14:textId="77777777" w:rsidR="00DA67E8" w:rsidRPr="00D33C30" w:rsidRDefault="00DA67E8" w:rsidP="005A6367">
            <w:pPr>
              <w:spacing w:before="40"/>
              <w:jc w:val="both"/>
              <w:rPr>
                <w:rFonts w:ascii="Arial" w:hAnsi="Arial" w:cs="Arial"/>
                <w:sz w:val="20"/>
                <w:szCs w:val="20"/>
              </w:rPr>
            </w:pPr>
            <w:r w:rsidRPr="00D33C30">
              <w:rPr>
                <w:rFonts w:ascii="Arial" w:hAnsi="Arial" w:cs="Arial"/>
                <w:sz w:val="20"/>
                <w:szCs w:val="20"/>
              </w:rPr>
              <w:t>Phase I: 4-5 centres</w:t>
            </w:r>
          </w:p>
          <w:p w14:paraId="5863CC19" w14:textId="77777777" w:rsidR="00DA67E8" w:rsidRPr="00D33C30" w:rsidRDefault="00DA67E8">
            <w:pPr>
              <w:jc w:val="both"/>
              <w:rPr>
                <w:rFonts w:ascii="Arial" w:hAnsi="Arial" w:cs="Arial"/>
                <w:b/>
                <w:bCs/>
                <w:i/>
                <w:iCs/>
                <w:color w:val="0000FF"/>
                <w:sz w:val="20"/>
                <w:szCs w:val="20"/>
              </w:rPr>
            </w:pPr>
            <w:r w:rsidRPr="00D33C30">
              <w:rPr>
                <w:rFonts w:ascii="Arial" w:hAnsi="Arial" w:cs="Arial"/>
                <w:sz w:val="20"/>
                <w:szCs w:val="20"/>
              </w:rPr>
              <w:t>Phase II:~20 centres, in the UK</w:t>
            </w:r>
          </w:p>
        </w:tc>
      </w:tr>
      <w:tr w:rsidR="00DA67E8" w:rsidRPr="00A23D8C" w14:paraId="0AEB7500" w14:textId="77777777" w:rsidTr="00552938">
        <w:tc>
          <w:tcPr>
            <w:tcW w:w="3639" w:type="dxa"/>
          </w:tcPr>
          <w:p w14:paraId="2E45D8D7" w14:textId="77777777" w:rsidR="00DA67E8" w:rsidRPr="00D33C30" w:rsidRDefault="00DA67E8" w:rsidP="00A54FF3">
            <w:pPr>
              <w:rPr>
                <w:rFonts w:ascii="Arial" w:hAnsi="Arial" w:cs="Arial"/>
                <w:sz w:val="20"/>
                <w:szCs w:val="20"/>
              </w:rPr>
            </w:pPr>
            <w:r w:rsidRPr="004B7CD3">
              <w:rPr>
                <w:rFonts w:ascii="Arial" w:hAnsi="Arial" w:cs="Arial"/>
                <w:b/>
                <w:bCs/>
                <w:sz w:val="20"/>
                <w:szCs w:val="20"/>
              </w:rPr>
              <w:t>Treatment summary:</w:t>
            </w:r>
          </w:p>
        </w:tc>
        <w:tc>
          <w:tcPr>
            <w:tcW w:w="5507" w:type="dxa"/>
          </w:tcPr>
          <w:p w14:paraId="489C76C3" w14:textId="77777777" w:rsidR="00DA67E8" w:rsidRDefault="00DA67E8" w:rsidP="005A6367">
            <w:pPr>
              <w:pStyle w:val="BodyText12"/>
              <w:keepNext/>
              <w:keepLines/>
              <w:spacing w:before="40" w:after="0" w:line="240" w:lineRule="auto"/>
              <w:ind w:left="0" w:right="34"/>
              <w:rPr>
                <w:rFonts w:ascii="Arial" w:hAnsi="Arial" w:cs="Arial"/>
                <w:b/>
                <w:sz w:val="20"/>
                <w:szCs w:val="20"/>
              </w:rPr>
            </w:pPr>
            <w:r w:rsidRPr="00D33C30">
              <w:rPr>
                <w:rFonts w:ascii="Arial" w:hAnsi="Arial" w:cs="Arial"/>
                <w:b/>
                <w:color w:val="000000"/>
                <w:sz w:val="20"/>
                <w:szCs w:val="20"/>
                <w:lang w:val="en-GB"/>
              </w:rPr>
              <w:t xml:space="preserve">Phase I trial, three ganetespib dose cohorts, </w:t>
            </w:r>
            <w:r w:rsidRPr="00B862D6">
              <w:rPr>
                <w:rFonts w:ascii="Arial" w:hAnsi="Arial" w:cs="Arial"/>
                <w:b/>
                <w:sz w:val="20"/>
                <w:szCs w:val="20"/>
              </w:rPr>
              <w:t>each with 3 or 6 patients:</w:t>
            </w:r>
          </w:p>
          <w:p w14:paraId="3584FBB2" w14:textId="77777777" w:rsidR="00507641" w:rsidRPr="00D33C30" w:rsidRDefault="00507641" w:rsidP="00B862D6">
            <w:pPr>
              <w:pStyle w:val="BodyText12"/>
              <w:keepNext/>
              <w:keepLines/>
              <w:spacing w:after="0" w:line="240" w:lineRule="auto"/>
              <w:ind w:left="0" w:right="33"/>
              <w:rPr>
                <w:rFonts w:ascii="Arial" w:hAnsi="Arial" w:cs="Arial"/>
                <w:sz w:val="20"/>
                <w:szCs w:val="20"/>
              </w:rPr>
            </w:pPr>
          </w:p>
          <w:p w14:paraId="49B8A1DF" w14:textId="77777777" w:rsidR="00DA67E8" w:rsidRPr="00D33C30" w:rsidRDefault="00DA67E8" w:rsidP="002F600D">
            <w:pPr>
              <w:numPr>
                <w:ilvl w:val="0"/>
                <w:numId w:val="14"/>
              </w:numPr>
              <w:snapToGrid w:val="0"/>
              <w:ind w:left="317" w:hanging="283"/>
              <w:jc w:val="both"/>
              <w:rPr>
                <w:rFonts w:ascii="Arial" w:hAnsi="Arial" w:cs="Arial"/>
                <w:sz w:val="20"/>
                <w:szCs w:val="20"/>
              </w:rPr>
            </w:pPr>
            <w:r w:rsidRPr="00D33C30">
              <w:rPr>
                <w:rFonts w:ascii="Arial" w:hAnsi="Arial" w:cs="Arial"/>
                <w:b/>
                <w:sz w:val="20"/>
                <w:szCs w:val="20"/>
              </w:rPr>
              <w:t>Cohort 1:</w:t>
            </w:r>
            <w:r w:rsidRPr="00D33C30">
              <w:rPr>
                <w:rFonts w:ascii="Arial" w:hAnsi="Arial" w:cs="Arial"/>
                <w:sz w:val="20"/>
                <w:szCs w:val="20"/>
              </w:rPr>
              <w:t>100mg/m</w:t>
            </w:r>
            <w:r w:rsidRPr="00D33C30">
              <w:rPr>
                <w:rFonts w:ascii="Arial" w:hAnsi="Arial" w:cs="Arial"/>
                <w:sz w:val="20"/>
                <w:szCs w:val="20"/>
                <w:vertAlign w:val="superscript"/>
              </w:rPr>
              <w:t>2</w:t>
            </w:r>
            <w:r w:rsidR="00493114">
              <w:rPr>
                <w:rFonts w:ascii="Arial" w:hAnsi="Arial" w:cs="Arial"/>
                <w:sz w:val="20"/>
                <w:szCs w:val="20"/>
                <w:vertAlign w:val="superscript"/>
              </w:rPr>
              <w:t xml:space="preserve"> </w:t>
            </w:r>
            <w:r>
              <w:rPr>
                <w:rFonts w:ascii="Arial" w:hAnsi="Arial" w:cs="Arial"/>
                <w:sz w:val="20"/>
                <w:szCs w:val="20"/>
              </w:rPr>
              <w:t xml:space="preserve">IV </w:t>
            </w:r>
            <w:r w:rsidR="004E448D">
              <w:rPr>
                <w:rFonts w:ascii="Arial" w:hAnsi="Arial" w:cs="Arial"/>
                <w:sz w:val="20"/>
                <w:szCs w:val="20"/>
              </w:rPr>
              <w:t>o</w:t>
            </w:r>
            <w:r w:rsidRPr="00D33C30">
              <w:rPr>
                <w:rFonts w:ascii="Arial" w:hAnsi="Arial" w:cs="Arial"/>
                <w:sz w:val="20"/>
                <w:szCs w:val="20"/>
              </w:rPr>
              <w:t xml:space="preserve">n day 1 and day </w:t>
            </w:r>
            <w:r w:rsidR="00782B5E">
              <w:rPr>
                <w:rFonts w:ascii="Arial" w:hAnsi="Arial" w:cs="Arial"/>
                <w:sz w:val="20"/>
                <w:szCs w:val="20"/>
              </w:rPr>
              <w:t>15</w:t>
            </w:r>
            <w:r w:rsidRPr="00D33C30">
              <w:rPr>
                <w:rFonts w:ascii="Arial" w:hAnsi="Arial" w:cs="Arial"/>
                <w:sz w:val="20"/>
                <w:szCs w:val="20"/>
              </w:rPr>
              <w:t xml:space="preserve"> of each cycle </w:t>
            </w:r>
          </w:p>
          <w:p w14:paraId="4B26C96B" w14:textId="77777777" w:rsidR="00DA67E8" w:rsidRPr="00D33C30" w:rsidRDefault="00DA67E8" w:rsidP="002F600D">
            <w:pPr>
              <w:numPr>
                <w:ilvl w:val="0"/>
                <w:numId w:val="14"/>
              </w:numPr>
              <w:snapToGrid w:val="0"/>
              <w:ind w:left="317" w:hanging="283"/>
              <w:jc w:val="both"/>
              <w:rPr>
                <w:rFonts w:ascii="Arial" w:hAnsi="Arial" w:cs="Arial"/>
                <w:sz w:val="20"/>
                <w:szCs w:val="20"/>
              </w:rPr>
            </w:pPr>
            <w:r w:rsidRPr="00D33C30">
              <w:rPr>
                <w:rFonts w:ascii="Arial" w:hAnsi="Arial" w:cs="Arial"/>
                <w:b/>
                <w:sz w:val="20"/>
                <w:szCs w:val="20"/>
              </w:rPr>
              <w:t>Cohort 2:</w:t>
            </w:r>
            <w:r w:rsidRPr="00D33C30">
              <w:rPr>
                <w:rFonts w:ascii="Arial" w:hAnsi="Arial" w:cs="Arial"/>
                <w:sz w:val="20"/>
                <w:szCs w:val="20"/>
              </w:rPr>
              <w:t xml:space="preserve"> 150mg/m</w:t>
            </w:r>
            <w:r w:rsidRPr="00D33C30">
              <w:rPr>
                <w:rFonts w:ascii="Arial" w:hAnsi="Arial" w:cs="Arial"/>
                <w:sz w:val="20"/>
                <w:szCs w:val="20"/>
                <w:vertAlign w:val="superscript"/>
              </w:rPr>
              <w:t>2</w:t>
            </w:r>
            <w:r w:rsidR="004E448D">
              <w:rPr>
                <w:rFonts w:ascii="Arial" w:hAnsi="Arial" w:cs="Arial"/>
                <w:sz w:val="20"/>
                <w:szCs w:val="20"/>
                <w:vertAlign w:val="superscript"/>
              </w:rPr>
              <w:t xml:space="preserve"> </w:t>
            </w:r>
            <w:r>
              <w:rPr>
                <w:rFonts w:ascii="Arial" w:hAnsi="Arial" w:cs="Arial"/>
                <w:sz w:val="20"/>
                <w:szCs w:val="20"/>
              </w:rPr>
              <w:t xml:space="preserve">IV </w:t>
            </w:r>
            <w:r w:rsidRPr="00D33C30">
              <w:rPr>
                <w:rFonts w:ascii="Arial" w:hAnsi="Arial" w:cs="Arial"/>
                <w:sz w:val="20"/>
                <w:szCs w:val="20"/>
              </w:rPr>
              <w:t xml:space="preserve">on day 1 and day </w:t>
            </w:r>
            <w:r w:rsidR="00782B5E">
              <w:rPr>
                <w:rFonts w:ascii="Arial" w:hAnsi="Arial" w:cs="Arial"/>
                <w:sz w:val="20"/>
                <w:szCs w:val="20"/>
              </w:rPr>
              <w:t>15</w:t>
            </w:r>
            <w:r w:rsidRPr="00D33C30">
              <w:rPr>
                <w:rFonts w:ascii="Arial" w:hAnsi="Arial" w:cs="Arial"/>
                <w:sz w:val="20"/>
                <w:szCs w:val="20"/>
              </w:rPr>
              <w:t xml:space="preserve"> of each cycle</w:t>
            </w:r>
          </w:p>
          <w:p w14:paraId="2A09ECCF" w14:textId="77777777" w:rsidR="00DA67E8" w:rsidRDefault="00DA67E8" w:rsidP="002F600D">
            <w:pPr>
              <w:numPr>
                <w:ilvl w:val="0"/>
                <w:numId w:val="14"/>
              </w:numPr>
              <w:snapToGrid w:val="0"/>
              <w:ind w:left="317" w:hanging="283"/>
              <w:jc w:val="both"/>
              <w:rPr>
                <w:rFonts w:ascii="Arial" w:hAnsi="Arial" w:cs="Arial"/>
                <w:sz w:val="20"/>
                <w:szCs w:val="20"/>
              </w:rPr>
            </w:pPr>
            <w:r w:rsidRPr="00D33C30">
              <w:rPr>
                <w:rFonts w:ascii="Arial" w:hAnsi="Arial" w:cs="Arial"/>
                <w:b/>
                <w:sz w:val="20"/>
                <w:szCs w:val="20"/>
              </w:rPr>
              <w:t>Cohort 3:</w:t>
            </w:r>
            <w:r w:rsidRPr="00D33C30">
              <w:rPr>
                <w:rFonts w:ascii="Arial" w:hAnsi="Arial" w:cs="Arial"/>
                <w:sz w:val="20"/>
                <w:szCs w:val="20"/>
              </w:rPr>
              <w:t xml:space="preserve"> 200mg/m</w:t>
            </w:r>
            <w:r w:rsidRPr="00D33C30">
              <w:rPr>
                <w:rFonts w:ascii="Arial" w:hAnsi="Arial" w:cs="Arial"/>
                <w:sz w:val="20"/>
                <w:szCs w:val="20"/>
                <w:vertAlign w:val="superscript"/>
              </w:rPr>
              <w:t>2</w:t>
            </w:r>
            <w:r w:rsidR="00493114">
              <w:rPr>
                <w:rFonts w:ascii="Arial" w:hAnsi="Arial" w:cs="Arial"/>
                <w:sz w:val="20"/>
                <w:szCs w:val="20"/>
                <w:vertAlign w:val="superscript"/>
              </w:rPr>
              <w:t xml:space="preserve"> </w:t>
            </w:r>
            <w:r w:rsidR="004E448D">
              <w:rPr>
                <w:rFonts w:ascii="Arial" w:hAnsi="Arial" w:cs="Arial"/>
                <w:sz w:val="20"/>
                <w:szCs w:val="20"/>
              </w:rPr>
              <w:t>IV</w:t>
            </w:r>
            <w:r w:rsidR="0033520B">
              <w:rPr>
                <w:rFonts w:ascii="Arial" w:hAnsi="Arial" w:cs="Arial"/>
                <w:sz w:val="20"/>
                <w:szCs w:val="20"/>
              </w:rPr>
              <w:t xml:space="preserve"> </w:t>
            </w:r>
            <w:r w:rsidRPr="00D33C30">
              <w:rPr>
                <w:rFonts w:ascii="Arial" w:hAnsi="Arial" w:cs="Arial"/>
                <w:sz w:val="20"/>
                <w:szCs w:val="20"/>
              </w:rPr>
              <w:t xml:space="preserve">on day 1 and day </w:t>
            </w:r>
            <w:r w:rsidR="00782B5E">
              <w:rPr>
                <w:rFonts w:ascii="Arial" w:hAnsi="Arial" w:cs="Arial"/>
                <w:sz w:val="20"/>
                <w:szCs w:val="20"/>
              </w:rPr>
              <w:t>15</w:t>
            </w:r>
            <w:r w:rsidRPr="00D33C30">
              <w:rPr>
                <w:rFonts w:ascii="Arial" w:hAnsi="Arial" w:cs="Arial"/>
                <w:sz w:val="20"/>
                <w:szCs w:val="20"/>
              </w:rPr>
              <w:t xml:space="preserve"> of each cycle</w:t>
            </w:r>
          </w:p>
          <w:p w14:paraId="59CE79FE" w14:textId="77777777" w:rsidR="004E448D" w:rsidRPr="00D33C30" w:rsidRDefault="004E448D" w:rsidP="004E448D">
            <w:pPr>
              <w:snapToGrid w:val="0"/>
              <w:ind w:left="317"/>
              <w:jc w:val="both"/>
              <w:rPr>
                <w:rFonts w:ascii="Arial" w:hAnsi="Arial" w:cs="Arial"/>
                <w:sz w:val="20"/>
                <w:szCs w:val="20"/>
              </w:rPr>
            </w:pPr>
          </w:p>
          <w:p w14:paraId="612AF956" w14:textId="77777777" w:rsidR="00DA67E8" w:rsidRDefault="00DA67E8" w:rsidP="00D33C30">
            <w:pPr>
              <w:snapToGrid w:val="0"/>
              <w:jc w:val="both"/>
              <w:rPr>
                <w:rFonts w:ascii="Arial" w:hAnsi="Arial" w:cs="Arial"/>
                <w:sz w:val="20"/>
                <w:szCs w:val="20"/>
              </w:rPr>
            </w:pPr>
            <w:r w:rsidRPr="00D33C30">
              <w:rPr>
                <w:rFonts w:ascii="Arial" w:hAnsi="Arial" w:cs="Arial"/>
                <w:sz w:val="20"/>
                <w:szCs w:val="20"/>
              </w:rPr>
              <w:t>All patients in each cohort will receive pemetrexed (500mg/m</w:t>
            </w:r>
            <w:r w:rsidRPr="00D33C30">
              <w:rPr>
                <w:rFonts w:ascii="Arial" w:hAnsi="Arial" w:cs="Arial"/>
                <w:sz w:val="20"/>
                <w:szCs w:val="20"/>
                <w:vertAlign w:val="superscript"/>
              </w:rPr>
              <w:t>2</w:t>
            </w:r>
            <w:r w:rsidR="00602586">
              <w:rPr>
                <w:rFonts w:ascii="Arial" w:hAnsi="Arial" w:cs="Arial"/>
                <w:sz w:val="20"/>
                <w:szCs w:val="20"/>
                <w:vertAlign w:val="superscript"/>
              </w:rPr>
              <w:t xml:space="preserve"> </w:t>
            </w:r>
            <w:r>
              <w:rPr>
                <w:rFonts w:ascii="Arial" w:hAnsi="Arial" w:cs="Arial"/>
                <w:sz w:val="20"/>
                <w:szCs w:val="20"/>
              </w:rPr>
              <w:t>IV</w:t>
            </w:r>
            <w:r w:rsidRPr="00D33C30">
              <w:rPr>
                <w:rFonts w:ascii="Arial" w:hAnsi="Arial" w:cs="Arial"/>
                <w:sz w:val="20"/>
                <w:szCs w:val="20"/>
              </w:rPr>
              <w:t xml:space="preserve"> on Day 1 every 21 days with vitamin B</w:t>
            </w:r>
            <w:r w:rsidRPr="00D33C30">
              <w:rPr>
                <w:rFonts w:ascii="Arial" w:hAnsi="Arial" w:cs="Arial"/>
                <w:sz w:val="20"/>
                <w:szCs w:val="20"/>
                <w:vertAlign w:val="subscript"/>
              </w:rPr>
              <w:t>12</w:t>
            </w:r>
            <w:r w:rsidRPr="00D33C30">
              <w:rPr>
                <w:rFonts w:ascii="Arial" w:hAnsi="Arial" w:cs="Arial"/>
                <w:sz w:val="20"/>
                <w:szCs w:val="20"/>
              </w:rPr>
              <w:t xml:space="preserve"> and folate supplementation as standard) and cisplatin 75mg/m</w:t>
            </w:r>
            <w:r w:rsidRPr="00D33C30">
              <w:rPr>
                <w:rFonts w:ascii="Arial" w:hAnsi="Arial" w:cs="Arial"/>
                <w:sz w:val="20"/>
                <w:szCs w:val="20"/>
                <w:vertAlign w:val="superscript"/>
              </w:rPr>
              <w:t>2</w:t>
            </w:r>
            <w:r>
              <w:rPr>
                <w:rFonts w:ascii="Arial" w:hAnsi="Arial" w:cs="Arial"/>
                <w:sz w:val="20"/>
                <w:szCs w:val="20"/>
              </w:rPr>
              <w:t xml:space="preserve"> IV</w:t>
            </w:r>
            <w:r w:rsidRPr="00D33C30">
              <w:rPr>
                <w:rFonts w:ascii="Arial" w:hAnsi="Arial" w:cs="Arial"/>
                <w:sz w:val="20"/>
                <w:szCs w:val="20"/>
              </w:rPr>
              <w:t xml:space="preserve"> day 1 every 21 days.</w:t>
            </w:r>
          </w:p>
          <w:p w14:paraId="48AC3FF1" w14:textId="77777777" w:rsidR="00DC36EF" w:rsidRDefault="00DC36EF" w:rsidP="00D33C30">
            <w:pPr>
              <w:snapToGrid w:val="0"/>
              <w:jc w:val="both"/>
              <w:rPr>
                <w:rFonts w:ascii="Arial" w:hAnsi="Arial" w:cs="Arial"/>
                <w:sz w:val="20"/>
                <w:szCs w:val="20"/>
              </w:rPr>
            </w:pPr>
          </w:p>
          <w:p w14:paraId="131DE961" w14:textId="77777777" w:rsidR="00177946" w:rsidRDefault="00177946" w:rsidP="00D33C30">
            <w:pPr>
              <w:snapToGrid w:val="0"/>
              <w:jc w:val="both"/>
              <w:rPr>
                <w:rFonts w:ascii="Arial" w:hAnsi="Arial" w:cs="Arial"/>
                <w:sz w:val="20"/>
                <w:szCs w:val="20"/>
              </w:rPr>
            </w:pPr>
            <w:r>
              <w:rPr>
                <w:rFonts w:ascii="Arial" w:hAnsi="Arial" w:cs="Arial"/>
                <w:sz w:val="20"/>
                <w:szCs w:val="20"/>
              </w:rPr>
              <w:t>Additional patients will be treated with ganetespib and pemetrexed/carboplatin in an accelerated titrated design, to confirm the MTD in patients given carboplatin instead of cisplatin</w:t>
            </w:r>
          </w:p>
          <w:p w14:paraId="7D8EE622" w14:textId="77777777" w:rsidR="00DA67E8" w:rsidRDefault="00781D7F" w:rsidP="00D33C30">
            <w:pPr>
              <w:snapToGrid w:val="0"/>
              <w:jc w:val="both"/>
              <w:rPr>
                <w:rFonts w:ascii="Arial" w:hAnsi="Arial" w:cs="Arial"/>
                <w:sz w:val="20"/>
                <w:szCs w:val="20"/>
              </w:rPr>
            </w:pPr>
            <w:r w:rsidDel="00781D7F">
              <w:rPr>
                <w:rFonts w:ascii="Arial" w:hAnsi="Arial" w:cs="Arial"/>
                <w:sz w:val="20"/>
                <w:szCs w:val="20"/>
              </w:rPr>
              <w:t xml:space="preserve"> </w:t>
            </w:r>
          </w:p>
          <w:p w14:paraId="6E1F9385" w14:textId="77777777" w:rsidR="00DA67E8" w:rsidRPr="004B7CD3" w:rsidRDefault="00DA67E8" w:rsidP="004B7CD3">
            <w:pPr>
              <w:pStyle w:val="BodyText12"/>
              <w:keepNext/>
              <w:keepLines/>
              <w:spacing w:after="0" w:line="240" w:lineRule="auto"/>
              <w:ind w:left="0" w:right="33"/>
              <w:rPr>
                <w:rFonts w:ascii="Arial" w:hAnsi="Arial" w:cs="Arial"/>
                <w:b/>
                <w:color w:val="000000"/>
                <w:sz w:val="20"/>
                <w:szCs w:val="20"/>
                <w:lang w:val="en-GB"/>
              </w:rPr>
            </w:pPr>
            <w:r w:rsidRPr="004B7CD3">
              <w:rPr>
                <w:rFonts w:ascii="Arial" w:hAnsi="Arial" w:cs="Arial"/>
                <w:b/>
                <w:color w:val="000000"/>
                <w:sz w:val="20"/>
                <w:szCs w:val="20"/>
                <w:lang w:val="en-GB"/>
              </w:rPr>
              <w:lastRenderedPageBreak/>
              <w:t>Randomised phase II</w:t>
            </w:r>
          </w:p>
          <w:p w14:paraId="4C6B482E" w14:textId="77777777" w:rsidR="00DA67E8" w:rsidRPr="004B7CD3" w:rsidRDefault="00DA67E8" w:rsidP="004B7CD3">
            <w:pPr>
              <w:pStyle w:val="BodyText12"/>
              <w:keepNext/>
              <w:keepLines/>
              <w:spacing w:after="0" w:line="240" w:lineRule="auto"/>
              <w:ind w:left="0" w:right="33"/>
              <w:rPr>
                <w:rFonts w:ascii="Arial" w:hAnsi="Arial" w:cs="Arial"/>
                <w:color w:val="000000"/>
                <w:sz w:val="20"/>
                <w:szCs w:val="20"/>
                <w:lang w:val="en-GB"/>
              </w:rPr>
            </w:pPr>
            <w:r w:rsidRPr="004B7CD3">
              <w:rPr>
                <w:rFonts w:ascii="Arial" w:hAnsi="Arial" w:cs="Arial"/>
                <w:b/>
                <w:color w:val="000000"/>
                <w:sz w:val="20"/>
                <w:szCs w:val="20"/>
                <w:lang w:val="en-GB"/>
              </w:rPr>
              <w:t>Arm A:</w:t>
            </w:r>
            <w:r w:rsidRPr="004B7CD3">
              <w:rPr>
                <w:rFonts w:ascii="Arial" w:hAnsi="Arial" w:cs="Arial"/>
                <w:color w:val="000000"/>
                <w:sz w:val="20"/>
                <w:szCs w:val="20"/>
                <w:lang w:val="en-GB"/>
              </w:rPr>
              <w:t xml:space="preserve"> Patients will receive pemetrexed (500mg/m</w:t>
            </w:r>
            <w:r w:rsidRPr="004B7CD3">
              <w:rPr>
                <w:rFonts w:ascii="Arial" w:hAnsi="Arial" w:cs="Arial"/>
                <w:color w:val="000000"/>
                <w:sz w:val="20"/>
                <w:szCs w:val="20"/>
                <w:vertAlign w:val="superscript"/>
                <w:lang w:val="en-GB"/>
              </w:rPr>
              <w:t>2</w:t>
            </w:r>
            <w:r w:rsidR="00602586">
              <w:rPr>
                <w:rFonts w:ascii="Arial" w:hAnsi="Arial" w:cs="Arial"/>
                <w:color w:val="000000"/>
                <w:sz w:val="20"/>
                <w:szCs w:val="20"/>
                <w:vertAlign w:val="superscript"/>
                <w:lang w:val="en-GB"/>
              </w:rPr>
              <w:t xml:space="preserve"> </w:t>
            </w:r>
            <w:r>
              <w:rPr>
                <w:rFonts w:ascii="Arial" w:hAnsi="Arial" w:cs="Arial"/>
                <w:color w:val="000000"/>
                <w:sz w:val="20"/>
                <w:szCs w:val="20"/>
                <w:lang w:val="en-GB"/>
              </w:rPr>
              <w:t xml:space="preserve">IV </w:t>
            </w:r>
            <w:r w:rsidRPr="004B7CD3">
              <w:rPr>
                <w:rFonts w:ascii="Arial" w:hAnsi="Arial" w:cs="Arial"/>
                <w:color w:val="000000"/>
                <w:sz w:val="20"/>
                <w:szCs w:val="20"/>
                <w:lang w:val="en-GB"/>
              </w:rPr>
              <w:t>day 1 with vitamin B</w:t>
            </w:r>
            <w:r w:rsidRPr="004B7CD3">
              <w:rPr>
                <w:rFonts w:ascii="Arial" w:hAnsi="Arial" w:cs="Arial"/>
                <w:color w:val="000000"/>
                <w:sz w:val="20"/>
                <w:szCs w:val="20"/>
                <w:vertAlign w:val="subscript"/>
                <w:lang w:val="en-GB"/>
              </w:rPr>
              <w:t>12</w:t>
            </w:r>
            <w:r w:rsidRPr="004B7CD3">
              <w:rPr>
                <w:rFonts w:ascii="Arial" w:hAnsi="Arial" w:cs="Arial"/>
                <w:color w:val="000000"/>
                <w:sz w:val="20"/>
                <w:szCs w:val="20"/>
                <w:lang w:val="en-GB"/>
              </w:rPr>
              <w:t>/folate supplementation), cisplatin (75mg/m</w:t>
            </w:r>
            <w:r w:rsidRPr="004B7CD3">
              <w:rPr>
                <w:rFonts w:ascii="Arial" w:hAnsi="Arial" w:cs="Arial"/>
                <w:color w:val="000000"/>
                <w:sz w:val="20"/>
                <w:szCs w:val="20"/>
                <w:vertAlign w:val="superscript"/>
                <w:lang w:val="en-GB"/>
              </w:rPr>
              <w:t>2</w:t>
            </w:r>
            <w:r w:rsidR="00602586">
              <w:rPr>
                <w:rFonts w:ascii="Arial" w:hAnsi="Arial" w:cs="Arial"/>
                <w:color w:val="000000"/>
                <w:sz w:val="20"/>
                <w:szCs w:val="20"/>
                <w:vertAlign w:val="superscript"/>
                <w:lang w:val="en-GB"/>
              </w:rPr>
              <w:t xml:space="preserve"> </w:t>
            </w:r>
            <w:r>
              <w:rPr>
                <w:rFonts w:ascii="Arial" w:hAnsi="Arial" w:cs="Arial"/>
                <w:color w:val="000000"/>
                <w:sz w:val="20"/>
                <w:szCs w:val="20"/>
                <w:lang w:val="en-GB"/>
              </w:rPr>
              <w:t>IV day 1)</w:t>
            </w:r>
            <w:r w:rsidR="00DC36EF">
              <w:rPr>
                <w:rFonts w:ascii="Arial" w:hAnsi="Arial" w:cs="Arial"/>
                <w:color w:val="000000"/>
                <w:sz w:val="20"/>
                <w:szCs w:val="20"/>
                <w:lang w:val="en-GB"/>
              </w:rPr>
              <w:t xml:space="preserve"> or carboplatin (</w:t>
            </w:r>
            <w:r w:rsidR="00782322">
              <w:rPr>
                <w:rFonts w:ascii="Arial" w:hAnsi="Arial" w:cs="Arial"/>
                <w:color w:val="000000"/>
                <w:sz w:val="20"/>
                <w:szCs w:val="20"/>
                <w:lang w:val="en-GB"/>
              </w:rPr>
              <w:t>AUC5</w:t>
            </w:r>
            <w:r w:rsidR="00DC36EF">
              <w:rPr>
                <w:rFonts w:ascii="Arial" w:hAnsi="Arial" w:cs="Arial"/>
                <w:color w:val="000000"/>
                <w:sz w:val="20"/>
                <w:szCs w:val="20"/>
                <w:lang w:val="en-GB"/>
              </w:rPr>
              <w:t>)</w:t>
            </w:r>
            <w:r>
              <w:rPr>
                <w:rFonts w:ascii="Arial" w:hAnsi="Arial" w:cs="Arial"/>
                <w:color w:val="000000"/>
                <w:sz w:val="20"/>
                <w:szCs w:val="20"/>
                <w:lang w:val="en-GB"/>
              </w:rPr>
              <w:t>, and ganetespib</w:t>
            </w:r>
            <w:r w:rsidRPr="004B7CD3">
              <w:rPr>
                <w:rFonts w:ascii="Arial" w:hAnsi="Arial" w:cs="Arial"/>
                <w:color w:val="000000"/>
                <w:sz w:val="20"/>
                <w:szCs w:val="20"/>
                <w:lang w:val="en-GB"/>
              </w:rPr>
              <w:t xml:space="preserve"> (</w:t>
            </w:r>
            <w:r w:rsidRPr="004B7CD3">
              <w:rPr>
                <w:rFonts w:ascii="Arial" w:hAnsi="Arial" w:cs="Arial"/>
                <w:sz w:val="20"/>
                <w:szCs w:val="20"/>
              </w:rPr>
              <w:t>using the dose and schedule from Phase I) every three weeks</w:t>
            </w:r>
            <w:r w:rsidRPr="004B7CD3">
              <w:rPr>
                <w:rFonts w:ascii="Arial" w:hAnsi="Arial" w:cs="Arial"/>
                <w:color w:val="000000"/>
                <w:sz w:val="20"/>
                <w:szCs w:val="20"/>
                <w:lang w:val="en-GB"/>
              </w:rPr>
              <w:t>. Chemotherapy will continue for a maximum of 6 cycles, unless the patient has disease progression, toxicity, or withdraws from the trial.</w:t>
            </w:r>
            <w:r w:rsidR="00B07BC6">
              <w:rPr>
                <w:rFonts w:ascii="Arial" w:hAnsi="Arial" w:cs="Arial"/>
                <w:color w:val="000000"/>
                <w:sz w:val="20"/>
                <w:szCs w:val="20"/>
                <w:lang w:val="en-GB"/>
              </w:rPr>
              <w:t xml:space="preserve"> </w:t>
            </w:r>
          </w:p>
          <w:p w14:paraId="4ABCF815" w14:textId="77777777" w:rsidR="00DA67E8" w:rsidRDefault="00DA67E8" w:rsidP="00781D7F">
            <w:pPr>
              <w:spacing w:after="40"/>
              <w:jc w:val="both"/>
              <w:rPr>
                <w:rFonts w:ascii="Arial" w:hAnsi="Arial" w:cs="Arial"/>
                <w:sz w:val="20"/>
                <w:szCs w:val="20"/>
              </w:rPr>
            </w:pPr>
            <w:r w:rsidRPr="004B7CD3">
              <w:rPr>
                <w:rFonts w:ascii="Arial" w:hAnsi="Arial" w:cs="Arial"/>
                <w:b/>
                <w:sz w:val="20"/>
                <w:szCs w:val="20"/>
              </w:rPr>
              <w:t>Arm B</w:t>
            </w:r>
            <w:r w:rsidRPr="004B7CD3">
              <w:rPr>
                <w:rFonts w:ascii="Arial" w:hAnsi="Arial" w:cs="Arial"/>
                <w:sz w:val="20"/>
                <w:szCs w:val="20"/>
              </w:rPr>
              <w:t>: Patients will receive pemetrexed</w:t>
            </w:r>
            <w:r w:rsidR="00602586">
              <w:rPr>
                <w:rFonts w:ascii="Arial" w:hAnsi="Arial" w:cs="Arial"/>
                <w:sz w:val="20"/>
                <w:szCs w:val="20"/>
              </w:rPr>
              <w:t>/</w:t>
            </w:r>
            <w:r w:rsidR="00781D7F">
              <w:rPr>
                <w:rFonts w:ascii="Arial" w:hAnsi="Arial" w:cs="Arial"/>
                <w:sz w:val="20"/>
                <w:szCs w:val="20"/>
              </w:rPr>
              <w:t>platinum</w:t>
            </w:r>
            <w:r w:rsidRPr="004B7CD3">
              <w:rPr>
                <w:rFonts w:ascii="Arial" w:hAnsi="Arial" w:cs="Arial"/>
                <w:sz w:val="20"/>
                <w:szCs w:val="20"/>
              </w:rPr>
              <w:t xml:space="preserve"> </w:t>
            </w:r>
            <w:r w:rsidR="001A432C">
              <w:rPr>
                <w:rFonts w:ascii="Arial" w:hAnsi="Arial" w:cs="Arial"/>
                <w:sz w:val="20"/>
                <w:szCs w:val="20"/>
              </w:rPr>
              <w:t xml:space="preserve">(cis or carbo) </w:t>
            </w:r>
            <w:r w:rsidRPr="004B7CD3">
              <w:rPr>
                <w:rFonts w:ascii="Arial" w:hAnsi="Arial" w:cs="Arial"/>
                <w:sz w:val="20"/>
                <w:szCs w:val="20"/>
              </w:rPr>
              <w:t>for a maximum of 6 cycles (as in Arm A).</w:t>
            </w:r>
          </w:p>
          <w:p w14:paraId="4E8622A2" w14:textId="77777777" w:rsidR="00B07BC6" w:rsidRPr="00D33C30" w:rsidRDefault="00B07BC6" w:rsidP="00781D7F">
            <w:pPr>
              <w:spacing w:after="40"/>
              <w:jc w:val="both"/>
              <w:rPr>
                <w:rFonts w:ascii="Arial" w:hAnsi="Arial" w:cs="Arial"/>
                <w:b/>
                <w:bCs/>
                <w:i/>
                <w:iCs/>
                <w:color w:val="0000FF"/>
                <w:sz w:val="20"/>
                <w:szCs w:val="20"/>
              </w:rPr>
            </w:pPr>
          </w:p>
        </w:tc>
      </w:tr>
      <w:tr w:rsidR="00DA67E8" w:rsidRPr="00A23D8C" w14:paraId="17D0C029" w14:textId="77777777" w:rsidTr="00552938">
        <w:tc>
          <w:tcPr>
            <w:tcW w:w="3639" w:type="dxa"/>
          </w:tcPr>
          <w:p w14:paraId="05F433CE" w14:textId="77777777" w:rsidR="00DA67E8" w:rsidRPr="00D33C30" w:rsidRDefault="00DA67E8" w:rsidP="00A54FF3">
            <w:pPr>
              <w:rPr>
                <w:rFonts w:ascii="Arial" w:hAnsi="Arial" w:cs="Arial"/>
                <w:sz w:val="20"/>
                <w:szCs w:val="20"/>
              </w:rPr>
            </w:pPr>
            <w:r w:rsidRPr="00D33C30">
              <w:rPr>
                <w:rFonts w:ascii="Arial" w:hAnsi="Arial" w:cs="Arial"/>
                <w:b/>
                <w:bCs/>
                <w:sz w:val="20"/>
                <w:szCs w:val="20"/>
              </w:rPr>
              <w:lastRenderedPageBreak/>
              <w:t>Anticipated duration of recruitment:</w:t>
            </w:r>
          </w:p>
        </w:tc>
        <w:tc>
          <w:tcPr>
            <w:tcW w:w="5507" w:type="dxa"/>
          </w:tcPr>
          <w:p w14:paraId="04741F29" w14:textId="77777777" w:rsidR="00DA67E8" w:rsidRPr="00D33C30" w:rsidRDefault="00DA67E8" w:rsidP="005A6367">
            <w:pPr>
              <w:pStyle w:val="letterindent"/>
              <w:widowControl/>
              <w:numPr>
                <w:ilvl w:val="0"/>
                <w:numId w:val="0"/>
              </w:numPr>
              <w:spacing w:before="40"/>
              <w:rPr>
                <w:rFonts w:ascii="Arial" w:hAnsi="Arial" w:cs="Arial"/>
                <w:sz w:val="20"/>
                <w:szCs w:val="20"/>
                <w:lang w:val="en-GB"/>
              </w:rPr>
            </w:pPr>
            <w:r w:rsidRPr="00D33C30">
              <w:rPr>
                <w:rFonts w:ascii="Arial" w:hAnsi="Arial" w:cs="Arial"/>
                <w:sz w:val="20"/>
                <w:szCs w:val="20"/>
                <w:lang w:val="en-GB"/>
              </w:rPr>
              <w:t xml:space="preserve">Phase I: 6 months </w:t>
            </w:r>
          </w:p>
          <w:p w14:paraId="75DC19A5" w14:textId="77777777" w:rsidR="00DA67E8" w:rsidRPr="00D33C30" w:rsidRDefault="00DA67E8" w:rsidP="005A6367">
            <w:pPr>
              <w:spacing w:after="40"/>
              <w:jc w:val="both"/>
              <w:rPr>
                <w:rFonts w:ascii="Arial" w:hAnsi="Arial" w:cs="Arial"/>
                <w:b/>
                <w:bCs/>
                <w:i/>
                <w:iCs/>
                <w:color w:val="0000FF"/>
                <w:sz w:val="20"/>
                <w:szCs w:val="20"/>
              </w:rPr>
            </w:pPr>
            <w:r w:rsidRPr="00D33C30">
              <w:rPr>
                <w:rFonts w:ascii="Arial" w:hAnsi="Arial" w:cs="Arial"/>
                <w:sz w:val="20"/>
                <w:szCs w:val="20"/>
              </w:rPr>
              <w:t xml:space="preserve">Phase II: 24 months </w:t>
            </w:r>
          </w:p>
        </w:tc>
      </w:tr>
      <w:tr w:rsidR="00DA67E8" w:rsidRPr="00A23D8C" w14:paraId="59E95D4F" w14:textId="77777777" w:rsidTr="00552938">
        <w:tc>
          <w:tcPr>
            <w:tcW w:w="3639" w:type="dxa"/>
          </w:tcPr>
          <w:p w14:paraId="3E68AA0E" w14:textId="77777777" w:rsidR="00DA67E8" w:rsidRPr="00D33C30" w:rsidRDefault="00DA67E8" w:rsidP="00A54FF3">
            <w:pPr>
              <w:rPr>
                <w:rFonts w:ascii="Arial" w:hAnsi="Arial" w:cs="Arial"/>
                <w:sz w:val="20"/>
                <w:szCs w:val="20"/>
              </w:rPr>
            </w:pPr>
            <w:r w:rsidRPr="00D33C30">
              <w:rPr>
                <w:rFonts w:ascii="Arial" w:hAnsi="Arial" w:cs="Arial"/>
                <w:b/>
                <w:bCs/>
                <w:sz w:val="20"/>
                <w:szCs w:val="20"/>
              </w:rPr>
              <w:t>Duration of patient follow up:</w:t>
            </w:r>
          </w:p>
        </w:tc>
        <w:tc>
          <w:tcPr>
            <w:tcW w:w="5507" w:type="dxa"/>
          </w:tcPr>
          <w:p w14:paraId="5050A7A9" w14:textId="77777777" w:rsidR="00DA67E8" w:rsidRPr="00D33C30" w:rsidRDefault="00DA67E8" w:rsidP="005A6367">
            <w:pPr>
              <w:spacing w:before="40"/>
              <w:jc w:val="both"/>
              <w:rPr>
                <w:rFonts w:ascii="Arial" w:hAnsi="Arial" w:cs="Arial"/>
                <w:color w:val="000000"/>
                <w:sz w:val="20"/>
                <w:szCs w:val="20"/>
              </w:rPr>
            </w:pPr>
            <w:r w:rsidRPr="00D33C30">
              <w:rPr>
                <w:rFonts w:ascii="Arial" w:hAnsi="Arial" w:cs="Arial"/>
                <w:color w:val="000000"/>
                <w:sz w:val="20"/>
                <w:szCs w:val="20"/>
              </w:rPr>
              <w:t xml:space="preserve">Phase </w:t>
            </w:r>
            <w:r>
              <w:rPr>
                <w:rFonts w:ascii="Arial" w:hAnsi="Arial" w:cs="Arial"/>
                <w:color w:val="000000"/>
                <w:sz w:val="20"/>
                <w:szCs w:val="20"/>
              </w:rPr>
              <w:t>I: last assessment 30 d</w:t>
            </w:r>
            <w:r w:rsidRPr="00D33C30">
              <w:rPr>
                <w:rFonts w:ascii="Arial" w:hAnsi="Arial" w:cs="Arial"/>
                <w:color w:val="000000"/>
                <w:sz w:val="20"/>
                <w:szCs w:val="20"/>
              </w:rPr>
              <w:t xml:space="preserve">ays after </w:t>
            </w:r>
            <w:r>
              <w:rPr>
                <w:rFonts w:ascii="Arial" w:hAnsi="Arial" w:cs="Arial"/>
                <w:color w:val="000000"/>
                <w:sz w:val="20"/>
                <w:szCs w:val="20"/>
              </w:rPr>
              <w:t>Day 21 of the last chemotherapy</w:t>
            </w:r>
            <w:r w:rsidRPr="00D33C30">
              <w:rPr>
                <w:rFonts w:ascii="Arial" w:hAnsi="Arial" w:cs="Arial"/>
                <w:color w:val="000000"/>
                <w:sz w:val="20"/>
                <w:szCs w:val="20"/>
              </w:rPr>
              <w:t>.</w:t>
            </w:r>
          </w:p>
          <w:p w14:paraId="413CF0A9" w14:textId="77777777" w:rsidR="00DA67E8" w:rsidRPr="00D33C30" w:rsidRDefault="00DA67E8" w:rsidP="005A6367">
            <w:pPr>
              <w:spacing w:after="40"/>
              <w:jc w:val="both"/>
              <w:rPr>
                <w:rFonts w:ascii="Arial" w:hAnsi="Arial" w:cs="Arial"/>
                <w:b/>
                <w:bCs/>
                <w:i/>
                <w:iCs/>
                <w:color w:val="0000FF"/>
                <w:sz w:val="20"/>
                <w:szCs w:val="20"/>
              </w:rPr>
            </w:pPr>
            <w:r w:rsidRPr="00D33C30">
              <w:rPr>
                <w:rFonts w:ascii="Arial" w:hAnsi="Arial" w:cs="Arial"/>
                <w:color w:val="000000"/>
                <w:sz w:val="20"/>
                <w:szCs w:val="20"/>
              </w:rPr>
              <w:t xml:space="preserve">Phase II: patients will be followed-up until death or the trial results are </w:t>
            </w:r>
            <w:r>
              <w:rPr>
                <w:rFonts w:ascii="Arial" w:hAnsi="Arial" w:cs="Arial"/>
                <w:color w:val="000000"/>
                <w:sz w:val="20"/>
                <w:szCs w:val="20"/>
              </w:rPr>
              <w:t>available</w:t>
            </w:r>
            <w:r w:rsidRPr="00D33C30">
              <w:rPr>
                <w:rFonts w:ascii="Arial" w:hAnsi="Arial" w:cs="Arial"/>
                <w:color w:val="000000"/>
                <w:sz w:val="20"/>
                <w:szCs w:val="20"/>
              </w:rPr>
              <w:t>.</w:t>
            </w:r>
          </w:p>
        </w:tc>
      </w:tr>
      <w:tr w:rsidR="00DA67E8" w:rsidRPr="00A23D8C" w14:paraId="4A9EA342" w14:textId="77777777" w:rsidTr="00552938">
        <w:tc>
          <w:tcPr>
            <w:tcW w:w="3639" w:type="dxa"/>
          </w:tcPr>
          <w:p w14:paraId="68AD7856" w14:textId="46EC6F3E" w:rsidR="00DA67E8" w:rsidRPr="00D33C30" w:rsidRDefault="00DA67E8" w:rsidP="008B2A77">
            <w:pPr>
              <w:rPr>
                <w:rFonts w:ascii="Arial" w:hAnsi="Arial" w:cs="Arial"/>
                <w:sz w:val="20"/>
                <w:szCs w:val="20"/>
              </w:rPr>
            </w:pPr>
            <w:r w:rsidRPr="00D33C30">
              <w:rPr>
                <w:rFonts w:ascii="Arial" w:hAnsi="Arial" w:cs="Arial"/>
                <w:b/>
                <w:sz w:val="20"/>
                <w:szCs w:val="20"/>
              </w:rPr>
              <w:t>Definition of end of trial</w:t>
            </w:r>
            <w:r>
              <w:rPr>
                <w:rFonts w:ascii="Arial" w:hAnsi="Arial" w:cs="Arial"/>
                <w:b/>
                <w:sz w:val="20"/>
                <w:szCs w:val="20"/>
              </w:rPr>
              <w:t xml:space="preserve"> </w:t>
            </w:r>
            <w:r w:rsidRPr="00D33C30">
              <w:rPr>
                <w:rFonts w:ascii="Arial" w:hAnsi="Arial" w:cs="Arial"/>
                <w:b/>
                <w:sz w:val="20"/>
                <w:szCs w:val="20"/>
              </w:rPr>
              <w:t>:</w:t>
            </w:r>
          </w:p>
        </w:tc>
        <w:tc>
          <w:tcPr>
            <w:tcW w:w="5507" w:type="dxa"/>
          </w:tcPr>
          <w:p w14:paraId="4296F20F" w14:textId="662FFFC0" w:rsidR="008B2A77" w:rsidRPr="00FA4B64" w:rsidRDefault="008B2A77" w:rsidP="008B2A77">
            <w:pPr>
              <w:pStyle w:val="ProtTempparagraph"/>
              <w:spacing w:before="240" w:after="60"/>
              <w:rPr>
                <w:sz w:val="22"/>
                <w:szCs w:val="22"/>
              </w:rPr>
            </w:pPr>
            <w:r>
              <w:rPr>
                <w:sz w:val="20"/>
                <w:szCs w:val="20"/>
              </w:rPr>
              <w:t>As t</w:t>
            </w:r>
            <w:r w:rsidR="00495549" w:rsidRPr="00495549">
              <w:rPr>
                <w:sz w:val="20"/>
                <w:szCs w:val="20"/>
              </w:rPr>
              <w:t>he trial will no longer proceed to phase II following the busi</w:t>
            </w:r>
            <w:r w:rsidR="00495549">
              <w:rPr>
                <w:sz w:val="20"/>
                <w:szCs w:val="20"/>
              </w:rPr>
              <w:t>ness decision by Madrigal Pharma</w:t>
            </w:r>
            <w:r w:rsidR="00495549" w:rsidRPr="00495549">
              <w:rPr>
                <w:sz w:val="20"/>
                <w:szCs w:val="20"/>
              </w:rPr>
              <w:t>ceuticals Inc</w:t>
            </w:r>
            <w:r w:rsidR="00B90009">
              <w:rPr>
                <w:sz w:val="20"/>
                <w:szCs w:val="20"/>
              </w:rPr>
              <w:t>.</w:t>
            </w:r>
            <w:r w:rsidR="00495549" w:rsidRPr="00495549">
              <w:rPr>
                <w:sz w:val="20"/>
                <w:szCs w:val="20"/>
              </w:rPr>
              <w:t xml:space="preserve"> (formerly </w:t>
            </w:r>
            <w:proofErr w:type="spellStart"/>
            <w:r w:rsidR="00495549" w:rsidRPr="00495549">
              <w:rPr>
                <w:sz w:val="20"/>
                <w:szCs w:val="20"/>
              </w:rPr>
              <w:t>Synta</w:t>
            </w:r>
            <w:proofErr w:type="spellEnd"/>
            <w:r w:rsidR="00495549" w:rsidRPr="00495549">
              <w:rPr>
                <w:sz w:val="20"/>
                <w:szCs w:val="20"/>
              </w:rPr>
              <w:t xml:space="preserve"> Pharmaceuticals Corp</w:t>
            </w:r>
            <w:r w:rsidR="00B90009">
              <w:rPr>
                <w:sz w:val="20"/>
                <w:szCs w:val="20"/>
              </w:rPr>
              <w:t>.</w:t>
            </w:r>
            <w:r w:rsidR="00495549" w:rsidRPr="00495549">
              <w:rPr>
                <w:sz w:val="20"/>
                <w:szCs w:val="20"/>
              </w:rPr>
              <w:t>) to cease development of ganetespib in this population</w:t>
            </w:r>
            <w:r w:rsidR="00876A94">
              <w:rPr>
                <w:sz w:val="20"/>
                <w:szCs w:val="20"/>
              </w:rPr>
              <w:t xml:space="preserve">, </w:t>
            </w:r>
            <w:r w:rsidRPr="008B2A77">
              <w:rPr>
                <w:sz w:val="20"/>
                <w:szCs w:val="20"/>
              </w:rPr>
              <w:t xml:space="preserve">the End </w:t>
            </w:r>
            <w:r w:rsidR="00537749">
              <w:rPr>
                <w:sz w:val="20"/>
                <w:szCs w:val="20"/>
              </w:rPr>
              <w:t>of Trial will now be defined as</w:t>
            </w:r>
            <w:r w:rsidR="00537749" w:rsidRPr="00D916FA">
              <w:rPr>
                <w:sz w:val="20"/>
              </w:rPr>
              <w:t xml:space="preserve"> </w:t>
            </w:r>
            <w:r w:rsidR="00C17504">
              <w:rPr>
                <w:sz w:val="20"/>
                <w:szCs w:val="20"/>
              </w:rPr>
              <w:t>12</w:t>
            </w:r>
            <w:r w:rsidR="00537749" w:rsidRPr="00D916FA">
              <w:rPr>
                <w:sz w:val="20"/>
              </w:rPr>
              <w:t xml:space="preserve"> months after </w:t>
            </w:r>
            <w:r w:rsidRPr="008B2A77">
              <w:rPr>
                <w:sz w:val="20"/>
                <w:szCs w:val="20"/>
              </w:rPr>
              <w:t>the last patient visit</w:t>
            </w:r>
            <w:r w:rsidRPr="00D916FA">
              <w:rPr>
                <w:sz w:val="20"/>
              </w:rPr>
              <w:t>.</w:t>
            </w:r>
          </w:p>
          <w:p w14:paraId="5E0D9875" w14:textId="297A6394" w:rsidR="00BC0CDE" w:rsidRPr="00D33C30" w:rsidRDefault="00BC0CDE" w:rsidP="005A6367">
            <w:pPr>
              <w:spacing w:before="40" w:after="40"/>
              <w:jc w:val="both"/>
              <w:rPr>
                <w:rFonts w:ascii="Arial" w:hAnsi="Arial" w:cs="Arial"/>
                <w:b/>
                <w:bCs/>
                <w:i/>
                <w:iCs/>
                <w:color w:val="0000FF"/>
                <w:sz w:val="20"/>
                <w:szCs w:val="20"/>
              </w:rPr>
            </w:pPr>
          </w:p>
        </w:tc>
      </w:tr>
      <w:tr w:rsidR="00DA67E8" w:rsidRPr="00A23D8C" w14:paraId="12DD607A" w14:textId="77777777" w:rsidTr="00552938">
        <w:tc>
          <w:tcPr>
            <w:tcW w:w="3639" w:type="dxa"/>
          </w:tcPr>
          <w:p w14:paraId="42EA0440" w14:textId="77777777" w:rsidR="00DA67E8" w:rsidRPr="00D33C30" w:rsidRDefault="00DA67E8" w:rsidP="00A54FF3">
            <w:pPr>
              <w:rPr>
                <w:rFonts w:ascii="Arial" w:hAnsi="Arial" w:cs="Arial"/>
                <w:sz w:val="20"/>
                <w:szCs w:val="20"/>
              </w:rPr>
            </w:pPr>
            <w:r w:rsidRPr="00D33C30">
              <w:rPr>
                <w:rFonts w:ascii="Arial" w:hAnsi="Arial" w:cs="Arial"/>
                <w:b/>
                <w:bCs/>
                <w:sz w:val="20"/>
                <w:szCs w:val="20"/>
              </w:rPr>
              <w:t>Translational component:</w:t>
            </w:r>
          </w:p>
        </w:tc>
        <w:tc>
          <w:tcPr>
            <w:tcW w:w="5507" w:type="dxa"/>
          </w:tcPr>
          <w:p w14:paraId="26B1ECF5" w14:textId="77777777" w:rsidR="00621BD4" w:rsidRDefault="00DA67E8" w:rsidP="00D65DE2">
            <w:pPr>
              <w:pStyle w:val="ListParagraph"/>
              <w:numPr>
                <w:ilvl w:val="0"/>
                <w:numId w:val="37"/>
              </w:numPr>
              <w:spacing w:before="40"/>
              <w:ind w:left="176" w:hanging="176"/>
              <w:jc w:val="both"/>
              <w:rPr>
                <w:rFonts w:ascii="Arial" w:hAnsi="Arial" w:cs="Arial"/>
                <w:sz w:val="20"/>
                <w:szCs w:val="20"/>
              </w:rPr>
            </w:pPr>
            <w:r w:rsidRPr="00D33C30">
              <w:rPr>
                <w:rFonts w:ascii="Arial" w:hAnsi="Arial" w:cs="Arial"/>
                <w:sz w:val="20"/>
                <w:szCs w:val="20"/>
              </w:rPr>
              <w:t xml:space="preserve">Formalin fixed paraffin embedded (FFPE) diagnostic tissue blocks will be collected from </w:t>
            </w:r>
            <w:r w:rsidRPr="00D33C30">
              <w:rPr>
                <w:rFonts w:ascii="Arial" w:hAnsi="Arial" w:cs="Arial"/>
                <w:b/>
                <w:sz w:val="20"/>
                <w:szCs w:val="20"/>
              </w:rPr>
              <w:t>all</w:t>
            </w:r>
            <w:r w:rsidRPr="00D33C30">
              <w:rPr>
                <w:rFonts w:ascii="Arial" w:hAnsi="Arial" w:cs="Arial"/>
                <w:sz w:val="20"/>
                <w:szCs w:val="20"/>
              </w:rPr>
              <w:t xml:space="preserve"> patients, where available, who are enrolled into this clinical trial</w:t>
            </w:r>
            <w:r>
              <w:rPr>
                <w:rFonts w:ascii="Arial" w:hAnsi="Arial" w:cs="Arial"/>
                <w:sz w:val="20"/>
                <w:szCs w:val="20"/>
              </w:rPr>
              <w:t xml:space="preserve"> (phase I and II)</w:t>
            </w:r>
            <w:r w:rsidR="00621BD4">
              <w:rPr>
                <w:rFonts w:ascii="Arial" w:hAnsi="Arial" w:cs="Arial"/>
                <w:sz w:val="20"/>
                <w:szCs w:val="20"/>
              </w:rPr>
              <w:t>.</w:t>
            </w:r>
          </w:p>
          <w:p w14:paraId="12DC4774" w14:textId="77777777" w:rsidR="00B07BC6" w:rsidRPr="00B07BC6" w:rsidRDefault="007D44A5" w:rsidP="00D65DE2">
            <w:pPr>
              <w:pStyle w:val="ListParagraph"/>
              <w:numPr>
                <w:ilvl w:val="0"/>
                <w:numId w:val="37"/>
              </w:numPr>
              <w:spacing w:before="40"/>
              <w:ind w:left="176" w:hanging="176"/>
              <w:jc w:val="both"/>
              <w:rPr>
                <w:rFonts w:ascii="Arial" w:hAnsi="Arial" w:cs="Arial"/>
                <w:sz w:val="20"/>
                <w:szCs w:val="20"/>
              </w:rPr>
            </w:pPr>
            <w:r>
              <w:rPr>
                <w:rFonts w:ascii="Arial" w:hAnsi="Arial" w:cs="Arial"/>
                <w:sz w:val="20"/>
                <w:szCs w:val="20"/>
              </w:rPr>
              <w:t>Blood samples will be obtained, at baseline and on progression, from all patients in the cisplatin</w:t>
            </w:r>
            <w:r w:rsidR="00B07BC6">
              <w:rPr>
                <w:rFonts w:ascii="Arial" w:hAnsi="Arial" w:cs="Arial"/>
                <w:sz w:val="20"/>
                <w:szCs w:val="20"/>
              </w:rPr>
              <w:t xml:space="preserve"> and carboplatin cohort used to confirm MTD</w:t>
            </w:r>
          </w:p>
          <w:p w14:paraId="27ADD574" w14:textId="77777777" w:rsidR="00621BD4" w:rsidRDefault="00471A15" w:rsidP="00D65DE2">
            <w:pPr>
              <w:pStyle w:val="ListParagraph"/>
              <w:numPr>
                <w:ilvl w:val="0"/>
                <w:numId w:val="37"/>
              </w:numPr>
              <w:spacing w:before="40"/>
              <w:ind w:left="176" w:hanging="176"/>
              <w:jc w:val="both"/>
              <w:rPr>
                <w:rFonts w:ascii="Arial" w:hAnsi="Arial" w:cs="Arial"/>
                <w:sz w:val="20"/>
                <w:szCs w:val="20"/>
              </w:rPr>
            </w:pPr>
            <w:r>
              <w:rPr>
                <w:rFonts w:ascii="Arial" w:hAnsi="Arial" w:cs="Arial"/>
                <w:sz w:val="20"/>
                <w:szCs w:val="20"/>
              </w:rPr>
              <w:t>B</w:t>
            </w:r>
            <w:r w:rsidR="00621BD4">
              <w:rPr>
                <w:rFonts w:ascii="Arial" w:hAnsi="Arial" w:cs="Arial"/>
                <w:sz w:val="20"/>
                <w:szCs w:val="20"/>
              </w:rPr>
              <w:t>lood sample</w:t>
            </w:r>
            <w:r>
              <w:rPr>
                <w:rFonts w:ascii="Arial" w:hAnsi="Arial" w:cs="Arial"/>
                <w:sz w:val="20"/>
                <w:szCs w:val="20"/>
              </w:rPr>
              <w:t>s</w:t>
            </w:r>
            <w:r w:rsidR="00621BD4">
              <w:rPr>
                <w:rFonts w:ascii="Arial" w:hAnsi="Arial" w:cs="Arial"/>
                <w:sz w:val="20"/>
                <w:szCs w:val="20"/>
              </w:rPr>
              <w:t xml:space="preserve"> will be obtained from all patients in the Phase II trial at baseline and on progression</w:t>
            </w:r>
            <w:r>
              <w:rPr>
                <w:rFonts w:ascii="Arial" w:hAnsi="Arial" w:cs="Arial"/>
                <w:sz w:val="20"/>
                <w:szCs w:val="20"/>
              </w:rPr>
              <w:t>.</w:t>
            </w:r>
          </w:p>
          <w:p w14:paraId="52E29257" w14:textId="77777777" w:rsidR="00621BD4" w:rsidRDefault="00621BD4" w:rsidP="00063086">
            <w:pPr>
              <w:pStyle w:val="ListParagraph"/>
              <w:ind w:left="0"/>
              <w:jc w:val="both"/>
              <w:rPr>
                <w:rFonts w:ascii="Arial" w:hAnsi="Arial" w:cs="Arial"/>
                <w:sz w:val="20"/>
                <w:szCs w:val="20"/>
              </w:rPr>
            </w:pPr>
          </w:p>
          <w:p w14:paraId="5914ED38" w14:textId="77777777" w:rsidR="00DA67E8" w:rsidRPr="00D33C30" w:rsidRDefault="00621BD4" w:rsidP="005A6367">
            <w:pPr>
              <w:pStyle w:val="ListParagraph"/>
              <w:spacing w:after="40"/>
              <w:ind w:left="176"/>
              <w:jc w:val="both"/>
              <w:rPr>
                <w:rFonts w:ascii="Arial" w:hAnsi="Arial" w:cs="Arial"/>
                <w:b/>
                <w:bCs/>
                <w:i/>
                <w:iCs/>
                <w:color w:val="0000FF"/>
                <w:sz w:val="20"/>
                <w:szCs w:val="20"/>
              </w:rPr>
            </w:pPr>
            <w:r>
              <w:rPr>
                <w:rFonts w:ascii="Arial" w:hAnsi="Arial" w:cs="Arial"/>
                <w:sz w:val="20"/>
                <w:szCs w:val="20"/>
              </w:rPr>
              <w:t xml:space="preserve">The collection of </w:t>
            </w:r>
            <w:r w:rsidR="00471A15">
              <w:rPr>
                <w:rFonts w:ascii="Arial" w:hAnsi="Arial" w:cs="Arial"/>
                <w:sz w:val="20"/>
                <w:szCs w:val="20"/>
              </w:rPr>
              <w:t>these samples</w:t>
            </w:r>
            <w:r>
              <w:rPr>
                <w:rFonts w:ascii="Arial" w:hAnsi="Arial" w:cs="Arial"/>
                <w:sz w:val="20"/>
                <w:szCs w:val="20"/>
              </w:rPr>
              <w:t xml:space="preserve"> will</w:t>
            </w:r>
            <w:r w:rsidR="00DA67E8" w:rsidRPr="00D33C30">
              <w:rPr>
                <w:rFonts w:ascii="Arial" w:hAnsi="Arial" w:cs="Arial"/>
                <w:sz w:val="20"/>
                <w:szCs w:val="20"/>
              </w:rPr>
              <w:t xml:space="preserve"> enable high quality RNA and DNA extraction for future pharmacogenomics studies.</w:t>
            </w:r>
          </w:p>
        </w:tc>
      </w:tr>
    </w:tbl>
    <w:p w14:paraId="51CAE7B5" w14:textId="77777777" w:rsidR="00DA67E8" w:rsidRPr="00A23D8C" w:rsidRDefault="00DA67E8">
      <w:pPr>
        <w:jc w:val="both"/>
        <w:rPr>
          <w:rFonts w:ascii="Arial" w:hAnsi="Arial" w:cs="Arial"/>
          <w:b/>
          <w:bCs/>
          <w:sz w:val="28"/>
        </w:rPr>
      </w:pPr>
    </w:p>
    <w:p w14:paraId="7027FE37" w14:textId="77777777" w:rsidR="00DA67E8" w:rsidRDefault="00DA67E8" w:rsidP="00BF16F9">
      <w:pPr>
        <w:pStyle w:val="Heading2"/>
      </w:pPr>
      <w:r w:rsidRPr="00A23D8C">
        <w:br w:type="page"/>
      </w:r>
      <w:bookmarkStart w:id="38" w:name="_Toc283031738"/>
      <w:bookmarkStart w:id="39" w:name="_Toc283376273"/>
      <w:bookmarkStart w:id="40" w:name="_Toc333484713"/>
      <w:bookmarkStart w:id="41" w:name="_Toc333484828"/>
      <w:bookmarkStart w:id="42" w:name="_Toc351624782"/>
      <w:bookmarkStart w:id="43" w:name="_Toc471826722"/>
      <w:bookmarkStart w:id="44" w:name="_Toc528323488"/>
      <w:r w:rsidRPr="00A23D8C">
        <w:lastRenderedPageBreak/>
        <w:t>Trial Schema</w:t>
      </w:r>
      <w:bookmarkEnd w:id="38"/>
      <w:bookmarkEnd w:id="39"/>
      <w:bookmarkEnd w:id="40"/>
      <w:bookmarkEnd w:id="41"/>
      <w:bookmarkEnd w:id="42"/>
      <w:bookmarkEnd w:id="43"/>
      <w:bookmarkEnd w:id="44"/>
    </w:p>
    <w:p w14:paraId="495080A9" w14:textId="77777777" w:rsidR="00DA67E8" w:rsidRDefault="00DA67E8" w:rsidP="005A473D">
      <w:pPr>
        <w:pStyle w:val="CM81"/>
        <w:spacing w:after="0"/>
        <w:ind w:right="-58"/>
        <w:jc w:val="both"/>
        <w:rPr>
          <w:rFonts w:cs="Arial"/>
          <w:sz w:val="22"/>
          <w:szCs w:val="22"/>
        </w:rPr>
      </w:pPr>
      <w:r w:rsidRPr="00BF3FC9">
        <w:rPr>
          <w:rFonts w:cs="Arial"/>
          <w:sz w:val="22"/>
          <w:szCs w:val="22"/>
        </w:rPr>
        <w:t xml:space="preserve">The trial aims to examine the efficacy and safety of first-line </w:t>
      </w:r>
      <w:r>
        <w:rPr>
          <w:rFonts w:cs="Arial"/>
          <w:sz w:val="22"/>
          <w:szCs w:val="22"/>
        </w:rPr>
        <w:t>ganetespib</w:t>
      </w:r>
      <w:r w:rsidRPr="00BF3FC9">
        <w:rPr>
          <w:rFonts w:cs="Arial"/>
          <w:sz w:val="22"/>
          <w:szCs w:val="22"/>
        </w:rPr>
        <w:t xml:space="preserve"> when used concurrently with </w:t>
      </w:r>
      <w:r>
        <w:rPr>
          <w:rFonts w:cs="Arial"/>
          <w:sz w:val="22"/>
          <w:szCs w:val="22"/>
        </w:rPr>
        <w:t>pemetrexed/</w:t>
      </w:r>
      <w:r w:rsidR="001A432C">
        <w:rPr>
          <w:rFonts w:cs="Arial"/>
          <w:sz w:val="22"/>
          <w:szCs w:val="22"/>
        </w:rPr>
        <w:t>platinum</w:t>
      </w:r>
      <w:r w:rsidR="00507641" w:rsidRPr="00BF3FC9">
        <w:rPr>
          <w:rFonts w:cs="Arial"/>
          <w:sz w:val="22"/>
          <w:szCs w:val="22"/>
        </w:rPr>
        <w:t>.</w:t>
      </w:r>
      <w:r w:rsidRPr="00BF3FC9">
        <w:rPr>
          <w:rFonts w:cs="Arial"/>
          <w:sz w:val="22"/>
          <w:szCs w:val="22"/>
        </w:rPr>
        <w:t xml:space="preserve"> We will initially conduct a phase I trial, before embarking on the randomised phase II trial. The trial is therefore in two stages: </w:t>
      </w:r>
    </w:p>
    <w:p w14:paraId="3064B6D3" w14:textId="77777777" w:rsidR="00DA67E8" w:rsidRPr="005A473D" w:rsidRDefault="00DA67E8" w:rsidP="005A473D">
      <w:pPr>
        <w:pStyle w:val="Default"/>
        <w:rPr>
          <w:lang w:val="en-GB" w:eastAsia="en-GB"/>
        </w:rPr>
      </w:pPr>
    </w:p>
    <w:p w14:paraId="22C697EB" w14:textId="77777777" w:rsidR="00DA67E8" w:rsidRPr="00BF3FC9" w:rsidRDefault="00DA67E8" w:rsidP="002F600D">
      <w:pPr>
        <w:pStyle w:val="CM81"/>
        <w:numPr>
          <w:ilvl w:val="0"/>
          <w:numId w:val="12"/>
        </w:numPr>
        <w:spacing w:after="0"/>
        <w:ind w:right="-58"/>
        <w:jc w:val="both"/>
        <w:rPr>
          <w:rFonts w:cs="Arial"/>
          <w:sz w:val="22"/>
          <w:szCs w:val="22"/>
        </w:rPr>
      </w:pPr>
      <w:r w:rsidRPr="00BF3FC9">
        <w:rPr>
          <w:rFonts w:cs="Arial"/>
          <w:sz w:val="22"/>
          <w:szCs w:val="22"/>
        </w:rPr>
        <w:t xml:space="preserve">Phase I trial: to find the maximum tolerated dose of </w:t>
      </w:r>
      <w:r>
        <w:rPr>
          <w:rFonts w:cs="Arial"/>
          <w:sz w:val="22"/>
          <w:szCs w:val="22"/>
        </w:rPr>
        <w:t>ganetespib</w:t>
      </w:r>
      <w:r w:rsidRPr="00BF3FC9">
        <w:rPr>
          <w:rFonts w:cs="Arial"/>
          <w:sz w:val="22"/>
          <w:szCs w:val="22"/>
        </w:rPr>
        <w:t xml:space="preserve"> in this patient group.</w:t>
      </w:r>
    </w:p>
    <w:p w14:paraId="37BECEFD" w14:textId="77777777" w:rsidR="00DA67E8" w:rsidRDefault="00DA67E8" w:rsidP="002F600D">
      <w:pPr>
        <w:pStyle w:val="CM81"/>
        <w:numPr>
          <w:ilvl w:val="0"/>
          <w:numId w:val="12"/>
        </w:numPr>
        <w:spacing w:after="0"/>
        <w:ind w:right="-58"/>
        <w:jc w:val="both"/>
        <w:rPr>
          <w:rFonts w:cs="Arial"/>
          <w:sz w:val="22"/>
          <w:szCs w:val="22"/>
        </w:rPr>
      </w:pPr>
      <w:r w:rsidRPr="00BF3FC9">
        <w:rPr>
          <w:rFonts w:cs="Arial"/>
          <w:sz w:val="22"/>
          <w:szCs w:val="22"/>
        </w:rPr>
        <w:t xml:space="preserve">Randomised Phase II trial: to evaluate the efficacy and safety of </w:t>
      </w:r>
      <w:r>
        <w:rPr>
          <w:rFonts w:cs="Arial"/>
          <w:sz w:val="22"/>
          <w:szCs w:val="22"/>
        </w:rPr>
        <w:t>ganetespib</w:t>
      </w:r>
      <w:r w:rsidRPr="00BF3FC9">
        <w:rPr>
          <w:rFonts w:cs="Arial"/>
          <w:sz w:val="22"/>
          <w:szCs w:val="22"/>
        </w:rPr>
        <w:t xml:space="preserve"> (using the dose from the phase I trial) versus pemetrexed</w:t>
      </w:r>
      <w:r w:rsidR="00602586">
        <w:rPr>
          <w:rFonts w:cs="Arial"/>
          <w:sz w:val="22"/>
          <w:szCs w:val="22"/>
        </w:rPr>
        <w:t>/</w:t>
      </w:r>
      <w:r w:rsidR="001A432C">
        <w:rPr>
          <w:rFonts w:cs="Arial"/>
          <w:sz w:val="22"/>
          <w:szCs w:val="22"/>
        </w:rPr>
        <w:t xml:space="preserve">platinum </w:t>
      </w:r>
      <w:r w:rsidR="009564FF">
        <w:rPr>
          <w:rFonts w:cs="Arial"/>
          <w:sz w:val="22"/>
          <w:szCs w:val="22"/>
        </w:rPr>
        <w:t>alone</w:t>
      </w:r>
      <w:r w:rsidRPr="00BF3FC9">
        <w:rPr>
          <w:rFonts w:cs="Arial"/>
          <w:sz w:val="22"/>
          <w:szCs w:val="22"/>
        </w:rPr>
        <w:t>.</w:t>
      </w:r>
    </w:p>
    <w:p w14:paraId="2E1797BA" w14:textId="77777777" w:rsidR="009237DE" w:rsidRPr="00093EEF" w:rsidRDefault="00DA67E8" w:rsidP="00093EEF">
      <w:pPr>
        <w:pStyle w:val="Heading3"/>
        <w:ind w:left="851" w:hanging="851"/>
      </w:pPr>
      <w:bookmarkStart w:id="45" w:name="_Toc471826723"/>
      <w:bookmarkStart w:id="46" w:name="_Toc528323489"/>
      <w:r w:rsidRPr="00093EEF">
        <w:t>Phase I trial</w:t>
      </w:r>
      <w:bookmarkEnd w:id="45"/>
      <w:bookmarkEnd w:id="46"/>
    </w:p>
    <w:p w14:paraId="5A248FEA" w14:textId="77777777" w:rsidR="00DA67E8" w:rsidRDefault="00DA67E8" w:rsidP="005A473D">
      <w:pPr>
        <w:jc w:val="both"/>
        <w:rPr>
          <w:rFonts w:ascii="Arial" w:hAnsi="Arial" w:cs="Arial"/>
          <w:sz w:val="22"/>
          <w:szCs w:val="22"/>
        </w:rPr>
      </w:pPr>
      <w:r w:rsidRPr="00BF3FC9">
        <w:rPr>
          <w:rFonts w:ascii="Arial" w:hAnsi="Arial" w:cs="Arial"/>
          <w:sz w:val="22"/>
          <w:szCs w:val="22"/>
        </w:rPr>
        <w:t xml:space="preserve">The phase I trial will have </w:t>
      </w:r>
      <w:r>
        <w:rPr>
          <w:rFonts w:ascii="Arial" w:hAnsi="Arial" w:cs="Arial"/>
          <w:sz w:val="22"/>
          <w:szCs w:val="22"/>
        </w:rPr>
        <w:t>3</w:t>
      </w:r>
      <w:r w:rsidRPr="00BF3FC9">
        <w:rPr>
          <w:rFonts w:ascii="Arial" w:hAnsi="Arial" w:cs="Arial"/>
          <w:sz w:val="22"/>
          <w:szCs w:val="22"/>
        </w:rPr>
        <w:t xml:space="preserve"> cohorts, each with 3 or 6 </w:t>
      </w:r>
      <w:r>
        <w:rPr>
          <w:rFonts w:ascii="Arial" w:hAnsi="Arial" w:cs="Arial"/>
          <w:sz w:val="22"/>
          <w:szCs w:val="22"/>
        </w:rPr>
        <w:t xml:space="preserve">patients. </w:t>
      </w:r>
    </w:p>
    <w:p w14:paraId="47B1D993" w14:textId="77777777" w:rsidR="00543127" w:rsidRPr="00BF3FC9" w:rsidRDefault="00543127" w:rsidP="005A473D">
      <w:pPr>
        <w:jc w:val="both"/>
        <w:rPr>
          <w:rFonts w:ascii="Arial" w:hAnsi="Arial" w:cs="Arial"/>
          <w:sz w:val="22"/>
          <w:szCs w:val="22"/>
        </w:rPr>
      </w:pPr>
    </w:p>
    <w:p w14:paraId="0CF4C6E1" w14:textId="77777777" w:rsidR="00DA67E8" w:rsidRPr="00B81026" w:rsidRDefault="00DA67E8" w:rsidP="002F600D">
      <w:pPr>
        <w:numPr>
          <w:ilvl w:val="0"/>
          <w:numId w:val="14"/>
        </w:numPr>
        <w:snapToGrid w:val="0"/>
        <w:ind w:left="566" w:hanging="283"/>
        <w:jc w:val="both"/>
        <w:rPr>
          <w:rFonts w:ascii="Arial" w:hAnsi="Arial" w:cs="Arial"/>
          <w:sz w:val="22"/>
          <w:szCs w:val="22"/>
        </w:rPr>
      </w:pPr>
      <w:r w:rsidRPr="00BF3FC9">
        <w:rPr>
          <w:rFonts w:ascii="Arial" w:hAnsi="Arial" w:cs="Arial"/>
          <w:b/>
          <w:sz w:val="22"/>
          <w:szCs w:val="22"/>
        </w:rPr>
        <w:t>Cohort 1:</w:t>
      </w:r>
      <w:r w:rsidR="009564FF">
        <w:rPr>
          <w:rFonts w:ascii="Arial" w:hAnsi="Arial" w:cs="Arial"/>
          <w:sz w:val="22"/>
          <w:szCs w:val="22"/>
        </w:rPr>
        <w:t xml:space="preserve"> </w:t>
      </w:r>
      <w:r>
        <w:rPr>
          <w:rFonts w:ascii="Arial" w:hAnsi="Arial" w:cs="Arial"/>
          <w:sz w:val="22"/>
          <w:szCs w:val="22"/>
        </w:rPr>
        <w:t>1</w:t>
      </w:r>
      <w:r w:rsidRPr="00BF3FC9">
        <w:rPr>
          <w:rFonts w:ascii="Arial" w:hAnsi="Arial" w:cs="Arial"/>
          <w:sz w:val="22"/>
          <w:szCs w:val="22"/>
        </w:rPr>
        <w:t>00mg</w:t>
      </w:r>
      <w:r>
        <w:rPr>
          <w:rFonts w:ascii="Arial" w:hAnsi="Arial" w:cs="Arial"/>
          <w:sz w:val="22"/>
          <w:szCs w:val="22"/>
        </w:rPr>
        <w:t>/m</w:t>
      </w:r>
      <w:r w:rsidRPr="006A7A1C">
        <w:rPr>
          <w:rFonts w:ascii="Arial" w:hAnsi="Arial" w:cs="Arial"/>
          <w:sz w:val="22"/>
          <w:szCs w:val="22"/>
          <w:vertAlign w:val="superscript"/>
        </w:rPr>
        <w:t>2</w:t>
      </w:r>
      <w:r w:rsidR="006A7A1C">
        <w:rPr>
          <w:rFonts w:ascii="Arial" w:hAnsi="Arial" w:cs="Arial"/>
          <w:sz w:val="22"/>
          <w:szCs w:val="22"/>
          <w:vertAlign w:val="superscript"/>
        </w:rPr>
        <w:t xml:space="preserve"> </w:t>
      </w:r>
      <w:r w:rsidRPr="006A7A1C">
        <w:rPr>
          <w:rFonts w:ascii="Arial" w:hAnsi="Arial" w:cs="Arial"/>
          <w:sz w:val="22"/>
          <w:szCs w:val="22"/>
        </w:rPr>
        <w:t xml:space="preserve">IV </w:t>
      </w:r>
      <w:r w:rsidR="006A7A1C">
        <w:rPr>
          <w:rFonts w:ascii="Arial" w:hAnsi="Arial" w:cs="Arial"/>
          <w:sz w:val="22"/>
          <w:szCs w:val="22"/>
        </w:rPr>
        <w:t>o</w:t>
      </w:r>
      <w:r w:rsidRPr="00BF3FC9">
        <w:rPr>
          <w:rFonts w:ascii="Arial" w:hAnsi="Arial" w:cs="Arial"/>
          <w:sz w:val="22"/>
          <w:szCs w:val="22"/>
        </w:rPr>
        <w:t>n day</w:t>
      </w:r>
      <w:r>
        <w:rPr>
          <w:rFonts w:ascii="Arial" w:hAnsi="Arial" w:cs="Arial"/>
          <w:sz w:val="22"/>
          <w:szCs w:val="22"/>
        </w:rPr>
        <w:t xml:space="preserve"> 1 and </w:t>
      </w:r>
      <w:r w:rsidR="00782B5E">
        <w:rPr>
          <w:rFonts w:ascii="Arial" w:hAnsi="Arial" w:cs="Arial"/>
          <w:sz w:val="22"/>
          <w:szCs w:val="22"/>
        </w:rPr>
        <w:t>day 15</w:t>
      </w:r>
      <w:r>
        <w:rPr>
          <w:rFonts w:ascii="Arial" w:hAnsi="Arial" w:cs="Arial"/>
          <w:sz w:val="22"/>
          <w:szCs w:val="22"/>
        </w:rPr>
        <w:t xml:space="preserve"> of each cycle</w:t>
      </w:r>
    </w:p>
    <w:p w14:paraId="257E5D7D" w14:textId="77777777" w:rsidR="00791C60" w:rsidRPr="00B81026" w:rsidRDefault="00DA67E8" w:rsidP="002F600D">
      <w:pPr>
        <w:numPr>
          <w:ilvl w:val="0"/>
          <w:numId w:val="14"/>
        </w:numPr>
        <w:snapToGrid w:val="0"/>
        <w:ind w:left="566" w:hanging="283"/>
        <w:jc w:val="both"/>
        <w:rPr>
          <w:rFonts w:ascii="Arial" w:hAnsi="Arial" w:cs="Arial"/>
          <w:sz w:val="22"/>
          <w:szCs w:val="22"/>
        </w:rPr>
      </w:pPr>
      <w:r w:rsidRPr="00BF3FC9">
        <w:rPr>
          <w:rFonts w:ascii="Arial" w:hAnsi="Arial" w:cs="Arial"/>
          <w:b/>
          <w:sz w:val="22"/>
          <w:szCs w:val="22"/>
        </w:rPr>
        <w:t>Cohort 2:</w:t>
      </w:r>
      <w:r w:rsidR="00C7773A">
        <w:rPr>
          <w:rFonts w:ascii="Arial" w:hAnsi="Arial" w:cs="Arial"/>
          <w:b/>
          <w:sz w:val="22"/>
          <w:szCs w:val="22"/>
        </w:rPr>
        <w:t xml:space="preserve"> </w:t>
      </w:r>
      <w:r>
        <w:rPr>
          <w:rFonts w:ascii="Arial" w:hAnsi="Arial" w:cs="Arial"/>
          <w:sz w:val="22"/>
          <w:szCs w:val="22"/>
        </w:rPr>
        <w:t>15</w:t>
      </w:r>
      <w:r w:rsidRPr="00BF3FC9">
        <w:rPr>
          <w:rFonts w:ascii="Arial" w:hAnsi="Arial" w:cs="Arial"/>
          <w:sz w:val="22"/>
          <w:szCs w:val="22"/>
        </w:rPr>
        <w:t>0mg</w:t>
      </w:r>
      <w:r>
        <w:rPr>
          <w:rFonts w:ascii="Arial" w:hAnsi="Arial" w:cs="Arial"/>
          <w:sz w:val="22"/>
          <w:szCs w:val="22"/>
        </w:rPr>
        <w:t>/m</w:t>
      </w:r>
      <w:r w:rsidRPr="00DC75AB">
        <w:rPr>
          <w:rFonts w:ascii="Arial" w:hAnsi="Arial" w:cs="Arial"/>
          <w:sz w:val="22"/>
          <w:szCs w:val="22"/>
          <w:vertAlign w:val="superscript"/>
        </w:rPr>
        <w:t>2</w:t>
      </w:r>
      <w:r w:rsidR="006134B2">
        <w:rPr>
          <w:rFonts w:ascii="Arial" w:hAnsi="Arial" w:cs="Arial"/>
          <w:sz w:val="22"/>
          <w:szCs w:val="22"/>
          <w:vertAlign w:val="superscript"/>
        </w:rPr>
        <w:t xml:space="preserve"> </w:t>
      </w:r>
      <w:r>
        <w:rPr>
          <w:rFonts w:ascii="Arial" w:hAnsi="Arial" w:cs="Arial"/>
          <w:sz w:val="22"/>
          <w:szCs w:val="22"/>
        </w:rPr>
        <w:t>IV</w:t>
      </w:r>
      <w:r w:rsidRPr="00BF3FC9">
        <w:rPr>
          <w:rFonts w:ascii="Arial" w:hAnsi="Arial" w:cs="Arial"/>
          <w:sz w:val="22"/>
          <w:szCs w:val="22"/>
        </w:rPr>
        <w:t xml:space="preserve"> on day</w:t>
      </w:r>
      <w:r>
        <w:rPr>
          <w:rFonts w:ascii="Arial" w:hAnsi="Arial" w:cs="Arial"/>
          <w:sz w:val="22"/>
          <w:szCs w:val="22"/>
        </w:rPr>
        <w:t xml:space="preserve"> 1 and </w:t>
      </w:r>
      <w:r w:rsidR="00782B5E">
        <w:rPr>
          <w:rFonts w:ascii="Arial" w:hAnsi="Arial" w:cs="Arial"/>
          <w:sz w:val="22"/>
          <w:szCs w:val="22"/>
        </w:rPr>
        <w:t>day 15</w:t>
      </w:r>
      <w:r>
        <w:rPr>
          <w:rFonts w:ascii="Arial" w:hAnsi="Arial" w:cs="Arial"/>
          <w:sz w:val="22"/>
          <w:szCs w:val="22"/>
        </w:rPr>
        <w:t xml:space="preserve"> of each cycle</w:t>
      </w:r>
    </w:p>
    <w:p w14:paraId="7BD53D47" w14:textId="77777777" w:rsidR="00DA67E8" w:rsidRPr="00BF3FC9" w:rsidRDefault="00DA67E8" w:rsidP="002F600D">
      <w:pPr>
        <w:numPr>
          <w:ilvl w:val="0"/>
          <w:numId w:val="14"/>
        </w:numPr>
        <w:snapToGrid w:val="0"/>
        <w:ind w:left="566" w:hanging="283"/>
        <w:jc w:val="both"/>
        <w:rPr>
          <w:rFonts w:ascii="Arial" w:hAnsi="Arial" w:cs="Arial"/>
          <w:sz w:val="22"/>
          <w:szCs w:val="22"/>
        </w:rPr>
      </w:pPr>
      <w:r w:rsidRPr="00BF3FC9">
        <w:rPr>
          <w:rFonts w:ascii="Arial" w:hAnsi="Arial" w:cs="Arial"/>
          <w:b/>
          <w:sz w:val="22"/>
          <w:szCs w:val="22"/>
        </w:rPr>
        <w:t>Cohort 3:</w:t>
      </w:r>
      <w:r w:rsidR="009564FF">
        <w:rPr>
          <w:rFonts w:ascii="Arial" w:hAnsi="Arial" w:cs="Arial"/>
          <w:b/>
          <w:sz w:val="22"/>
          <w:szCs w:val="22"/>
        </w:rPr>
        <w:t xml:space="preserve"> </w:t>
      </w:r>
      <w:r>
        <w:rPr>
          <w:rFonts w:ascii="Arial" w:hAnsi="Arial" w:cs="Arial"/>
          <w:sz w:val="22"/>
          <w:szCs w:val="22"/>
        </w:rPr>
        <w:t>2</w:t>
      </w:r>
      <w:r w:rsidRPr="00BF3FC9">
        <w:rPr>
          <w:rFonts w:ascii="Arial" w:hAnsi="Arial" w:cs="Arial"/>
          <w:sz w:val="22"/>
          <w:szCs w:val="22"/>
        </w:rPr>
        <w:t>00mg</w:t>
      </w:r>
      <w:r>
        <w:rPr>
          <w:rFonts w:ascii="Arial" w:hAnsi="Arial" w:cs="Arial"/>
          <w:sz w:val="22"/>
          <w:szCs w:val="22"/>
        </w:rPr>
        <w:t>/m</w:t>
      </w:r>
      <w:r w:rsidRPr="00DC75AB">
        <w:rPr>
          <w:rFonts w:ascii="Arial" w:hAnsi="Arial" w:cs="Arial"/>
          <w:sz w:val="22"/>
          <w:szCs w:val="22"/>
          <w:vertAlign w:val="superscript"/>
        </w:rPr>
        <w:t>2</w:t>
      </w:r>
      <w:r w:rsidR="006134B2">
        <w:rPr>
          <w:rFonts w:ascii="Arial" w:hAnsi="Arial" w:cs="Arial"/>
          <w:sz w:val="22"/>
          <w:szCs w:val="22"/>
          <w:vertAlign w:val="superscript"/>
        </w:rPr>
        <w:t xml:space="preserve"> </w:t>
      </w:r>
      <w:r>
        <w:rPr>
          <w:rFonts w:ascii="Arial" w:hAnsi="Arial" w:cs="Arial"/>
          <w:sz w:val="22"/>
          <w:szCs w:val="22"/>
        </w:rPr>
        <w:t xml:space="preserve">IV </w:t>
      </w:r>
      <w:r w:rsidRPr="00BF3FC9">
        <w:rPr>
          <w:rFonts w:ascii="Arial" w:hAnsi="Arial" w:cs="Arial"/>
          <w:sz w:val="22"/>
          <w:szCs w:val="22"/>
        </w:rPr>
        <w:t>on day</w:t>
      </w:r>
      <w:r>
        <w:rPr>
          <w:rFonts w:ascii="Arial" w:hAnsi="Arial" w:cs="Arial"/>
          <w:sz w:val="22"/>
          <w:szCs w:val="22"/>
        </w:rPr>
        <w:t xml:space="preserve"> 1 and </w:t>
      </w:r>
      <w:r w:rsidR="00782B5E">
        <w:rPr>
          <w:rFonts w:ascii="Arial" w:hAnsi="Arial" w:cs="Arial"/>
          <w:sz w:val="22"/>
          <w:szCs w:val="22"/>
        </w:rPr>
        <w:t>day 15</w:t>
      </w:r>
      <w:r>
        <w:rPr>
          <w:rFonts w:ascii="Arial" w:hAnsi="Arial" w:cs="Arial"/>
          <w:sz w:val="22"/>
          <w:szCs w:val="22"/>
        </w:rPr>
        <w:t xml:space="preserve"> of each cycle</w:t>
      </w:r>
    </w:p>
    <w:p w14:paraId="3E9CC7D3" w14:textId="77777777" w:rsidR="00791C60" w:rsidRDefault="00791C60" w:rsidP="00791C60">
      <w:pPr>
        <w:pStyle w:val="ListParagraph"/>
        <w:rPr>
          <w:rFonts w:ascii="Arial" w:hAnsi="Arial" w:cs="Arial"/>
          <w:sz w:val="22"/>
          <w:szCs w:val="22"/>
        </w:rPr>
      </w:pPr>
    </w:p>
    <w:p w14:paraId="1FAACD62" w14:textId="77777777" w:rsidR="00E25E51" w:rsidRDefault="0003558A" w:rsidP="00E25E51">
      <w:pPr>
        <w:jc w:val="both"/>
        <w:rPr>
          <w:rFonts w:ascii="Arial" w:hAnsi="Arial" w:cs="Arial"/>
          <w:sz w:val="22"/>
          <w:szCs w:val="22"/>
        </w:rPr>
      </w:pPr>
      <w:r>
        <w:rPr>
          <w:rFonts w:ascii="Arial" w:hAnsi="Arial" w:cs="Arial"/>
          <w:sz w:val="22"/>
          <w:szCs w:val="22"/>
        </w:rPr>
        <w:t>P</w:t>
      </w:r>
      <w:r w:rsidR="00E25E51">
        <w:rPr>
          <w:rFonts w:ascii="Arial" w:hAnsi="Arial" w:cs="Arial"/>
          <w:sz w:val="22"/>
          <w:szCs w:val="22"/>
        </w:rPr>
        <w:t>atient</w:t>
      </w:r>
      <w:r>
        <w:rPr>
          <w:rFonts w:ascii="Arial" w:hAnsi="Arial" w:cs="Arial"/>
          <w:sz w:val="22"/>
          <w:szCs w:val="22"/>
        </w:rPr>
        <w:t>s</w:t>
      </w:r>
      <w:r w:rsidR="00E25E51">
        <w:rPr>
          <w:rFonts w:ascii="Arial" w:hAnsi="Arial" w:cs="Arial"/>
          <w:sz w:val="22"/>
          <w:szCs w:val="22"/>
        </w:rPr>
        <w:t xml:space="preserve"> will receive a maximum of 6 cycles of treatment, each cycle lasts 21 days:</w:t>
      </w:r>
    </w:p>
    <w:p w14:paraId="7695F95F" w14:textId="77777777" w:rsidR="00552938" w:rsidRDefault="00552938" w:rsidP="00E25E51">
      <w:pPr>
        <w:snapToGrid w:val="0"/>
        <w:jc w:val="both"/>
        <w:rPr>
          <w:rFonts w:ascii="Arial" w:hAnsi="Arial" w:cs="Arial"/>
          <w:b/>
          <w:sz w:val="22"/>
        </w:rPr>
      </w:pPr>
    </w:p>
    <w:p w14:paraId="728CAA5E" w14:textId="77777777" w:rsidR="00E25E51" w:rsidRPr="00543127" w:rsidRDefault="00E25E51" w:rsidP="00E25E51">
      <w:pPr>
        <w:snapToGrid w:val="0"/>
        <w:jc w:val="both"/>
        <w:rPr>
          <w:rFonts w:ascii="Arial" w:hAnsi="Arial" w:cs="Arial"/>
          <w:b/>
          <w:sz w:val="22"/>
        </w:rPr>
      </w:pPr>
      <w:r w:rsidRPr="00543127">
        <w:rPr>
          <w:rFonts w:ascii="Arial" w:hAnsi="Arial" w:cs="Arial"/>
          <w:b/>
          <w:sz w:val="22"/>
        </w:rPr>
        <w:t>Day 1</w:t>
      </w:r>
    </w:p>
    <w:p w14:paraId="1970D7E7" w14:textId="77777777" w:rsidR="00E25E51" w:rsidRDefault="00E25E51" w:rsidP="00D65DE2">
      <w:pPr>
        <w:numPr>
          <w:ilvl w:val="0"/>
          <w:numId w:val="35"/>
        </w:numPr>
        <w:snapToGrid w:val="0"/>
        <w:ind w:left="742"/>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Pr>
          <w:rFonts w:ascii="Arial" w:hAnsi="Arial" w:cs="Arial"/>
          <w:sz w:val="22"/>
        </w:rPr>
        <w:t>-1 hour infusion at the current cohort dose</w:t>
      </w:r>
    </w:p>
    <w:p w14:paraId="19178739" w14:textId="77777777" w:rsidR="00E25E51" w:rsidRDefault="00E25E51" w:rsidP="00D65DE2">
      <w:pPr>
        <w:numPr>
          <w:ilvl w:val="0"/>
          <w:numId w:val="35"/>
        </w:numPr>
        <w:snapToGrid w:val="0"/>
        <w:ind w:left="742"/>
        <w:jc w:val="both"/>
        <w:rPr>
          <w:rFonts w:ascii="Arial" w:hAnsi="Arial" w:cs="Arial"/>
          <w:sz w:val="22"/>
        </w:rPr>
      </w:pPr>
      <w:r>
        <w:rPr>
          <w:rFonts w:ascii="Arial" w:hAnsi="Arial" w:cs="Arial"/>
          <w:sz w:val="22"/>
        </w:rPr>
        <w:t>P</w:t>
      </w:r>
      <w:r w:rsidRPr="00983832">
        <w:rPr>
          <w:rFonts w:ascii="Arial" w:hAnsi="Arial" w:cs="Arial"/>
          <w:sz w:val="22"/>
        </w:rPr>
        <w:t>emetrexed 500mg/m</w:t>
      </w:r>
      <w:r w:rsidRPr="00983832">
        <w:rPr>
          <w:rFonts w:ascii="Arial" w:hAnsi="Arial" w:cs="Arial"/>
          <w:sz w:val="22"/>
          <w:vertAlign w:val="superscript"/>
        </w:rPr>
        <w:t>2</w:t>
      </w:r>
      <w:r w:rsidRPr="00983832">
        <w:rPr>
          <w:rFonts w:ascii="Arial" w:hAnsi="Arial" w:cs="Arial"/>
          <w:sz w:val="22"/>
        </w:rPr>
        <w:t xml:space="preserve"> IV </w:t>
      </w:r>
      <w:r w:rsidR="00791C60">
        <w:rPr>
          <w:rFonts w:ascii="Arial" w:hAnsi="Arial" w:cs="Arial"/>
          <w:sz w:val="22"/>
        </w:rPr>
        <w:t>–</w:t>
      </w:r>
      <w:r>
        <w:rPr>
          <w:rFonts w:ascii="Arial" w:hAnsi="Arial" w:cs="Arial"/>
          <w:sz w:val="22"/>
        </w:rPr>
        <w:t xml:space="preserve"> infused </w:t>
      </w:r>
      <w:r w:rsidRPr="00983832">
        <w:rPr>
          <w:rFonts w:ascii="Arial" w:hAnsi="Arial" w:cs="Arial"/>
          <w:sz w:val="22"/>
        </w:rPr>
        <w:t>over 10 minutes</w:t>
      </w:r>
      <w:r>
        <w:rPr>
          <w:rFonts w:ascii="Arial" w:hAnsi="Arial" w:cs="Arial"/>
          <w:sz w:val="22"/>
        </w:rPr>
        <w:t xml:space="preserve"> </w:t>
      </w:r>
      <w:r w:rsidRPr="00983832">
        <w:rPr>
          <w:rFonts w:ascii="Arial" w:hAnsi="Arial" w:cs="Arial"/>
          <w:sz w:val="22"/>
        </w:rPr>
        <w:t>with vitamin B</w:t>
      </w:r>
      <w:r w:rsidRPr="00E25E51">
        <w:rPr>
          <w:rFonts w:ascii="Arial" w:hAnsi="Arial" w:cs="Arial"/>
          <w:sz w:val="22"/>
          <w:vertAlign w:val="subscript"/>
        </w:rPr>
        <w:t>12</w:t>
      </w:r>
      <w:r w:rsidRPr="00983832">
        <w:rPr>
          <w:rFonts w:ascii="Arial" w:hAnsi="Arial" w:cs="Arial"/>
          <w:sz w:val="22"/>
        </w:rPr>
        <w:t xml:space="preserve"> and folate supplementation as standard</w:t>
      </w:r>
      <w:r>
        <w:rPr>
          <w:rFonts w:ascii="Arial" w:hAnsi="Arial" w:cs="Arial"/>
          <w:sz w:val="22"/>
        </w:rPr>
        <w:t xml:space="preserve">. </w:t>
      </w:r>
      <w:r w:rsidRPr="00DB349B">
        <w:rPr>
          <w:rFonts w:ascii="Arial" w:hAnsi="Arial" w:cs="Arial"/>
          <w:sz w:val="22"/>
        </w:rPr>
        <w:t xml:space="preserve"> </w:t>
      </w:r>
      <w:r>
        <w:rPr>
          <w:rFonts w:ascii="Arial" w:hAnsi="Arial" w:cs="Arial"/>
          <w:sz w:val="22"/>
        </w:rPr>
        <w:t>Pemetrexed should be administered immediately after completion of the ganetespib infusion.</w:t>
      </w:r>
    </w:p>
    <w:p w14:paraId="36AB4211" w14:textId="77777777" w:rsidR="00E25E51" w:rsidRDefault="00E25E51" w:rsidP="00D65DE2">
      <w:pPr>
        <w:numPr>
          <w:ilvl w:val="0"/>
          <w:numId w:val="35"/>
        </w:numPr>
        <w:snapToGrid w:val="0"/>
        <w:ind w:left="742"/>
        <w:jc w:val="both"/>
        <w:rPr>
          <w:rFonts w:ascii="Arial" w:hAnsi="Arial" w:cs="Arial"/>
          <w:sz w:val="22"/>
        </w:rPr>
      </w:pPr>
      <w:r>
        <w:rPr>
          <w:rFonts w:ascii="Arial" w:hAnsi="Arial" w:cs="Arial"/>
          <w:sz w:val="22"/>
        </w:rPr>
        <w:t>C</w:t>
      </w:r>
      <w:r w:rsidRPr="00983832">
        <w:rPr>
          <w:rFonts w:ascii="Arial" w:hAnsi="Arial" w:cs="Arial"/>
          <w:sz w:val="22"/>
        </w:rPr>
        <w:t>isplatin 75mg/m</w:t>
      </w:r>
      <w:r w:rsidRPr="00983832">
        <w:rPr>
          <w:rFonts w:ascii="Arial" w:hAnsi="Arial" w:cs="Arial"/>
          <w:sz w:val="22"/>
          <w:vertAlign w:val="superscript"/>
        </w:rPr>
        <w:t>2</w:t>
      </w:r>
      <w:r>
        <w:rPr>
          <w:rFonts w:ascii="Arial" w:hAnsi="Arial" w:cs="Arial"/>
          <w:sz w:val="22"/>
        </w:rPr>
        <w:t xml:space="preserve"> </w:t>
      </w:r>
      <w:r w:rsidRPr="00983832">
        <w:rPr>
          <w:rFonts w:ascii="Arial" w:hAnsi="Arial" w:cs="Arial"/>
          <w:sz w:val="22"/>
        </w:rPr>
        <w:t>IV infused over 2 hours</w:t>
      </w:r>
      <w:r w:rsidRPr="00DB349B">
        <w:rPr>
          <w:rFonts w:ascii="Arial" w:hAnsi="Arial" w:cs="Arial"/>
          <w:sz w:val="22"/>
        </w:rPr>
        <w:t xml:space="preserve"> </w:t>
      </w:r>
      <w:r w:rsidRPr="00983832">
        <w:rPr>
          <w:rFonts w:ascii="Arial" w:hAnsi="Arial" w:cs="Arial"/>
          <w:sz w:val="22"/>
        </w:rPr>
        <w:t>Cisplatin should be administered approximately 30 minutes after completion of the pemetrexed infusion.</w:t>
      </w:r>
    </w:p>
    <w:p w14:paraId="63124E08" w14:textId="77777777" w:rsidR="00E25E51" w:rsidRPr="00543127" w:rsidRDefault="00782B5E" w:rsidP="00E25E51">
      <w:pPr>
        <w:snapToGrid w:val="0"/>
        <w:jc w:val="both"/>
        <w:rPr>
          <w:rFonts w:ascii="Arial" w:hAnsi="Arial" w:cs="Arial"/>
          <w:b/>
          <w:sz w:val="22"/>
        </w:rPr>
      </w:pPr>
      <w:r>
        <w:rPr>
          <w:rFonts w:ascii="Arial" w:hAnsi="Arial" w:cs="Arial"/>
          <w:b/>
          <w:sz w:val="22"/>
        </w:rPr>
        <w:t>Day 15</w:t>
      </w:r>
      <w:r w:rsidR="00E25E51" w:rsidRPr="00543127">
        <w:rPr>
          <w:rFonts w:ascii="Arial" w:hAnsi="Arial" w:cs="Arial"/>
          <w:b/>
          <w:sz w:val="22"/>
        </w:rPr>
        <w:t xml:space="preserve"> </w:t>
      </w:r>
    </w:p>
    <w:p w14:paraId="50486A2A" w14:textId="77777777" w:rsidR="00E25E51" w:rsidRDefault="00E25E51" w:rsidP="00D65DE2">
      <w:pPr>
        <w:numPr>
          <w:ilvl w:val="0"/>
          <w:numId w:val="35"/>
        </w:numPr>
        <w:snapToGrid w:val="0"/>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sidR="00791C60">
        <w:rPr>
          <w:rFonts w:ascii="Arial" w:hAnsi="Arial" w:cs="Arial"/>
          <w:sz w:val="22"/>
        </w:rPr>
        <w:t>–</w:t>
      </w:r>
      <w:r>
        <w:rPr>
          <w:rFonts w:ascii="Arial" w:hAnsi="Arial" w:cs="Arial"/>
          <w:sz w:val="22"/>
        </w:rPr>
        <w:t xml:space="preserve"> 1 hour infusion at the current cohort dose</w:t>
      </w:r>
    </w:p>
    <w:p w14:paraId="051D9E42" w14:textId="77777777" w:rsidR="00450F2B" w:rsidRDefault="00450F2B" w:rsidP="00543127">
      <w:pPr>
        <w:snapToGrid w:val="0"/>
        <w:spacing w:before="60"/>
        <w:jc w:val="both"/>
        <w:rPr>
          <w:rFonts w:ascii="Arial" w:hAnsi="Arial" w:cs="Arial"/>
          <w:sz w:val="18"/>
          <w:szCs w:val="18"/>
        </w:rPr>
      </w:pPr>
      <w:r w:rsidRPr="00450F2B">
        <w:rPr>
          <w:rFonts w:ascii="Arial" w:hAnsi="Arial" w:cs="Arial"/>
          <w:sz w:val="18"/>
          <w:szCs w:val="18"/>
        </w:rPr>
        <w:t>*</w:t>
      </w:r>
      <w:r w:rsidR="006134B2">
        <w:rPr>
          <w:rFonts w:ascii="Arial" w:hAnsi="Arial" w:cs="Arial"/>
          <w:sz w:val="18"/>
          <w:szCs w:val="18"/>
        </w:rPr>
        <w:t>DuBois and DuBois formula is the recommended method</w:t>
      </w:r>
      <w:r w:rsidR="00AE2E60">
        <w:rPr>
          <w:rFonts w:ascii="Arial" w:hAnsi="Arial" w:cs="Arial"/>
          <w:sz w:val="18"/>
          <w:szCs w:val="18"/>
        </w:rPr>
        <w:t xml:space="preserve"> to </w:t>
      </w:r>
      <w:r w:rsidRPr="00450F2B">
        <w:rPr>
          <w:rFonts w:ascii="Arial" w:hAnsi="Arial" w:cs="Arial"/>
          <w:sz w:val="18"/>
          <w:szCs w:val="18"/>
        </w:rPr>
        <w:t>be used for calculation of BSA</w:t>
      </w:r>
    </w:p>
    <w:p w14:paraId="5C4D0B03" w14:textId="77777777" w:rsidR="00E73659" w:rsidRPr="00450F2B" w:rsidRDefault="00E73659" w:rsidP="00543127">
      <w:pPr>
        <w:snapToGrid w:val="0"/>
        <w:spacing w:before="60"/>
        <w:jc w:val="both"/>
        <w:rPr>
          <w:rFonts w:ascii="Arial" w:hAnsi="Arial" w:cs="Arial"/>
          <w:sz w:val="18"/>
          <w:szCs w:val="18"/>
        </w:rPr>
      </w:pPr>
    </w:p>
    <w:p w14:paraId="12AC6568" w14:textId="77777777" w:rsidR="00E73659" w:rsidRDefault="00E73659" w:rsidP="00E73659">
      <w:pPr>
        <w:jc w:val="both"/>
        <w:rPr>
          <w:rFonts w:ascii="Arial" w:hAnsi="Arial" w:cs="Arial"/>
          <w:sz w:val="22"/>
        </w:rPr>
      </w:pPr>
      <w:r>
        <w:rPr>
          <w:rFonts w:ascii="Arial" w:hAnsi="Arial" w:cs="Arial"/>
          <w:sz w:val="22"/>
        </w:rPr>
        <w:t xml:space="preserve">After completing 6 cycles of chemotherapy/ganetespib patients could receive maintenance ganetespib if there are no signs of disease progression.  Patients who have only completed 4 cycles of treatment without disease progression may be treated with maintenance ganetespib </w:t>
      </w:r>
      <w:r w:rsidRPr="00D8736C">
        <w:rPr>
          <w:rFonts w:ascii="Arial" w:hAnsi="Arial" w:cs="Arial"/>
          <w:sz w:val="22"/>
        </w:rPr>
        <w:t>if their treating clinician agrees there is benefit</w:t>
      </w:r>
      <w:r>
        <w:rPr>
          <w:rFonts w:ascii="Arial" w:hAnsi="Arial" w:cs="Arial"/>
          <w:sz w:val="22"/>
        </w:rPr>
        <w:t>. Please contact UCL CTC if a patient has received less than 4 cycles of treatment but maintenance ganetespib is deemed appropriate.</w:t>
      </w:r>
    </w:p>
    <w:p w14:paraId="7ABB0F29" w14:textId="77777777" w:rsidR="00E73659" w:rsidRDefault="00E73659" w:rsidP="00E73659">
      <w:pPr>
        <w:jc w:val="both"/>
        <w:rPr>
          <w:rFonts w:ascii="Arial" w:hAnsi="Arial" w:cs="Arial"/>
          <w:sz w:val="22"/>
        </w:rPr>
      </w:pPr>
    </w:p>
    <w:p w14:paraId="75418390" w14:textId="77777777" w:rsidR="00E73659" w:rsidRDefault="00E73659" w:rsidP="00E73659">
      <w:pPr>
        <w:jc w:val="both"/>
        <w:rPr>
          <w:rFonts w:ascii="Arial" w:hAnsi="Arial" w:cs="Arial"/>
          <w:sz w:val="22"/>
        </w:rPr>
      </w:pPr>
      <w:r>
        <w:rPr>
          <w:rFonts w:ascii="Arial" w:hAnsi="Arial" w:cs="Arial"/>
          <w:sz w:val="22"/>
        </w:rPr>
        <w:t>Maintenance ganetespib should be given on Day 1 and 15 of each 21-day cycle.</w:t>
      </w:r>
    </w:p>
    <w:p w14:paraId="6D612C43" w14:textId="77777777" w:rsidR="009623DC" w:rsidRDefault="009623DC" w:rsidP="00983832">
      <w:pPr>
        <w:snapToGrid w:val="0"/>
        <w:jc w:val="both"/>
        <w:rPr>
          <w:rFonts w:ascii="Arial" w:hAnsi="Arial" w:cs="Arial"/>
          <w:sz w:val="22"/>
        </w:rPr>
      </w:pPr>
    </w:p>
    <w:p w14:paraId="43EBF768" w14:textId="77777777" w:rsidR="00DA67E8" w:rsidRPr="00BF3FC9" w:rsidRDefault="00DA67E8" w:rsidP="002F600D">
      <w:pPr>
        <w:pStyle w:val="ListParagraph"/>
        <w:numPr>
          <w:ilvl w:val="0"/>
          <w:numId w:val="13"/>
        </w:numPr>
        <w:contextualSpacing/>
        <w:jc w:val="both"/>
        <w:rPr>
          <w:rFonts w:ascii="Arial" w:hAnsi="Arial" w:cs="Arial"/>
          <w:sz w:val="22"/>
          <w:szCs w:val="22"/>
        </w:rPr>
      </w:pPr>
      <w:r w:rsidRPr="00BF3FC9">
        <w:rPr>
          <w:rFonts w:ascii="Arial" w:hAnsi="Arial" w:cs="Arial"/>
          <w:sz w:val="22"/>
          <w:szCs w:val="22"/>
        </w:rPr>
        <w:t xml:space="preserve">Subsequent cohorts will not start until all patients in the previous cohort have completed at least 2 cycles and been assessed for toxicity and the occurrence of a dose limiting toxicity (DLT) in cycles 1 and 2. </w:t>
      </w:r>
    </w:p>
    <w:p w14:paraId="4E7F2E5E" w14:textId="77777777" w:rsidR="00DA67E8" w:rsidRPr="00BF3FC9" w:rsidRDefault="00DA67E8" w:rsidP="002F600D">
      <w:pPr>
        <w:pStyle w:val="ListParagraph"/>
        <w:numPr>
          <w:ilvl w:val="0"/>
          <w:numId w:val="13"/>
        </w:numPr>
        <w:contextualSpacing/>
        <w:jc w:val="both"/>
        <w:rPr>
          <w:rFonts w:ascii="Arial" w:hAnsi="Arial" w:cs="Arial"/>
          <w:b/>
          <w:color w:val="000000"/>
          <w:sz w:val="22"/>
          <w:u w:val="single"/>
        </w:rPr>
      </w:pPr>
      <w:r w:rsidRPr="00BF3FC9">
        <w:rPr>
          <w:rFonts w:ascii="Arial" w:hAnsi="Arial" w:cs="Arial"/>
          <w:sz w:val="22"/>
          <w:szCs w:val="22"/>
        </w:rPr>
        <w:t>If patients decide to withdraw before finishing cycle 2 (for reasons other than toxicity),</w:t>
      </w:r>
      <w:r w:rsidR="008B0CB4">
        <w:rPr>
          <w:rFonts w:ascii="Arial" w:hAnsi="Arial" w:cs="Arial"/>
          <w:sz w:val="22"/>
          <w:szCs w:val="22"/>
        </w:rPr>
        <w:t xml:space="preserve"> or they have progression or symptom deterioration</w:t>
      </w:r>
      <w:r w:rsidRPr="00BF3FC9">
        <w:rPr>
          <w:rFonts w:ascii="Arial" w:hAnsi="Arial" w:cs="Arial"/>
          <w:sz w:val="22"/>
          <w:szCs w:val="22"/>
        </w:rPr>
        <w:t xml:space="preserve"> </w:t>
      </w:r>
      <w:r w:rsidR="008B0CB4">
        <w:rPr>
          <w:rFonts w:ascii="Arial" w:hAnsi="Arial" w:cs="Arial"/>
          <w:sz w:val="22"/>
          <w:szCs w:val="22"/>
        </w:rPr>
        <w:t xml:space="preserve">before cycle 2 </w:t>
      </w:r>
      <w:r w:rsidRPr="00BF3FC9">
        <w:rPr>
          <w:rFonts w:ascii="Arial" w:hAnsi="Arial" w:cs="Arial"/>
          <w:sz w:val="22"/>
          <w:szCs w:val="22"/>
        </w:rPr>
        <w:t>they will be replaced.</w:t>
      </w:r>
    </w:p>
    <w:p w14:paraId="0022A0F9" w14:textId="77777777" w:rsidR="007A10CF" w:rsidRPr="00C7773A" w:rsidRDefault="00DA67E8" w:rsidP="002F600D">
      <w:pPr>
        <w:pStyle w:val="ListParagraph"/>
        <w:numPr>
          <w:ilvl w:val="0"/>
          <w:numId w:val="13"/>
        </w:numPr>
        <w:contextualSpacing/>
        <w:jc w:val="both"/>
        <w:rPr>
          <w:rFonts w:ascii="Arial" w:hAnsi="Arial" w:cs="Arial"/>
          <w:b/>
          <w:color w:val="000000"/>
          <w:sz w:val="22"/>
          <w:u w:val="single"/>
        </w:rPr>
      </w:pPr>
      <w:r w:rsidRPr="00BF3FC9">
        <w:rPr>
          <w:rFonts w:ascii="Arial" w:hAnsi="Arial" w:cs="Arial"/>
          <w:bCs/>
          <w:sz w:val="22"/>
          <w:szCs w:val="22"/>
        </w:rPr>
        <w:t xml:space="preserve">If the dose schedule in Cohort </w:t>
      </w:r>
      <w:r>
        <w:rPr>
          <w:rFonts w:ascii="Arial" w:hAnsi="Arial" w:cs="Arial"/>
          <w:bCs/>
          <w:sz w:val="22"/>
          <w:szCs w:val="22"/>
        </w:rPr>
        <w:t>2</w:t>
      </w:r>
      <w:r w:rsidRPr="00BF3FC9">
        <w:rPr>
          <w:rFonts w:ascii="Arial" w:hAnsi="Arial" w:cs="Arial"/>
          <w:bCs/>
          <w:sz w:val="22"/>
          <w:szCs w:val="22"/>
        </w:rPr>
        <w:t xml:space="preserve"> or </w:t>
      </w:r>
      <w:r>
        <w:rPr>
          <w:rFonts w:ascii="Arial" w:hAnsi="Arial" w:cs="Arial"/>
          <w:bCs/>
          <w:sz w:val="22"/>
          <w:szCs w:val="22"/>
        </w:rPr>
        <w:t>3</w:t>
      </w:r>
      <w:r w:rsidRPr="00BF3FC9">
        <w:rPr>
          <w:rFonts w:ascii="Arial" w:hAnsi="Arial" w:cs="Arial"/>
          <w:bCs/>
          <w:sz w:val="22"/>
          <w:szCs w:val="22"/>
        </w:rPr>
        <w:t xml:space="preserve"> is found to be tolerable (whichever</w:t>
      </w:r>
      <w:r w:rsidR="00D11F73">
        <w:rPr>
          <w:rFonts w:ascii="Arial" w:hAnsi="Arial" w:cs="Arial"/>
          <w:bCs/>
          <w:sz w:val="22"/>
          <w:szCs w:val="22"/>
        </w:rPr>
        <w:t xml:space="preserve"> is the highest), </w:t>
      </w:r>
      <w:r w:rsidRPr="00BF3FC9">
        <w:rPr>
          <w:rFonts w:ascii="Arial" w:hAnsi="Arial" w:cs="Arial"/>
          <w:bCs/>
          <w:sz w:val="22"/>
          <w:szCs w:val="22"/>
        </w:rPr>
        <w:t xml:space="preserve">further </w:t>
      </w:r>
      <w:r w:rsidR="00DE77CC">
        <w:rPr>
          <w:rFonts w:ascii="Arial" w:hAnsi="Arial" w:cs="Arial"/>
          <w:bCs/>
          <w:sz w:val="22"/>
          <w:szCs w:val="22"/>
        </w:rPr>
        <w:t>3/</w:t>
      </w:r>
      <w:r w:rsidRPr="00BF3FC9">
        <w:rPr>
          <w:rFonts w:ascii="Arial" w:hAnsi="Arial" w:cs="Arial"/>
          <w:bCs/>
          <w:sz w:val="22"/>
          <w:szCs w:val="22"/>
        </w:rPr>
        <w:t xml:space="preserve">6 patients will be </w:t>
      </w:r>
      <w:r w:rsidR="00DE77CC" w:rsidRPr="00BF3FC9">
        <w:rPr>
          <w:rFonts w:ascii="Arial" w:hAnsi="Arial" w:cs="Arial"/>
          <w:bCs/>
          <w:sz w:val="22"/>
          <w:szCs w:val="22"/>
        </w:rPr>
        <w:t xml:space="preserve">recruited </w:t>
      </w:r>
      <w:r w:rsidR="00DE77CC">
        <w:rPr>
          <w:rFonts w:ascii="Arial" w:hAnsi="Arial" w:cs="Arial"/>
          <w:bCs/>
          <w:sz w:val="22"/>
          <w:szCs w:val="22"/>
        </w:rPr>
        <w:t xml:space="preserve">(total number of patients treated at the MTD will be 9) </w:t>
      </w:r>
      <w:r w:rsidRPr="00BF3FC9">
        <w:rPr>
          <w:rFonts w:ascii="Arial" w:hAnsi="Arial" w:cs="Arial"/>
          <w:bCs/>
          <w:sz w:val="22"/>
          <w:szCs w:val="22"/>
        </w:rPr>
        <w:t>and given the same dose, to confirm tolerability and safety before proceeding to phase II.</w:t>
      </w:r>
    </w:p>
    <w:p w14:paraId="4B86153F" w14:textId="77777777" w:rsidR="00C7773A" w:rsidRPr="007A10CF" w:rsidRDefault="00C7773A" w:rsidP="002F600D">
      <w:pPr>
        <w:pStyle w:val="ListParagraph"/>
        <w:numPr>
          <w:ilvl w:val="0"/>
          <w:numId w:val="13"/>
        </w:numPr>
        <w:contextualSpacing/>
        <w:jc w:val="both"/>
        <w:rPr>
          <w:rFonts w:ascii="Arial" w:hAnsi="Arial" w:cs="Arial"/>
          <w:b/>
          <w:color w:val="000000"/>
          <w:sz w:val="22"/>
          <w:u w:val="single"/>
        </w:rPr>
      </w:pPr>
      <w:r>
        <w:rPr>
          <w:rFonts w:ascii="Arial" w:hAnsi="Arial" w:cs="Arial"/>
          <w:bCs/>
          <w:sz w:val="22"/>
          <w:szCs w:val="22"/>
        </w:rPr>
        <w:t xml:space="preserve">Intermediary doses may also be explored between </w:t>
      </w:r>
      <w:r w:rsidR="00507641">
        <w:rPr>
          <w:rFonts w:ascii="Arial" w:hAnsi="Arial" w:cs="Arial"/>
          <w:bCs/>
          <w:sz w:val="22"/>
          <w:szCs w:val="22"/>
        </w:rPr>
        <w:t>cohorts 1</w:t>
      </w:r>
      <w:r>
        <w:rPr>
          <w:rFonts w:ascii="Arial" w:hAnsi="Arial" w:cs="Arial"/>
          <w:bCs/>
          <w:sz w:val="22"/>
          <w:szCs w:val="22"/>
        </w:rPr>
        <w:t xml:space="preserve"> and 2, and 2 and 3 if DLTs are experienced at the higher dose.</w:t>
      </w:r>
    </w:p>
    <w:p w14:paraId="71E9F2D8" w14:textId="77777777" w:rsidR="00B07BC6" w:rsidRDefault="00DA67E8" w:rsidP="002F600D">
      <w:pPr>
        <w:pStyle w:val="ListParagraph"/>
        <w:numPr>
          <w:ilvl w:val="0"/>
          <w:numId w:val="13"/>
        </w:numPr>
        <w:contextualSpacing/>
        <w:jc w:val="both"/>
        <w:rPr>
          <w:rFonts w:ascii="Arial" w:hAnsi="Arial" w:cs="Arial"/>
          <w:sz w:val="22"/>
          <w:szCs w:val="22"/>
        </w:rPr>
      </w:pPr>
      <w:r w:rsidRPr="00BF3FC9">
        <w:rPr>
          <w:rFonts w:ascii="Arial" w:hAnsi="Arial" w:cs="Arial"/>
          <w:sz w:val="22"/>
          <w:szCs w:val="22"/>
        </w:rPr>
        <w:lastRenderedPageBreak/>
        <w:t xml:space="preserve">The chosen dose to be used in the phase II trial will be influenced by the number of DLTs (see section </w:t>
      </w:r>
      <w:r w:rsidR="004C02C9">
        <w:rPr>
          <w:rFonts w:ascii="Arial" w:hAnsi="Arial" w:cs="Arial"/>
          <w:sz w:val="22"/>
          <w:szCs w:val="22"/>
        </w:rPr>
        <w:t>7.3.1</w:t>
      </w:r>
      <w:r w:rsidR="001764A8">
        <w:rPr>
          <w:rFonts w:ascii="Arial" w:hAnsi="Arial" w:cs="Arial"/>
          <w:sz w:val="22"/>
          <w:szCs w:val="22"/>
        </w:rPr>
        <w:t xml:space="preserve"> </w:t>
      </w:r>
      <w:r w:rsidRPr="00BF3FC9">
        <w:rPr>
          <w:rFonts w:ascii="Arial" w:hAnsi="Arial" w:cs="Arial"/>
          <w:sz w:val="22"/>
          <w:szCs w:val="22"/>
        </w:rPr>
        <w:t xml:space="preserve">for definitions), overall toxicity, and the </w:t>
      </w:r>
      <w:r w:rsidR="009623DC">
        <w:rPr>
          <w:rFonts w:ascii="Arial" w:hAnsi="Arial" w:cs="Arial"/>
          <w:sz w:val="22"/>
          <w:szCs w:val="22"/>
        </w:rPr>
        <w:t xml:space="preserve">number of cycles </w:t>
      </w:r>
      <w:r w:rsidRPr="00BF3FC9">
        <w:rPr>
          <w:rFonts w:ascii="Arial" w:hAnsi="Arial" w:cs="Arial"/>
          <w:sz w:val="22"/>
          <w:szCs w:val="22"/>
        </w:rPr>
        <w:t>of chemotherapy administered (to be examined by an Independent Data Monitoring Committee). This dose will not be chosen until all patients in phase I have completed at least 2 cycles.</w:t>
      </w:r>
    </w:p>
    <w:p w14:paraId="37163258" w14:textId="77777777" w:rsidR="00B07BC6" w:rsidRPr="00B07BC6" w:rsidRDefault="00B07BC6" w:rsidP="00B07BC6">
      <w:pPr>
        <w:contextualSpacing/>
        <w:jc w:val="both"/>
        <w:rPr>
          <w:rFonts w:ascii="Arial" w:hAnsi="Arial" w:cs="Arial"/>
          <w:sz w:val="22"/>
          <w:szCs w:val="22"/>
        </w:rPr>
      </w:pPr>
    </w:p>
    <w:p w14:paraId="699626C5" w14:textId="77777777" w:rsidR="00B07BC6" w:rsidRPr="00663B06" w:rsidRDefault="00B07BC6" w:rsidP="00B07BC6">
      <w:pPr>
        <w:jc w:val="both"/>
        <w:rPr>
          <w:rFonts w:ascii="Arial" w:hAnsi="Arial" w:cs="Arial"/>
          <w:bCs/>
          <w:i/>
          <w:sz w:val="22"/>
          <w:szCs w:val="22"/>
        </w:rPr>
      </w:pPr>
      <w:r w:rsidRPr="00663B06">
        <w:rPr>
          <w:rFonts w:ascii="Arial" w:hAnsi="Arial" w:cs="Arial"/>
          <w:bCs/>
          <w:i/>
          <w:sz w:val="22"/>
          <w:szCs w:val="22"/>
        </w:rPr>
        <w:t>Using carboplatin instead of cisplatin</w:t>
      </w:r>
    </w:p>
    <w:p w14:paraId="405A3460" w14:textId="77777777" w:rsidR="00B07BC6" w:rsidRDefault="00B07BC6" w:rsidP="00B07BC6">
      <w:pPr>
        <w:jc w:val="both"/>
        <w:rPr>
          <w:rFonts w:ascii="Arial" w:hAnsi="Arial" w:cs="Arial"/>
          <w:bCs/>
          <w:sz w:val="22"/>
          <w:szCs w:val="22"/>
        </w:rPr>
      </w:pPr>
      <w:r>
        <w:rPr>
          <w:rFonts w:ascii="Arial" w:hAnsi="Arial" w:cs="Arial"/>
          <w:bCs/>
          <w:sz w:val="22"/>
          <w:szCs w:val="22"/>
        </w:rPr>
        <w:t>There will be additional patients to be treated with carboplatin (AUC5) instead of cisplatin. If treatment with carboplatin is confirmed to be safe and tolerable, the option of treating patients with either cisplatin or carboplatin during phase II will be taken</w:t>
      </w:r>
      <w:r w:rsidRPr="00B53B51">
        <w:rPr>
          <w:rFonts w:ascii="Arial" w:hAnsi="Arial" w:cs="Arial"/>
          <w:bCs/>
          <w:sz w:val="22"/>
          <w:szCs w:val="22"/>
        </w:rPr>
        <w:t>.</w:t>
      </w:r>
      <w:r>
        <w:rPr>
          <w:rFonts w:ascii="Arial" w:hAnsi="Arial" w:cs="Arial"/>
          <w:bCs/>
          <w:sz w:val="22"/>
          <w:szCs w:val="22"/>
        </w:rPr>
        <w:t xml:space="preserve"> The evaluation will be done as follows (using an accelerated titrated phase I design):</w:t>
      </w:r>
    </w:p>
    <w:p w14:paraId="5F98146D" w14:textId="77777777" w:rsidR="00B07BC6" w:rsidRDefault="00B07BC6" w:rsidP="00B07BC6">
      <w:pPr>
        <w:jc w:val="both"/>
        <w:rPr>
          <w:rFonts w:ascii="Arial" w:hAnsi="Arial" w:cs="Arial"/>
          <w:bCs/>
          <w:sz w:val="22"/>
          <w:szCs w:val="22"/>
        </w:rPr>
      </w:pPr>
    </w:p>
    <w:p w14:paraId="6854735C" w14:textId="5155DEE2" w:rsidR="00B07BC6" w:rsidRPr="00663B06" w:rsidRDefault="00B07BC6" w:rsidP="00D65DE2">
      <w:pPr>
        <w:pStyle w:val="ListParagraph"/>
        <w:numPr>
          <w:ilvl w:val="0"/>
          <w:numId w:val="35"/>
        </w:numPr>
        <w:jc w:val="both"/>
        <w:rPr>
          <w:rFonts w:ascii="Arial" w:hAnsi="Arial" w:cs="Arial"/>
          <w:sz w:val="22"/>
          <w:szCs w:val="22"/>
        </w:rPr>
      </w:pPr>
      <w:r w:rsidRPr="00663B06">
        <w:rPr>
          <w:rFonts w:ascii="Arial" w:hAnsi="Arial" w:cs="Arial"/>
          <w:bCs/>
          <w:sz w:val="22"/>
          <w:szCs w:val="22"/>
        </w:rPr>
        <w:t xml:space="preserve">1 patient to be given carboplatin, with </w:t>
      </w:r>
      <w:r w:rsidRPr="00663B06">
        <w:rPr>
          <w:rFonts w:ascii="Arial" w:hAnsi="Arial" w:cs="Arial"/>
          <w:sz w:val="22"/>
          <w:szCs w:val="22"/>
        </w:rPr>
        <w:t>100 mg/m</w:t>
      </w:r>
      <w:r w:rsidRPr="00663B06">
        <w:rPr>
          <w:rFonts w:ascii="Arial" w:hAnsi="Arial" w:cs="Arial"/>
          <w:sz w:val="22"/>
          <w:szCs w:val="22"/>
          <w:vertAlign w:val="superscript"/>
        </w:rPr>
        <w:t>2</w:t>
      </w:r>
      <w:r w:rsidRPr="00663B06">
        <w:rPr>
          <w:rFonts w:ascii="Arial" w:hAnsi="Arial" w:cs="Arial"/>
          <w:sz w:val="22"/>
          <w:szCs w:val="22"/>
        </w:rPr>
        <w:t xml:space="preserve"> IV ganetespib and pemetrexed</w:t>
      </w:r>
      <w:r w:rsidR="00DC7621">
        <w:rPr>
          <w:rFonts w:ascii="Arial" w:hAnsi="Arial" w:cs="Arial"/>
          <w:sz w:val="22"/>
          <w:szCs w:val="22"/>
        </w:rPr>
        <w:t>.</w:t>
      </w:r>
    </w:p>
    <w:p w14:paraId="0ADA817E" w14:textId="77777777" w:rsidR="00B07BC6" w:rsidRPr="00663B06" w:rsidRDefault="00B07BC6" w:rsidP="00D65DE2">
      <w:pPr>
        <w:pStyle w:val="ListParagraph"/>
        <w:numPr>
          <w:ilvl w:val="0"/>
          <w:numId w:val="35"/>
        </w:numPr>
        <w:jc w:val="both"/>
        <w:rPr>
          <w:rFonts w:ascii="Arial" w:hAnsi="Arial" w:cs="Arial"/>
          <w:sz w:val="22"/>
          <w:szCs w:val="22"/>
        </w:rPr>
      </w:pPr>
      <w:r w:rsidRPr="00663B06">
        <w:rPr>
          <w:rFonts w:ascii="Arial" w:hAnsi="Arial" w:cs="Arial"/>
          <w:sz w:val="22"/>
          <w:szCs w:val="22"/>
        </w:rPr>
        <w:t>If there are no DLTs, the second patient is given 150 mg/m</w:t>
      </w:r>
      <w:r w:rsidRPr="00663B06">
        <w:rPr>
          <w:rFonts w:ascii="Arial" w:hAnsi="Arial" w:cs="Arial"/>
          <w:sz w:val="22"/>
          <w:szCs w:val="22"/>
          <w:vertAlign w:val="superscript"/>
        </w:rPr>
        <w:t>2</w:t>
      </w:r>
      <w:r w:rsidRPr="00663B06">
        <w:rPr>
          <w:rFonts w:ascii="Arial" w:hAnsi="Arial" w:cs="Arial"/>
          <w:sz w:val="22"/>
          <w:szCs w:val="22"/>
        </w:rPr>
        <w:t xml:space="preserve"> IV ganetespib.</w:t>
      </w:r>
    </w:p>
    <w:p w14:paraId="7BA675EB" w14:textId="77777777" w:rsidR="00B07BC6" w:rsidRPr="00663B06" w:rsidRDefault="00B07BC6" w:rsidP="00D65DE2">
      <w:pPr>
        <w:pStyle w:val="ListParagraph"/>
        <w:numPr>
          <w:ilvl w:val="0"/>
          <w:numId w:val="35"/>
        </w:numPr>
        <w:jc w:val="both"/>
        <w:rPr>
          <w:rFonts w:ascii="Arial" w:hAnsi="Arial" w:cs="Arial"/>
          <w:sz w:val="22"/>
          <w:szCs w:val="22"/>
        </w:rPr>
      </w:pPr>
      <w:r w:rsidRPr="00663B06">
        <w:rPr>
          <w:rFonts w:ascii="Arial" w:hAnsi="Arial" w:cs="Arial"/>
          <w:sz w:val="22"/>
          <w:szCs w:val="22"/>
        </w:rPr>
        <w:t>If a DLT occurs at either ganetespib dose, a 3+3 dose escalation design will begin</w:t>
      </w:r>
      <w:r>
        <w:rPr>
          <w:rFonts w:ascii="Arial" w:hAnsi="Arial" w:cs="Arial"/>
          <w:sz w:val="22"/>
          <w:szCs w:val="22"/>
        </w:rPr>
        <w:t xml:space="preserve"> (as with cisplatin)</w:t>
      </w:r>
      <w:r w:rsidRPr="00663B06">
        <w:rPr>
          <w:rFonts w:ascii="Arial" w:hAnsi="Arial" w:cs="Arial"/>
          <w:sz w:val="22"/>
          <w:szCs w:val="22"/>
        </w:rPr>
        <w:t>.</w:t>
      </w:r>
    </w:p>
    <w:p w14:paraId="3C06AC96" w14:textId="77777777" w:rsidR="00B07BC6" w:rsidRPr="00663B06" w:rsidRDefault="00B07BC6" w:rsidP="00D65DE2">
      <w:pPr>
        <w:pStyle w:val="ListParagraph"/>
        <w:numPr>
          <w:ilvl w:val="0"/>
          <w:numId w:val="35"/>
        </w:numPr>
        <w:jc w:val="both"/>
        <w:rPr>
          <w:rFonts w:ascii="Arial" w:hAnsi="Arial" w:cs="Arial"/>
          <w:bCs/>
          <w:sz w:val="22"/>
          <w:szCs w:val="22"/>
        </w:rPr>
      </w:pPr>
      <w:r w:rsidRPr="00663B06">
        <w:rPr>
          <w:rFonts w:ascii="Arial" w:hAnsi="Arial" w:cs="Arial"/>
          <w:sz w:val="22"/>
          <w:szCs w:val="22"/>
        </w:rPr>
        <w:t>If there are no DLTs at the two low ganetespib doses, the next 3 patients are given 200 mg/m</w:t>
      </w:r>
      <w:r w:rsidRPr="00663B06">
        <w:rPr>
          <w:rFonts w:ascii="Arial" w:hAnsi="Arial" w:cs="Arial"/>
          <w:sz w:val="22"/>
          <w:szCs w:val="22"/>
          <w:vertAlign w:val="superscript"/>
        </w:rPr>
        <w:t>2</w:t>
      </w:r>
      <w:r w:rsidRPr="00663B06">
        <w:rPr>
          <w:rFonts w:ascii="Arial" w:hAnsi="Arial" w:cs="Arial"/>
          <w:sz w:val="22"/>
          <w:szCs w:val="22"/>
        </w:rPr>
        <w:t xml:space="preserve"> IV ganetespib</w:t>
      </w:r>
      <w:r>
        <w:rPr>
          <w:rFonts w:ascii="Arial" w:hAnsi="Arial" w:cs="Arial"/>
          <w:sz w:val="22"/>
          <w:szCs w:val="22"/>
        </w:rPr>
        <w:t xml:space="preserve">, expanded to 6 if there are 0 or 1 DLTs among the first 3. If there are 2 or 3 DLTs among the first 3 patients the MTD would be the next lowest ganetespib dose. </w:t>
      </w:r>
    </w:p>
    <w:p w14:paraId="6717C5D7" w14:textId="77777777" w:rsidR="00B07BC6" w:rsidRDefault="00B07BC6" w:rsidP="000D4EA9">
      <w:pPr>
        <w:pStyle w:val="Header"/>
        <w:tabs>
          <w:tab w:val="clear" w:pos="4153"/>
          <w:tab w:val="clear" w:pos="8306"/>
        </w:tabs>
        <w:spacing w:before="40"/>
        <w:rPr>
          <w:rFonts w:ascii="Arial" w:hAnsi="Arial" w:cs="Arial"/>
          <w:sz w:val="20"/>
          <w:szCs w:val="20"/>
          <w:lang w:val="en-GB"/>
        </w:rPr>
      </w:pPr>
    </w:p>
    <w:p w14:paraId="160DB0A9" w14:textId="77777777" w:rsidR="00782322" w:rsidRPr="00543127" w:rsidRDefault="00782322" w:rsidP="00782322">
      <w:pPr>
        <w:snapToGrid w:val="0"/>
        <w:jc w:val="both"/>
        <w:rPr>
          <w:rFonts w:ascii="Arial" w:hAnsi="Arial" w:cs="Arial"/>
          <w:b/>
          <w:sz w:val="22"/>
        </w:rPr>
      </w:pPr>
      <w:r w:rsidRPr="000D4EA9">
        <w:rPr>
          <w:rFonts w:ascii="Arial" w:hAnsi="Arial"/>
          <w:b/>
          <w:sz w:val="22"/>
        </w:rPr>
        <w:t>Day 1</w:t>
      </w:r>
    </w:p>
    <w:p w14:paraId="263EF7EC" w14:textId="77777777" w:rsidR="00782322" w:rsidRDefault="00782322" w:rsidP="00D65DE2">
      <w:pPr>
        <w:numPr>
          <w:ilvl w:val="0"/>
          <w:numId w:val="35"/>
        </w:numPr>
        <w:snapToGrid w:val="0"/>
        <w:ind w:left="742"/>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Pr>
          <w:rFonts w:ascii="Arial" w:hAnsi="Arial" w:cs="Arial"/>
          <w:sz w:val="22"/>
        </w:rPr>
        <w:t>-1 hour infusion at the proposed MTD</w:t>
      </w:r>
    </w:p>
    <w:p w14:paraId="58B9D8DF" w14:textId="77777777" w:rsidR="00782322" w:rsidRDefault="00782322" w:rsidP="00D65DE2">
      <w:pPr>
        <w:numPr>
          <w:ilvl w:val="0"/>
          <w:numId w:val="35"/>
        </w:numPr>
        <w:snapToGrid w:val="0"/>
        <w:ind w:left="742"/>
        <w:jc w:val="both"/>
        <w:rPr>
          <w:rFonts w:ascii="Arial" w:hAnsi="Arial" w:cs="Arial"/>
          <w:sz w:val="22"/>
        </w:rPr>
      </w:pPr>
      <w:r>
        <w:rPr>
          <w:rFonts w:ascii="Arial" w:hAnsi="Arial" w:cs="Arial"/>
          <w:sz w:val="22"/>
        </w:rPr>
        <w:t>P</w:t>
      </w:r>
      <w:r w:rsidRPr="00983832">
        <w:rPr>
          <w:rFonts w:ascii="Arial" w:hAnsi="Arial" w:cs="Arial"/>
          <w:sz w:val="22"/>
        </w:rPr>
        <w:t>emetrexed 500mg/m</w:t>
      </w:r>
      <w:r w:rsidRPr="00983832">
        <w:rPr>
          <w:rFonts w:ascii="Arial" w:hAnsi="Arial" w:cs="Arial"/>
          <w:sz w:val="22"/>
          <w:vertAlign w:val="superscript"/>
        </w:rPr>
        <w:t>2</w:t>
      </w:r>
      <w:r w:rsidRPr="00983832">
        <w:rPr>
          <w:rFonts w:ascii="Arial" w:hAnsi="Arial" w:cs="Arial"/>
          <w:sz w:val="22"/>
        </w:rPr>
        <w:t xml:space="preserve"> IV </w:t>
      </w:r>
      <w:r>
        <w:rPr>
          <w:rFonts w:ascii="Arial" w:hAnsi="Arial" w:cs="Arial"/>
          <w:sz w:val="22"/>
        </w:rPr>
        <w:t xml:space="preserve">– infused </w:t>
      </w:r>
      <w:r w:rsidRPr="00983832">
        <w:rPr>
          <w:rFonts w:ascii="Arial" w:hAnsi="Arial" w:cs="Arial"/>
          <w:sz w:val="22"/>
        </w:rPr>
        <w:t>over 10 minutes</w:t>
      </w:r>
      <w:r>
        <w:rPr>
          <w:rFonts w:ascii="Arial" w:hAnsi="Arial" w:cs="Arial"/>
          <w:sz w:val="22"/>
        </w:rPr>
        <w:t xml:space="preserve"> </w:t>
      </w:r>
      <w:r w:rsidRPr="00983832">
        <w:rPr>
          <w:rFonts w:ascii="Arial" w:hAnsi="Arial" w:cs="Arial"/>
          <w:sz w:val="22"/>
        </w:rPr>
        <w:t>with vitamin B</w:t>
      </w:r>
      <w:r w:rsidRPr="00E25E51">
        <w:rPr>
          <w:rFonts w:ascii="Arial" w:hAnsi="Arial" w:cs="Arial"/>
          <w:sz w:val="22"/>
          <w:vertAlign w:val="subscript"/>
        </w:rPr>
        <w:t>12</w:t>
      </w:r>
      <w:r w:rsidRPr="00983832">
        <w:rPr>
          <w:rFonts w:ascii="Arial" w:hAnsi="Arial" w:cs="Arial"/>
          <w:sz w:val="22"/>
        </w:rPr>
        <w:t xml:space="preserve"> and folate supplementation as standard</w:t>
      </w:r>
      <w:r>
        <w:rPr>
          <w:rFonts w:ascii="Arial" w:hAnsi="Arial" w:cs="Arial"/>
          <w:sz w:val="22"/>
        </w:rPr>
        <w:t xml:space="preserve">. </w:t>
      </w:r>
      <w:r w:rsidRPr="00DB349B">
        <w:rPr>
          <w:rFonts w:ascii="Arial" w:hAnsi="Arial" w:cs="Arial"/>
          <w:sz w:val="22"/>
        </w:rPr>
        <w:t xml:space="preserve"> </w:t>
      </w:r>
      <w:r>
        <w:rPr>
          <w:rFonts w:ascii="Arial" w:hAnsi="Arial" w:cs="Arial"/>
          <w:sz w:val="22"/>
        </w:rPr>
        <w:t>Pemetrexed should be administered immediately after completion of the ganetespib infusion.</w:t>
      </w:r>
    </w:p>
    <w:p w14:paraId="6CC1CF6E" w14:textId="77777777" w:rsidR="00782322" w:rsidRDefault="00782322" w:rsidP="00D65DE2">
      <w:pPr>
        <w:numPr>
          <w:ilvl w:val="0"/>
          <w:numId w:val="35"/>
        </w:numPr>
        <w:snapToGrid w:val="0"/>
        <w:ind w:left="742"/>
        <w:jc w:val="both"/>
        <w:rPr>
          <w:rFonts w:ascii="Arial" w:hAnsi="Arial" w:cs="Arial"/>
          <w:sz w:val="22"/>
        </w:rPr>
      </w:pPr>
      <w:r>
        <w:rPr>
          <w:rFonts w:ascii="Arial" w:hAnsi="Arial" w:cs="Arial"/>
          <w:sz w:val="22"/>
        </w:rPr>
        <w:t>Carboplatin AUC5 IV infused over 30 minutes.</w:t>
      </w:r>
      <w:r w:rsidRPr="00DB349B">
        <w:rPr>
          <w:rFonts w:ascii="Arial" w:hAnsi="Arial" w:cs="Arial"/>
          <w:sz w:val="22"/>
        </w:rPr>
        <w:t xml:space="preserve"> </w:t>
      </w:r>
      <w:r>
        <w:rPr>
          <w:rFonts w:ascii="Arial" w:hAnsi="Arial" w:cs="Arial"/>
          <w:sz w:val="22"/>
        </w:rPr>
        <w:t>Carboplatin</w:t>
      </w:r>
      <w:r w:rsidRPr="00983832">
        <w:rPr>
          <w:rFonts w:ascii="Arial" w:hAnsi="Arial" w:cs="Arial"/>
          <w:sz w:val="22"/>
        </w:rPr>
        <w:t xml:space="preserve"> should be administered approximately 30 minutes after completion of the pemetrexed infusion.</w:t>
      </w:r>
    </w:p>
    <w:p w14:paraId="623FA8CB" w14:textId="77777777" w:rsidR="00782322" w:rsidRPr="00543127" w:rsidRDefault="00782322" w:rsidP="00782322">
      <w:pPr>
        <w:snapToGrid w:val="0"/>
        <w:jc w:val="both"/>
        <w:rPr>
          <w:rFonts w:ascii="Arial" w:hAnsi="Arial" w:cs="Arial"/>
          <w:b/>
          <w:sz w:val="22"/>
        </w:rPr>
      </w:pPr>
      <w:r>
        <w:rPr>
          <w:rFonts w:ascii="Arial" w:hAnsi="Arial" w:cs="Arial"/>
          <w:b/>
          <w:sz w:val="22"/>
        </w:rPr>
        <w:t>Day 15</w:t>
      </w:r>
      <w:r w:rsidRPr="00543127">
        <w:rPr>
          <w:rFonts w:ascii="Arial" w:hAnsi="Arial" w:cs="Arial"/>
          <w:b/>
          <w:sz w:val="22"/>
        </w:rPr>
        <w:t xml:space="preserve"> </w:t>
      </w:r>
    </w:p>
    <w:p w14:paraId="3F3B5B13" w14:textId="77777777" w:rsidR="00782322" w:rsidRDefault="00782322" w:rsidP="00D65DE2">
      <w:pPr>
        <w:numPr>
          <w:ilvl w:val="0"/>
          <w:numId w:val="35"/>
        </w:numPr>
        <w:snapToGrid w:val="0"/>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Pr>
          <w:rFonts w:ascii="Arial" w:hAnsi="Arial" w:cs="Arial"/>
          <w:sz w:val="22"/>
        </w:rPr>
        <w:t>– 1 hour infusion at the proposed MTD</w:t>
      </w:r>
    </w:p>
    <w:p w14:paraId="6321ADE2" w14:textId="77777777" w:rsidR="00782322" w:rsidRDefault="00782322" w:rsidP="00B70D01">
      <w:pPr>
        <w:snapToGrid w:val="0"/>
        <w:ind w:left="780"/>
        <w:jc w:val="both"/>
        <w:rPr>
          <w:rFonts w:ascii="Arial" w:hAnsi="Arial" w:cs="Arial"/>
          <w:sz w:val="22"/>
        </w:rPr>
      </w:pPr>
    </w:p>
    <w:p w14:paraId="1E18A9F8" w14:textId="77777777" w:rsidR="00782322" w:rsidRDefault="00782322" w:rsidP="00782322">
      <w:pPr>
        <w:snapToGrid w:val="0"/>
        <w:spacing w:before="60"/>
        <w:jc w:val="both"/>
        <w:rPr>
          <w:rFonts w:ascii="Arial" w:hAnsi="Arial" w:cs="Arial"/>
          <w:sz w:val="18"/>
          <w:szCs w:val="18"/>
        </w:rPr>
      </w:pPr>
      <w:r w:rsidRPr="00450F2B">
        <w:rPr>
          <w:rFonts w:ascii="Arial" w:hAnsi="Arial" w:cs="Arial"/>
          <w:sz w:val="18"/>
          <w:szCs w:val="18"/>
        </w:rPr>
        <w:t>*</w:t>
      </w:r>
      <w:r>
        <w:rPr>
          <w:rFonts w:ascii="Arial" w:hAnsi="Arial" w:cs="Arial"/>
          <w:sz w:val="18"/>
          <w:szCs w:val="18"/>
        </w:rPr>
        <w:t xml:space="preserve">DuBois and DuBois formula is the recommended method to </w:t>
      </w:r>
      <w:r w:rsidRPr="00450F2B">
        <w:rPr>
          <w:rFonts w:ascii="Arial" w:hAnsi="Arial" w:cs="Arial"/>
          <w:sz w:val="18"/>
          <w:szCs w:val="18"/>
        </w:rPr>
        <w:t>be used for calculation of BSA</w:t>
      </w:r>
    </w:p>
    <w:p w14:paraId="333D5407" w14:textId="77777777" w:rsidR="00782322" w:rsidRDefault="00782322" w:rsidP="00B70D01">
      <w:pPr>
        <w:pStyle w:val="Header"/>
        <w:tabs>
          <w:tab w:val="clear" w:pos="4153"/>
          <w:tab w:val="clear" w:pos="8306"/>
        </w:tabs>
        <w:spacing w:before="40"/>
        <w:rPr>
          <w:rFonts w:ascii="Arial" w:hAnsi="Arial" w:cs="Arial"/>
          <w:sz w:val="20"/>
          <w:szCs w:val="20"/>
          <w:lang w:val="en-GB"/>
        </w:rPr>
      </w:pPr>
    </w:p>
    <w:p w14:paraId="52CD6E94" w14:textId="77777777" w:rsidR="00DA67E8" w:rsidRPr="00093EEF" w:rsidRDefault="00DA67E8" w:rsidP="00093EEF">
      <w:pPr>
        <w:pStyle w:val="Heading3"/>
        <w:ind w:left="851" w:hanging="851"/>
      </w:pPr>
      <w:bookmarkStart w:id="47" w:name="_Toc471826724"/>
      <w:bookmarkStart w:id="48" w:name="_Toc528323490"/>
      <w:r w:rsidRPr="00093EEF">
        <w:t>Moving from Phase I to Phase II</w:t>
      </w:r>
      <w:bookmarkEnd w:id="47"/>
      <w:bookmarkEnd w:id="48"/>
    </w:p>
    <w:p w14:paraId="2E17FC08" w14:textId="77777777" w:rsidR="00C70CDB" w:rsidRPr="00C70CDB" w:rsidRDefault="00C70CDB" w:rsidP="0083695F">
      <w:pPr>
        <w:pStyle w:val="NonContentsHeading"/>
        <w:jc w:val="both"/>
        <w:rPr>
          <w:rFonts w:ascii="Arial" w:hAnsi="Arial" w:cs="Arial"/>
          <w:lang w:val="en-GB"/>
        </w:rPr>
      </w:pPr>
    </w:p>
    <w:p w14:paraId="692C97B2" w14:textId="77777777" w:rsidR="00DA67E8" w:rsidRDefault="00DA67E8" w:rsidP="00F62DC2">
      <w:pPr>
        <w:pStyle w:val="Header"/>
        <w:tabs>
          <w:tab w:val="left" w:pos="0"/>
        </w:tabs>
        <w:jc w:val="both"/>
        <w:rPr>
          <w:rFonts w:ascii="Arial" w:hAnsi="Arial" w:cs="Arial"/>
          <w:sz w:val="22"/>
        </w:rPr>
      </w:pPr>
      <w:r w:rsidRPr="00BF3FC9">
        <w:rPr>
          <w:rFonts w:ascii="Arial" w:hAnsi="Arial" w:cs="Arial"/>
          <w:sz w:val="22"/>
        </w:rPr>
        <w:t xml:space="preserve">On completion of the Phase I </w:t>
      </w:r>
      <w:r w:rsidRPr="00BF3FC9">
        <w:rPr>
          <w:rFonts w:ascii="Arial" w:hAnsi="Arial" w:cs="Arial"/>
          <w:sz w:val="22"/>
          <w:szCs w:val="22"/>
        </w:rPr>
        <w:t>trial</w:t>
      </w:r>
      <w:r w:rsidRPr="00BF3FC9">
        <w:rPr>
          <w:rFonts w:ascii="Arial" w:hAnsi="Arial" w:cs="Arial"/>
          <w:sz w:val="22"/>
        </w:rPr>
        <w:t>, the trial results will be reviewed with regards</w:t>
      </w:r>
      <w:r>
        <w:rPr>
          <w:rFonts w:ascii="Arial" w:hAnsi="Arial" w:cs="Arial"/>
          <w:sz w:val="22"/>
        </w:rPr>
        <w:t xml:space="preserve"> to</w:t>
      </w:r>
      <w:r w:rsidRPr="00BF3FC9">
        <w:rPr>
          <w:rFonts w:ascii="Arial" w:hAnsi="Arial" w:cs="Arial"/>
          <w:sz w:val="22"/>
        </w:rPr>
        <w:t xml:space="preserve"> the safety profile and delivery of standard chemotherapy (see section</w:t>
      </w:r>
      <w:r w:rsidR="00A45BF7">
        <w:rPr>
          <w:rFonts w:ascii="Arial" w:hAnsi="Arial" w:cs="Arial"/>
          <w:sz w:val="22"/>
          <w:lang w:val="en-GB"/>
        </w:rPr>
        <w:t xml:space="preserve"> </w:t>
      </w:r>
      <w:r w:rsidR="004C02C9">
        <w:rPr>
          <w:rFonts w:ascii="Arial" w:hAnsi="Arial" w:cs="Arial"/>
          <w:sz w:val="22"/>
        </w:rPr>
        <w:t>7.3.1</w:t>
      </w:r>
      <w:r w:rsidRPr="00BF3FC9">
        <w:rPr>
          <w:rFonts w:ascii="Arial" w:hAnsi="Arial" w:cs="Arial"/>
          <w:sz w:val="22"/>
        </w:rPr>
        <w:t xml:space="preserve">). There will also be a review by </w:t>
      </w:r>
      <w:proofErr w:type="spellStart"/>
      <w:r>
        <w:rPr>
          <w:rFonts w:ascii="Arial" w:hAnsi="Arial" w:cs="Arial"/>
          <w:sz w:val="22"/>
        </w:rPr>
        <w:t>Synta</w:t>
      </w:r>
      <w:proofErr w:type="spellEnd"/>
      <w:r>
        <w:rPr>
          <w:rFonts w:ascii="Arial" w:hAnsi="Arial" w:cs="Arial"/>
          <w:sz w:val="22"/>
        </w:rPr>
        <w:t xml:space="preserve"> </w:t>
      </w:r>
      <w:r w:rsidR="002F113D">
        <w:rPr>
          <w:rFonts w:ascii="Arial" w:hAnsi="Arial" w:cs="Arial"/>
          <w:sz w:val="22"/>
        </w:rPr>
        <w:t>Pharmaceuticals Corp</w:t>
      </w:r>
      <w:r>
        <w:rPr>
          <w:rFonts w:ascii="Arial" w:hAnsi="Arial" w:cs="Arial"/>
          <w:sz w:val="22"/>
        </w:rPr>
        <w:t xml:space="preserve">. </w:t>
      </w:r>
      <w:r w:rsidRPr="00BF3FC9">
        <w:rPr>
          <w:rFonts w:ascii="Arial" w:hAnsi="Arial" w:cs="Arial"/>
          <w:sz w:val="22"/>
        </w:rPr>
        <w:t xml:space="preserve">of their support, in light of results from other trials of </w:t>
      </w:r>
      <w:r>
        <w:rPr>
          <w:rFonts w:ascii="Arial" w:hAnsi="Arial" w:cs="Arial"/>
          <w:sz w:val="22"/>
        </w:rPr>
        <w:t>ganetespib</w:t>
      </w:r>
      <w:r w:rsidRPr="00BF3FC9">
        <w:rPr>
          <w:rFonts w:ascii="Arial" w:hAnsi="Arial" w:cs="Arial"/>
          <w:sz w:val="22"/>
        </w:rPr>
        <w:t xml:space="preserve"> currently in progress, before the decision is made to proceed to the randomised Phase II </w:t>
      </w:r>
      <w:r w:rsidRPr="00BF3FC9">
        <w:rPr>
          <w:rFonts w:ascii="Arial" w:hAnsi="Arial" w:cs="Arial"/>
          <w:sz w:val="22"/>
          <w:szCs w:val="22"/>
        </w:rPr>
        <w:t>trial</w:t>
      </w:r>
      <w:r w:rsidRPr="00BF3FC9">
        <w:rPr>
          <w:rFonts w:ascii="Arial" w:hAnsi="Arial" w:cs="Arial"/>
          <w:sz w:val="22"/>
        </w:rPr>
        <w:t>. A substantial amendment would then be submitted to the MHRA and Research Ethics Committee with the relevant sections of thi</w:t>
      </w:r>
      <w:r>
        <w:rPr>
          <w:rFonts w:ascii="Arial" w:hAnsi="Arial" w:cs="Arial"/>
          <w:sz w:val="22"/>
        </w:rPr>
        <w:t>s protocol changed accordingly</w:t>
      </w:r>
      <w:r w:rsidRPr="00BF3FC9">
        <w:rPr>
          <w:rFonts w:ascii="Arial" w:hAnsi="Arial" w:cs="Arial"/>
          <w:sz w:val="22"/>
        </w:rPr>
        <w:t xml:space="preserve"> and approval sought before moving into the Phase II trial.</w:t>
      </w:r>
    </w:p>
    <w:p w14:paraId="6EC46ADE" w14:textId="77777777" w:rsidR="00BC0CDE" w:rsidRDefault="00BC0CDE" w:rsidP="00F62DC2">
      <w:pPr>
        <w:pStyle w:val="Header"/>
        <w:tabs>
          <w:tab w:val="left" w:pos="0"/>
        </w:tabs>
        <w:jc w:val="both"/>
        <w:rPr>
          <w:rFonts w:ascii="Arial" w:hAnsi="Arial" w:cs="Arial"/>
          <w:sz w:val="22"/>
        </w:rPr>
      </w:pPr>
    </w:p>
    <w:p w14:paraId="66A20C91" w14:textId="724847DD" w:rsidR="00BC0CDE" w:rsidRPr="00BF3FC9" w:rsidRDefault="00495549" w:rsidP="00F62DC2">
      <w:pPr>
        <w:pStyle w:val="Header"/>
        <w:tabs>
          <w:tab w:val="left" w:pos="0"/>
        </w:tabs>
        <w:jc w:val="both"/>
        <w:rPr>
          <w:rFonts w:ascii="Arial" w:hAnsi="Arial" w:cs="Arial"/>
          <w:sz w:val="22"/>
        </w:rPr>
      </w:pPr>
      <w:r w:rsidRPr="00495549">
        <w:rPr>
          <w:rFonts w:ascii="Arial" w:hAnsi="Arial" w:cs="Arial"/>
          <w:b/>
          <w:sz w:val="20"/>
          <w:szCs w:val="20"/>
          <w:lang w:val="en-GB"/>
        </w:rPr>
        <w:t>The trial will no longer proceed to phase II following the busi</w:t>
      </w:r>
      <w:r>
        <w:rPr>
          <w:rFonts w:ascii="Arial" w:hAnsi="Arial" w:cs="Arial"/>
          <w:b/>
          <w:sz w:val="20"/>
          <w:szCs w:val="20"/>
          <w:lang w:val="en-GB"/>
        </w:rPr>
        <w:t>ness decision by Madrigal Pharma</w:t>
      </w:r>
      <w:r w:rsidRPr="00495549">
        <w:rPr>
          <w:rFonts w:ascii="Arial" w:hAnsi="Arial" w:cs="Arial"/>
          <w:b/>
          <w:sz w:val="20"/>
          <w:szCs w:val="20"/>
          <w:lang w:val="en-GB"/>
        </w:rPr>
        <w:t>ceuticals Inc</w:t>
      </w:r>
      <w:r w:rsidR="00B90009">
        <w:rPr>
          <w:rFonts w:ascii="Arial" w:hAnsi="Arial" w:cs="Arial"/>
          <w:b/>
          <w:sz w:val="20"/>
          <w:szCs w:val="20"/>
          <w:lang w:val="en-GB"/>
        </w:rPr>
        <w:t>.</w:t>
      </w:r>
      <w:r w:rsidRPr="00495549">
        <w:rPr>
          <w:rFonts w:ascii="Arial" w:hAnsi="Arial" w:cs="Arial"/>
          <w:b/>
          <w:sz w:val="20"/>
          <w:szCs w:val="20"/>
          <w:lang w:val="en-GB"/>
        </w:rPr>
        <w:t xml:space="preserve"> (formerly </w:t>
      </w:r>
      <w:proofErr w:type="spellStart"/>
      <w:r w:rsidRPr="00495549">
        <w:rPr>
          <w:rFonts w:ascii="Arial" w:hAnsi="Arial" w:cs="Arial"/>
          <w:b/>
          <w:sz w:val="20"/>
          <w:szCs w:val="20"/>
          <w:lang w:val="en-GB"/>
        </w:rPr>
        <w:t>Synta</w:t>
      </w:r>
      <w:proofErr w:type="spellEnd"/>
      <w:r w:rsidRPr="00495549">
        <w:rPr>
          <w:rFonts w:ascii="Arial" w:hAnsi="Arial" w:cs="Arial"/>
          <w:b/>
          <w:sz w:val="20"/>
          <w:szCs w:val="20"/>
          <w:lang w:val="en-GB"/>
        </w:rPr>
        <w:t xml:space="preserve"> Pharmaceuticals Corp</w:t>
      </w:r>
      <w:r w:rsidR="00B90009">
        <w:rPr>
          <w:rFonts w:ascii="Arial" w:hAnsi="Arial" w:cs="Arial"/>
          <w:b/>
          <w:sz w:val="20"/>
          <w:szCs w:val="20"/>
          <w:lang w:val="en-GB"/>
        </w:rPr>
        <w:t>.</w:t>
      </w:r>
      <w:r w:rsidRPr="00495549">
        <w:rPr>
          <w:rFonts w:ascii="Arial" w:hAnsi="Arial" w:cs="Arial"/>
          <w:b/>
          <w:sz w:val="20"/>
          <w:szCs w:val="20"/>
          <w:lang w:val="en-GB"/>
        </w:rPr>
        <w:t>) to cease development of ganetespib in this population.</w:t>
      </w:r>
    </w:p>
    <w:p w14:paraId="71C8F456" w14:textId="77777777" w:rsidR="00DA67E8" w:rsidRDefault="00DA67E8" w:rsidP="00F62DC2">
      <w:pPr>
        <w:tabs>
          <w:tab w:val="left" w:pos="720"/>
        </w:tabs>
        <w:jc w:val="both"/>
        <w:rPr>
          <w:rFonts w:ascii="Arial" w:hAnsi="Arial" w:cs="Arial"/>
        </w:rPr>
      </w:pPr>
    </w:p>
    <w:p w14:paraId="4552716A" w14:textId="77777777" w:rsidR="00B70D01" w:rsidRDefault="00B70D01" w:rsidP="00F62DC2">
      <w:pPr>
        <w:tabs>
          <w:tab w:val="left" w:pos="720"/>
        </w:tabs>
        <w:jc w:val="both"/>
        <w:rPr>
          <w:rFonts w:ascii="Arial" w:hAnsi="Arial" w:cs="Arial"/>
        </w:rPr>
      </w:pPr>
    </w:p>
    <w:p w14:paraId="06D5D830" w14:textId="77777777" w:rsidR="00B70D01" w:rsidRDefault="00B70D01" w:rsidP="00F62DC2">
      <w:pPr>
        <w:tabs>
          <w:tab w:val="left" w:pos="720"/>
        </w:tabs>
        <w:jc w:val="both"/>
        <w:rPr>
          <w:rFonts w:ascii="Arial" w:hAnsi="Arial" w:cs="Arial"/>
        </w:rPr>
      </w:pPr>
    </w:p>
    <w:p w14:paraId="54D35365" w14:textId="77777777" w:rsidR="00B70D01" w:rsidRDefault="00B70D01" w:rsidP="00F62DC2">
      <w:pPr>
        <w:tabs>
          <w:tab w:val="left" w:pos="720"/>
        </w:tabs>
        <w:jc w:val="both"/>
        <w:rPr>
          <w:rFonts w:ascii="Arial" w:hAnsi="Arial" w:cs="Arial"/>
        </w:rPr>
      </w:pPr>
    </w:p>
    <w:p w14:paraId="4A333F1B" w14:textId="77777777" w:rsidR="00D11F73" w:rsidRDefault="00D11F73" w:rsidP="00F62DC2">
      <w:pPr>
        <w:tabs>
          <w:tab w:val="left" w:pos="720"/>
        </w:tabs>
        <w:jc w:val="both"/>
        <w:rPr>
          <w:rFonts w:ascii="Arial" w:hAnsi="Arial" w:cs="Arial"/>
        </w:rPr>
      </w:pPr>
    </w:p>
    <w:p w14:paraId="2B08BA7D" w14:textId="77777777" w:rsidR="00DA67E8" w:rsidRPr="00093EEF" w:rsidRDefault="00DA67E8" w:rsidP="00552938">
      <w:pPr>
        <w:pStyle w:val="Heading3"/>
        <w:spacing w:before="0"/>
        <w:ind w:left="851" w:hanging="851"/>
      </w:pPr>
      <w:bookmarkStart w:id="49" w:name="_Toc471826725"/>
      <w:bookmarkStart w:id="50" w:name="_Toc528323491"/>
      <w:r w:rsidRPr="00093EEF">
        <w:lastRenderedPageBreak/>
        <w:t>Randomised phase II Trial</w:t>
      </w:r>
      <w:bookmarkEnd w:id="49"/>
      <w:bookmarkEnd w:id="50"/>
    </w:p>
    <w:p w14:paraId="08E7126C" w14:textId="77777777" w:rsidR="00DA67E8" w:rsidRPr="005E2C7F" w:rsidRDefault="00DA67E8" w:rsidP="00E83AE3">
      <w:pPr>
        <w:tabs>
          <w:tab w:val="left" w:pos="720"/>
        </w:tabs>
        <w:jc w:val="both"/>
        <w:rPr>
          <w:rFonts w:cs="Tahoma"/>
        </w:rPr>
      </w:pPr>
    </w:p>
    <w:p w14:paraId="23BA77E0" w14:textId="77777777" w:rsidR="00DA67E8" w:rsidRPr="005E2C7F" w:rsidRDefault="00DA67E8" w:rsidP="00E83AE3">
      <w:pPr>
        <w:tabs>
          <w:tab w:val="left" w:pos="720"/>
        </w:tabs>
        <w:jc w:val="both"/>
        <w:rPr>
          <w:rFonts w:cs="Tahoma"/>
          <w:b/>
          <w:bCs/>
          <w:i/>
          <w:iCs/>
          <w:color w:val="0000FF"/>
        </w:rPr>
      </w:pPr>
    </w:p>
    <w:p w14:paraId="4395A085" w14:textId="77777777" w:rsidR="00DA67E8" w:rsidRPr="005E2C7F" w:rsidRDefault="00023049" w:rsidP="00E83AE3">
      <w:pPr>
        <w:pStyle w:val="Header"/>
        <w:tabs>
          <w:tab w:val="clear" w:pos="4153"/>
          <w:tab w:val="clear" w:pos="8306"/>
        </w:tabs>
        <w:jc w:val="both"/>
        <w:rPr>
          <w:rFonts w:cs="Tahoma"/>
        </w:rPr>
      </w:pPr>
      <w:r>
        <w:rPr>
          <w:noProof/>
          <w:lang w:val="en-GB" w:eastAsia="en-GB"/>
        </w:rPr>
        <mc:AlternateContent>
          <mc:Choice Requires="wps">
            <w:drawing>
              <wp:anchor distT="0" distB="0" distL="114300" distR="114300" simplePos="0" relativeHeight="251659264" behindDoc="0" locked="1" layoutInCell="1" allowOverlap="1" wp14:anchorId="75481226" wp14:editId="68ED3509">
                <wp:simplePos x="0" y="0"/>
                <wp:positionH relativeFrom="column">
                  <wp:posOffset>3200400</wp:posOffset>
                </wp:positionH>
                <wp:positionV relativeFrom="paragraph">
                  <wp:posOffset>1362075</wp:posOffset>
                </wp:positionV>
                <wp:extent cx="2171700" cy="2707005"/>
                <wp:effectExtent l="0" t="0" r="19050" b="1714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707005"/>
                        </a:xfrm>
                        <a:prstGeom prst="rect">
                          <a:avLst/>
                        </a:prstGeom>
                        <a:solidFill>
                          <a:srgbClr val="FFFFFF"/>
                        </a:solidFill>
                        <a:ln w="9525">
                          <a:solidFill>
                            <a:srgbClr val="000000"/>
                          </a:solidFill>
                          <a:miter lim="800000"/>
                          <a:headEnd/>
                          <a:tailEnd/>
                        </a:ln>
                      </wps:spPr>
                      <wps:txbx>
                        <w:txbxContent>
                          <w:p w14:paraId="3C25AA74" w14:textId="77777777" w:rsidR="00764FAA" w:rsidRDefault="00764FAA" w:rsidP="00E83AE3">
                            <w:pPr>
                              <w:pStyle w:val="BodyText12"/>
                              <w:keepNext/>
                              <w:keepLines/>
                              <w:spacing w:after="0" w:line="240" w:lineRule="auto"/>
                              <w:ind w:left="0" w:right="33"/>
                              <w:jc w:val="center"/>
                              <w:rPr>
                                <w:rFonts w:ascii="Arial" w:hAnsi="Arial" w:cs="Arial"/>
                                <w:b/>
                                <w:color w:val="000000"/>
                                <w:sz w:val="22"/>
                                <w:lang w:val="en-GB"/>
                              </w:rPr>
                            </w:pPr>
                            <w:r>
                              <w:rPr>
                                <w:rFonts w:ascii="Arial" w:hAnsi="Arial" w:cs="Arial"/>
                                <w:b/>
                                <w:color w:val="000000"/>
                                <w:sz w:val="22"/>
                                <w:lang w:val="en-GB"/>
                              </w:rPr>
                              <w:t>Arm B Chemotherapy</w:t>
                            </w:r>
                          </w:p>
                          <w:p w14:paraId="0C08EBED"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b/>
                                <w:color w:val="000000"/>
                                <w:sz w:val="22"/>
                                <w:lang w:val="en-GB"/>
                              </w:rPr>
                              <w:t>(55 patients)</w:t>
                            </w:r>
                          </w:p>
                          <w:p w14:paraId="4D4F9706"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p>
                          <w:p w14:paraId="0161964D"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p>
                          <w:p w14:paraId="17CFC8A3"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p>
                          <w:p w14:paraId="1950E5B1"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Pemetrexed</w:t>
                            </w:r>
                          </w:p>
                          <w:p w14:paraId="4F88796D"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500mg/m</w:t>
                            </w:r>
                            <w:r>
                              <w:rPr>
                                <w:rFonts w:ascii="Arial" w:hAnsi="Arial" w:cs="Arial"/>
                                <w:bCs/>
                                <w:color w:val="000000"/>
                                <w:sz w:val="22"/>
                                <w:vertAlign w:val="superscript"/>
                              </w:rPr>
                              <w:t>2</w:t>
                            </w:r>
                            <w:r>
                              <w:rPr>
                                <w:rFonts w:ascii="Arial" w:hAnsi="Arial" w:cs="Arial"/>
                                <w:bCs/>
                                <w:color w:val="000000"/>
                                <w:sz w:val="22"/>
                              </w:rPr>
                              <w:t xml:space="preserve"> IV</w:t>
                            </w:r>
                          </w:p>
                          <w:p w14:paraId="41A71CAF"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day 1 every 21 days</w:t>
                            </w:r>
                          </w:p>
                          <w:p w14:paraId="43042BB5"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(with vitamin B</w:t>
                            </w:r>
                            <w:r w:rsidRPr="000D5C4F">
                              <w:rPr>
                                <w:rFonts w:ascii="Arial" w:hAnsi="Arial" w:cs="Arial"/>
                                <w:color w:val="000000"/>
                                <w:sz w:val="22"/>
                                <w:vertAlign w:val="subscript"/>
                                <w:lang w:val="en-GB"/>
                              </w:rPr>
                              <w:t>12</w:t>
                            </w:r>
                            <w:r>
                              <w:rPr>
                                <w:rFonts w:ascii="Arial" w:hAnsi="Arial" w:cs="Arial"/>
                                <w:color w:val="000000"/>
                                <w:sz w:val="22"/>
                                <w:lang w:val="en-GB"/>
                              </w:rPr>
                              <w:t>/folate supplementation)</w:t>
                            </w:r>
                          </w:p>
                          <w:p w14:paraId="120D9932"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t>
                            </w:r>
                          </w:p>
                          <w:p w14:paraId="2EBACFDB"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 xml:space="preserve">Cisplatin </w:t>
                            </w:r>
                          </w:p>
                          <w:p w14:paraId="4FC4E358"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Cs/>
                                <w:color w:val="000000"/>
                                <w:sz w:val="22"/>
                              </w:rPr>
                              <w:t>75mg/m</w:t>
                            </w:r>
                            <w:r>
                              <w:rPr>
                                <w:rFonts w:ascii="Arial" w:hAnsi="Arial" w:cs="Arial"/>
                                <w:bCs/>
                                <w:color w:val="000000"/>
                                <w:sz w:val="22"/>
                                <w:vertAlign w:val="superscript"/>
                              </w:rPr>
                              <w:t>2</w:t>
                            </w:r>
                            <w:r>
                              <w:rPr>
                                <w:rFonts w:ascii="Arial" w:hAnsi="Arial" w:cs="Arial"/>
                                <w:bCs/>
                                <w:color w:val="000000"/>
                                <w:sz w:val="22"/>
                              </w:rPr>
                              <w:t xml:space="preserve"> IV</w:t>
                            </w:r>
                            <w:r>
                              <w:rPr>
                                <w:rFonts w:ascii="Arial" w:hAnsi="Arial" w:cs="Arial"/>
                                <w:b/>
                                <w:bCs/>
                                <w:color w:val="000000"/>
                                <w:sz w:val="22"/>
                                <w:lang w:val="en-GB"/>
                              </w:rPr>
                              <w:t xml:space="preserve">or Carboplatin </w:t>
                            </w:r>
                            <w:r w:rsidRPr="00E01E79">
                              <w:rPr>
                                <w:rFonts w:ascii="Arial" w:hAnsi="Arial" w:cs="Arial"/>
                                <w:bCs/>
                                <w:color w:val="000000"/>
                                <w:sz w:val="22"/>
                              </w:rPr>
                              <w:t>AUC5</w:t>
                            </w:r>
                          </w:p>
                          <w:p w14:paraId="4F527831"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bCs/>
                                <w:color w:val="000000"/>
                                <w:sz w:val="22"/>
                              </w:rPr>
                              <w:t>day 1 every 21 days</w:t>
                            </w:r>
                          </w:p>
                          <w:p w14:paraId="29D9C5BF"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p>
                          <w:p w14:paraId="2283F0FA"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p>
                          <w:p w14:paraId="3AC07053" w14:textId="77777777" w:rsidR="00764FAA" w:rsidRDefault="00764FAA" w:rsidP="00E83AE3">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1226" id="_x0000_t202" coordsize="21600,21600" o:spt="202" path="m,l,21600r21600,l21600,xe">
                <v:stroke joinstyle="miter"/>
                <v:path gradientshapeok="t" o:connecttype="rect"/>
              </v:shapetype>
              <v:shape id="Text Box 12" o:spid="_x0000_s1026" type="#_x0000_t202" style="position:absolute;left:0;text-align:left;margin-left:252pt;margin-top:107.25pt;width:171pt;height:2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">
                <v:textbox>
                  <w:txbxContent>
                    <w:p w14:paraId="3C25AA74" w14:textId="77777777" w:rsidR="00764FAA" w:rsidRDefault="00764FAA" w:rsidP="00E83AE3">
                      <w:pPr>
                        <w:pStyle w:val="BodyText12"/>
                        <w:keepNext/>
                        <w:keepLines/>
                        <w:spacing w:after="0" w:line="240" w:lineRule="auto"/>
                        <w:ind w:left="0" w:right="33"/>
                        <w:jc w:val="center"/>
                        <w:rPr>
                          <w:rFonts w:ascii="Arial" w:hAnsi="Arial" w:cs="Arial"/>
                          <w:b/>
                          <w:color w:val="000000"/>
                          <w:sz w:val="22"/>
                          <w:lang w:val="en-GB"/>
                        </w:rPr>
                      </w:pPr>
                      <w:r>
                        <w:rPr>
                          <w:rFonts w:ascii="Arial" w:hAnsi="Arial" w:cs="Arial"/>
                          <w:b/>
                          <w:color w:val="000000"/>
                          <w:sz w:val="22"/>
                          <w:lang w:val="en-GB"/>
                        </w:rPr>
                        <w:t>Arm B Chemotherapy</w:t>
                      </w:r>
                    </w:p>
                    <w:p w14:paraId="0C08EBED"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b/>
                          <w:color w:val="000000"/>
                          <w:sz w:val="22"/>
                          <w:lang w:val="en-GB"/>
                        </w:rPr>
                        <w:t>(55 patients)</w:t>
                      </w:r>
                    </w:p>
                    <w:p w14:paraId="4D4F9706"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p>
                    <w:p w14:paraId="0161964D"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p>
                    <w:p w14:paraId="17CFC8A3"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p>
                    <w:p w14:paraId="1950E5B1"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Pemetrexed</w:t>
                      </w:r>
                    </w:p>
                    <w:p w14:paraId="4F88796D"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500mg/m</w:t>
                      </w:r>
                      <w:r>
                        <w:rPr>
                          <w:rFonts w:ascii="Arial" w:hAnsi="Arial" w:cs="Arial"/>
                          <w:bCs/>
                          <w:color w:val="000000"/>
                          <w:sz w:val="22"/>
                          <w:vertAlign w:val="superscript"/>
                        </w:rPr>
                        <w:t>2</w:t>
                      </w:r>
                      <w:r>
                        <w:rPr>
                          <w:rFonts w:ascii="Arial" w:hAnsi="Arial" w:cs="Arial"/>
                          <w:bCs/>
                          <w:color w:val="000000"/>
                          <w:sz w:val="22"/>
                        </w:rPr>
                        <w:t xml:space="preserve"> IV</w:t>
                      </w:r>
                    </w:p>
                    <w:p w14:paraId="41A71CAF"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day 1 every 21 days</w:t>
                      </w:r>
                    </w:p>
                    <w:p w14:paraId="43042BB5"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(with vitamin B</w:t>
                      </w:r>
                      <w:r w:rsidRPr="000D5C4F">
                        <w:rPr>
                          <w:rFonts w:ascii="Arial" w:hAnsi="Arial" w:cs="Arial"/>
                          <w:color w:val="000000"/>
                          <w:sz w:val="22"/>
                          <w:vertAlign w:val="subscript"/>
                          <w:lang w:val="en-GB"/>
                        </w:rPr>
                        <w:t>12</w:t>
                      </w:r>
                      <w:r>
                        <w:rPr>
                          <w:rFonts w:ascii="Arial" w:hAnsi="Arial" w:cs="Arial"/>
                          <w:color w:val="000000"/>
                          <w:sz w:val="22"/>
                          <w:lang w:val="en-GB"/>
                        </w:rPr>
                        <w:t>/folate supplementation)</w:t>
                      </w:r>
                    </w:p>
                    <w:p w14:paraId="120D9932"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t>
                      </w:r>
                    </w:p>
                    <w:p w14:paraId="2EBACFDB"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 xml:space="preserve">Cisplatin </w:t>
                      </w:r>
                    </w:p>
                    <w:p w14:paraId="4FC4E358"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Cs/>
                          <w:color w:val="000000"/>
                          <w:sz w:val="22"/>
                        </w:rPr>
                        <w:t>75mg/m</w:t>
                      </w:r>
                      <w:r>
                        <w:rPr>
                          <w:rFonts w:ascii="Arial" w:hAnsi="Arial" w:cs="Arial"/>
                          <w:bCs/>
                          <w:color w:val="000000"/>
                          <w:sz w:val="22"/>
                          <w:vertAlign w:val="superscript"/>
                        </w:rPr>
                        <w:t>2</w:t>
                      </w:r>
                      <w:r>
                        <w:rPr>
                          <w:rFonts w:ascii="Arial" w:hAnsi="Arial" w:cs="Arial"/>
                          <w:bCs/>
                          <w:color w:val="000000"/>
                          <w:sz w:val="22"/>
                        </w:rPr>
                        <w:t xml:space="preserve"> IV</w:t>
                      </w:r>
                      <w:r>
                        <w:rPr>
                          <w:rFonts w:ascii="Arial" w:hAnsi="Arial" w:cs="Arial"/>
                          <w:b/>
                          <w:bCs/>
                          <w:color w:val="000000"/>
                          <w:sz w:val="22"/>
                          <w:lang w:val="en-GB"/>
                        </w:rPr>
                        <w:t xml:space="preserve">or Carboplatin </w:t>
                      </w:r>
                      <w:r w:rsidRPr="00E01E79">
                        <w:rPr>
                          <w:rFonts w:ascii="Arial" w:hAnsi="Arial" w:cs="Arial"/>
                          <w:bCs/>
                          <w:color w:val="000000"/>
                          <w:sz w:val="22"/>
                        </w:rPr>
                        <w:t>AUC5</w:t>
                      </w:r>
                    </w:p>
                    <w:p w14:paraId="4F527831"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bCs/>
                          <w:color w:val="000000"/>
                          <w:sz w:val="22"/>
                        </w:rPr>
                        <w:t>day 1 every 21 days</w:t>
                      </w:r>
                    </w:p>
                    <w:p w14:paraId="29D9C5BF"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p>
                    <w:p w14:paraId="2283F0FA"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p>
                    <w:p w14:paraId="3AC07053" w14:textId="77777777" w:rsidR="00764FAA" w:rsidRDefault="00764FAA" w:rsidP="00E83AE3">
                      <w:pPr>
                        <w:rPr>
                          <w:sz w:val="22"/>
                        </w:rPr>
                      </w:pPr>
                    </w:p>
                  </w:txbxContent>
                </v:textbox>
                <w10:anchorlock/>
              </v:shape>
            </w:pict>
          </mc:Fallback>
        </mc:AlternateContent>
      </w:r>
      <w:r>
        <w:rPr>
          <w:noProof/>
          <w:lang w:val="en-GB" w:eastAsia="en-GB"/>
        </w:rPr>
        <mc:AlternateContent>
          <mc:Choice Requires="wps">
            <w:drawing>
              <wp:anchor distT="0" distB="0" distL="114300" distR="114300" simplePos="0" relativeHeight="251658240" behindDoc="0" locked="1" layoutInCell="1" allowOverlap="1" wp14:anchorId="6F189693" wp14:editId="1D556C5B">
                <wp:simplePos x="0" y="0"/>
                <wp:positionH relativeFrom="column">
                  <wp:posOffset>2057400</wp:posOffset>
                </wp:positionH>
                <wp:positionV relativeFrom="paragraph">
                  <wp:posOffset>755650</wp:posOffset>
                </wp:positionV>
                <wp:extent cx="1828800" cy="34290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72A66" w14:textId="77777777" w:rsidR="00764FAA" w:rsidRDefault="00764FAA" w:rsidP="00E83AE3">
                            <w:pPr>
                              <w:jc w:val="center"/>
                              <w:rPr>
                                <w:b/>
                                <w:bCs/>
                              </w:rPr>
                            </w:pPr>
                            <w:r>
                              <w:rPr>
                                <w:b/>
                                <w:bCs/>
                                <w:sz w:val="22"/>
                              </w:rPr>
                              <w:t>Randomisation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89693" id="Text Box 11" o:spid="_x0000_s1027" type="#_x0000_t202" style="position:absolute;left:0;text-align:left;margin-left:162pt;margin-top:59.5pt;width:2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ohAIAABc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" stroked="f">
                <v:textbox>
                  <w:txbxContent>
                    <w:p w14:paraId="79172A66" w14:textId="77777777" w:rsidR="00764FAA" w:rsidRDefault="00764FAA" w:rsidP="00E83AE3">
                      <w:pPr>
                        <w:jc w:val="center"/>
                        <w:rPr>
                          <w:b/>
                          <w:bCs/>
                        </w:rPr>
                      </w:pPr>
                      <w:r>
                        <w:rPr>
                          <w:b/>
                          <w:bCs/>
                          <w:sz w:val="22"/>
                        </w:rPr>
                        <w:t>Randomisation</w:t>
                      </w:r>
                    </w:p>
                  </w:txbxContent>
                </v:textbox>
                <w10:anchorlock/>
              </v:shape>
            </w:pict>
          </mc:Fallback>
        </mc:AlternateContent>
      </w:r>
      <w:r>
        <w:rPr>
          <w:noProof/>
          <w:lang w:val="en-GB" w:eastAsia="en-GB"/>
        </w:rPr>
        <mc:AlternateContent>
          <mc:Choice Requires="wps">
            <w:drawing>
              <wp:anchor distT="0" distB="0" distL="114300" distR="114300" simplePos="0" relativeHeight="251657216" behindDoc="0" locked="1" layoutInCell="1" allowOverlap="1" wp14:anchorId="712AA8B6" wp14:editId="0C973D2A">
                <wp:simplePos x="0" y="0"/>
                <wp:positionH relativeFrom="column">
                  <wp:posOffset>571500</wp:posOffset>
                </wp:positionH>
                <wp:positionV relativeFrom="paragraph">
                  <wp:posOffset>1362075</wp:posOffset>
                </wp:positionV>
                <wp:extent cx="2171700" cy="2707005"/>
                <wp:effectExtent l="0" t="0" r="19050" b="1714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707005"/>
                        </a:xfrm>
                        <a:prstGeom prst="rect">
                          <a:avLst/>
                        </a:prstGeom>
                        <a:solidFill>
                          <a:srgbClr val="FFFFFF"/>
                        </a:solidFill>
                        <a:ln w="9525">
                          <a:solidFill>
                            <a:srgbClr val="000000"/>
                          </a:solidFill>
                          <a:miter lim="800000"/>
                          <a:headEnd/>
                          <a:tailEnd/>
                        </a:ln>
                      </wps:spPr>
                      <wps:txbx>
                        <w:txbxContent>
                          <w:p w14:paraId="27E9F162" w14:textId="77777777" w:rsidR="00764FAA" w:rsidRDefault="00764FAA" w:rsidP="00E83AE3">
                            <w:pPr>
                              <w:pStyle w:val="BodyText12"/>
                              <w:keepNext/>
                              <w:keepLines/>
                              <w:spacing w:after="0" w:line="240" w:lineRule="auto"/>
                              <w:ind w:left="0" w:right="33"/>
                              <w:jc w:val="center"/>
                              <w:rPr>
                                <w:rFonts w:ascii="Arial" w:hAnsi="Arial" w:cs="Arial"/>
                                <w:b/>
                                <w:color w:val="000000"/>
                                <w:sz w:val="22"/>
                                <w:lang w:val="en-GB"/>
                              </w:rPr>
                            </w:pPr>
                            <w:r>
                              <w:rPr>
                                <w:rFonts w:ascii="Arial" w:hAnsi="Arial" w:cs="Arial"/>
                                <w:b/>
                                <w:color w:val="000000"/>
                                <w:sz w:val="22"/>
                                <w:lang w:val="en-GB"/>
                              </w:rPr>
                              <w:t>Arm A Chemotherapy</w:t>
                            </w:r>
                          </w:p>
                          <w:p w14:paraId="54DDF399" w14:textId="77777777" w:rsidR="00764FAA" w:rsidRDefault="00764FAA" w:rsidP="00E83AE3">
                            <w:pPr>
                              <w:pStyle w:val="BodyText12"/>
                              <w:keepNext/>
                              <w:keepLines/>
                              <w:spacing w:after="0" w:line="240" w:lineRule="auto"/>
                              <w:ind w:left="0" w:right="33"/>
                              <w:jc w:val="center"/>
                              <w:rPr>
                                <w:rFonts w:ascii="Arial" w:hAnsi="Arial" w:cs="Arial"/>
                                <w:b/>
                                <w:color w:val="000000"/>
                                <w:sz w:val="22"/>
                                <w:lang w:val="en-GB"/>
                              </w:rPr>
                            </w:pPr>
                            <w:r>
                              <w:rPr>
                                <w:rFonts w:ascii="Arial" w:hAnsi="Arial" w:cs="Arial"/>
                                <w:b/>
                                <w:color w:val="000000"/>
                                <w:sz w:val="22"/>
                                <w:lang w:val="en-GB"/>
                              </w:rPr>
                              <w:t>(55 patients)</w:t>
                            </w:r>
                          </w:p>
                          <w:p w14:paraId="61D71ADB" w14:textId="77777777" w:rsidR="00764FAA" w:rsidRDefault="00764FAA" w:rsidP="00E83AE3">
                            <w:pPr>
                              <w:pStyle w:val="BodyText12"/>
                              <w:keepNext/>
                              <w:keepLines/>
                              <w:spacing w:after="0" w:line="240" w:lineRule="auto"/>
                              <w:ind w:left="0" w:right="33"/>
                              <w:jc w:val="center"/>
                              <w:rPr>
                                <w:rFonts w:ascii="Arial" w:hAnsi="Arial" w:cs="Arial"/>
                                <w:b/>
                                <w:color w:val="000000"/>
                                <w:sz w:val="22"/>
                                <w:lang w:val="en-GB"/>
                              </w:rPr>
                            </w:pPr>
                          </w:p>
                          <w:p w14:paraId="142E4171" w14:textId="77777777" w:rsidR="00764FAA" w:rsidRDefault="00764FAA" w:rsidP="00A40022">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Ganetespib</w:t>
                            </w:r>
                          </w:p>
                          <w:p w14:paraId="4D914585" w14:textId="77777777" w:rsidR="00764FAA" w:rsidRDefault="00764FAA" w:rsidP="00A40022">
                            <w:pPr>
                              <w:pStyle w:val="BodyText12"/>
                              <w:keepNext/>
                              <w:keepLines/>
                              <w:spacing w:after="0" w:line="240" w:lineRule="auto"/>
                              <w:ind w:left="0" w:right="33"/>
                              <w:jc w:val="center"/>
                              <w:rPr>
                                <w:rFonts w:ascii="Arial" w:hAnsi="Arial" w:cs="Arial"/>
                                <w:bCs/>
                                <w:color w:val="000000"/>
                                <w:sz w:val="22"/>
                              </w:rPr>
                            </w:pPr>
                            <w:r>
                              <w:rPr>
                                <w:rFonts w:ascii="Arial" w:hAnsi="Arial" w:cs="Arial"/>
                                <w:bCs/>
                                <w:i/>
                                <w:color w:val="000000"/>
                                <w:sz w:val="22"/>
                              </w:rPr>
                              <w:t>Using the dose from Phase I</w:t>
                            </w:r>
                          </w:p>
                          <w:p w14:paraId="5924E55E" w14:textId="77777777" w:rsidR="00764FAA" w:rsidRDefault="00764FAA" w:rsidP="00A40022">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t>
                            </w:r>
                          </w:p>
                          <w:p w14:paraId="7780301F"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Pemetrexed</w:t>
                            </w:r>
                          </w:p>
                          <w:p w14:paraId="0BC30176"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500mg/m</w:t>
                            </w:r>
                            <w:r>
                              <w:rPr>
                                <w:rFonts w:ascii="Arial" w:hAnsi="Arial" w:cs="Arial"/>
                                <w:bCs/>
                                <w:color w:val="000000"/>
                                <w:sz w:val="22"/>
                                <w:vertAlign w:val="superscript"/>
                              </w:rPr>
                              <w:t>2</w:t>
                            </w:r>
                            <w:r>
                              <w:rPr>
                                <w:rFonts w:ascii="Arial" w:hAnsi="Arial" w:cs="Arial"/>
                                <w:bCs/>
                                <w:color w:val="000000"/>
                                <w:sz w:val="22"/>
                              </w:rPr>
                              <w:t xml:space="preserve"> IV</w:t>
                            </w:r>
                          </w:p>
                          <w:p w14:paraId="531BCA6E"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day 1 every 21 days</w:t>
                            </w:r>
                          </w:p>
                          <w:p w14:paraId="6C31D17F"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(with vitamin B</w:t>
                            </w:r>
                            <w:r w:rsidRPr="000D5C4F">
                              <w:rPr>
                                <w:rFonts w:ascii="Arial" w:hAnsi="Arial" w:cs="Arial"/>
                                <w:color w:val="000000"/>
                                <w:sz w:val="22"/>
                                <w:vertAlign w:val="subscript"/>
                                <w:lang w:val="en-GB"/>
                              </w:rPr>
                              <w:t>12</w:t>
                            </w:r>
                            <w:r>
                              <w:rPr>
                                <w:rFonts w:ascii="Arial" w:hAnsi="Arial" w:cs="Arial"/>
                                <w:color w:val="000000"/>
                                <w:sz w:val="22"/>
                                <w:lang w:val="en-GB"/>
                              </w:rPr>
                              <w:t>/folate supplementation)</w:t>
                            </w:r>
                          </w:p>
                          <w:p w14:paraId="4E3EF8C9"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t>
                            </w:r>
                          </w:p>
                          <w:p w14:paraId="60DB1667" w14:textId="77777777" w:rsidR="00764FAA" w:rsidRPr="00461FD2" w:rsidRDefault="00764FAA" w:rsidP="00B04777">
                            <w:pPr>
                              <w:pStyle w:val="BodyText12"/>
                              <w:keepNext/>
                              <w:keepLines/>
                              <w:spacing w:after="0" w:line="240" w:lineRule="auto"/>
                              <w:ind w:left="0" w:right="33"/>
                              <w:jc w:val="center"/>
                              <w:rPr>
                                <w:rFonts w:ascii="Arial" w:hAnsi="Arial"/>
                                <w:color w:val="000000"/>
                                <w:sz w:val="22"/>
                              </w:rPr>
                            </w:pPr>
                            <w:r>
                              <w:rPr>
                                <w:rFonts w:ascii="Arial" w:hAnsi="Arial" w:cs="Arial"/>
                                <w:b/>
                                <w:bCs/>
                                <w:color w:val="000000"/>
                                <w:sz w:val="22"/>
                                <w:lang w:val="en-GB"/>
                              </w:rPr>
                              <w:t>Cisplatin</w:t>
                            </w:r>
                          </w:p>
                          <w:p w14:paraId="4FF75006"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75mg/m</w:t>
                            </w:r>
                            <w:r>
                              <w:rPr>
                                <w:rFonts w:ascii="Arial" w:hAnsi="Arial" w:cs="Arial"/>
                                <w:bCs/>
                                <w:color w:val="000000"/>
                                <w:sz w:val="22"/>
                                <w:vertAlign w:val="superscript"/>
                              </w:rPr>
                              <w:t>2</w:t>
                            </w:r>
                            <w:r>
                              <w:rPr>
                                <w:rFonts w:ascii="Arial" w:hAnsi="Arial" w:cs="Arial"/>
                                <w:bCs/>
                                <w:color w:val="000000"/>
                                <w:sz w:val="22"/>
                              </w:rPr>
                              <w:t xml:space="preserve"> IV</w:t>
                            </w:r>
                          </w:p>
                          <w:p w14:paraId="5DC5D184"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 xml:space="preserve"> or Carboplatin </w:t>
                            </w:r>
                            <w:r w:rsidRPr="00B70D01">
                              <w:rPr>
                                <w:rFonts w:ascii="Arial" w:hAnsi="Arial" w:cs="Arial"/>
                                <w:bCs/>
                                <w:color w:val="000000"/>
                                <w:sz w:val="22"/>
                              </w:rPr>
                              <w:t>AUC5</w:t>
                            </w:r>
                          </w:p>
                          <w:p w14:paraId="09039EE8"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bCs/>
                                <w:color w:val="000000"/>
                                <w:sz w:val="22"/>
                              </w:rPr>
                              <w:t>day 1 every 21 days</w:t>
                            </w:r>
                          </w:p>
                          <w:p w14:paraId="6AF3D79C"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AA8B6" id="Text Box 10" o:spid="_x0000_s1028" type="#_x0000_t202" style="position:absolute;left:0;text-align:left;margin-left:45pt;margin-top:107.25pt;width:171pt;height:21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">
                <v:textbox>
                  <w:txbxContent>
                    <w:p w14:paraId="27E9F162" w14:textId="77777777" w:rsidR="00764FAA" w:rsidRDefault="00764FAA" w:rsidP="00E83AE3">
                      <w:pPr>
                        <w:pStyle w:val="BodyText12"/>
                        <w:keepNext/>
                        <w:keepLines/>
                        <w:spacing w:after="0" w:line="240" w:lineRule="auto"/>
                        <w:ind w:left="0" w:right="33"/>
                        <w:jc w:val="center"/>
                        <w:rPr>
                          <w:rFonts w:ascii="Arial" w:hAnsi="Arial" w:cs="Arial"/>
                          <w:b/>
                          <w:color w:val="000000"/>
                          <w:sz w:val="22"/>
                          <w:lang w:val="en-GB"/>
                        </w:rPr>
                      </w:pPr>
                      <w:r>
                        <w:rPr>
                          <w:rFonts w:ascii="Arial" w:hAnsi="Arial" w:cs="Arial"/>
                          <w:b/>
                          <w:color w:val="000000"/>
                          <w:sz w:val="22"/>
                          <w:lang w:val="en-GB"/>
                        </w:rPr>
                        <w:t>Arm A Chemotherapy</w:t>
                      </w:r>
                    </w:p>
                    <w:p w14:paraId="54DDF399" w14:textId="77777777" w:rsidR="00764FAA" w:rsidRDefault="00764FAA" w:rsidP="00E83AE3">
                      <w:pPr>
                        <w:pStyle w:val="BodyText12"/>
                        <w:keepNext/>
                        <w:keepLines/>
                        <w:spacing w:after="0" w:line="240" w:lineRule="auto"/>
                        <w:ind w:left="0" w:right="33"/>
                        <w:jc w:val="center"/>
                        <w:rPr>
                          <w:rFonts w:ascii="Arial" w:hAnsi="Arial" w:cs="Arial"/>
                          <w:b/>
                          <w:color w:val="000000"/>
                          <w:sz w:val="22"/>
                          <w:lang w:val="en-GB"/>
                        </w:rPr>
                      </w:pPr>
                      <w:r>
                        <w:rPr>
                          <w:rFonts w:ascii="Arial" w:hAnsi="Arial" w:cs="Arial"/>
                          <w:b/>
                          <w:color w:val="000000"/>
                          <w:sz w:val="22"/>
                          <w:lang w:val="en-GB"/>
                        </w:rPr>
                        <w:t>(55 patients)</w:t>
                      </w:r>
                    </w:p>
                    <w:p w14:paraId="61D71ADB" w14:textId="77777777" w:rsidR="00764FAA" w:rsidRDefault="00764FAA" w:rsidP="00E83AE3">
                      <w:pPr>
                        <w:pStyle w:val="BodyText12"/>
                        <w:keepNext/>
                        <w:keepLines/>
                        <w:spacing w:after="0" w:line="240" w:lineRule="auto"/>
                        <w:ind w:left="0" w:right="33"/>
                        <w:jc w:val="center"/>
                        <w:rPr>
                          <w:rFonts w:ascii="Arial" w:hAnsi="Arial" w:cs="Arial"/>
                          <w:b/>
                          <w:color w:val="000000"/>
                          <w:sz w:val="22"/>
                          <w:lang w:val="en-GB"/>
                        </w:rPr>
                      </w:pPr>
                    </w:p>
                    <w:p w14:paraId="142E4171" w14:textId="77777777" w:rsidR="00764FAA" w:rsidRDefault="00764FAA" w:rsidP="00A40022">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Ganetespib</w:t>
                      </w:r>
                    </w:p>
                    <w:p w14:paraId="4D914585" w14:textId="77777777" w:rsidR="00764FAA" w:rsidRDefault="00764FAA" w:rsidP="00A40022">
                      <w:pPr>
                        <w:pStyle w:val="BodyText12"/>
                        <w:keepNext/>
                        <w:keepLines/>
                        <w:spacing w:after="0" w:line="240" w:lineRule="auto"/>
                        <w:ind w:left="0" w:right="33"/>
                        <w:jc w:val="center"/>
                        <w:rPr>
                          <w:rFonts w:ascii="Arial" w:hAnsi="Arial" w:cs="Arial"/>
                          <w:bCs/>
                          <w:color w:val="000000"/>
                          <w:sz w:val="22"/>
                        </w:rPr>
                      </w:pPr>
                      <w:r>
                        <w:rPr>
                          <w:rFonts w:ascii="Arial" w:hAnsi="Arial" w:cs="Arial"/>
                          <w:bCs/>
                          <w:i/>
                          <w:color w:val="000000"/>
                          <w:sz w:val="22"/>
                        </w:rPr>
                        <w:t>Using the dose from Phase I</w:t>
                      </w:r>
                    </w:p>
                    <w:p w14:paraId="5924E55E" w14:textId="77777777" w:rsidR="00764FAA" w:rsidRDefault="00764FAA" w:rsidP="00A40022">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t>
                      </w:r>
                    </w:p>
                    <w:p w14:paraId="7780301F"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Pemetrexed</w:t>
                      </w:r>
                    </w:p>
                    <w:p w14:paraId="0BC30176"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500mg/m</w:t>
                      </w:r>
                      <w:r>
                        <w:rPr>
                          <w:rFonts w:ascii="Arial" w:hAnsi="Arial" w:cs="Arial"/>
                          <w:bCs/>
                          <w:color w:val="000000"/>
                          <w:sz w:val="22"/>
                          <w:vertAlign w:val="superscript"/>
                        </w:rPr>
                        <w:t>2</w:t>
                      </w:r>
                      <w:r>
                        <w:rPr>
                          <w:rFonts w:ascii="Arial" w:hAnsi="Arial" w:cs="Arial"/>
                          <w:bCs/>
                          <w:color w:val="000000"/>
                          <w:sz w:val="22"/>
                        </w:rPr>
                        <w:t xml:space="preserve"> IV</w:t>
                      </w:r>
                    </w:p>
                    <w:p w14:paraId="531BCA6E"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day 1 every 21 days</w:t>
                      </w:r>
                    </w:p>
                    <w:p w14:paraId="6C31D17F"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(with vitamin B</w:t>
                      </w:r>
                      <w:r w:rsidRPr="000D5C4F">
                        <w:rPr>
                          <w:rFonts w:ascii="Arial" w:hAnsi="Arial" w:cs="Arial"/>
                          <w:color w:val="000000"/>
                          <w:sz w:val="22"/>
                          <w:vertAlign w:val="subscript"/>
                          <w:lang w:val="en-GB"/>
                        </w:rPr>
                        <w:t>12</w:t>
                      </w:r>
                      <w:r>
                        <w:rPr>
                          <w:rFonts w:ascii="Arial" w:hAnsi="Arial" w:cs="Arial"/>
                          <w:color w:val="000000"/>
                          <w:sz w:val="22"/>
                          <w:lang w:val="en-GB"/>
                        </w:rPr>
                        <w:t>/folate supplementation)</w:t>
                      </w:r>
                    </w:p>
                    <w:p w14:paraId="4E3EF8C9"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color w:val="000000"/>
                          <w:sz w:val="22"/>
                          <w:lang w:val="en-GB"/>
                        </w:rPr>
                        <w:t>+</w:t>
                      </w:r>
                    </w:p>
                    <w:p w14:paraId="60DB1667" w14:textId="77777777" w:rsidR="00764FAA" w:rsidRPr="00461FD2" w:rsidRDefault="00764FAA" w:rsidP="00B04777">
                      <w:pPr>
                        <w:pStyle w:val="BodyText12"/>
                        <w:keepNext/>
                        <w:keepLines/>
                        <w:spacing w:after="0" w:line="240" w:lineRule="auto"/>
                        <w:ind w:left="0" w:right="33"/>
                        <w:jc w:val="center"/>
                        <w:rPr>
                          <w:rFonts w:ascii="Arial" w:hAnsi="Arial"/>
                          <w:color w:val="000000"/>
                          <w:sz w:val="22"/>
                        </w:rPr>
                      </w:pPr>
                      <w:r>
                        <w:rPr>
                          <w:rFonts w:ascii="Arial" w:hAnsi="Arial" w:cs="Arial"/>
                          <w:b/>
                          <w:bCs/>
                          <w:color w:val="000000"/>
                          <w:sz w:val="22"/>
                          <w:lang w:val="en-GB"/>
                        </w:rPr>
                        <w:t>Cisplatin</w:t>
                      </w:r>
                    </w:p>
                    <w:p w14:paraId="4FF75006"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r>
                        <w:rPr>
                          <w:rFonts w:ascii="Arial" w:hAnsi="Arial" w:cs="Arial"/>
                          <w:bCs/>
                          <w:color w:val="000000"/>
                          <w:sz w:val="22"/>
                        </w:rPr>
                        <w:t>75mg/m</w:t>
                      </w:r>
                      <w:r>
                        <w:rPr>
                          <w:rFonts w:ascii="Arial" w:hAnsi="Arial" w:cs="Arial"/>
                          <w:bCs/>
                          <w:color w:val="000000"/>
                          <w:sz w:val="22"/>
                          <w:vertAlign w:val="superscript"/>
                        </w:rPr>
                        <w:t>2</w:t>
                      </w:r>
                      <w:r>
                        <w:rPr>
                          <w:rFonts w:ascii="Arial" w:hAnsi="Arial" w:cs="Arial"/>
                          <w:bCs/>
                          <w:color w:val="000000"/>
                          <w:sz w:val="22"/>
                        </w:rPr>
                        <w:t xml:space="preserve"> IV</w:t>
                      </w:r>
                    </w:p>
                    <w:p w14:paraId="5DC5D184" w14:textId="77777777" w:rsidR="00764FAA" w:rsidRDefault="00764FAA" w:rsidP="00E83AE3">
                      <w:pPr>
                        <w:pStyle w:val="BodyText12"/>
                        <w:keepNext/>
                        <w:keepLines/>
                        <w:spacing w:after="0" w:line="240" w:lineRule="auto"/>
                        <w:ind w:left="0" w:right="33"/>
                        <w:jc w:val="center"/>
                        <w:rPr>
                          <w:rFonts w:ascii="Arial" w:hAnsi="Arial" w:cs="Arial"/>
                          <w:b/>
                          <w:bCs/>
                          <w:color w:val="000000"/>
                          <w:sz w:val="22"/>
                          <w:lang w:val="en-GB"/>
                        </w:rPr>
                      </w:pPr>
                      <w:r>
                        <w:rPr>
                          <w:rFonts w:ascii="Arial" w:hAnsi="Arial" w:cs="Arial"/>
                          <w:b/>
                          <w:bCs/>
                          <w:color w:val="000000"/>
                          <w:sz w:val="22"/>
                          <w:lang w:val="en-GB"/>
                        </w:rPr>
                        <w:t xml:space="preserve"> or Carboplatin </w:t>
                      </w:r>
                      <w:r w:rsidRPr="00B70D01">
                        <w:rPr>
                          <w:rFonts w:ascii="Arial" w:hAnsi="Arial" w:cs="Arial"/>
                          <w:bCs/>
                          <w:color w:val="000000"/>
                          <w:sz w:val="22"/>
                        </w:rPr>
                        <w:t>AUC5</w:t>
                      </w:r>
                    </w:p>
                    <w:p w14:paraId="09039EE8" w14:textId="77777777" w:rsidR="00764FAA" w:rsidRDefault="00764FAA" w:rsidP="00E83AE3">
                      <w:pPr>
                        <w:pStyle w:val="BodyText12"/>
                        <w:keepNext/>
                        <w:keepLines/>
                        <w:spacing w:after="0" w:line="240" w:lineRule="auto"/>
                        <w:ind w:left="0" w:right="33"/>
                        <w:jc w:val="center"/>
                        <w:rPr>
                          <w:rFonts w:ascii="Arial" w:hAnsi="Arial" w:cs="Arial"/>
                          <w:color w:val="000000"/>
                          <w:sz w:val="22"/>
                          <w:lang w:val="en-GB"/>
                        </w:rPr>
                      </w:pPr>
                      <w:r>
                        <w:rPr>
                          <w:rFonts w:ascii="Arial" w:hAnsi="Arial" w:cs="Arial"/>
                          <w:bCs/>
                          <w:color w:val="000000"/>
                          <w:sz w:val="22"/>
                        </w:rPr>
                        <w:t>day 1 every 21 days</w:t>
                      </w:r>
                    </w:p>
                    <w:p w14:paraId="6AF3D79C" w14:textId="77777777" w:rsidR="00764FAA" w:rsidRDefault="00764FAA" w:rsidP="00E83AE3">
                      <w:pPr>
                        <w:pStyle w:val="BodyText12"/>
                        <w:keepNext/>
                        <w:keepLines/>
                        <w:spacing w:after="0" w:line="240" w:lineRule="auto"/>
                        <w:ind w:left="0" w:right="33"/>
                        <w:jc w:val="center"/>
                        <w:rPr>
                          <w:rFonts w:ascii="Arial" w:hAnsi="Arial" w:cs="Arial"/>
                          <w:bCs/>
                          <w:color w:val="000000"/>
                          <w:sz w:val="22"/>
                        </w:rPr>
                      </w:pPr>
                    </w:p>
                  </w:txbxContent>
                </v:textbox>
                <w10:anchorlock/>
              </v:shape>
            </w:pict>
          </mc:Fallback>
        </mc:AlternateContent>
      </w:r>
      <w:r>
        <w:rPr>
          <w:noProof/>
          <w:lang w:val="en-GB" w:eastAsia="en-GB"/>
        </w:rPr>
        <mc:AlternateContent>
          <mc:Choice Requires="wps">
            <w:drawing>
              <wp:anchor distT="0" distB="0" distL="114300" distR="114300" simplePos="0" relativeHeight="251656192" behindDoc="0" locked="1" layoutInCell="1" allowOverlap="1" wp14:anchorId="21122F3B" wp14:editId="51AA9C09">
                <wp:simplePos x="0" y="0"/>
                <wp:positionH relativeFrom="column">
                  <wp:posOffset>4114800</wp:posOffset>
                </wp:positionH>
                <wp:positionV relativeFrom="paragraph">
                  <wp:posOffset>676275</wp:posOffset>
                </wp:positionV>
                <wp:extent cx="228600" cy="685800"/>
                <wp:effectExtent l="0" t="0" r="76200" b="5715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B39E8"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3.25pt" to="342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">
                <v:stroke endarrow="block"/>
                <w10:anchorlock/>
              </v:line>
            </w:pict>
          </mc:Fallback>
        </mc:AlternateContent>
      </w:r>
      <w:r>
        <w:rPr>
          <w:noProof/>
          <w:lang w:val="en-GB" w:eastAsia="en-GB"/>
        </w:rPr>
        <mc:AlternateContent>
          <mc:Choice Requires="wps">
            <w:drawing>
              <wp:anchor distT="0" distB="0" distL="114300" distR="114300" simplePos="0" relativeHeight="251655168" behindDoc="0" locked="1" layoutInCell="1" allowOverlap="1" wp14:anchorId="1930E88D" wp14:editId="0456368D">
                <wp:simplePos x="0" y="0"/>
                <wp:positionH relativeFrom="column">
                  <wp:posOffset>1600200</wp:posOffset>
                </wp:positionH>
                <wp:positionV relativeFrom="paragraph">
                  <wp:posOffset>676275</wp:posOffset>
                </wp:positionV>
                <wp:extent cx="228600" cy="685800"/>
                <wp:effectExtent l="38100" t="0" r="19050" b="5715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AADFE" id="Line 8"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3.25pt" to="2in,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">
                <v:stroke endarrow="block"/>
                <w10:anchorlock/>
              </v:line>
            </w:pict>
          </mc:Fallback>
        </mc:AlternateContent>
      </w:r>
      <w:r>
        <w:rPr>
          <w:noProof/>
          <w:lang w:val="en-GB" w:eastAsia="en-GB"/>
        </w:rPr>
        <mc:AlternateContent>
          <mc:Choice Requires="wps">
            <w:drawing>
              <wp:anchor distT="0" distB="0" distL="114300" distR="114300" simplePos="0" relativeHeight="251654144" behindDoc="0" locked="1" layoutInCell="1" allowOverlap="1" wp14:anchorId="7A778414" wp14:editId="5612F0B2">
                <wp:simplePos x="0" y="0"/>
                <wp:positionH relativeFrom="column">
                  <wp:posOffset>1828800</wp:posOffset>
                </wp:positionH>
                <wp:positionV relativeFrom="paragraph">
                  <wp:posOffset>-184785</wp:posOffset>
                </wp:positionV>
                <wp:extent cx="2286000" cy="861060"/>
                <wp:effectExtent l="0" t="0" r="19050" b="1524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61060"/>
                        </a:xfrm>
                        <a:prstGeom prst="rect">
                          <a:avLst/>
                        </a:prstGeom>
                        <a:solidFill>
                          <a:srgbClr val="FFFFFF"/>
                        </a:solidFill>
                        <a:ln w="9525">
                          <a:solidFill>
                            <a:srgbClr val="000000"/>
                          </a:solidFill>
                          <a:miter lim="800000"/>
                          <a:headEnd/>
                          <a:tailEnd/>
                        </a:ln>
                      </wps:spPr>
                      <wps:txbx>
                        <w:txbxContent>
                          <w:p w14:paraId="4535F929" w14:textId="77777777" w:rsidR="00764FAA" w:rsidRDefault="00764FAA" w:rsidP="00E83AE3">
                            <w:pPr>
                              <w:jc w:val="center"/>
                              <w:rPr>
                                <w:rFonts w:ascii="Arial" w:hAnsi="Arial" w:cs="Arial"/>
                                <w:b/>
                                <w:bCs/>
                                <w:color w:val="000000"/>
                                <w:sz w:val="22"/>
                              </w:rPr>
                            </w:pPr>
                            <w:r>
                              <w:rPr>
                                <w:rFonts w:ascii="Arial" w:hAnsi="Arial" w:cs="Arial"/>
                                <w:b/>
                                <w:bCs/>
                                <w:color w:val="000000"/>
                                <w:sz w:val="22"/>
                              </w:rPr>
                              <w:t xml:space="preserve">Patients with </w:t>
                            </w:r>
                            <w:r>
                              <w:rPr>
                                <w:rFonts w:ascii="Arial" w:hAnsi="Arial" w:cs="Arial"/>
                                <w:b/>
                                <w:bCs/>
                                <w:sz w:val="22"/>
                              </w:rPr>
                              <w:t>pathologically confirmed m</w:t>
                            </w:r>
                            <w:r>
                              <w:rPr>
                                <w:rFonts w:ascii="Arial" w:hAnsi="Arial" w:cs="Arial"/>
                                <w:b/>
                                <w:bCs/>
                                <w:color w:val="000000"/>
                                <w:sz w:val="22"/>
                              </w:rPr>
                              <w:t>alignant pleural mesothelioma</w:t>
                            </w:r>
                          </w:p>
                          <w:p w14:paraId="42A46FC3" w14:textId="77777777" w:rsidR="00764FAA" w:rsidRDefault="00764FAA" w:rsidP="00E83AE3">
                            <w:pPr>
                              <w:jc w:val="center"/>
                              <w:rPr>
                                <w:b/>
                                <w:bCs/>
                                <w:sz w:val="22"/>
                              </w:rPr>
                            </w:pPr>
                            <w:r>
                              <w:rPr>
                                <w:rFonts w:ascii="Arial" w:hAnsi="Arial" w:cs="Arial"/>
                                <w:b/>
                                <w:color w:val="000000"/>
                                <w:sz w:val="22"/>
                              </w:rPr>
                              <w:t>(110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78414" id="Text Box 7" o:spid="_x0000_s1029" type="#_x0000_t202" style="position:absolute;left:0;text-align:left;margin-left:2in;margin-top:-14.55pt;width:180pt;height:6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">
                <v:textbox>
                  <w:txbxContent>
                    <w:p w14:paraId="4535F929" w14:textId="77777777" w:rsidR="00764FAA" w:rsidRDefault="00764FAA" w:rsidP="00E83AE3">
                      <w:pPr>
                        <w:jc w:val="center"/>
                        <w:rPr>
                          <w:rFonts w:ascii="Arial" w:hAnsi="Arial" w:cs="Arial"/>
                          <w:b/>
                          <w:bCs/>
                          <w:color w:val="000000"/>
                          <w:sz w:val="22"/>
                        </w:rPr>
                      </w:pPr>
                      <w:r>
                        <w:rPr>
                          <w:rFonts w:ascii="Arial" w:hAnsi="Arial" w:cs="Arial"/>
                          <w:b/>
                          <w:bCs/>
                          <w:color w:val="000000"/>
                          <w:sz w:val="22"/>
                        </w:rPr>
                        <w:t xml:space="preserve">Patients with </w:t>
                      </w:r>
                      <w:r>
                        <w:rPr>
                          <w:rFonts w:ascii="Arial" w:hAnsi="Arial" w:cs="Arial"/>
                          <w:b/>
                          <w:bCs/>
                          <w:sz w:val="22"/>
                        </w:rPr>
                        <w:t>pathologically confirmed m</w:t>
                      </w:r>
                      <w:r>
                        <w:rPr>
                          <w:rFonts w:ascii="Arial" w:hAnsi="Arial" w:cs="Arial"/>
                          <w:b/>
                          <w:bCs/>
                          <w:color w:val="000000"/>
                          <w:sz w:val="22"/>
                        </w:rPr>
                        <w:t>alignant pleural mesothelioma</w:t>
                      </w:r>
                    </w:p>
                    <w:p w14:paraId="42A46FC3" w14:textId="77777777" w:rsidR="00764FAA" w:rsidRDefault="00764FAA" w:rsidP="00E83AE3">
                      <w:pPr>
                        <w:jc w:val="center"/>
                        <w:rPr>
                          <w:b/>
                          <w:bCs/>
                          <w:sz w:val="22"/>
                        </w:rPr>
                      </w:pPr>
                      <w:r>
                        <w:rPr>
                          <w:rFonts w:ascii="Arial" w:hAnsi="Arial" w:cs="Arial"/>
                          <w:b/>
                          <w:color w:val="000000"/>
                          <w:sz w:val="22"/>
                        </w:rPr>
                        <w:t>(110 patients)</w:t>
                      </w:r>
                    </w:p>
                  </w:txbxContent>
                </v:textbox>
                <w10:anchorlock/>
              </v:shape>
            </w:pict>
          </mc:Fallback>
        </mc:AlternateContent>
      </w:r>
    </w:p>
    <w:p w14:paraId="5E3BE77B" w14:textId="77777777" w:rsidR="00DA67E8" w:rsidRPr="005E2C7F" w:rsidRDefault="00DA67E8" w:rsidP="00E83AE3">
      <w:pPr>
        <w:jc w:val="both"/>
        <w:rPr>
          <w:rFonts w:cs="Tahoma"/>
        </w:rPr>
      </w:pPr>
    </w:p>
    <w:p w14:paraId="3B2C395E" w14:textId="77777777" w:rsidR="00DA67E8" w:rsidRPr="005E2C7F" w:rsidRDefault="00DA67E8" w:rsidP="00E83AE3">
      <w:pPr>
        <w:jc w:val="both"/>
        <w:rPr>
          <w:rFonts w:cs="Tahoma"/>
        </w:rPr>
      </w:pPr>
    </w:p>
    <w:p w14:paraId="2AA1A344" w14:textId="77777777" w:rsidR="00DA67E8" w:rsidRPr="005E2C7F" w:rsidRDefault="00DA67E8" w:rsidP="00E83AE3">
      <w:pPr>
        <w:jc w:val="both"/>
        <w:rPr>
          <w:rFonts w:cs="Tahoma"/>
        </w:rPr>
      </w:pPr>
    </w:p>
    <w:p w14:paraId="1601328F" w14:textId="77777777" w:rsidR="00DA67E8" w:rsidRPr="005E2C7F" w:rsidRDefault="00DA67E8" w:rsidP="00E83AE3">
      <w:pPr>
        <w:jc w:val="both"/>
        <w:rPr>
          <w:rFonts w:cs="Tahoma"/>
        </w:rPr>
      </w:pPr>
    </w:p>
    <w:p w14:paraId="46FD5D08" w14:textId="77777777" w:rsidR="00DA67E8" w:rsidRPr="005E2C7F" w:rsidRDefault="00DA67E8" w:rsidP="00E83AE3">
      <w:pPr>
        <w:jc w:val="both"/>
        <w:rPr>
          <w:rFonts w:cs="Tahoma"/>
        </w:rPr>
      </w:pPr>
    </w:p>
    <w:p w14:paraId="00E6E7E2" w14:textId="77777777" w:rsidR="00DA67E8" w:rsidRPr="005E2C7F" w:rsidRDefault="00DA67E8" w:rsidP="00E83AE3">
      <w:pPr>
        <w:jc w:val="both"/>
        <w:rPr>
          <w:rFonts w:cs="Tahoma"/>
        </w:rPr>
      </w:pPr>
    </w:p>
    <w:p w14:paraId="355A72C3" w14:textId="77777777" w:rsidR="00DA67E8" w:rsidRPr="005E2C7F" w:rsidRDefault="00DA67E8" w:rsidP="00E83AE3">
      <w:pPr>
        <w:jc w:val="both"/>
        <w:rPr>
          <w:rFonts w:cs="Tahoma"/>
        </w:rPr>
      </w:pPr>
    </w:p>
    <w:p w14:paraId="69F17C61" w14:textId="77777777" w:rsidR="00DA67E8" w:rsidRPr="005E2C7F" w:rsidRDefault="00DA67E8" w:rsidP="00E83AE3">
      <w:pPr>
        <w:jc w:val="both"/>
        <w:rPr>
          <w:rFonts w:cs="Tahoma"/>
        </w:rPr>
      </w:pPr>
    </w:p>
    <w:p w14:paraId="703D7CE6" w14:textId="77777777" w:rsidR="00DA67E8" w:rsidRPr="005E2C7F" w:rsidRDefault="00DA67E8" w:rsidP="00E83AE3">
      <w:pPr>
        <w:jc w:val="both"/>
        <w:rPr>
          <w:rFonts w:cs="Tahoma"/>
        </w:rPr>
      </w:pPr>
    </w:p>
    <w:p w14:paraId="01ED7C0B" w14:textId="77777777" w:rsidR="00DA67E8" w:rsidRPr="005E2C7F" w:rsidRDefault="00DA67E8" w:rsidP="00E83AE3">
      <w:pPr>
        <w:jc w:val="both"/>
        <w:rPr>
          <w:rFonts w:cs="Tahoma"/>
        </w:rPr>
      </w:pPr>
    </w:p>
    <w:p w14:paraId="0EBC6879" w14:textId="77777777" w:rsidR="00DA67E8" w:rsidRPr="005E2C7F" w:rsidRDefault="00DA67E8" w:rsidP="00E83AE3">
      <w:pPr>
        <w:jc w:val="both"/>
        <w:rPr>
          <w:rFonts w:cs="Tahoma"/>
        </w:rPr>
      </w:pPr>
    </w:p>
    <w:p w14:paraId="6D009F75" w14:textId="77777777" w:rsidR="00DA67E8" w:rsidRPr="005E2C7F" w:rsidRDefault="00DA67E8" w:rsidP="00E83AE3">
      <w:pPr>
        <w:jc w:val="both"/>
        <w:rPr>
          <w:rFonts w:cs="Tahoma"/>
        </w:rPr>
      </w:pPr>
    </w:p>
    <w:p w14:paraId="4BF23082" w14:textId="77777777" w:rsidR="00DA67E8" w:rsidRPr="005E2C7F" w:rsidRDefault="00DA67E8" w:rsidP="00E83AE3">
      <w:pPr>
        <w:jc w:val="both"/>
        <w:rPr>
          <w:rFonts w:cs="Tahoma"/>
        </w:rPr>
      </w:pPr>
    </w:p>
    <w:p w14:paraId="253BBF5F" w14:textId="77777777" w:rsidR="00DA67E8" w:rsidRPr="005E2C7F" w:rsidRDefault="00DA67E8" w:rsidP="00E83AE3">
      <w:pPr>
        <w:jc w:val="both"/>
        <w:rPr>
          <w:rFonts w:cs="Tahoma"/>
        </w:rPr>
      </w:pPr>
    </w:p>
    <w:p w14:paraId="002978AE" w14:textId="77777777" w:rsidR="00DA67E8" w:rsidRPr="005E2C7F" w:rsidRDefault="00DA67E8" w:rsidP="00E83AE3">
      <w:pPr>
        <w:jc w:val="both"/>
        <w:rPr>
          <w:rFonts w:cs="Tahoma"/>
        </w:rPr>
      </w:pPr>
    </w:p>
    <w:p w14:paraId="52076488" w14:textId="77777777" w:rsidR="00DA67E8" w:rsidRPr="005E2C7F" w:rsidRDefault="00DA67E8" w:rsidP="00E83AE3">
      <w:pPr>
        <w:jc w:val="both"/>
        <w:rPr>
          <w:rFonts w:cs="Tahoma"/>
        </w:rPr>
      </w:pPr>
    </w:p>
    <w:p w14:paraId="00A88D87" w14:textId="77777777" w:rsidR="00DA67E8" w:rsidRPr="005E2C7F" w:rsidRDefault="00DA67E8" w:rsidP="00E83AE3">
      <w:pPr>
        <w:jc w:val="both"/>
        <w:rPr>
          <w:rFonts w:cs="Tahoma"/>
        </w:rPr>
      </w:pPr>
    </w:p>
    <w:p w14:paraId="5D4A26EB" w14:textId="77777777" w:rsidR="00DA67E8" w:rsidRPr="005E2C7F" w:rsidRDefault="00DA67E8" w:rsidP="00E83AE3">
      <w:pPr>
        <w:jc w:val="both"/>
        <w:rPr>
          <w:rFonts w:cs="Tahoma"/>
        </w:rPr>
      </w:pPr>
    </w:p>
    <w:p w14:paraId="00C3EC07" w14:textId="77777777" w:rsidR="00DA67E8" w:rsidRPr="005E2C7F" w:rsidRDefault="00DA67E8" w:rsidP="00E83AE3">
      <w:pPr>
        <w:jc w:val="both"/>
        <w:rPr>
          <w:rFonts w:cs="Tahoma"/>
        </w:rPr>
      </w:pPr>
    </w:p>
    <w:p w14:paraId="774281A3" w14:textId="77777777" w:rsidR="00DA67E8" w:rsidRPr="005E2C7F" w:rsidRDefault="00DA67E8" w:rsidP="00E83AE3">
      <w:pPr>
        <w:jc w:val="both"/>
        <w:rPr>
          <w:rFonts w:cs="Tahoma"/>
        </w:rPr>
      </w:pPr>
    </w:p>
    <w:p w14:paraId="4D7433CA" w14:textId="77777777" w:rsidR="00DA67E8" w:rsidRPr="005E2C7F" w:rsidRDefault="00DA67E8" w:rsidP="00E83AE3">
      <w:pPr>
        <w:jc w:val="both"/>
        <w:rPr>
          <w:rFonts w:cs="Tahoma"/>
        </w:rPr>
      </w:pPr>
    </w:p>
    <w:p w14:paraId="7DF3AF36" w14:textId="77777777" w:rsidR="00DA67E8" w:rsidRPr="005E2C7F" w:rsidRDefault="00023049" w:rsidP="00E83AE3">
      <w:pPr>
        <w:jc w:val="both"/>
        <w:rPr>
          <w:rFonts w:cs="Tahoma"/>
        </w:rPr>
      </w:pPr>
      <w:r>
        <w:rPr>
          <w:noProof/>
          <w:lang w:eastAsia="en-GB"/>
        </w:rPr>
        <mc:AlternateContent>
          <mc:Choice Requires="wps">
            <w:drawing>
              <wp:anchor distT="0" distB="0" distL="114299" distR="114299" simplePos="0" relativeHeight="251662336" behindDoc="0" locked="0" layoutInCell="1" allowOverlap="1" wp14:anchorId="2FA8B934" wp14:editId="76D5BFE0">
                <wp:simplePos x="0" y="0"/>
                <wp:positionH relativeFrom="column">
                  <wp:posOffset>4269104</wp:posOffset>
                </wp:positionH>
                <wp:positionV relativeFrom="paragraph">
                  <wp:posOffset>21590</wp:posOffset>
                </wp:positionV>
                <wp:extent cx="0" cy="271145"/>
                <wp:effectExtent l="76200" t="0" r="57150" b="5270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BD095F" id="_x0000_t32" coordsize="21600,21600" o:spt="32" o:oned="t" path="m,l21600,21600e" filled="f">
                <v:path arrowok="t" fillok="f" o:connecttype="none"/>
                <o:lock v:ext="edit" shapetype="t"/>
              </v:shapetype>
              <v:shape id="AutoShape 15" o:spid="_x0000_s1026" type="#_x0000_t32" style="position:absolute;margin-left:336.15pt;margin-top:1.7pt;width:0;height:21.3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hfNA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">
                <v:stroke endarrow="block"/>
              </v:shape>
            </w:pict>
          </mc:Fallback>
        </mc:AlternateContent>
      </w:r>
      <w:r>
        <w:rPr>
          <w:noProof/>
          <w:lang w:eastAsia="en-GB"/>
        </w:rPr>
        <mc:AlternateContent>
          <mc:Choice Requires="wps">
            <w:drawing>
              <wp:anchor distT="0" distB="0" distL="114299" distR="114299" simplePos="0" relativeHeight="251661312" behindDoc="0" locked="0" layoutInCell="1" allowOverlap="1" wp14:anchorId="012EF93A" wp14:editId="021BDB80">
                <wp:simplePos x="0" y="0"/>
                <wp:positionH relativeFrom="column">
                  <wp:posOffset>1600199</wp:posOffset>
                </wp:positionH>
                <wp:positionV relativeFrom="paragraph">
                  <wp:posOffset>21590</wp:posOffset>
                </wp:positionV>
                <wp:extent cx="0" cy="271145"/>
                <wp:effectExtent l="76200" t="0" r="57150" b="52705"/>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A052E" id="AutoShape 14" o:spid="_x0000_s1026" type="#_x0000_t32" style="position:absolute;margin-left:126pt;margin-top:1.7pt;width:0;height:21.3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iMgIAAF0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">
                <v:stroke endarrow="block"/>
              </v:shape>
            </w:pict>
          </mc:Fallback>
        </mc:AlternateContent>
      </w:r>
    </w:p>
    <w:p w14:paraId="08959ADD" w14:textId="77777777" w:rsidR="00DA67E8" w:rsidRPr="005E2C7F" w:rsidRDefault="00DA67E8" w:rsidP="00E83AE3">
      <w:pPr>
        <w:jc w:val="both"/>
        <w:rPr>
          <w:rFonts w:cs="Tahoma"/>
        </w:rPr>
      </w:pPr>
    </w:p>
    <w:p w14:paraId="6E62C7A8" w14:textId="77777777" w:rsidR="00DA67E8" w:rsidRPr="005E2C7F" w:rsidRDefault="00DA67E8" w:rsidP="00E83AE3">
      <w:pPr>
        <w:jc w:val="center"/>
        <w:rPr>
          <w:rFonts w:cs="Tahoma"/>
        </w:rPr>
      </w:pPr>
    </w:p>
    <w:p w14:paraId="5E925AC9" w14:textId="77777777" w:rsidR="00DA67E8" w:rsidRPr="005E2C7F" w:rsidRDefault="00023049" w:rsidP="00E83AE3">
      <w:pPr>
        <w:jc w:val="both"/>
        <w:rPr>
          <w:rFonts w:cs="Tahoma"/>
        </w:rPr>
      </w:pPr>
      <w:r>
        <w:rPr>
          <w:noProof/>
          <w:lang w:eastAsia="en-GB"/>
        </w:rPr>
        <mc:AlternateContent>
          <mc:Choice Requires="wps">
            <w:drawing>
              <wp:anchor distT="0" distB="0" distL="114300" distR="114300" simplePos="0" relativeHeight="251660288" behindDoc="0" locked="1" layoutInCell="1" allowOverlap="1" wp14:anchorId="01C05E2D" wp14:editId="4BE98474">
                <wp:simplePos x="0" y="0"/>
                <wp:positionH relativeFrom="column">
                  <wp:posOffset>571500</wp:posOffset>
                </wp:positionH>
                <wp:positionV relativeFrom="paragraph">
                  <wp:posOffset>-184785</wp:posOffset>
                </wp:positionV>
                <wp:extent cx="4800600" cy="956310"/>
                <wp:effectExtent l="0" t="0" r="19050" b="1524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56310"/>
                        </a:xfrm>
                        <a:prstGeom prst="rect">
                          <a:avLst/>
                        </a:prstGeom>
                        <a:solidFill>
                          <a:srgbClr val="FFFFFF"/>
                        </a:solidFill>
                        <a:ln w="9525">
                          <a:solidFill>
                            <a:srgbClr val="000000"/>
                          </a:solidFill>
                          <a:miter lim="800000"/>
                          <a:headEnd/>
                          <a:tailEnd/>
                        </a:ln>
                      </wps:spPr>
                      <wps:txbx>
                        <w:txbxContent>
                          <w:p w14:paraId="43154B47" w14:textId="77777777" w:rsidR="00764FAA" w:rsidRPr="00E83AE3" w:rsidRDefault="00764FAA" w:rsidP="00E83AE3">
                            <w:pPr>
                              <w:jc w:val="center"/>
                              <w:rPr>
                                <w:rFonts w:ascii="Arial" w:hAnsi="Arial" w:cs="Arial"/>
                                <w:b/>
                                <w:sz w:val="22"/>
                              </w:rPr>
                            </w:pPr>
                            <w:r w:rsidRPr="00E83AE3">
                              <w:rPr>
                                <w:rFonts w:ascii="Arial" w:hAnsi="Arial" w:cs="Arial"/>
                                <w:b/>
                                <w:bCs/>
                                <w:color w:val="000000"/>
                                <w:sz w:val="22"/>
                              </w:rPr>
                              <w:t xml:space="preserve">Follow up every 6 weeks until </w:t>
                            </w:r>
                            <w:r w:rsidRPr="00E83AE3">
                              <w:rPr>
                                <w:rFonts w:ascii="Arial" w:hAnsi="Arial" w:cs="Arial"/>
                                <w:b/>
                                <w:sz w:val="22"/>
                              </w:rPr>
                              <w:t>one year from the start of treatment</w:t>
                            </w:r>
                          </w:p>
                          <w:p w14:paraId="22F5C387" w14:textId="77777777" w:rsidR="00764FAA" w:rsidRPr="00E83AE3" w:rsidRDefault="00764FAA" w:rsidP="00E83AE3">
                            <w:pPr>
                              <w:jc w:val="center"/>
                              <w:rPr>
                                <w:rFonts w:ascii="Arial" w:hAnsi="Arial" w:cs="Arial"/>
                                <w:b/>
                                <w:sz w:val="22"/>
                              </w:rPr>
                            </w:pPr>
                          </w:p>
                          <w:p w14:paraId="495AD8A0" w14:textId="77777777" w:rsidR="00764FAA" w:rsidRPr="0040025B" w:rsidRDefault="00764FAA" w:rsidP="00E83AE3">
                            <w:pPr>
                              <w:jc w:val="center"/>
                              <w:rPr>
                                <w:rFonts w:cs="Tahoma"/>
                                <w:b/>
                                <w:sz w:val="22"/>
                              </w:rPr>
                            </w:pPr>
                            <w:r w:rsidRPr="00E83AE3">
                              <w:rPr>
                                <w:rFonts w:ascii="Arial" w:hAnsi="Arial" w:cs="Arial"/>
                                <w:b/>
                                <w:sz w:val="22"/>
                              </w:rPr>
                              <w:t>For those who survive to 12 months without progression, follow up would be every 12 weeks thereafter until death or until the trial results are reported, whichever is sooner</w:t>
                            </w:r>
                            <w:r w:rsidRPr="0040025B">
                              <w:rPr>
                                <w:rFonts w:cs="Tahoma"/>
                                <w:b/>
                                <w:sz w:val="22"/>
                              </w:rPr>
                              <w:t>.</w:t>
                            </w:r>
                          </w:p>
                          <w:p w14:paraId="3D355003" w14:textId="77777777" w:rsidR="00764FAA" w:rsidRDefault="00764FAA" w:rsidP="00E83AE3">
                            <w:pPr>
                              <w:jc w:val="center"/>
                              <w:rPr>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05E2D" id="Text Box 13" o:spid="_x0000_s1030" type="#_x0000_t202" style="position:absolute;left:0;text-align:left;margin-left:45pt;margin-top:-14.55pt;width:378pt;height:7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">
                <v:textbox>
                  <w:txbxContent>
                    <w:p w14:paraId="43154B47" w14:textId="77777777" w:rsidR="00764FAA" w:rsidRPr="00E83AE3" w:rsidRDefault="00764FAA" w:rsidP="00E83AE3">
                      <w:pPr>
                        <w:jc w:val="center"/>
                        <w:rPr>
                          <w:rFonts w:ascii="Arial" w:hAnsi="Arial" w:cs="Arial"/>
                          <w:b/>
                          <w:sz w:val="22"/>
                        </w:rPr>
                      </w:pPr>
                      <w:r w:rsidRPr="00E83AE3">
                        <w:rPr>
                          <w:rFonts w:ascii="Arial" w:hAnsi="Arial" w:cs="Arial"/>
                          <w:b/>
                          <w:bCs/>
                          <w:color w:val="000000"/>
                          <w:sz w:val="22"/>
                        </w:rPr>
                        <w:t xml:space="preserve">Follow up every 6 weeks until </w:t>
                      </w:r>
                      <w:r w:rsidRPr="00E83AE3">
                        <w:rPr>
                          <w:rFonts w:ascii="Arial" w:hAnsi="Arial" w:cs="Arial"/>
                          <w:b/>
                          <w:sz w:val="22"/>
                        </w:rPr>
                        <w:t>one year from the start of treatment</w:t>
                      </w:r>
                    </w:p>
                    <w:p w14:paraId="22F5C387" w14:textId="77777777" w:rsidR="00764FAA" w:rsidRPr="00E83AE3" w:rsidRDefault="00764FAA" w:rsidP="00E83AE3">
                      <w:pPr>
                        <w:jc w:val="center"/>
                        <w:rPr>
                          <w:rFonts w:ascii="Arial" w:hAnsi="Arial" w:cs="Arial"/>
                          <w:b/>
                          <w:sz w:val="22"/>
                        </w:rPr>
                      </w:pPr>
                    </w:p>
                    <w:p w14:paraId="495AD8A0" w14:textId="77777777" w:rsidR="00764FAA" w:rsidRPr="0040025B" w:rsidRDefault="00764FAA" w:rsidP="00E83AE3">
                      <w:pPr>
                        <w:jc w:val="center"/>
                        <w:rPr>
                          <w:rFonts w:cs="Tahoma"/>
                          <w:b/>
                          <w:sz w:val="22"/>
                        </w:rPr>
                      </w:pPr>
                      <w:r w:rsidRPr="00E83AE3">
                        <w:rPr>
                          <w:rFonts w:ascii="Arial" w:hAnsi="Arial" w:cs="Arial"/>
                          <w:b/>
                          <w:sz w:val="22"/>
                        </w:rPr>
                        <w:t>For those who survive to 12 months without progression, follow up would be every 12 weeks thereafter until death or until the trial results are reported, whichever is sooner</w:t>
                      </w:r>
                      <w:r w:rsidRPr="0040025B">
                        <w:rPr>
                          <w:rFonts w:cs="Tahoma"/>
                          <w:b/>
                          <w:sz w:val="22"/>
                        </w:rPr>
                        <w:t>.</w:t>
                      </w:r>
                    </w:p>
                    <w:p w14:paraId="3D355003" w14:textId="77777777" w:rsidR="00764FAA" w:rsidRDefault="00764FAA" w:rsidP="00E83AE3">
                      <w:pPr>
                        <w:jc w:val="center"/>
                        <w:rPr>
                          <w:b/>
                          <w:bCs/>
                          <w:sz w:val="22"/>
                        </w:rPr>
                      </w:pPr>
                    </w:p>
                  </w:txbxContent>
                </v:textbox>
                <w10:anchorlock/>
              </v:shape>
            </w:pict>
          </mc:Fallback>
        </mc:AlternateContent>
      </w:r>
    </w:p>
    <w:p w14:paraId="2FB1BA72" w14:textId="77777777" w:rsidR="00DA67E8" w:rsidRPr="005E2C7F" w:rsidRDefault="00DA67E8" w:rsidP="00E83AE3">
      <w:pPr>
        <w:jc w:val="both"/>
        <w:rPr>
          <w:rFonts w:cs="Tahoma"/>
        </w:rPr>
      </w:pPr>
    </w:p>
    <w:p w14:paraId="504A70B1" w14:textId="77777777" w:rsidR="00DA67E8" w:rsidRPr="005E2C7F" w:rsidRDefault="00DA67E8" w:rsidP="00E83AE3">
      <w:pPr>
        <w:jc w:val="both"/>
        <w:rPr>
          <w:rFonts w:cs="Tahoma"/>
        </w:rPr>
      </w:pPr>
    </w:p>
    <w:p w14:paraId="52D228DE" w14:textId="77777777" w:rsidR="00DA67E8" w:rsidRPr="005E2C7F" w:rsidRDefault="00DA67E8" w:rsidP="00E83AE3">
      <w:pPr>
        <w:jc w:val="both"/>
        <w:rPr>
          <w:rFonts w:cs="Tahoma"/>
        </w:rPr>
      </w:pPr>
    </w:p>
    <w:p w14:paraId="63769C12" w14:textId="77777777" w:rsidR="00DA67E8" w:rsidRPr="00BC1C47" w:rsidRDefault="00DA67E8" w:rsidP="00BC1C47">
      <w:pPr>
        <w:tabs>
          <w:tab w:val="left" w:pos="720"/>
        </w:tabs>
        <w:jc w:val="both"/>
        <w:rPr>
          <w:rFonts w:ascii="Arial" w:hAnsi="Arial" w:cs="Arial"/>
        </w:rPr>
      </w:pPr>
    </w:p>
    <w:p w14:paraId="584E4D0F" w14:textId="77777777" w:rsidR="00BF16F9" w:rsidRPr="009400C8" w:rsidRDefault="00DA67E8" w:rsidP="009400C8">
      <w:pPr>
        <w:pStyle w:val="Heading1"/>
        <w:rPr>
          <w:bCs w:val="0"/>
        </w:rPr>
      </w:pPr>
      <w:bookmarkStart w:id="51" w:name="_Toc283031739"/>
      <w:bookmarkStart w:id="52" w:name="_Toc283376274"/>
      <w:r>
        <w:br w:type="page"/>
      </w:r>
      <w:bookmarkStart w:id="53" w:name="_Toc333484714"/>
      <w:bookmarkStart w:id="54" w:name="_Toc333484829"/>
      <w:bookmarkStart w:id="55" w:name="_Toc351624783"/>
      <w:bookmarkStart w:id="56" w:name="_Toc471826726"/>
      <w:bookmarkStart w:id="57" w:name="_Toc528323492"/>
      <w:r w:rsidRPr="009400C8">
        <w:rPr>
          <w:bCs w:val="0"/>
        </w:rPr>
        <w:lastRenderedPageBreak/>
        <w:t>Introduction</w:t>
      </w:r>
      <w:bookmarkStart w:id="58" w:name="_Toc283031740"/>
      <w:bookmarkStart w:id="59" w:name="_Toc283376275"/>
      <w:bookmarkStart w:id="60" w:name="_Toc333484715"/>
      <w:bookmarkStart w:id="61" w:name="_Toc333484830"/>
      <w:bookmarkStart w:id="62" w:name="_Toc351624784"/>
      <w:bookmarkEnd w:id="51"/>
      <w:bookmarkEnd w:id="52"/>
      <w:bookmarkEnd w:id="53"/>
      <w:bookmarkEnd w:id="54"/>
      <w:bookmarkEnd w:id="55"/>
      <w:bookmarkEnd w:id="56"/>
      <w:bookmarkEnd w:id="57"/>
    </w:p>
    <w:p w14:paraId="4EEF0F37" w14:textId="77777777" w:rsidR="00DA67E8" w:rsidRDefault="00DA67E8" w:rsidP="00BF16F9">
      <w:pPr>
        <w:pStyle w:val="Heading2"/>
      </w:pPr>
      <w:bookmarkStart w:id="63" w:name="_Toc471826727"/>
      <w:bookmarkStart w:id="64" w:name="_Toc528323493"/>
      <w:r w:rsidRPr="00A23D8C">
        <w:t>Background</w:t>
      </w:r>
      <w:bookmarkEnd w:id="58"/>
      <w:bookmarkEnd w:id="59"/>
      <w:bookmarkEnd w:id="60"/>
      <w:bookmarkEnd w:id="61"/>
      <w:bookmarkEnd w:id="62"/>
      <w:bookmarkEnd w:id="63"/>
      <w:bookmarkEnd w:id="64"/>
    </w:p>
    <w:p w14:paraId="442797DB" w14:textId="77777777" w:rsidR="00DA67E8" w:rsidRDefault="00DA67E8" w:rsidP="00507641">
      <w:pPr>
        <w:jc w:val="both"/>
        <w:rPr>
          <w:rFonts w:ascii="Arial" w:hAnsi="Arial" w:cs="Arial"/>
          <w:color w:val="000000"/>
          <w:sz w:val="22"/>
        </w:rPr>
      </w:pPr>
      <w:bookmarkStart w:id="65" w:name="_Toc112231491"/>
      <w:bookmarkStart w:id="66" w:name="_Toc196644603"/>
      <w:r w:rsidRPr="00CD1155">
        <w:rPr>
          <w:rFonts w:ascii="Arial" w:hAnsi="Arial" w:cs="Arial"/>
          <w:b/>
          <w:bCs/>
          <w:color w:val="000000"/>
          <w:sz w:val="22"/>
        </w:rPr>
        <w:t>M</w:t>
      </w:r>
      <w:bookmarkEnd w:id="65"/>
      <w:bookmarkEnd w:id="66"/>
      <w:r>
        <w:rPr>
          <w:rFonts w:ascii="Arial" w:hAnsi="Arial" w:cs="Arial"/>
          <w:b/>
          <w:bCs/>
          <w:color w:val="000000"/>
          <w:sz w:val="22"/>
        </w:rPr>
        <w:t>esothelioma</w:t>
      </w:r>
      <w:r w:rsidRPr="00CD1155">
        <w:rPr>
          <w:rFonts w:ascii="Arial" w:hAnsi="Arial" w:cs="Arial"/>
          <w:b/>
          <w:bCs/>
          <w:color w:val="000000"/>
          <w:sz w:val="22"/>
          <w:u w:val="single"/>
        </w:rPr>
        <w:br/>
      </w:r>
      <w:r w:rsidRPr="00CD1155">
        <w:rPr>
          <w:rFonts w:ascii="Arial" w:hAnsi="Arial" w:cs="Arial"/>
          <w:color w:val="000000"/>
          <w:sz w:val="22"/>
        </w:rPr>
        <w:t xml:space="preserve">Malignant pleural mesothelioma (MPM) is a rapidly lethal cancer arising from the parietal pleural mesothelium, and is associated with exposure to asbestos. Once a rare disease, it is increasing in incidence in the UK and presently, is more common than either melanoma or carcinoma of the cervix </w:t>
      </w:r>
      <w:r w:rsidR="003028FF" w:rsidRPr="00CD1155">
        <w:rPr>
          <w:rFonts w:ascii="Arial" w:hAnsi="Arial" w:cs="Arial"/>
          <w:color w:val="000000"/>
          <w:sz w:val="22"/>
        </w:rPr>
        <w:fldChar w:fldCharType="begin"/>
      </w:r>
      <w:r w:rsidRPr="00CD1155">
        <w:rPr>
          <w:rFonts w:ascii="Arial" w:hAnsi="Arial" w:cs="Arial"/>
          <w:color w:val="000000"/>
          <w:sz w:val="22"/>
        </w:rPr>
        <w:instrText xml:space="preserve"> ADDIN EN.CITE &lt;EndNote&gt;&lt;Cite&gt;&lt;Year&gt;2004&lt;/Year&gt;&lt;RecNum&gt;33&lt;/RecNum&gt;&lt;record&gt;&lt;rec-number&gt;33&lt;/rec-number&gt;&lt;ref-type name="Report"&gt;27&lt;/ref-type&gt;&lt;contributors&gt;&lt;secondary-authors&gt;&lt;author&gt;Toms,JR.&lt;/author&gt;&lt;/secondary-authors&gt;&lt;/contributors&gt;&lt;titles&gt;&lt;title&gt;CancerStats Monograph&lt;/title&gt;&lt;/titles&gt;&lt;dates&gt;&lt;year&gt;2004&lt;/year&gt;&lt;pub-dates&gt;&lt;date&gt;2004&lt;/date&gt;&lt;/pub-dates&gt;&lt;/dates&gt;&lt;pub-location&gt;London&lt;/pub-location&gt;&lt;publisher&gt;Cancer Research UK&lt;/publisher&gt;&lt;work-type&gt;Report&lt;/work-type&gt;&lt;urls&gt;&lt;/urls&gt;&lt;/record&gt;&lt;/Cite&gt;&lt;/EndNote&gt;</w:instrText>
      </w:r>
      <w:r w:rsidR="003028FF" w:rsidRPr="00CD1155">
        <w:rPr>
          <w:rFonts w:ascii="Arial" w:hAnsi="Arial" w:cs="Arial"/>
          <w:color w:val="000000"/>
          <w:sz w:val="22"/>
        </w:rPr>
        <w:fldChar w:fldCharType="separate"/>
      </w:r>
      <w:r w:rsidRPr="00CD1155">
        <w:rPr>
          <w:rFonts w:ascii="Arial" w:hAnsi="Arial" w:cs="Arial"/>
          <w:color w:val="000000"/>
          <w:sz w:val="22"/>
        </w:rPr>
        <w:t>(CancerStats Monograph 2004)</w:t>
      </w:r>
      <w:r w:rsidR="003028FF" w:rsidRPr="00CD1155">
        <w:rPr>
          <w:rFonts w:ascii="Arial" w:hAnsi="Arial" w:cs="Arial"/>
          <w:color w:val="000000"/>
          <w:sz w:val="22"/>
        </w:rPr>
        <w:fldChar w:fldCharType="end"/>
      </w:r>
      <w:r w:rsidRPr="00CD1155">
        <w:rPr>
          <w:rFonts w:ascii="Arial" w:hAnsi="Arial" w:cs="Arial"/>
          <w:color w:val="000000"/>
          <w:sz w:val="22"/>
        </w:rPr>
        <w:t>. MPM is characterized by local invasion of adjacent structures including the chest wall, mediastinum, diaphragm and pericardium resulting in progressive shortness of breath. Three histological subtypes of mesothelioma are described; epithelioid (the most common</w:t>
      </w:r>
      <w:r w:rsidR="009829C0">
        <w:rPr>
          <w:rFonts w:ascii="Arial" w:hAnsi="Arial" w:cs="Arial"/>
          <w:color w:val="000000"/>
          <w:sz w:val="22"/>
        </w:rPr>
        <w:t xml:space="preserve"> and more favourable</w:t>
      </w:r>
      <w:r w:rsidRPr="00CD1155">
        <w:rPr>
          <w:rFonts w:ascii="Arial" w:hAnsi="Arial" w:cs="Arial"/>
          <w:color w:val="000000"/>
          <w:sz w:val="22"/>
        </w:rPr>
        <w:t xml:space="preserve">), </w:t>
      </w:r>
      <w:proofErr w:type="spellStart"/>
      <w:r w:rsidRPr="00CD1155">
        <w:rPr>
          <w:rFonts w:ascii="Arial" w:hAnsi="Arial" w:cs="Arial"/>
          <w:color w:val="000000"/>
          <w:sz w:val="22"/>
        </w:rPr>
        <w:t>sarcomatoid</w:t>
      </w:r>
      <w:proofErr w:type="spellEnd"/>
      <w:r w:rsidRPr="00CD1155">
        <w:rPr>
          <w:rFonts w:ascii="Arial" w:hAnsi="Arial" w:cs="Arial"/>
          <w:color w:val="000000"/>
          <w:sz w:val="22"/>
        </w:rPr>
        <w:t>, and biphasic. Median survival with best supportive care alone is approximately 6-9 months.  Most cases of mesothelioma present in the advanced setting. The survival benefit associated with radical surgery (</w:t>
      </w:r>
      <w:proofErr w:type="spellStart"/>
      <w:r w:rsidRPr="00CD1155">
        <w:rPr>
          <w:rFonts w:ascii="Arial" w:hAnsi="Arial" w:cs="Arial"/>
          <w:color w:val="000000"/>
          <w:sz w:val="22"/>
        </w:rPr>
        <w:t>extrapleural</w:t>
      </w:r>
      <w:proofErr w:type="spellEnd"/>
      <w:r w:rsidRPr="00CD1155">
        <w:rPr>
          <w:rFonts w:ascii="Arial" w:hAnsi="Arial" w:cs="Arial"/>
          <w:color w:val="000000"/>
          <w:sz w:val="22"/>
        </w:rPr>
        <w:t xml:space="preserve"> pneumonectomy, EPP) in the management of mesothelioma has not yet been formally evaluated in the form of a definitive randomised clinical trial. Accordingly, there is no evidence to refute the possibility that improved survival observed in patients undergoing EPP could be attributed to selection bias in this relatively rare patient sub-population. The UK MARS trial confirmed the feasibility randomising patients to radical surgery and radiotherapy versus best supportive care following induction chemotherapy </w:t>
      </w:r>
      <w:r w:rsidR="003028FF" w:rsidRPr="00CD1155">
        <w:rPr>
          <w:rFonts w:ascii="Arial" w:hAnsi="Arial" w:cs="Arial"/>
          <w:color w:val="000000"/>
          <w:sz w:val="22"/>
        </w:rPr>
        <w:fldChar w:fldCharType="begin"/>
      </w:r>
      <w:r w:rsidRPr="00CD1155">
        <w:rPr>
          <w:rFonts w:ascii="Arial" w:hAnsi="Arial" w:cs="Arial"/>
          <w:color w:val="000000"/>
          <w:sz w:val="22"/>
        </w:rPr>
        <w:instrText xml:space="preserve"> ADDIN EN.CITE &lt;EndNote&gt;&lt;Cite&gt;&lt;Author&gt;Treasure&lt;/Author&gt;&lt;Year&gt;2009&lt;/Year&gt;&lt;RecNum&gt;32&lt;/RecNum&gt;&lt;record&gt;&lt;rec-number&gt;32&lt;/rec-number&gt;&lt;ref-type name="Journal Article"&gt;17&lt;/ref-type&gt;&lt;contributors&gt;&lt;authors&gt;&lt;author&gt;Treasure, T.&lt;/author&gt;&lt;author&gt;Waller, D.&lt;/author&gt;&lt;author&gt;Tan, C.&lt;/author&gt;&lt;author&gt;Entwisle, J.&lt;/author&gt;&lt;author&gt;O&amp;apos;Brien, M.&lt;/author&gt;&lt;author&gt;O&amp;apos;Byrne, K.&lt;/author&gt;&lt;author&gt;Thomas, G.&lt;/author&gt;&lt;author&gt;Snee, M.&lt;/author&gt;&lt;author&gt;Spicer, J.&lt;/author&gt;&lt;author&gt;Landau, D.&lt;/author&gt;&lt;author&gt;Lang-Lazdunski, L.&lt;/author&gt;&lt;author&gt;Bliss, J.&lt;/author&gt;&lt;author&gt;Peckitt, C.&lt;/author&gt;&lt;author&gt;Rogers, S.&lt;/author&gt;&lt;author&gt;Marriage Nee Denholm, E.&lt;/author&gt;&lt;author&gt;Coombes, G.&lt;/author&gt;&lt;author&gt;Webster-Smith, M.&lt;/author&gt;&lt;author&gt;Peto, J.&lt;/author&gt;&lt;/authors&gt;&lt;/contributors&gt;&lt;auth-address&gt;*Guy&amp;apos;s and St Thomas&amp;apos; Hospital, London, United Kingdom; daggerGlenfield Hospital, University Hospitals of Leicester, Leicester, United Kingdom; double daggerThe Royal Marsden Hospital, London, United Kingdom; section signSt James&amp;apos; Hospital, Dublin, Ireland; parallelSt James&amp;apos; Hospital, Leeds, United Kingdom; paragraph signKing&amp;apos;s College London and Guy&amp;apos;s and St Thomas&amp;apos; Hospitals, London, United Kingdom; #Clinical Trials and Statistics Unit, Institute of Cancer Research, Sutton, United Kingdom; **South West Dementia and Neurodegenerative Diseases Research Network (DeNDRoN), Avon Wiltshire Mental Health Partnership NHS Trust, Bath, United Kingdom; and daggerdaggerLondon School of Hygiene and Tropical Medicine and The Institute of Cancer Research, London, United Kingdom.&lt;/auth-address&gt;&lt;titles&gt;&lt;title&gt;The Mesothelioma and Radical Surgery Randomized Controlled Trial: The MARS Feasibility Study&lt;/title&gt;&lt;secondary-title&gt;J Thorac Oncol&lt;/secondary-title&gt;&lt;/titles&gt;&lt;periodical&gt;&lt;full-title&gt;J Thorac Oncol&lt;/full-title&gt;&lt;/periodical&gt;&lt;dates&gt;&lt;year&gt;2009&lt;/year&gt;&lt;pub-dates&gt;&lt;date&gt;Aug 5&lt;/date&gt;&lt;/pub-dates&gt;&lt;/dates&gt;&lt;isbn&gt;1556-1380 (Electronic)&lt;/isbn&gt;&lt;accession-num&gt;19661833&lt;/accession-num&gt;&lt;urls&gt;&lt;related-urls&gt;&lt;url&gt;http://www.ncbi.nlm.nih.gov/entrez/query.fcgi?cmd=Retrieve&amp;amp;db=PubMed&amp;amp;dopt=Citation&amp;amp;list_uids=19661833 &lt;/url&gt;&lt;/related-urls&gt;&lt;/urls&gt;&lt;language&gt;Eng&lt;/language&gt;&lt;/record&gt;&lt;/Cite&gt;&lt;/EndNote&gt;</w:instrText>
      </w:r>
      <w:r w:rsidR="003028FF" w:rsidRPr="00CD1155">
        <w:rPr>
          <w:rFonts w:ascii="Arial" w:hAnsi="Arial" w:cs="Arial"/>
          <w:color w:val="000000"/>
          <w:sz w:val="22"/>
        </w:rPr>
        <w:fldChar w:fldCharType="separate"/>
      </w:r>
      <w:r w:rsidRPr="00CD1155">
        <w:rPr>
          <w:rFonts w:ascii="Arial" w:hAnsi="Arial" w:cs="Arial"/>
          <w:color w:val="000000"/>
          <w:sz w:val="22"/>
        </w:rPr>
        <w:t>(Treasure et al 2009)</w:t>
      </w:r>
      <w:r w:rsidR="003028FF" w:rsidRPr="00CD1155">
        <w:rPr>
          <w:rFonts w:ascii="Arial" w:hAnsi="Arial" w:cs="Arial"/>
          <w:color w:val="000000"/>
          <w:sz w:val="22"/>
        </w:rPr>
        <w:fldChar w:fldCharType="end"/>
      </w:r>
      <w:r w:rsidRPr="00CD1155">
        <w:rPr>
          <w:rFonts w:ascii="Arial" w:hAnsi="Arial" w:cs="Arial"/>
          <w:color w:val="000000"/>
          <w:sz w:val="22"/>
        </w:rPr>
        <w:t xml:space="preserve">. </w:t>
      </w:r>
    </w:p>
    <w:p w14:paraId="3DF99575" w14:textId="77777777" w:rsidR="00DA67E8" w:rsidRDefault="00DA67E8" w:rsidP="00507641">
      <w:pPr>
        <w:jc w:val="both"/>
        <w:rPr>
          <w:rFonts w:ascii="Arial" w:hAnsi="Arial" w:cs="Arial"/>
          <w:b/>
          <w:bCs/>
          <w:color w:val="000000"/>
          <w:sz w:val="22"/>
        </w:rPr>
      </w:pPr>
    </w:p>
    <w:p w14:paraId="2AE78EBC" w14:textId="77777777" w:rsidR="00DA67E8" w:rsidRPr="006150DC" w:rsidRDefault="00DA67E8" w:rsidP="00507641">
      <w:pPr>
        <w:jc w:val="both"/>
        <w:rPr>
          <w:rFonts w:ascii="Arial" w:hAnsi="Arial" w:cs="Arial"/>
          <w:b/>
          <w:bCs/>
          <w:color w:val="000000"/>
          <w:sz w:val="22"/>
        </w:rPr>
      </w:pPr>
      <w:r w:rsidRPr="006150DC">
        <w:rPr>
          <w:rFonts w:ascii="Arial" w:hAnsi="Arial" w:cs="Arial"/>
          <w:b/>
          <w:bCs/>
          <w:color w:val="000000"/>
          <w:sz w:val="22"/>
        </w:rPr>
        <w:t>First line chemotherapy of mesothelioma</w:t>
      </w:r>
    </w:p>
    <w:p w14:paraId="105B84FC" w14:textId="77777777" w:rsidR="00DA67E8" w:rsidRPr="006150DC" w:rsidRDefault="00DA67E8" w:rsidP="00507641">
      <w:pPr>
        <w:jc w:val="both"/>
        <w:rPr>
          <w:rFonts w:ascii="Arial" w:hAnsi="Arial" w:cs="Arial"/>
          <w:color w:val="000000"/>
          <w:sz w:val="22"/>
        </w:rPr>
      </w:pPr>
      <w:r w:rsidRPr="006150DC">
        <w:rPr>
          <w:rFonts w:ascii="Arial" w:hAnsi="Arial" w:cs="Arial"/>
          <w:color w:val="000000"/>
          <w:sz w:val="22"/>
        </w:rPr>
        <w:t>Mesothelioma remains incurable and rapidly lethal. Over the last 25 years there has been no consistent improvement in 5 year survival. Systemic therapy with cytotoxic drugs is the mainstay of treatment. Clinical and pathological factors can significantly impact prognosis leading to misleadingly high survival estimates in both phase II and phase III t</w:t>
      </w:r>
      <w:r>
        <w:rPr>
          <w:rFonts w:ascii="Arial" w:hAnsi="Arial" w:cs="Arial"/>
          <w:color w:val="000000"/>
          <w:sz w:val="22"/>
        </w:rPr>
        <w:t xml:space="preserve">rials settings.  Fennell et al </w:t>
      </w:r>
      <w:r w:rsidRPr="006150DC">
        <w:rPr>
          <w:rFonts w:ascii="Arial" w:hAnsi="Arial" w:cs="Arial"/>
          <w:color w:val="000000"/>
          <w:sz w:val="22"/>
        </w:rPr>
        <w:t xml:space="preserve">reported a statistical validation of the EORTC prognostic score which demonstrates a clear impact of clinical and pathological factors on clinical outcome </w:t>
      </w:r>
      <w:r w:rsidR="003028FF" w:rsidRPr="006150DC">
        <w:rPr>
          <w:rFonts w:ascii="Arial" w:hAnsi="Arial" w:cs="Arial"/>
          <w:color w:val="000000"/>
          <w:sz w:val="22"/>
        </w:rPr>
        <w:fldChar w:fldCharType="begin"/>
      </w:r>
      <w:r w:rsidRPr="006150DC">
        <w:rPr>
          <w:rFonts w:ascii="Arial" w:hAnsi="Arial" w:cs="Arial"/>
          <w:color w:val="000000"/>
          <w:sz w:val="22"/>
        </w:rPr>
        <w:instrText xml:space="preserve"> ADDIN EN.CITE &lt;EndNote&gt;&lt;Cite&gt;&lt;Author&gt;Fennell&lt;/Author&gt;&lt;Year&gt;2005&lt;/Year&gt;&lt;RecNum&gt;20&lt;/RecNum&gt;&lt;record&gt;&lt;rec-number&gt;20&lt;/rec-number&gt;&lt;ref-type name="Journal Article"&gt;17&lt;/ref-type&gt;&lt;contributors&gt;&lt;authors&gt;&lt;author&gt;Fennell, D. A.&lt;/author&gt;&lt;author&gt;Parmar, A.&lt;/author&gt;&lt;author&gt;Shamash, J.&lt;/author&gt;&lt;author&gt;Evans, M. T.&lt;/author&gt;&lt;author&gt;Sheaff, M. T.&lt;/author&gt;&lt;author&gt;Sylvester, R.&lt;/author&gt;&lt;author&gt;Dhaliwal, K.&lt;/author&gt;&lt;author&gt;Gower, N.&lt;/author&gt;&lt;author&gt;Steele, J.&lt;/author&gt;&lt;author&gt;Rudd, R.&lt;/author&gt;&lt;/authors&gt;&lt;/contributors&gt;&lt;auth-address&gt;Lung Cancer and Mesthelioma Unit, Department of Oncology, and the Institute of Cell and Molecular Science-Pathology, St. Bartholomew&amp;apos;s Hospital, London, United Kingdom. d.a.fennell@qmul.ac.uk&lt;/auth-address&gt;&lt;titles&gt;&lt;title&gt;Statistical validation of the EORTC prognostic model for malignant pleural mesothelioma based on three consecutive phase II trials&lt;/title&gt;&lt;secondary-title&gt;J Clin Oncol&lt;/secondary-title&gt;&lt;/titles&gt;&lt;periodical&gt;&lt;full-title&gt;J Clin Oncol&lt;/full-title&gt;&lt;/periodical&gt;&lt;pages&gt;184-9&lt;/pages&gt;&lt;volume&gt;23&lt;/volume&gt;&lt;number&gt;1&lt;/number&gt;&lt;keywords&gt;&lt;keyword&gt;Adult&lt;/keyword&gt;&lt;keyword&gt;Aged&lt;/keyword&gt;&lt;keyword&gt;Antineoplastic Agents/administration &amp;amp; dosage&lt;/keyword&gt;&lt;keyword&gt;Antineoplastic Agents, Phytogenic/administration &amp;amp; dosage&lt;/keyword&gt;&lt;keyword&gt;Antineoplastic Combined Chemotherapy Protocols/therapeutic use&lt;/keyword&gt;&lt;keyword&gt;Camptothecin/administration &amp;amp; dosage/*analogs &amp;amp; derivatives&lt;/keyword&gt;&lt;keyword&gt;Cisplatin/administration &amp;amp; dosage&lt;/keyword&gt;&lt;keyword&gt;Clinical Trials, Phase II&lt;/keyword&gt;&lt;keyword&gt;Drug Resistance, Neoplasm&lt;/keyword&gt;&lt;keyword&gt;Female&lt;/keyword&gt;&lt;keyword&gt;Humans&lt;/keyword&gt;&lt;keyword&gt;Logistic Models&lt;/keyword&gt;&lt;keyword&gt;Male&lt;/keyword&gt;&lt;keyword&gt;Mesothelioma/drug therapy/*mortality&lt;/keyword&gt;&lt;keyword&gt;Middle Aged&lt;/keyword&gt;&lt;keyword&gt;Mitomycin/administration &amp;amp; dosage&lt;/keyword&gt;&lt;keyword&gt;*Models, Theoretical&lt;/keyword&gt;&lt;keyword&gt;Organoplatinum Compounds/administration &amp;amp; dosage&lt;/keyword&gt;&lt;keyword&gt;Pleural Neoplasms/drug therapy/*mortality&lt;/keyword&gt;&lt;keyword&gt;Prognosis&lt;/keyword&gt;&lt;keyword&gt;Retrospective Studies&lt;/keyword&gt;&lt;keyword&gt;Survival Rate&lt;/keyword&gt;&lt;keyword&gt;Vinblastine/administration &amp;amp; dosage/*analogs &amp;amp; derivatives&lt;/keyword&gt;&lt;/keywords&gt;&lt;dates&gt;&lt;year&gt;2005&lt;/year&gt;&lt;pub-dates&gt;&lt;date&gt;Jan 1&lt;/date&gt;&lt;/pub-dates&gt;&lt;/dates&gt;&lt;isbn&gt;0732-183X (Print)&lt;/isbn&gt;&lt;accession-num&gt;15625372&lt;/accession-num&gt;&lt;urls&gt;&lt;related-urls&gt;&lt;url&gt;http://www.ncbi.nlm.nih.gov/entrez/query.fcgi?cmd=Retrieve&amp;amp;db=PubMed&amp;amp;dopt=Citation&amp;amp;list_uids=15625372 &lt;/url&gt;&lt;/related-urls&gt;&lt;/urls&gt;&lt;language&gt;eng&lt;/language&gt;&lt;/record&gt;&lt;/Cite&gt;&lt;/EndNote&gt;</w:instrText>
      </w:r>
      <w:r w:rsidR="003028FF" w:rsidRPr="006150DC">
        <w:rPr>
          <w:rFonts w:ascii="Arial" w:hAnsi="Arial" w:cs="Arial"/>
          <w:color w:val="000000"/>
          <w:sz w:val="22"/>
        </w:rPr>
        <w:fldChar w:fldCharType="separate"/>
      </w:r>
      <w:r w:rsidRPr="006150DC">
        <w:rPr>
          <w:rFonts w:ascii="Arial" w:hAnsi="Arial" w:cs="Arial"/>
          <w:color w:val="000000"/>
          <w:sz w:val="22"/>
        </w:rPr>
        <w:t>(Fennell et al 2005)</w:t>
      </w:r>
      <w:r w:rsidR="003028FF" w:rsidRPr="006150DC">
        <w:rPr>
          <w:rFonts w:ascii="Arial" w:hAnsi="Arial" w:cs="Arial"/>
          <w:color w:val="000000"/>
          <w:sz w:val="22"/>
        </w:rPr>
        <w:fldChar w:fldCharType="end"/>
      </w:r>
      <w:r w:rsidRPr="006150DC">
        <w:rPr>
          <w:rFonts w:ascii="Arial" w:hAnsi="Arial" w:cs="Arial"/>
          <w:color w:val="000000"/>
          <w:sz w:val="22"/>
        </w:rPr>
        <w:t xml:space="preserve">. For example, a bias towards PS 0-1 patients can result in greater median survival estimates. </w:t>
      </w:r>
    </w:p>
    <w:p w14:paraId="2209845A" w14:textId="77777777" w:rsidR="00DA67E8" w:rsidRPr="006150DC" w:rsidRDefault="00DA67E8" w:rsidP="006150DC">
      <w:pPr>
        <w:jc w:val="both"/>
        <w:rPr>
          <w:rFonts w:ascii="Arial" w:hAnsi="Arial" w:cs="Arial"/>
          <w:color w:val="000000"/>
          <w:sz w:val="22"/>
        </w:rPr>
      </w:pPr>
    </w:p>
    <w:p w14:paraId="62272B23" w14:textId="77777777" w:rsidR="00DA67E8" w:rsidRPr="006150DC" w:rsidRDefault="00023049" w:rsidP="006150DC">
      <w:pPr>
        <w:jc w:val="both"/>
        <w:rPr>
          <w:rFonts w:ascii="Arial" w:hAnsi="Arial" w:cs="Arial"/>
          <w:color w:val="000000"/>
          <w:sz w:val="22"/>
        </w:rPr>
      </w:pPr>
      <w:r>
        <w:rPr>
          <w:rFonts w:ascii="Arial" w:hAnsi="Arial" w:cs="Arial"/>
          <w:noProof/>
          <w:color w:val="000000"/>
          <w:sz w:val="22"/>
          <w:lang w:eastAsia="en-GB"/>
        </w:rPr>
        <w:drawing>
          <wp:inline distT="0" distB="0" distL="0" distR="0" wp14:anchorId="588B25C3" wp14:editId="6D347F7B">
            <wp:extent cx="3115310" cy="2434590"/>
            <wp:effectExtent l="0" t="0" r="889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310" cy="2434590"/>
                    </a:xfrm>
                    <a:prstGeom prst="rect">
                      <a:avLst/>
                    </a:prstGeom>
                    <a:noFill/>
                    <a:ln>
                      <a:noFill/>
                    </a:ln>
                  </pic:spPr>
                </pic:pic>
              </a:graphicData>
            </a:graphic>
          </wp:inline>
        </w:drawing>
      </w:r>
    </w:p>
    <w:p w14:paraId="13AED1A2" w14:textId="77777777" w:rsidR="00DA67E8" w:rsidRPr="006150DC" w:rsidRDefault="00DA67E8" w:rsidP="006150DC">
      <w:pPr>
        <w:jc w:val="both"/>
        <w:rPr>
          <w:rFonts w:ascii="Arial" w:hAnsi="Arial" w:cs="Arial"/>
          <w:color w:val="000000"/>
          <w:sz w:val="22"/>
        </w:rPr>
      </w:pPr>
      <w:r w:rsidRPr="00507641">
        <w:rPr>
          <w:rFonts w:ascii="Arial" w:hAnsi="Arial" w:cs="Arial"/>
          <w:i/>
          <w:color w:val="000000"/>
          <w:sz w:val="20"/>
          <w:szCs w:val="20"/>
        </w:rPr>
        <w:t>Figure 1. Metadata showing survival associated with 60 mesothelioma phase II/III clinical trials over the last 25 years. There is a symmetrical distribution about the median of 9.3 months and a correlation coefficient strongly suggesting a therapeutic plateau</w:t>
      </w:r>
      <w:r w:rsidRPr="006150DC">
        <w:rPr>
          <w:rFonts w:ascii="Arial" w:hAnsi="Arial" w:cs="Arial"/>
          <w:i/>
          <w:color w:val="000000"/>
          <w:sz w:val="22"/>
        </w:rPr>
        <w:t>.</w:t>
      </w:r>
    </w:p>
    <w:p w14:paraId="34ACE741" w14:textId="77777777" w:rsidR="00DA67E8" w:rsidRPr="006150DC" w:rsidRDefault="00DA67E8" w:rsidP="006150DC">
      <w:pPr>
        <w:pStyle w:val="Default"/>
        <w:autoSpaceDE/>
        <w:autoSpaceDN/>
        <w:adjustRightInd/>
        <w:jc w:val="both"/>
        <w:rPr>
          <w:rFonts w:ascii="Arial" w:hAnsi="Arial" w:cs="Arial"/>
          <w:sz w:val="22"/>
          <w:lang w:val="en-GB"/>
        </w:rPr>
      </w:pPr>
    </w:p>
    <w:p w14:paraId="68307351" w14:textId="77777777" w:rsidR="00DA67E8" w:rsidRPr="006150DC" w:rsidRDefault="00DA67E8" w:rsidP="001B1E1D">
      <w:pPr>
        <w:jc w:val="both"/>
        <w:rPr>
          <w:rFonts w:ascii="Arial" w:hAnsi="Arial" w:cs="Arial"/>
          <w:color w:val="FF0000"/>
          <w:sz w:val="22"/>
          <w:szCs w:val="22"/>
        </w:rPr>
      </w:pPr>
      <w:r w:rsidRPr="006150DC">
        <w:rPr>
          <w:rFonts w:ascii="Arial" w:hAnsi="Arial" w:cs="Arial"/>
          <w:color w:val="000000"/>
          <w:sz w:val="22"/>
          <w:szCs w:val="22"/>
        </w:rPr>
        <w:t xml:space="preserve">Objective response rates for single cytotoxic agents range from 10 to 20%. For combination therapy, response rates typically range between 20-40%. Meta-analysis suggests that response rates are higher for platinum versus non-platinum containing chemotherapy </w:t>
      </w:r>
      <w:r w:rsidR="003028FF" w:rsidRPr="006150DC">
        <w:rPr>
          <w:rFonts w:ascii="Arial" w:hAnsi="Arial" w:cs="Arial"/>
          <w:color w:val="000000"/>
          <w:sz w:val="22"/>
          <w:szCs w:val="22"/>
        </w:rPr>
        <w:lastRenderedPageBreak/>
        <w:fldChar w:fldCharType="begin"/>
      </w:r>
      <w:r w:rsidRPr="006150DC">
        <w:rPr>
          <w:rFonts w:ascii="Arial" w:hAnsi="Arial" w:cs="Arial"/>
          <w:color w:val="000000"/>
          <w:sz w:val="22"/>
          <w:szCs w:val="22"/>
        </w:rPr>
        <w:instrText xml:space="preserve"> ADDIN EN.CITE &lt;EndNote&gt;&lt;Cite&gt;&lt;Author&gt;Fennell&lt;/Author&gt;&lt;Year&gt;2008&lt;/Year&gt;&lt;RecNum&gt;34&lt;/RecNum&gt;&lt;record&gt;&lt;rec-number&gt;34&lt;/rec-number&gt;&lt;ref-type name="Journal Article"&gt;17&lt;/ref-type&gt;&lt;contributors&gt;&lt;authors&gt;&lt;author&gt;Fennell, D. A.&lt;/author&gt;&lt;author&gt;Gaudino, G.&lt;/author&gt;&lt;author&gt;O&amp;apos;Byrne, K. J.&lt;/author&gt;&lt;author&gt;Mutti, L.&lt;/author&gt;&lt;author&gt;van Meerbeeck, J.&lt;/author&gt;&lt;/authors&gt;&lt;/contributors&gt;&lt;auth-address&gt;Centre for Cancer Research and Cell Biology, Queen&amp;apos;s University Belfast, 97 Liburn Road, Belfast BT9 7BL, Northern Ireland, UK. d.fennell@qub.qc.uk&lt;/auth-address&gt;&lt;titles&gt;&lt;title&gt;Advances in the systemic therapy of malignant pleural mesothelioma&lt;/title&gt;&lt;secondary-title&gt;Nat Clin Pract Oncol&lt;/secondary-title&gt;&lt;alt-title&gt;Nature clinical practice&lt;/alt-title&gt;&lt;/titles&gt;&lt;periodical&gt;&lt;full-title&gt;Nat Clin Pract Oncol&lt;/full-title&gt;&lt;abbr-1&gt;Nature clinical practice&lt;/abbr-1&gt;&lt;/periodical&gt;&lt;alt-periodical&gt;&lt;full-title&gt;Nat Clin Pract Oncol&lt;/full-title&gt;&lt;abbr-1&gt;Nature clinical practice&lt;/abbr-1&gt;&lt;/alt-periodical&gt;&lt;pages&gt;136-47&lt;/pages&gt;&lt;volume&gt;5&lt;/volume&gt;&lt;number&gt;3&lt;/number&gt;&lt;keywords&gt;&lt;keyword&gt;Antineoplastic Agents/*therapeutic use&lt;/keyword&gt;&lt;keyword&gt;Combined Modality Therapy&lt;/keyword&gt;&lt;keyword&gt;Folic Acid Antagonists/therapeutic use&lt;/keyword&gt;&lt;keyword&gt;Gene Expression Profiling&lt;/keyword&gt;&lt;keyword&gt;Humans&lt;/keyword&gt;&lt;keyword&gt;Mesothelioma/*drug therapy/genetics/pathology&lt;/keyword&gt;&lt;keyword&gt;Platinum Compounds/therapeutic use&lt;/keyword&gt;&lt;keyword&gt;Pleural Neoplasms/*drug therapy/genetics/pathology&lt;/keyword&gt;&lt;keyword&gt;Positron-Emission Tomography&lt;/keyword&gt;&lt;keyword&gt;Prognosis&lt;/keyword&gt;&lt;keyword&gt;Treatment Outcome&lt;/keyword&gt;&lt;keyword&gt;Tumor Markers, Biological&lt;/keyword&gt;&lt;/keywords&gt;&lt;dates&gt;&lt;year&gt;2008&lt;/year&gt;&lt;pub-dates&gt;&lt;date&gt;Mar&lt;/date&gt;&lt;/pub-dates&gt;&lt;/dates&gt;&lt;isbn&gt;1743-4262 (Electronic)&lt;/isbn&gt;&lt;accession-num&gt;18227828&lt;/accession-num&gt;&lt;urls&gt;&lt;related-urls&gt;&lt;url&gt;http://www.ncbi.nlm.nih.gov/entrez/query.fcgi?cmd=Retrieve&amp;amp;db=PubMed&amp;amp;dopt=Citation&amp;amp;list_uids=18227828 &lt;/url&gt;&lt;/related-urls&gt;&lt;/urls&gt;&lt;language&gt;eng&lt;/language&gt;&lt;/record&gt;&lt;/Cite&gt;&lt;/EndNote&gt;</w:instrText>
      </w:r>
      <w:r w:rsidR="003028FF" w:rsidRPr="006150DC">
        <w:rPr>
          <w:rFonts w:ascii="Arial" w:hAnsi="Arial" w:cs="Arial"/>
          <w:color w:val="000000"/>
          <w:sz w:val="22"/>
          <w:szCs w:val="22"/>
        </w:rPr>
        <w:fldChar w:fldCharType="separate"/>
      </w:r>
      <w:r w:rsidRPr="006150DC">
        <w:rPr>
          <w:rFonts w:ascii="Arial" w:hAnsi="Arial" w:cs="Arial"/>
          <w:color w:val="000000"/>
          <w:sz w:val="22"/>
          <w:szCs w:val="22"/>
        </w:rPr>
        <w:t>(Fennell et al 2008)</w:t>
      </w:r>
      <w:r w:rsidR="003028FF" w:rsidRPr="006150DC">
        <w:rPr>
          <w:rFonts w:ascii="Arial" w:hAnsi="Arial" w:cs="Arial"/>
          <w:color w:val="000000"/>
          <w:sz w:val="22"/>
          <w:szCs w:val="22"/>
        </w:rPr>
        <w:fldChar w:fldCharType="end"/>
      </w:r>
      <w:r w:rsidRPr="006150DC">
        <w:rPr>
          <w:rFonts w:ascii="Arial" w:hAnsi="Arial" w:cs="Arial"/>
          <w:color w:val="000000"/>
          <w:sz w:val="22"/>
          <w:szCs w:val="22"/>
        </w:rPr>
        <w:t>. Despite the existence of a large number of phase II clinical studies previously conducted, there exists no robust randomised data confirming a survival advantage over best supportive care. This was addressed by UK MSO-1 study randomizing vinorelbine versus mitomycin/</w:t>
      </w:r>
      <w:proofErr w:type="spellStart"/>
      <w:r w:rsidRPr="006150DC">
        <w:rPr>
          <w:rFonts w:ascii="Arial" w:hAnsi="Arial" w:cs="Arial"/>
          <w:color w:val="000000"/>
          <w:sz w:val="22"/>
          <w:szCs w:val="22"/>
        </w:rPr>
        <w:t>vindesine</w:t>
      </w:r>
      <w:proofErr w:type="spellEnd"/>
      <w:r w:rsidRPr="006150DC">
        <w:rPr>
          <w:rFonts w:ascii="Arial" w:hAnsi="Arial" w:cs="Arial"/>
          <w:color w:val="000000"/>
          <w:sz w:val="22"/>
          <w:szCs w:val="22"/>
        </w:rPr>
        <w:t>/cisplatin versus active symptom control (</w:t>
      </w:r>
      <w:proofErr w:type="spellStart"/>
      <w:r w:rsidRPr="006150DC">
        <w:rPr>
          <w:rFonts w:ascii="Arial" w:hAnsi="Arial" w:cs="Arial"/>
          <w:color w:val="000000"/>
          <w:sz w:val="22"/>
          <w:szCs w:val="22"/>
        </w:rPr>
        <w:t>Muers</w:t>
      </w:r>
      <w:proofErr w:type="spellEnd"/>
      <w:r w:rsidRPr="006150DC">
        <w:rPr>
          <w:rFonts w:ascii="Arial" w:hAnsi="Arial" w:cs="Arial"/>
          <w:color w:val="000000"/>
          <w:sz w:val="22"/>
          <w:szCs w:val="22"/>
        </w:rPr>
        <w:t xml:space="preserve"> et al 2008). This trial failed to demonstrate a statistically benefit for chemotherapy. However this study has been criticised for not employing standard therapy (see below), and being underpowered to detect a statistically significant effect of vinorelbine which demonstrated a trend to 2 months improved survival. </w:t>
      </w:r>
      <w:bookmarkStart w:id="67" w:name="_Toc97434912"/>
      <w:bookmarkStart w:id="68" w:name="_Toc97437151"/>
      <w:r w:rsidRPr="006150DC">
        <w:rPr>
          <w:rFonts w:ascii="Arial" w:hAnsi="Arial" w:cs="Arial"/>
          <w:color w:val="000000"/>
          <w:sz w:val="22"/>
          <w:szCs w:val="22"/>
        </w:rPr>
        <w:t xml:space="preserve">Two recent phase III clinical trials have demonstrated some improvement in median survival over single platinum for pemetrexed/cisplatin (9.3 </w:t>
      </w:r>
      <w:r w:rsidR="00796CDF" w:rsidRPr="006150DC">
        <w:rPr>
          <w:rFonts w:ascii="Arial" w:hAnsi="Arial" w:cs="Arial"/>
          <w:color w:val="000000"/>
          <w:sz w:val="22"/>
          <w:szCs w:val="22"/>
        </w:rPr>
        <w:t>vs.</w:t>
      </w:r>
      <w:r w:rsidRPr="006150DC">
        <w:rPr>
          <w:rFonts w:ascii="Arial" w:hAnsi="Arial" w:cs="Arial"/>
          <w:color w:val="000000"/>
          <w:sz w:val="22"/>
          <w:szCs w:val="22"/>
        </w:rPr>
        <w:t xml:space="preserve"> 12.1 months) </w:t>
      </w:r>
      <w:r w:rsidR="003028FF" w:rsidRPr="006150DC">
        <w:rPr>
          <w:rFonts w:ascii="Arial" w:hAnsi="Arial" w:cs="Arial"/>
          <w:color w:val="000000"/>
          <w:sz w:val="22"/>
          <w:szCs w:val="22"/>
        </w:rPr>
        <w:fldChar w:fldCharType="begin"/>
      </w:r>
      <w:r w:rsidRPr="006150DC">
        <w:rPr>
          <w:rFonts w:ascii="Arial" w:hAnsi="Arial" w:cs="Arial"/>
          <w:color w:val="000000"/>
          <w:sz w:val="22"/>
          <w:szCs w:val="22"/>
        </w:rPr>
        <w:instrText xml:space="preserve"> ADDIN EN.CITE &lt;EndNote&gt;&lt;Cite&gt;&lt;Author&gt;Vogelzang&lt;/Author&gt;&lt;Year&gt;2003&lt;/Year&gt;&lt;RecNum&gt;10&lt;/RecNum&gt;&lt;record&gt;&lt;rec-number&gt;5&lt;/rec-number&gt;&lt;ref-type name="Journal Article"&gt;17&lt;/ref-type&gt;&lt;contributors&gt;&lt;authors&gt;&lt;author&gt;Vogelzang, N. J.&lt;/author&gt;&lt;author&gt;Rusthoven, J. J.&lt;/author&gt;&lt;author&gt;Symanowski, J.&lt;/author&gt;&lt;author&gt;Denham, C.&lt;/author&gt;&lt;author&gt;Kaukel, E.&lt;/author&gt;&lt;author&gt;Ruffie, P.&lt;/author&gt;&lt;author&gt;Gatzemeier, U.&lt;/author&gt;&lt;author&gt;Boyer, M.&lt;/author&gt;&lt;author&gt;Emri, S.&lt;/author&gt;&lt;author&gt;Manegold, C.&lt;/author&gt;&lt;author&gt;Niyikiza, C.&lt;/author&gt;&lt;author&gt;Paoletti, P.&lt;/author&gt;&lt;/authors&gt;&lt;/contributors&gt;&lt;auth-address&gt;University of Chicago, Cancer Research Center, 5841 South Maryland Ave, Chicago, IL 60637, USA. nvogelza@medicine.bsd.uchicago.edu.&lt;/auth-address&gt;&lt;titles&gt;&lt;title&gt;Phase III study of pemetrexed in combination with cisplatin versus cisplatin alone in patients with malignant pleural mesothelioma&lt;/title&gt;&lt;secondary-title&gt;J Clin Oncol&lt;/secondary-title&gt;&lt;/titles&gt;&lt;periodical&gt;&lt;full-title&gt;J Clin Oncol&lt;/full-title&gt;&lt;/periodical&gt;&lt;pages&gt;2636-44&lt;/pages&gt;&lt;volume&gt;21&lt;/volume&gt;&lt;number&gt;14&lt;/number&gt;&lt;keywords&gt;&lt;keyword&gt;Adult&lt;/keyword&gt;&lt;keyword&gt;Aged&lt;/keyword&gt;&lt;keyword&gt;Aged, 80 and over&lt;/keyword&gt;&lt;keyword&gt;Antineoplastic Combined Chemotherapy Protocols&lt;/keyword&gt;&lt;keyword&gt;Cisplatin/*administration &amp;amp; dosage/adverse effects&lt;/keyword&gt;&lt;keyword&gt;Comparative Study&lt;/keyword&gt;&lt;keyword&gt;Dose-Response Relationship, Drug&lt;/keyword&gt;&lt;keyword&gt;Drug Administration Schedule&lt;/keyword&gt;&lt;keyword&gt;Female&lt;/keyword&gt;&lt;keyword&gt;Glutamates/*administration &amp;amp; dosage/adverse effects&lt;/keyword&gt;&lt;keyword&gt;Guanine/*administration &amp;amp; dosage/adverse effects/*analogs &amp;amp; derivatives&lt;/keyword&gt;&lt;keyword&gt;Humans&lt;/keyword&gt;&lt;keyword&gt;Male&lt;/keyword&gt;&lt;keyword&gt;Maximum Tolerated Dose&lt;/keyword&gt;&lt;keyword&gt;Mesothelioma/*drug therapy/mortality/pathology&lt;/keyword&gt;&lt;keyword&gt;Middle Aged&lt;/keyword&gt;&lt;keyword&gt;Multivariate Analysis&lt;/keyword&gt;&lt;keyword&gt;Neoplasm Staging&lt;/keyword&gt;&lt;keyword&gt;Pleural Neoplasms/*drug therapy/mortality/pathology&lt;/keyword&gt;&lt;keyword&gt;Probability&lt;/keyword&gt;&lt;keyword&gt;Prognosis&lt;/keyword&gt;&lt;keyword&gt;Reference Values&lt;/keyword&gt;&lt;keyword&gt;Research Support, Non-U.S. Gov&amp;apos;t&lt;/keyword&gt;&lt;keyword&gt;Risk Assessment&lt;/keyword&gt;&lt;keyword&gt;Single-Blind Method&lt;/keyword&gt;&lt;keyword&gt;Survival Analysis&lt;/keyword&gt;&lt;keyword&gt;Treatment Outcome&lt;/keyword&gt;&lt;/keywords&gt;&lt;dates&gt;&lt;year&gt;2003&lt;/year&gt;&lt;pub-dates&gt;&lt;date&gt;Jul 15&lt;/date&gt;&lt;/pub-dates&gt;&lt;/dates&gt;&lt;isbn&gt;0732-183X (Print)&lt;/isbn&gt;&lt;accession-num&gt;12860938&lt;/accession-num&gt;&lt;urls&gt;&lt;related-urls&gt;&lt;url&gt;http://www.ncbi.nlm.nih.gov/entrez/query.fcgi?cmd=Retrieve&amp;amp;db=PubMed&amp;amp;dopt=Citation&amp;amp;list_uids=12860938 &lt;/url&gt;&lt;/related-urls&gt;&lt;/urls&gt;&lt;language&gt;eng&lt;/language&gt;&lt;/record&gt;&lt;/Cite&gt;&lt;/EndNote&gt;</w:instrText>
      </w:r>
      <w:r w:rsidR="003028FF" w:rsidRPr="006150DC">
        <w:rPr>
          <w:rFonts w:ascii="Arial" w:hAnsi="Arial" w:cs="Arial"/>
          <w:color w:val="000000"/>
          <w:sz w:val="22"/>
          <w:szCs w:val="22"/>
        </w:rPr>
        <w:fldChar w:fldCharType="separate"/>
      </w:r>
      <w:r w:rsidRPr="006150DC">
        <w:rPr>
          <w:rFonts w:ascii="Arial" w:hAnsi="Arial" w:cs="Arial"/>
          <w:color w:val="000000"/>
          <w:sz w:val="22"/>
          <w:szCs w:val="22"/>
        </w:rPr>
        <w:t>(</w:t>
      </w:r>
      <w:r w:rsidRPr="006150DC">
        <w:rPr>
          <w:rFonts w:ascii="Arial" w:hAnsi="Arial" w:cs="Arial"/>
          <w:sz w:val="22"/>
          <w:szCs w:val="22"/>
          <w:lang w:val="en-US"/>
        </w:rPr>
        <w:t>Vogelzang et al 2003</w:t>
      </w:r>
      <w:r w:rsidRPr="006150DC">
        <w:rPr>
          <w:rFonts w:ascii="Arial" w:hAnsi="Arial" w:cs="Arial"/>
          <w:color w:val="000000"/>
          <w:sz w:val="22"/>
          <w:szCs w:val="22"/>
        </w:rPr>
        <w:t>)</w:t>
      </w:r>
      <w:r w:rsidR="003028FF" w:rsidRPr="006150DC">
        <w:rPr>
          <w:rFonts w:ascii="Arial" w:hAnsi="Arial" w:cs="Arial"/>
          <w:color w:val="000000"/>
          <w:sz w:val="22"/>
          <w:szCs w:val="22"/>
        </w:rPr>
        <w:fldChar w:fldCharType="end"/>
      </w:r>
      <w:r w:rsidRPr="006150DC">
        <w:rPr>
          <w:rFonts w:ascii="Arial" w:hAnsi="Arial" w:cs="Arial"/>
          <w:color w:val="000000"/>
          <w:sz w:val="22"/>
          <w:szCs w:val="22"/>
        </w:rPr>
        <w:t xml:space="preserve"> or raltitrexed/cisplatin (8.8 </w:t>
      </w:r>
      <w:r w:rsidR="00796CDF" w:rsidRPr="006150DC">
        <w:rPr>
          <w:rFonts w:ascii="Arial" w:hAnsi="Arial" w:cs="Arial"/>
          <w:color w:val="000000"/>
          <w:sz w:val="22"/>
          <w:szCs w:val="22"/>
        </w:rPr>
        <w:t>vs.</w:t>
      </w:r>
      <w:r w:rsidRPr="006150DC">
        <w:rPr>
          <w:rFonts w:ascii="Arial" w:hAnsi="Arial" w:cs="Arial"/>
          <w:color w:val="000000"/>
          <w:sz w:val="22"/>
          <w:szCs w:val="22"/>
        </w:rPr>
        <w:t xml:space="preserve"> 11.4 months) (</w:t>
      </w:r>
      <w:r w:rsidR="003028FF" w:rsidRPr="006150DC">
        <w:rPr>
          <w:rFonts w:ascii="Arial" w:hAnsi="Arial" w:cs="Arial"/>
          <w:color w:val="000000"/>
          <w:sz w:val="22"/>
          <w:szCs w:val="22"/>
        </w:rPr>
        <w:fldChar w:fldCharType="begin"/>
      </w:r>
      <w:r w:rsidRPr="006150DC">
        <w:rPr>
          <w:rFonts w:ascii="Arial" w:hAnsi="Arial" w:cs="Arial"/>
          <w:color w:val="000000"/>
          <w:sz w:val="22"/>
          <w:szCs w:val="22"/>
        </w:rPr>
        <w:instrText xml:space="preserve"> ADDIN EN.CITE &lt;EndNote&gt;&lt;Cite&gt;&lt;Author&gt;van Meerbeeck&lt;/Author&gt;&lt;Year&gt;2005&lt;/Year&gt;&lt;RecNum&gt;9&lt;/RecNum&gt;&lt;record&gt;&lt;rec-number&gt;6&lt;/rec-number&gt;&lt;ref-type name="Journal Article"&gt;17&lt;/ref-type&gt;&lt;contributors&gt;&lt;authors&gt;&lt;author&gt;van Meerbeeck, J. P.&lt;/author&gt;&lt;author&gt;Gaafar, R.&lt;/author&gt;&lt;author&gt;Manegold, C.&lt;/author&gt;&lt;author&gt;Van Klaveren, R. J.&lt;/author&gt;&lt;author&gt;Van Marck, E. A.&lt;/author&gt;&lt;author&gt;Vincent, M.&lt;/author&gt;&lt;author&gt;Legrand, C.&lt;/author&gt;&lt;author&gt;Bottomley, A.&lt;/author&gt;&lt;author&gt;Debruyne, C.&lt;/author&gt;&lt;author&gt;Giaccone, G.&lt;/author&gt;&lt;/authors&gt;&lt;/contributors&gt;&lt;auth-address&gt;Thoracic Oncology Unit, University Hospital -7K12IE, De Pintelaan 185, B 9000 Ghent, Belgium. jan.vanmeerbeeck@ugent.be&lt;/auth-address&gt;&lt;titles&gt;&lt;title&gt;Randomized phase III study of cisplatin with or without raltitrexed in patients with malignant pleural mesothelioma: an intergroup study of the European Organisation for Research and Treatment of Cancer Lung Cancer Group and the National Cancer Institute of Canada&lt;/title&gt;&lt;secondary-title&gt;J Clin Oncol&lt;/secondary-title&gt;&lt;/titles&gt;&lt;periodical&gt;&lt;full-title&gt;J Clin Oncol&lt;/full-title&gt;&lt;/periodical&gt;&lt;pages&gt;6881-9&lt;/pages&gt;&lt;volume&gt;23&lt;/volume&gt;&lt;number&gt;28&lt;/number&gt;&lt;keywords&gt;&lt;keyword&gt;Adult&lt;/keyword&gt;&lt;keyword&gt;Aged&lt;/keyword&gt;&lt;keyword&gt;Antineoplastic Combined Chemotherapy Protocols/adverse&lt;/keyword&gt;&lt;keyword&gt;effects/*therapeutic use&lt;/keyword&gt;&lt;keyword&gt;Cisplatin/administration &amp;amp; dosage&lt;/keyword&gt;&lt;keyword&gt;Female&lt;/keyword&gt;&lt;keyword&gt;Humans&lt;/keyword&gt;&lt;keyword&gt;Infusions, Intravenous&lt;/keyword&gt;&lt;keyword&gt;Male&lt;/keyword&gt;&lt;keyword&gt;Mesothelioma/*drug therapy/pathology&lt;/keyword&gt;&lt;keyword&gt;Middle Aged&lt;/keyword&gt;&lt;keyword&gt;Neutropenia/chemically induced&lt;/keyword&gt;&lt;keyword&gt;Pleural Neoplasms/*drug therapy/pathology&lt;/keyword&gt;&lt;keyword&gt;Quinazolines/administration &amp;amp; dosage&lt;/keyword&gt;&lt;keyword&gt;Research Support, N.I.H., Extramural&lt;/keyword&gt;&lt;keyword&gt;Research Support, Non-U.S. Gov&amp;apos;t&lt;/keyword&gt;&lt;keyword&gt;Research Support, U.S. Gov&amp;apos;t, P.H.S.&lt;/keyword&gt;&lt;keyword&gt;Survival Analysis&lt;/keyword&gt;&lt;keyword&gt;Thiophenes/administration &amp;amp; dosage&lt;/keyword&gt;&lt;keyword&gt;Treatment Outcome&lt;/keyword&gt;&lt;keyword&gt;Vomiting/chemically induced&lt;/keyword&gt;&lt;/keywords&gt;&lt;dates&gt;&lt;year&gt;2005&lt;/year&gt;&lt;pub-dates&gt;&lt;date&gt;Oct 1&lt;/date&gt;&lt;/pub-dates&gt;&lt;/dates&gt;&lt;isbn&gt;0732-183X (Print)&lt;/isbn&gt;&lt;accession-num&gt;16192580&lt;/accession-num&gt;&lt;urls&gt;&lt;related-urls&gt;&lt;url&gt;http://www.ncbi.nlm.nih.gov/entrez/query.fcgi?cmd=Retrieve&amp;amp;db=PubMed&amp;amp;dopt=Citation&amp;amp;list_uids=16192580 &lt;/url&gt;&lt;/related-urls&gt;&lt;/urls&gt;&lt;language&gt;eng&lt;/language&gt;&lt;/record&gt;&lt;/Cite&gt;&lt;/EndNote&gt;</w:instrText>
      </w:r>
      <w:r w:rsidR="003028FF" w:rsidRPr="006150DC">
        <w:rPr>
          <w:rFonts w:ascii="Arial" w:hAnsi="Arial" w:cs="Arial"/>
          <w:color w:val="000000"/>
          <w:sz w:val="22"/>
          <w:szCs w:val="22"/>
        </w:rPr>
        <w:fldChar w:fldCharType="separate"/>
      </w:r>
      <w:r w:rsidRPr="006150DC">
        <w:rPr>
          <w:rFonts w:ascii="Arial" w:hAnsi="Arial" w:cs="Arial"/>
          <w:color w:val="000000"/>
          <w:sz w:val="22"/>
          <w:szCs w:val="22"/>
        </w:rPr>
        <w:t>van Meerbeck et al 2005)</w:t>
      </w:r>
      <w:r w:rsidR="003028FF" w:rsidRPr="006150DC">
        <w:rPr>
          <w:rFonts w:ascii="Arial" w:hAnsi="Arial" w:cs="Arial"/>
          <w:color w:val="000000"/>
          <w:sz w:val="22"/>
          <w:szCs w:val="22"/>
        </w:rPr>
        <w:fldChar w:fldCharType="end"/>
      </w:r>
      <w:r w:rsidRPr="006150DC">
        <w:rPr>
          <w:rFonts w:ascii="Arial" w:hAnsi="Arial" w:cs="Arial"/>
          <w:color w:val="000000"/>
          <w:sz w:val="22"/>
          <w:szCs w:val="22"/>
        </w:rPr>
        <w:t>. Pemetrexed/cisplatin has been now adopted as the standard of care in front-line mesothelioma, and therefore the control arm of choice in randomised clinical trials. The optimal timing of front line therapy has not been clearly defined. A randomised study comparing early versus delayed therapy failed to demonstrate a statistically significant difference in survival, however a trend to shorter survival was evident and concluded a potential benefit of early intervention</w:t>
      </w:r>
      <w:r w:rsidR="002A1DCC">
        <w:rPr>
          <w:rFonts w:ascii="Arial" w:hAnsi="Arial" w:cs="Arial"/>
          <w:color w:val="000000"/>
          <w:sz w:val="22"/>
          <w:szCs w:val="22"/>
        </w:rPr>
        <w:t xml:space="preserve"> (O’Brien et al 2006)</w:t>
      </w:r>
      <w:r w:rsidRPr="006150DC">
        <w:rPr>
          <w:rFonts w:ascii="Arial" w:hAnsi="Arial" w:cs="Arial"/>
          <w:color w:val="000000"/>
          <w:sz w:val="22"/>
          <w:szCs w:val="22"/>
        </w:rPr>
        <w:t>.</w:t>
      </w:r>
      <w:r w:rsidR="00F970D5">
        <w:rPr>
          <w:rFonts w:ascii="Arial" w:hAnsi="Arial" w:cs="Arial"/>
          <w:color w:val="000000"/>
          <w:sz w:val="22"/>
          <w:szCs w:val="22"/>
        </w:rPr>
        <w:t xml:space="preserve">                        </w:t>
      </w:r>
      <w:r w:rsidR="002A1DCC">
        <w:rPr>
          <w:rFonts w:ascii="Arial" w:hAnsi="Arial" w:cs="Arial"/>
          <w:color w:val="000000"/>
          <w:sz w:val="22"/>
          <w:szCs w:val="22"/>
        </w:rPr>
        <w:t xml:space="preserve">      </w:t>
      </w:r>
      <w:r w:rsidRPr="006150DC">
        <w:rPr>
          <w:rFonts w:ascii="Arial" w:hAnsi="Arial" w:cs="Arial"/>
          <w:color w:val="000000"/>
          <w:sz w:val="22"/>
          <w:szCs w:val="22"/>
        </w:rPr>
        <w:br/>
      </w:r>
    </w:p>
    <w:p w14:paraId="25C4C7F0" w14:textId="77777777" w:rsidR="00DA67E8" w:rsidRPr="006150DC" w:rsidRDefault="00DA67E8" w:rsidP="00507641">
      <w:pPr>
        <w:jc w:val="both"/>
        <w:rPr>
          <w:rFonts w:ascii="Arial" w:hAnsi="Arial" w:cs="Arial"/>
          <w:i/>
          <w:color w:val="000000"/>
          <w:sz w:val="22"/>
          <w:szCs w:val="22"/>
        </w:rPr>
      </w:pPr>
    </w:p>
    <w:p w14:paraId="0937100B" w14:textId="77777777" w:rsidR="00DA67E8" w:rsidRPr="006150DC" w:rsidRDefault="00DA67E8" w:rsidP="00507641">
      <w:pPr>
        <w:jc w:val="both"/>
        <w:rPr>
          <w:rFonts w:ascii="Arial" w:hAnsi="Arial" w:cs="Arial"/>
          <w:b/>
          <w:bCs/>
          <w:color w:val="000000"/>
          <w:sz w:val="22"/>
          <w:szCs w:val="22"/>
        </w:rPr>
      </w:pPr>
      <w:r w:rsidRPr="006150DC">
        <w:rPr>
          <w:rFonts w:ascii="Arial" w:hAnsi="Arial" w:cs="Arial"/>
          <w:b/>
          <w:bCs/>
          <w:color w:val="000000"/>
          <w:sz w:val="22"/>
          <w:szCs w:val="22"/>
        </w:rPr>
        <w:t>Apoptosis and Chemotherapy</w:t>
      </w:r>
    </w:p>
    <w:p w14:paraId="206F1EE9" w14:textId="77777777" w:rsidR="00DA67E8" w:rsidRDefault="00DA67E8" w:rsidP="00507641">
      <w:pPr>
        <w:jc w:val="both"/>
        <w:rPr>
          <w:rFonts w:ascii="Arial" w:hAnsi="Arial" w:cs="Arial"/>
          <w:color w:val="000000"/>
          <w:sz w:val="22"/>
          <w:szCs w:val="22"/>
        </w:rPr>
      </w:pPr>
      <w:r w:rsidRPr="006150DC">
        <w:rPr>
          <w:rFonts w:ascii="Arial" w:hAnsi="Arial" w:cs="Arial"/>
          <w:color w:val="000000"/>
          <w:sz w:val="22"/>
          <w:szCs w:val="22"/>
        </w:rPr>
        <w:t xml:space="preserve">Cytotoxic therapy relies in part on the induction of programmed cell death or apoptosis for efficacy. Anti-cancer activity is typically limited by intrinsic apoptosis resistance in incurable, metastatic solid tumours </w:t>
      </w:r>
      <w:r w:rsidR="003028FF" w:rsidRPr="006150DC">
        <w:rPr>
          <w:rFonts w:ascii="Arial" w:hAnsi="Arial" w:cs="Arial"/>
          <w:color w:val="000000"/>
          <w:sz w:val="22"/>
          <w:szCs w:val="22"/>
        </w:rPr>
        <w:fldChar w:fldCharType="begin"/>
      </w:r>
      <w:r w:rsidRPr="006150DC">
        <w:rPr>
          <w:rFonts w:ascii="Arial" w:hAnsi="Arial" w:cs="Arial"/>
          <w:color w:val="000000"/>
          <w:sz w:val="22"/>
          <w:szCs w:val="22"/>
        </w:rPr>
        <w:instrText xml:space="preserve"> ADDIN EN.CITE &lt;EndNote&gt;&lt;Cite&gt;&lt;Author&gt;Fennell&lt;/Author&gt;&lt;Year&gt;2004&lt;/Year&gt;&lt;RecNum&gt;23&lt;/RecNum&gt;&lt;record&gt;&lt;rec-number&gt;8&lt;/rec-number&gt;&lt;ref-type name="Journal Article"&gt;17&lt;/ref-type&gt;&lt;contributors&gt;&lt;authors&gt;&lt;author&gt;Fennell, DA &lt;/author&gt;&lt;author&gt;Evans, MT &lt;/author&gt;&lt;author&gt;Sheaff MT &lt;/author&gt;&lt;author&gt;Steele JPC&lt;/author&gt;&lt;author&gt;Shamash J&lt;/author&gt;&lt;author&gt;Rudd RM  &lt;/author&gt;&lt;/authors&gt;&lt;/contributors&gt;&lt;titles&gt;&lt;title&gt;Statistical Analysis Of The Interval Between Diagnosis And Chemotherapy In Malignant Pleural Mesothelioma  &lt;/title&gt;&lt;secondary-title&gt;IMIG Conference proceedings&lt;/secondary-title&gt;&lt;/titles&gt;&lt;periodical&gt;&lt;full-title&gt;IMIG Conference proceedings&lt;/full-title&gt;&lt;/periodical&gt;&lt;dates&gt;&lt;year&gt;2004&lt;/year&gt;&lt;/dates&gt;&lt;urls&gt;&lt;/urls&gt;&lt;/record&gt;&lt;/Cite&gt;&lt;/EndNote&gt;</w:instrText>
      </w:r>
      <w:r w:rsidR="003028FF" w:rsidRPr="006150DC">
        <w:rPr>
          <w:rFonts w:ascii="Arial" w:hAnsi="Arial" w:cs="Arial"/>
          <w:color w:val="000000"/>
          <w:sz w:val="22"/>
          <w:szCs w:val="22"/>
        </w:rPr>
        <w:fldChar w:fldCharType="separate"/>
      </w:r>
      <w:r w:rsidRPr="006150DC">
        <w:rPr>
          <w:rFonts w:ascii="Arial" w:hAnsi="Arial" w:cs="Arial"/>
          <w:color w:val="000000"/>
          <w:sz w:val="22"/>
          <w:szCs w:val="22"/>
        </w:rPr>
        <w:t>(Fennell et al 2004a)</w:t>
      </w:r>
      <w:r w:rsidR="003028FF" w:rsidRPr="006150DC">
        <w:rPr>
          <w:rFonts w:ascii="Arial" w:hAnsi="Arial" w:cs="Arial"/>
          <w:color w:val="000000"/>
          <w:sz w:val="22"/>
          <w:szCs w:val="22"/>
        </w:rPr>
        <w:fldChar w:fldCharType="end"/>
      </w:r>
      <w:r w:rsidRPr="006150DC">
        <w:rPr>
          <w:rFonts w:ascii="Arial" w:hAnsi="Arial" w:cs="Arial"/>
          <w:color w:val="000000"/>
          <w:sz w:val="22"/>
          <w:szCs w:val="22"/>
        </w:rPr>
        <w:t xml:space="preserve">. MPM typically exhibits significant insensitivity to induction of apoptosis, however the molecular basis of this phenotype has not been fully elucidated </w:t>
      </w:r>
      <w:r w:rsidR="003028FF" w:rsidRPr="006150DC">
        <w:rPr>
          <w:rFonts w:ascii="Arial" w:hAnsi="Arial" w:cs="Arial"/>
          <w:color w:val="000000"/>
          <w:sz w:val="22"/>
          <w:szCs w:val="22"/>
        </w:rPr>
        <w:fldChar w:fldCharType="begin"/>
      </w:r>
      <w:r w:rsidRPr="006150DC">
        <w:rPr>
          <w:rFonts w:ascii="Arial" w:hAnsi="Arial" w:cs="Arial"/>
          <w:color w:val="000000"/>
          <w:sz w:val="22"/>
          <w:szCs w:val="22"/>
        </w:rPr>
        <w:instrText xml:space="preserve"> ADDIN EN.CITE &lt;EndNote&gt;&lt;Cite&gt;&lt;Author&gt;Fennell&lt;/Author&gt;&lt;Year&gt;2004&lt;/Year&gt;&lt;RecNum&gt;36&lt;/RecNum&gt;&lt;record&gt;&lt;rec-number&gt;36&lt;/rec-number&gt;&lt;ref-type name="Journal Article"&gt;17&lt;/ref-type&gt;&lt;contributors&gt;&lt;authors&gt;&lt;author&gt;Fennell, D. A.&lt;/author&gt;&lt;author&gt;Rudd, R. M.&lt;/author&gt;&lt;/authors&gt;&lt;/contributors&gt;&lt;auth-address&gt;Department of Medical Oncology, Lung Cancer and Mesothelioma Research Group, St Bartholomew&amp;apos;s Hospital, West Smithfield, London, UK. d.a.fennell@qmul.ac.uk&lt;/auth-address&gt;&lt;titles&gt;&lt;title&gt;Defective core-apoptosis signalling in diffuse malignant pleural mesothelioma: opportunities for effective drug development&lt;/title&gt;&lt;secondary-title&gt;Lancet Oncol&lt;/secondary-title&gt;&lt;alt-title&gt;The lancet oncology&lt;/alt-title&gt;&lt;/titles&gt;&lt;periodical&gt;&lt;full-title&gt;Lancet Oncol&lt;/full-title&gt;&lt;abbr-1&gt;The lancet oncology&lt;/abbr-1&gt;&lt;/periodical&gt;&lt;alt-periodical&gt;&lt;full-title&gt;Lancet Oncol&lt;/full-title&gt;&lt;abbr-1&gt;The lancet oncology&lt;/abbr-1&gt;&lt;/alt-periodical&gt;&lt;pages&gt;354-62&lt;/pages&gt;&lt;volume&gt;5&lt;/volume&gt;&lt;number&gt;6&lt;/number&gt;&lt;keywords&gt;&lt;keyword&gt;Antineoplastic Agents/therapeutic use&lt;/keyword&gt;&lt;keyword&gt;Apoptosis/drug effects/*genetics&lt;/keyword&gt;&lt;keyword&gt;Biopsy, Needle&lt;/keyword&gt;&lt;keyword&gt;Down-Regulation&lt;/keyword&gt;&lt;keyword&gt;Female&lt;/keyword&gt;&lt;keyword&gt;Gene Expression Regulation, Neoplastic&lt;/keyword&gt;&lt;keyword&gt;Genes, bcl-2/*genetics&lt;/keyword&gt;&lt;keyword&gt;Humans&lt;/keyword&gt;&lt;keyword&gt;Immunohistochemistry&lt;/keyword&gt;&lt;keyword&gt;Male&lt;/keyword&gt;&lt;keyword&gt;Mesothelioma/*drug therapy/genetics/mortality/*pathology&lt;/keyword&gt;&lt;keyword&gt;Neoplasm Staging&lt;/keyword&gt;&lt;keyword&gt;Pleural Neoplasms/*drug therapy/genetics/mortality/*pathology&lt;/keyword&gt;&lt;keyword&gt;Prognosis&lt;/keyword&gt;&lt;keyword&gt;Risk Assessment&lt;/keyword&gt;&lt;keyword&gt;Signal Transduction&lt;/keyword&gt;&lt;keyword&gt;Survival Analysis&lt;/keyword&gt;&lt;keyword&gt;Tumor Cells, Cultured&lt;/keyword&gt;&lt;/keywords&gt;&lt;dates&gt;&lt;year&gt;2004&lt;/year&gt;&lt;pub-dates&gt;&lt;date&gt;Jun&lt;/date&gt;&lt;/pub-dates&gt;&lt;/dates&gt;&lt;isbn&gt;1470-2045 (Print)&amp;#xD;1470-2045 (Linking)&lt;/isbn&gt;&lt;accession-num&gt;15172356&lt;/accession-num&gt;&lt;urls&gt;&lt;related-urls&gt;&lt;url&gt;http://www.ncbi.nlm.nih.gov/entrez/query.fcgi?cmd=Retrieve&amp;amp;db=PubMed&amp;amp;dopt=Citation&amp;amp;list_uids=15172356 &lt;/url&gt;&lt;/related-urls&gt;&lt;/urls&gt;&lt;language&gt;eng&lt;/language&gt;&lt;/record&gt;&lt;/Cite&gt;&lt;/EndNote&gt;</w:instrText>
      </w:r>
      <w:r w:rsidR="003028FF" w:rsidRPr="006150DC">
        <w:rPr>
          <w:rFonts w:ascii="Arial" w:hAnsi="Arial" w:cs="Arial"/>
          <w:color w:val="000000"/>
          <w:sz w:val="22"/>
          <w:szCs w:val="22"/>
        </w:rPr>
        <w:fldChar w:fldCharType="separate"/>
      </w:r>
      <w:r w:rsidRPr="006150DC">
        <w:rPr>
          <w:rFonts w:ascii="Arial" w:hAnsi="Arial" w:cs="Arial"/>
          <w:color w:val="000000"/>
          <w:sz w:val="22"/>
          <w:szCs w:val="22"/>
        </w:rPr>
        <w:t>(Fennell et al 2004b)</w:t>
      </w:r>
      <w:r w:rsidR="003028FF" w:rsidRPr="006150DC">
        <w:rPr>
          <w:rFonts w:ascii="Arial" w:hAnsi="Arial" w:cs="Arial"/>
          <w:color w:val="000000"/>
          <w:sz w:val="22"/>
          <w:szCs w:val="22"/>
        </w:rPr>
        <w:fldChar w:fldCharType="end"/>
      </w:r>
      <w:r w:rsidRPr="006150DC">
        <w:rPr>
          <w:rFonts w:ascii="Arial" w:hAnsi="Arial" w:cs="Arial"/>
          <w:color w:val="000000"/>
          <w:sz w:val="22"/>
          <w:szCs w:val="22"/>
        </w:rPr>
        <w:t xml:space="preserve">. There is an urgent need for novel, active treatments for MPM. It is likely that conventional cytotoxic therapy alone has reached a therapeutic plateau as seen in non-small cell lung cancer </w:t>
      </w:r>
      <w:r w:rsidR="003028FF" w:rsidRPr="006150DC">
        <w:rPr>
          <w:rFonts w:ascii="Arial" w:hAnsi="Arial" w:cs="Arial"/>
          <w:color w:val="000000"/>
          <w:sz w:val="22"/>
          <w:szCs w:val="22"/>
        </w:rPr>
        <w:fldChar w:fldCharType="begin"/>
      </w:r>
      <w:r w:rsidRPr="006150DC">
        <w:rPr>
          <w:rFonts w:ascii="Arial" w:hAnsi="Arial" w:cs="Arial"/>
          <w:color w:val="000000"/>
          <w:sz w:val="22"/>
          <w:szCs w:val="22"/>
        </w:rPr>
        <w:instrText xml:space="preserve"> ADDIN EN.CITE &lt;EndNote&gt;&lt;Cite&gt;&lt;Author&gt;Fennell&lt;/Author&gt;&lt;Year&gt;2004&lt;/Year&gt;&lt;RecNum&gt;23&lt;/RecNum&gt;&lt;record&gt;&lt;rec-number&gt;8&lt;/rec-number&gt;&lt;ref-type name="Journal Article"&gt;17&lt;/ref-type&gt;&lt;contributors&gt;&lt;authors&gt;&lt;author&gt;Fennell, DA &lt;/author&gt;&lt;author&gt;Evans, MT &lt;/author&gt;&lt;author&gt;Sheaff MT &lt;/author&gt;&lt;author&gt;Steele JPC&lt;/author&gt;&lt;author&gt;Shamash J&lt;/author&gt;&lt;author&gt;Rudd RM  &lt;/author&gt;&lt;/authors&gt;&lt;/contributors&gt;&lt;titles&gt;&lt;title&gt;Statistical Analysis Of The Interval Between Diagnosis And Chemotherapy In Malignant Pleural Mesothelioma  &lt;/title&gt;&lt;secondary-title&gt;IMIG Conference proceedings&lt;/secondary-title&gt;&lt;/titles&gt;&lt;periodical&gt;&lt;full-title&gt;IMIG Conference proceedings&lt;/full-title&gt;&lt;/periodical&gt;&lt;dates&gt;&lt;year&gt;2004&lt;/year&gt;&lt;/dates&gt;&lt;urls&gt;&lt;/urls&gt;&lt;/record&gt;&lt;/Cite&gt;&lt;/EndNote&gt;</w:instrText>
      </w:r>
      <w:r w:rsidR="003028FF" w:rsidRPr="006150DC">
        <w:rPr>
          <w:rFonts w:ascii="Arial" w:hAnsi="Arial" w:cs="Arial"/>
          <w:color w:val="000000"/>
          <w:sz w:val="22"/>
          <w:szCs w:val="22"/>
        </w:rPr>
        <w:fldChar w:fldCharType="separate"/>
      </w:r>
      <w:r w:rsidRPr="006150DC">
        <w:rPr>
          <w:rFonts w:ascii="Arial" w:hAnsi="Arial" w:cs="Arial"/>
          <w:color w:val="000000"/>
          <w:sz w:val="22"/>
          <w:szCs w:val="22"/>
        </w:rPr>
        <w:t>(Fennell et al 2004a)</w:t>
      </w:r>
      <w:r w:rsidR="003028FF" w:rsidRPr="006150DC">
        <w:rPr>
          <w:rFonts w:ascii="Arial" w:hAnsi="Arial" w:cs="Arial"/>
          <w:color w:val="000000"/>
          <w:sz w:val="22"/>
          <w:szCs w:val="22"/>
        </w:rPr>
        <w:fldChar w:fldCharType="end"/>
      </w:r>
      <w:r w:rsidRPr="006150DC">
        <w:rPr>
          <w:rFonts w:ascii="Arial" w:hAnsi="Arial" w:cs="Arial"/>
          <w:color w:val="000000"/>
          <w:sz w:val="22"/>
          <w:szCs w:val="22"/>
        </w:rPr>
        <w:t>. Better understanding of MPM biology, coupled to targeted therapies selected rationally as opposed to empirically has the potential to improve the outlook of patients with this malignancy. However, the rapid evaluation of such promising compounds is essential.</w:t>
      </w:r>
      <w:bookmarkEnd w:id="67"/>
      <w:bookmarkEnd w:id="68"/>
    </w:p>
    <w:p w14:paraId="62018ADD" w14:textId="77777777" w:rsidR="00DA67E8" w:rsidRDefault="00DA67E8" w:rsidP="00507641">
      <w:pPr>
        <w:jc w:val="both"/>
        <w:rPr>
          <w:rFonts w:ascii="Arial" w:hAnsi="Arial" w:cs="Arial"/>
          <w:color w:val="000000"/>
          <w:sz w:val="22"/>
          <w:szCs w:val="22"/>
        </w:rPr>
      </w:pPr>
    </w:p>
    <w:p w14:paraId="70391F4B" w14:textId="77777777" w:rsidR="00DA67E8" w:rsidRDefault="00DA67E8" w:rsidP="00507641">
      <w:pPr>
        <w:jc w:val="both"/>
        <w:rPr>
          <w:rFonts w:ascii="Arial" w:hAnsi="Arial" w:cs="Arial"/>
          <w:b/>
          <w:color w:val="000000"/>
          <w:sz w:val="22"/>
          <w:szCs w:val="22"/>
        </w:rPr>
      </w:pPr>
    </w:p>
    <w:p w14:paraId="5A72665F" w14:textId="77777777" w:rsidR="00DA67E8" w:rsidRPr="00CD54D5" w:rsidRDefault="00DA67E8" w:rsidP="00507641">
      <w:pPr>
        <w:jc w:val="both"/>
        <w:rPr>
          <w:rFonts w:ascii="Arial" w:hAnsi="Arial" w:cs="Arial"/>
          <w:b/>
          <w:color w:val="000000"/>
          <w:sz w:val="22"/>
          <w:szCs w:val="22"/>
        </w:rPr>
      </w:pPr>
      <w:r w:rsidRPr="00CD54D5">
        <w:rPr>
          <w:rFonts w:ascii="Arial" w:hAnsi="Arial" w:cs="Arial"/>
          <w:b/>
          <w:color w:val="000000"/>
          <w:sz w:val="22"/>
          <w:szCs w:val="22"/>
        </w:rPr>
        <w:t>Targeting HSP90 as a strategy for treating mesothelioma</w:t>
      </w:r>
    </w:p>
    <w:p w14:paraId="71CE3A87" w14:textId="77777777" w:rsidR="00DA67E8" w:rsidRPr="00043BBA" w:rsidRDefault="00DA67E8" w:rsidP="00507641">
      <w:pPr>
        <w:jc w:val="both"/>
        <w:rPr>
          <w:rFonts w:ascii="Arial" w:hAnsi="Arial" w:cs="Arial"/>
          <w:sz w:val="22"/>
          <w:szCs w:val="22"/>
        </w:rPr>
      </w:pPr>
      <w:r w:rsidRPr="00043BBA">
        <w:rPr>
          <w:rFonts w:ascii="Arial" w:hAnsi="Arial" w:cs="Arial"/>
          <w:sz w:val="22"/>
          <w:szCs w:val="22"/>
        </w:rPr>
        <w:t>MPM is a very apoptosis resistant cancer, and this plays a significant factor in drug resistance (Mohiuddin et al 2002, Fennell 2011). In mesothelioma, anti-apoptotic survival signals are mediated predominantly through receptor tyrosine kinases (RTKs) which signal through the PI3K/AKT axis (</w:t>
      </w:r>
      <w:proofErr w:type="spellStart"/>
      <w:r w:rsidRPr="00043BBA">
        <w:rPr>
          <w:rFonts w:ascii="Arial" w:hAnsi="Arial" w:cs="Arial"/>
          <w:sz w:val="22"/>
          <w:szCs w:val="22"/>
        </w:rPr>
        <w:t>Altomare</w:t>
      </w:r>
      <w:proofErr w:type="spellEnd"/>
      <w:r w:rsidRPr="00043BBA">
        <w:rPr>
          <w:rFonts w:ascii="Arial" w:hAnsi="Arial" w:cs="Arial"/>
          <w:sz w:val="22"/>
          <w:szCs w:val="22"/>
        </w:rPr>
        <w:t xml:space="preserve"> et al 2005) and are critical for maintaining viability; these include MET (</w:t>
      </w:r>
      <w:proofErr w:type="spellStart"/>
      <w:r w:rsidRPr="00043BBA">
        <w:rPr>
          <w:rFonts w:ascii="Arial" w:hAnsi="Arial" w:cs="Arial"/>
          <w:sz w:val="22"/>
          <w:szCs w:val="22"/>
        </w:rPr>
        <w:t>Jagadeeswaran</w:t>
      </w:r>
      <w:proofErr w:type="spellEnd"/>
      <w:r w:rsidRPr="00043BBA">
        <w:rPr>
          <w:rFonts w:ascii="Arial" w:hAnsi="Arial" w:cs="Arial"/>
          <w:sz w:val="22"/>
          <w:szCs w:val="22"/>
        </w:rPr>
        <w:t xml:space="preserve"> et al 2006) and AXL (</w:t>
      </w:r>
      <w:proofErr w:type="spellStart"/>
      <w:r w:rsidRPr="00043BBA">
        <w:rPr>
          <w:rFonts w:ascii="Arial" w:hAnsi="Arial" w:cs="Arial"/>
          <w:sz w:val="22"/>
          <w:szCs w:val="22"/>
        </w:rPr>
        <w:t>Ou</w:t>
      </w:r>
      <w:proofErr w:type="spellEnd"/>
      <w:r w:rsidRPr="00043BBA">
        <w:rPr>
          <w:rFonts w:ascii="Arial" w:hAnsi="Arial" w:cs="Arial"/>
          <w:sz w:val="22"/>
          <w:szCs w:val="22"/>
        </w:rPr>
        <w:t xml:space="preserve"> et al 2011</w:t>
      </w:r>
      <w:r>
        <w:rPr>
          <w:rFonts w:ascii="Arial" w:hAnsi="Arial" w:cs="Arial"/>
          <w:sz w:val="22"/>
          <w:szCs w:val="22"/>
        </w:rPr>
        <w:t>a</w:t>
      </w:r>
      <w:r w:rsidRPr="00043BBA">
        <w:rPr>
          <w:rFonts w:ascii="Arial" w:hAnsi="Arial" w:cs="Arial"/>
          <w:sz w:val="22"/>
          <w:szCs w:val="22"/>
        </w:rPr>
        <w:t xml:space="preserve">).  Mesotheliomas are addicted to these growth factors, at least in preclinical models and simultaneous targeting of their </w:t>
      </w:r>
      <w:r w:rsidR="003220D2" w:rsidRPr="00043BBA">
        <w:rPr>
          <w:rFonts w:ascii="Arial" w:hAnsi="Arial" w:cs="Arial"/>
          <w:sz w:val="22"/>
          <w:szCs w:val="22"/>
        </w:rPr>
        <w:t>signalling</w:t>
      </w:r>
      <w:r w:rsidRPr="00043BBA">
        <w:rPr>
          <w:rFonts w:ascii="Arial" w:hAnsi="Arial" w:cs="Arial"/>
          <w:sz w:val="22"/>
          <w:szCs w:val="22"/>
        </w:rPr>
        <w:t xml:space="preserve"> pathways is a rational approach to treatment; this can be achieved through </w:t>
      </w:r>
      <w:proofErr w:type="spellStart"/>
      <w:r w:rsidRPr="00043BBA">
        <w:rPr>
          <w:rFonts w:ascii="Arial" w:hAnsi="Arial" w:cs="Arial"/>
          <w:sz w:val="22"/>
          <w:szCs w:val="22"/>
        </w:rPr>
        <w:t>heatshock</w:t>
      </w:r>
      <w:proofErr w:type="spellEnd"/>
      <w:r w:rsidRPr="00043BBA">
        <w:rPr>
          <w:rFonts w:ascii="Arial" w:hAnsi="Arial" w:cs="Arial"/>
          <w:sz w:val="22"/>
          <w:szCs w:val="22"/>
        </w:rPr>
        <w:t xml:space="preserve"> protein 90 (HSP90) inhibition (Workman et al 2004). HSP90 belongs to a class of molecular chaperone proteins that help modulate cellular responses to environmental stress </w:t>
      </w:r>
      <w:r w:rsidRPr="00043BBA">
        <w:rPr>
          <w:rFonts w:ascii="Arial" w:hAnsi="Arial" w:cs="Arial"/>
          <w:sz w:val="22"/>
          <w:szCs w:val="22"/>
          <w:lang w:eastAsia="en-GB"/>
        </w:rPr>
        <w:t>(Whitesell et al 2005)</w:t>
      </w:r>
      <w:r w:rsidRPr="00043BBA">
        <w:rPr>
          <w:rFonts w:ascii="Arial" w:hAnsi="Arial" w:cs="Arial"/>
          <w:sz w:val="22"/>
          <w:szCs w:val="22"/>
        </w:rPr>
        <w:t>.</w:t>
      </w:r>
    </w:p>
    <w:p w14:paraId="0FA83C17" w14:textId="77777777" w:rsidR="00DA67E8" w:rsidRPr="00043BBA" w:rsidRDefault="00DA67E8" w:rsidP="00507641">
      <w:pPr>
        <w:jc w:val="both"/>
        <w:rPr>
          <w:rFonts w:ascii="Arial" w:hAnsi="Arial" w:cs="Arial"/>
          <w:color w:val="000000"/>
          <w:sz w:val="22"/>
          <w:szCs w:val="22"/>
        </w:rPr>
      </w:pPr>
    </w:p>
    <w:p w14:paraId="4415F953" w14:textId="77777777" w:rsidR="00DA67E8" w:rsidRPr="00043BBA" w:rsidRDefault="00DA67E8" w:rsidP="00507641">
      <w:pPr>
        <w:jc w:val="both"/>
        <w:rPr>
          <w:rFonts w:ascii="Arial" w:hAnsi="Arial" w:cs="Arial"/>
          <w:sz w:val="22"/>
          <w:szCs w:val="22"/>
        </w:rPr>
      </w:pPr>
      <w:r w:rsidRPr="00043BBA">
        <w:rPr>
          <w:rFonts w:ascii="Arial" w:hAnsi="Arial" w:cs="Arial"/>
          <w:sz w:val="22"/>
          <w:szCs w:val="22"/>
        </w:rPr>
        <w:t>AKT protein in Mesothelioma is regulated by HSP90. Inhibition of HSP90 leads to dissociation of the client protein PDK1 and inhibition of AKT, a critical downstream kinase of PDK1 (</w:t>
      </w:r>
      <w:proofErr w:type="spellStart"/>
      <w:r w:rsidRPr="00043BBA">
        <w:rPr>
          <w:rFonts w:ascii="Arial" w:hAnsi="Arial" w:cs="Arial"/>
          <w:sz w:val="22"/>
          <w:szCs w:val="22"/>
        </w:rPr>
        <w:t>Pespeni</w:t>
      </w:r>
      <w:proofErr w:type="spellEnd"/>
      <w:r w:rsidRPr="00043BBA">
        <w:rPr>
          <w:rFonts w:ascii="Arial" w:hAnsi="Arial" w:cs="Arial"/>
          <w:sz w:val="22"/>
          <w:szCs w:val="22"/>
        </w:rPr>
        <w:t xml:space="preserve"> et al 2007). Accordingly, HSP90 inhibition has potential for efficiently inducing Mesothelioma apoptosis. Recent data has confirmed this, showing that HSP90 inhibition is effective against </w:t>
      </w:r>
      <w:r>
        <w:rPr>
          <w:rFonts w:ascii="Arial" w:hAnsi="Arial" w:cs="Arial"/>
          <w:sz w:val="22"/>
          <w:szCs w:val="22"/>
        </w:rPr>
        <w:t>m</w:t>
      </w:r>
      <w:r w:rsidRPr="00043BBA">
        <w:rPr>
          <w:rFonts w:ascii="Arial" w:hAnsi="Arial" w:cs="Arial"/>
          <w:sz w:val="22"/>
          <w:szCs w:val="22"/>
        </w:rPr>
        <w:t>esothelioma in preclinical model (</w:t>
      </w:r>
      <w:proofErr w:type="spellStart"/>
      <w:r w:rsidRPr="00043BBA">
        <w:rPr>
          <w:rFonts w:ascii="Arial" w:hAnsi="Arial" w:cs="Arial"/>
          <w:sz w:val="22"/>
          <w:szCs w:val="22"/>
        </w:rPr>
        <w:t>Ou</w:t>
      </w:r>
      <w:proofErr w:type="spellEnd"/>
      <w:r w:rsidRPr="00043BBA">
        <w:rPr>
          <w:rFonts w:ascii="Arial" w:hAnsi="Arial" w:cs="Arial"/>
          <w:sz w:val="22"/>
          <w:szCs w:val="22"/>
        </w:rPr>
        <w:t xml:space="preserve"> et al 2011</w:t>
      </w:r>
      <w:r>
        <w:rPr>
          <w:rFonts w:ascii="Arial" w:hAnsi="Arial" w:cs="Arial"/>
          <w:sz w:val="22"/>
          <w:szCs w:val="22"/>
        </w:rPr>
        <w:t>b</w:t>
      </w:r>
      <w:r w:rsidRPr="00043BBA">
        <w:rPr>
          <w:rFonts w:ascii="Arial" w:hAnsi="Arial" w:cs="Arial"/>
          <w:sz w:val="22"/>
          <w:szCs w:val="22"/>
        </w:rPr>
        <w:t xml:space="preserve">, Okamoto et al 2008). Furthermore, HSP90 inhibition suppresses </w:t>
      </w:r>
      <w:r w:rsidR="003220D2" w:rsidRPr="00043BBA">
        <w:rPr>
          <w:rFonts w:ascii="Arial" w:hAnsi="Arial" w:cs="Arial"/>
          <w:sz w:val="22"/>
          <w:szCs w:val="22"/>
        </w:rPr>
        <w:t>signalling</w:t>
      </w:r>
      <w:r w:rsidRPr="00043BBA">
        <w:rPr>
          <w:rFonts w:ascii="Arial" w:hAnsi="Arial" w:cs="Arial"/>
          <w:sz w:val="22"/>
          <w:szCs w:val="22"/>
        </w:rPr>
        <w:t xml:space="preserve"> via MET, as well as EGFR, ERBB3, AXL, EPHA7, and EPHB2 (</w:t>
      </w:r>
      <w:proofErr w:type="spellStart"/>
      <w:r w:rsidRPr="00043BBA">
        <w:rPr>
          <w:rFonts w:ascii="Arial" w:hAnsi="Arial" w:cs="Arial"/>
          <w:sz w:val="22"/>
          <w:szCs w:val="22"/>
        </w:rPr>
        <w:t>Ou</w:t>
      </w:r>
      <w:proofErr w:type="spellEnd"/>
      <w:r w:rsidRPr="00043BBA">
        <w:rPr>
          <w:rFonts w:ascii="Arial" w:hAnsi="Arial" w:cs="Arial"/>
          <w:sz w:val="22"/>
          <w:szCs w:val="22"/>
        </w:rPr>
        <w:t xml:space="preserve"> et al 2011</w:t>
      </w:r>
      <w:r>
        <w:rPr>
          <w:rFonts w:ascii="Arial" w:hAnsi="Arial" w:cs="Arial"/>
          <w:sz w:val="22"/>
          <w:szCs w:val="22"/>
        </w:rPr>
        <w:t>b</w:t>
      </w:r>
      <w:r w:rsidRPr="00043BBA">
        <w:rPr>
          <w:rFonts w:ascii="Arial" w:hAnsi="Arial" w:cs="Arial"/>
          <w:sz w:val="22"/>
          <w:szCs w:val="22"/>
        </w:rPr>
        <w:t>). This parallel targeting of growth factor signals, contributes to the preclinical activity in Mesothelioma cells (</w:t>
      </w:r>
      <w:proofErr w:type="spellStart"/>
      <w:r w:rsidRPr="00043BBA">
        <w:rPr>
          <w:rFonts w:ascii="Arial" w:hAnsi="Arial" w:cs="Arial"/>
          <w:sz w:val="22"/>
          <w:szCs w:val="22"/>
        </w:rPr>
        <w:t>Ou</w:t>
      </w:r>
      <w:proofErr w:type="spellEnd"/>
      <w:r w:rsidRPr="00043BBA">
        <w:rPr>
          <w:rFonts w:ascii="Arial" w:hAnsi="Arial" w:cs="Arial"/>
          <w:sz w:val="22"/>
          <w:szCs w:val="22"/>
        </w:rPr>
        <w:t xml:space="preserve"> et al 2011</w:t>
      </w:r>
      <w:r>
        <w:rPr>
          <w:rFonts w:ascii="Arial" w:hAnsi="Arial" w:cs="Arial"/>
          <w:sz w:val="22"/>
          <w:szCs w:val="22"/>
        </w:rPr>
        <w:t>b</w:t>
      </w:r>
      <w:r w:rsidRPr="00043BBA">
        <w:rPr>
          <w:rFonts w:ascii="Arial" w:hAnsi="Arial" w:cs="Arial"/>
          <w:sz w:val="22"/>
          <w:szCs w:val="22"/>
        </w:rPr>
        <w:t>).</w:t>
      </w:r>
    </w:p>
    <w:p w14:paraId="1A0ABD1F" w14:textId="77777777" w:rsidR="00DA67E8" w:rsidRPr="00043BBA" w:rsidRDefault="00DA67E8" w:rsidP="00507641">
      <w:pPr>
        <w:jc w:val="both"/>
        <w:rPr>
          <w:rFonts w:ascii="Arial" w:hAnsi="Arial" w:cs="Arial"/>
          <w:sz w:val="22"/>
          <w:szCs w:val="22"/>
        </w:rPr>
      </w:pPr>
    </w:p>
    <w:p w14:paraId="29060B2E" w14:textId="77777777" w:rsidR="00DA67E8" w:rsidRPr="00043BBA" w:rsidRDefault="00DA67E8" w:rsidP="00507641">
      <w:pPr>
        <w:jc w:val="both"/>
        <w:rPr>
          <w:rFonts w:ascii="Arial" w:hAnsi="Arial" w:cs="Arial"/>
          <w:sz w:val="22"/>
          <w:szCs w:val="22"/>
        </w:rPr>
      </w:pPr>
      <w:r w:rsidRPr="00043BBA">
        <w:rPr>
          <w:rFonts w:ascii="Arial" w:hAnsi="Arial" w:cs="Arial"/>
          <w:sz w:val="22"/>
          <w:szCs w:val="22"/>
        </w:rPr>
        <w:t xml:space="preserve">HSP90 inhibition results in destabilization of the client protein thymidylate synthase (TS) (Lee et al 2006). TS has been strongly implicated as a critical regulator of resistance to anti-folates including pemetrexed (Longley et al 2001, Wu et al 2010). Furthermore, inhibition of HSP90 </w:t>
      </w:r>
      <w:r w:rsidRPr="00043BBA">
        <w:rPr>
          <w:rFonts w:ascii="Arial" w:hAnsi="Arial" w:cs="Arial"/>
          <w:sz w:val="22"/>
          <w:szCs w:val="22"/>
        </w:rPr>
        <w:lastRenderedPageBreak/>
        <w:t xml:space="preserve">has been shown to synergize with cisplatin (Solar et al 2007). Based on available data from 400 patients treated, ganetespib appears to have a relatively safe profile as monotherapy and in combination. Critically, and based on its unique chemistry, ganetespib is the first potent but </w:t>
      </w:r>
      <w:r>
        <w:rPr>
          <w:rFonts w:ascii="Arial" w:hAnsi="Arial" w:cs="Arial"/>
          <w:sz w:val="22"/>
          <w:szCs w:val="22"/>
        </w:rPr>
        <w:t xml:space="preserve">well </w:t>
      </w:r>
      <w:r w:rsidR="003220D2">
        <w:rPr>
          <w:rFonts w:ascii="Arial" w:hAnsi="Arial" w:cs="Arial"/>
          <w:sz w:val="22"/>
          <w:szCs w:val="22"/>
        </w:rPr>
        <w:t xml:space="preserve">tolerated </w:t>
      </w:r>
      <w:r w:rsidR="003220D2" w:rsidRPr="00043BBA">
        <w:rPr>
          <w:rFonts w:ascii="Arial" w:hAnsi="Arial" w:cs="Arial"/>
          <w:sz w:val="22"/>
          <w:szCs w:val="22"/>
        </w:rPr>
        <w:t>HSP90</w:t>
      </w:r>
      <w:r w:rsidRPr="00043BBA">
        <w:rPr>
          <w:rFonts w:ascii="Arial" w:hAnsi="Arial" w:cs="Arial"/>
          <w:sz w:val="22"/>
          <w:szCs w:val="22"/>
        </w:rPr>
        <w:t>, that lacks the toxicity profile seen previously with other agents such as 17AAG (</w:t>
      </w:r>
      <w:proofErr w:type="spellStart"/>
      <w:r w:rsidRPr="00043BBA">
        <w:rPr>
          <w:rFonts w:ascii="Arial" w:hAnsi="Arial" w:cs="Arial"/>
          <w:sz w:val="22"/>
          <w:szCs w:val="22"/>
        </w:rPr>
        <w:t>Prioa</w:t>
      </w:r>
      <w:proofErr w:type="spellEnd"/>
      <w:r w:rsidRPr="00043BBA">
        <w:rPr>
          <w:rFonts w:ascii="Arial" w:hAnsi="Arial" w:cs="Arial"/>
          <w:sz w:val="22"/>
          <w:szCs w:val="22"/>
        </w:rPr>
        <w:t xml:space="preserve"> et al 2011, Bansal et al </w:t>
      </w:r>
      <w:r>
        <w:rPr>
          <w:rFonts w:ascii="Arial" w:hAnsi="Arial" w:cs="Arial"/>
          <w:sz w:val="22"/>
          <w:szCs w:val="22"/>
        </w:rPr>
        <w:t>2010</w:t>
      </w:r>
      <w:r w:rsidRPr="00043BBA">
        <w:rPr>
          <w:rFonts w:ascii="Arial" w:hAnsi="Arial" w:cs="Arial"/>
          <w:sz w:val="22"/>
          <w:szCs w:val="22"/>
        </w:rPr>
        <w:t xml:space="preserve">). </w:t>
      </w:r>
      <w:r>
        <w:rPr>
          <w:rFonts w:ascii="Arial" w:hAnsi="Arial" w:cs="Arial"/>
          <w:sz w:val="22"/>
          <w:szCs w:val="22"/>
        </w:rPr>
        <w:t>G</w:t>
      </w:r>
      <w:r w:rsidRPr="00043BBA">
        <w:rPr>
          <w:rFonts w:ascii="Arial" w:hAnsi="Arial" w:cs="Arial"/>
          <w:sz w:val="22"/>
          <w:szCs w:val="22"/>
        </w:rPr>
        <w:t xml:space="preserve">anetespib is expected to exhibit efficacy in mesothelioma by virtue of its activity on critical survival pathways in this cancer, and on the basis of known synergies with antifolates and platinum chemotherapy. This provides sound justification for its evaluation in mesothelioma. </w:t>
      </w:r>
    </w:p>
    <w:p w14:paraId="67E7B109" w14:textId="77777777" w:rsidR="00DA67E8" w:rsidRPr="00284440" w:rsidRDefault="00DA67E8" w:rsidP="00507641">
      <w:pPr>
        <w:spacing w:line="360" w:lineRule="auto"/>
        <w:jc w:val="both"/>
        <w:rPr>
          <w:rFonts w:cs="Arial"/>
          <w:i/>
          <w:sz w:val="20"/>
        </w:rPr>
      </w:pPr>
    </w:p>
    <w:p w14:paraId="3E7F917E" w14:textId="77777777" w:rsidR="00DA67E8" w:rsidRPr="00CD54D5" w:rsidRDefault="00DA67E8" w:rsidP="00507641">
      <w:pPr>
        <w:jc w:val="both"/>
        <w:rPr>
          <w:rFonts w:ascii="Arial" w:hAnsi="Arial" w:cs="Arial"/>
          <w:color w:val="000000"/>
          <w:sz w:val="22"/>
        </w:rPr>
      </w:pPr>
      <w:r w:rsidRPr="00CD54D5">
        <w:rPr>
          <w:rFonts w:ascii="Arial" w:hAnsi="Arial" w:cs="Arial"/>
          <w:color w:val="000000"/>
          <w:sz w:val="22"/>
        </w:rPr>
        <w:t xml:space="preserve">Receptor tyrosine kinases such as MET, AXL, EGFR, IGF1-R and ERBB3 are constitutively activated in subsets of </w:t>
      </w:r>
      <w:r>
        <w:rPr>
          <w:rFonts w:ascii="Arial" w:hAnsi="Arial" w:cs="Arial"/>
          <w:color w:val="000000"/>
          <w:sz w:val="22"/>
        </w:rPr>
        <w:t>m</w:t>
      </w:r>
      <w:r w:rsidRPr="00CD54D5">
        <w:rPr>
          <w:rFonts w:ascii="Arial" w:hAnsi="Arial" w:cs="Arial"/>
          <w:color w:val="000000"/>
          <w:sz w:val="22"/>
        </w:rPr>
        <w:t xml:space="preserve">esothelioma, and signal through the PI3 kinase and AKT. These signals appear to be essential for sustaining proliferation, and cell survival. PI3K and AKT are client proteins for </w:t>
      </w:r>
      <w:proofErr w:type="spellStart"/>
      <w:r>
        <w:rPr>
          <w:rFonts w:ascii="Arial" w:hAnsi="Arial" w:cs="Arial"/>
          <w:color w:val="000000"/>
          <w:sz w:val="22"/>
        </w:rPr>
        <w:t>heatshock</w:t>
      </w:r>
      <w:proofErr w:type="spellEnd"/>
      <w:r>
        <w:rPr>
          <w:rFonts w:ascii="Arial" w:hAnsi="Arial" w:cs="Arial"/>
          <w:color w:val="000000"/>
          <w:sz w:val="22"/>
        </w:rPr>
        <w:t xml:space="preserve"> protein 90 (HSP90). </w:t>
      </w:r>
      <w:r w:rsidRPr="00CD54D5">
        <w:rPr>
          <w:rFonts w:ascii="Arial" w:hAnsi="Arial" w:cs="Arial"/>
          <w:color w:val="000000"/>
          <w:sz w:val="22"/>
        </w:rPr>
        <w:t xml:space="preserve">Inhibition of HSP90 leads to a </w:t>
      </w:r>
      <w:r w:rsidR="002F113D" w:rsidRPr="00CD54D5">
        <w:rPr>
          <w:rFonts w:ascii="Arial" w:hAnsi="Arial" w:cs="Arial"/>
          <w:color w:val="000000"/>
          <w:sz w:val="22"/>
        </w:rPr>
        <w:t>down regulation</w:t>
      </w:r>
      <w:r w:rsidRPr="00CD54D5">
        <w:rPr>
          <w:rFonts w:ascii="Arial" w:hAnsi="Arial" w:cs="Arial"/>
          <w:color w:val="000000"/>
          <w:sz w:val="22"/>
        </w:rPr>
        <w:t xml:space="preserve"> of MET, EGFR, and AXL as well as suppression of activation signals downstream of RTKs in </w:t>
      </w:r>
      <w:r>
        <w:rPr>
          <w:rFonts w:ascii="Arial" w:hAnsi="Arial" w:cs="Arial"/>
          <w:color w:val="000000"/>
          <w:sz w:val="22"/>
        </w:rPr>
        <w:t>m</w:t>
      </w:r>
      <w:r w:rsidRPr="00CD54D5">
        <w:rPr>
          <w:rFonts w:ascii="Arial" w:hAnsi="Arial" w:cs="Arial"/>
          <w:color w:val="000000"/>
          <w:sz w:val="22"/>
        </w:rPr>
        <w:t>esothelioma, including inactivation of AKT and S6</w:t>
      </w:r>
      <w:r>
        <w:rPr>
          <w:rFonts w:ascii="Arial" w:hAnsi="Arial" w:cs="Arial"/>
          <w:color w:val="000000"/>
          <w:sz w:val="22"/>
        </w:rPr>
        <w:t xml:space="preserve"> (</w:t>
      </w:r>
      <w:proofErr w:type="spellStart"/>
      <w:r>
        <w:rPr>
          <w:rFonts w:ascii="Arial" w:hAnsi="Arial" w:cs="Arial"/>
          <w:color w:val="000000"/>
          <w:sz w:val="22"/>
        </w:rPr>
        <w:t>Ou</w:t>
      </w:r>
      <w:proofErr w:type="spellEnd"/>
      <w:r>
        <w:rPr>
          <w:rFonts w:ascii="Arial" w:hAnsi="Arial" w:cs="Arial"/>
          <w:color w:val="000000"/>
          <w:sz w:val="22"/>
        </w:rPr>
        <w:t xml:space="preserve"> et al 2011)</w:t>
      </w:r>
      <w:r w:rsidRPr="00CD54D5">
        <w:rPr>
          <w:rFonts w:ascii="Arial" w:hAnsi="Arial" w:cs="Arial"/>
          <w:color w:val="000000"/>
          <w:sz w:val="22"/>
        </w:rPr>
        <w:t xml:space="preserve">. This leads to induction of apoptosis and reduced proliferation in </w:t>
      </w:r>
      <w:r>
        <w:rPr>
          <w:rFonts w:ascii="Arial" w:hAnsi="Arial" w:cs="Arial"/>
          <w:color w:val="000000"/>
          <w:sz w:val="22"/>
        </w:rPr>
        <w:t>m</w:t>
      </w:r>
      <w:r w:rsidRPr="00CD54D5">
        <w:rPr>
          <w:rFonts w:ascii="Arial" w:hAnsi="Arial" w:cs="Arial"/>
          <w:color w:val="000000"/>
          <w:sz w:val="22"/>
        </w:rPr>
        <w:t>esothelioma cells.</w:t>
      </w:r>
    </w:p>
    <w:p w14:paraId="3EFD65D7" w14:textId="77777777" w:rsidR="00DA67E8" w:rsidRPr="00CD54D5" w:rsidRDefault="00DA67E8" w:rsidP="00507641">
      <w:pPr>
        <w:jc w:val="both"/>
        <w:rPr>
          <w:rFonts w:ascii="Arial" w:hAnsi="Arial" w:cs="Arial"/>
          <w:color w:val="000000"/>
          <w:sz w:val="22"/>
        </w:rPr>
      </w:pPr>
    </w:p>
    <w:p w14:paraId="1A38C57F" w14:textId="77777777" w:rsidR="00DA67E8" w:rsidRPr="00BC3474" w:rsidRDefault="00DA67E8" w:rsidP="00507641">
      <w:pPr>
        <w:jc w:val="both"/>
        <w:rPr>
          <w:rFonts w:ascii="Arial" w:hAnsi="Arial" w:cs="Arial"/>
          <w:b/>
          <w:color w:val="000000"/>
          <w:sz w:val="22"/>
        </w:rPr>
      </w:pPr>
      <w:bookmarkStart w:id="69" w:name="_Toc333484716"/>
      <w:bookmarkStart w:id="70" w:name="_Toc333484831"/>
      <w:bookmarkStart w:id="71" w:name="_Toc351624785"/>
      <w:r w:rsidRPr="00BC3474">
        <w:rPr>
          <w:rFonts w:ascii="Arial" w:hAnsi="Arial" w:cs="Arial"/>
          <w:b/>
          <w:color w:val="000000"/>
          <w:sz w:val="22"/>
        </w:rPr>
        <w:t>Ganetespib</w:t>
      </w:r>
      <w:bookmarkEnd w:id="69"/>
      <w:bookmarkEnd w:id="70"/>
      <w:bookmarkEnd w:id="71"/>
      <w:r w:rsidR="00BC3474" w:rsidRPr="00BC3474">
        <w:rPr>
          <w:rFonts w:ascii="Arial" w:hAnsi="Arial" w:cs="Arial"/>
          <w:b/>
          <w:color w:val="000000"/>
          <w:sz w:val="22"/>
        </w:rPr>
        <w:t xml:space="preserve"> - </w:t>
      </w:r>
      <w:r w:rsidRPr="00CD54D5">
        <w:rPr>
          <w:rFonts w:ascii="Arial" w:hAnsi="Arial" w:cs="Arial"/>
          <w:b/>
          <w:color w:val="000000"/>
          <w:sz w:val="22"/>
        </w:rPr>
        <w:t>Pharmacology</w:t>
      </w:r>
    </w:p>
    <w:p w14:paraId="0EFD4B31" w14:textId="77777777" w:rsidR="00DA67E8" w:rsidRPr="00CD54D5" w:rsidRDefault="00DA67E8" w:rsidP="00507641">
      <w:pPr>
        <w:jc w:val="both"/>
        <w:rPr>
          <w:rFonts w:ascii="Arial" w:hAnsi="Arial" w:cs="Arial"/>
          <w:color w:val="000000"/>
          <w:sz w:val="22"/>
        </w:rPr>
      </w:pPr>
      <w:proofErr w:type="spellStart"/>
      <w:r w:rsidRPr="000C2D70">
        <w:rPr>
          <w:rFonts w:ascii="Arial" w:hAnsi="Arial" w:cs="Arial"/>
          <w:color w:val="000000"/>
          <w:sz w:val="22"/>
          <w:szCs w:val="22"/>
        </w:rPr>
        <w:t>Ganetespib</w:t>
      </w:r>
      <w:proofErr w:type="spellEnd"/>
      <w:r w:rsidRPr="000C2D70">
        <w:rPr>
          <w:rFonts w:ascii="Arial" w:hAnsi="Arial" w:cs="Arial"/>
          <w:color w:val="000000"/>
          <w:sz w:val="22"/>
          <w:szCs w:val="22"/>
        </w:rPr>
        <w:t>, 5-[2</w:t>
      </w:r>
      <w:r w:rsidR="003220D2" w:rsidRPr="000C2D70">
        <w:rPr>
          <w:rFonts w:ascii="Arial" w:hAnsi="Arial" w:cs="Arial"/>
          <w:color w:val="000000"/>
          <w:sz w:val="22"/>
          <w:szCs w:val="22"/>
        </w:rPr>
        <w:t>, 4</w:t>
      </w:r>
      <w:r w:rsidRPr="000C2D70">
        <w:rPr>
          <w:rFonts w:ascii="Arial" w:hAnsi="Arial" w:cs="Arial"/>
          <w:color w:val="000000"/>
          <w:sz w:val="22"/>
          <w:szCs w:val="22"/>
        </w:rPr>
        <w:t xml:space="preserve">-dihydroxy-5-(1 </w:t>
      </w:r>
      <w:proofErr w:type="spellStart"/>
      <w:r w:rsidRPr="000C2D70">
        <w:rPr>
          <w:rFonts w:ascii="Arial" w:hAnsi="Arial" w:cs="Arial"/>
          <w:color w:val="000000"/>
          <w:sz w:val="22"/>
          <w:szCs w:val="22"/>
        </w:rPr>
        <w:t>methylethyl</w:t>
      </w:r>
      <w:proofErr w:type="spellEnd"/>
      <w:r w:rsidR="003220D2" w:rsidRPr="000C2D70">
        <w:rPr>
          <w:rFonts w:ascii="Arial" w:hAnsi="Arial" w:cs="Arial"/>
          <w:color w:val="000000"/>
          <w:sz w:val="22"/>
          <w:szCs w:val="22"/>
        </w:rPr>
        <w:t>) phenyl</w:t>
      </w:r>
      <w:r w:rsidRPr="000C2D70">
        <w:rPr>
          <w:rFonts w:ascii="Arial" w:hAnsi="Arial" w:cs="Arial"/>
          <w:color w:val="000000"/>
          <w:sz w:val="22"/>
          <w:szCs w:val="22"/>
        </w:rPr>
        <w:t>]-2</w:t>
      </w:r>
      <w:r w:rsidR="003220D2" w:rsidRPr="000C2D70">
        <w:rPr>
          <w:rFonts w:ascii="Arial" w:hAnsi="Arial" w:cs="Arial"/>
          <w:color w:val="000000"/>
          <w:sz w:val="22"/>
          <w:szCs w:val="22"/>
        </w:rPr>
        <w:t>, 4</w:t>
      </w:r>
      <w:r w:rsidRPr="000C2D70">
        <w:rPr>
          <w:rFonts w:ascii="Arial" w:hAnsi="Arial" w:cs="Arial"/>
          <w:color w:val="000000"/>
          <w:sz w:val="22"/>
          <w:szCs w:val="22"/>
        </w:rPr>
        <w:t xml:space="preserve"> dihydro-4-(1-methyl-1H indol-5 </w:t>
      </w:r>
      <w:proofErr w:type="spellStart"/>
      <w:r w:rsidRPr="000C2D70">
        <w:rPr>
          <w:rFonts w:ascii="Arial" w:hAnsi="Arial" w:cs="Arial"/>
          <w:color w:val="000000"/>
          <w:sz w:val="22"/>
          <w:szCs w:val="22"/>
        </w:rPr>
        <w:t>yl</w:t>
      </w:r>
      <w:proofErr w:type="spellEnd"/>
      <w:r w:rsidRPr="000C2D70">
        <w:rPr>
          <w:rFonts w:ascii="Arial" w:hAnsi="Arial" w:cs="Arial"/>
          <w:color w:val="000000"/>
          <w:sz w:val="22"/>
          <w:szCs w:val="22"/>
        </w:rPr>
        <w:t>)-</w:t>
      </w:r>
      <w:r w:rsidRPr="00CD54D5">
        <w:rPr>
          <w:rFonts w:ascii="Arial" w:hAnsi="Arial" w:cs="Arial"/>
          <w:color w:val="000000"/>
          <w:sz w:val="22"/>
        </w:rPr>
        <w:t>3H-1</w:t>
      </w:r>
      <w:r w:rsidR="003220D2" w:rsidRPr="00CD54D5">
        <w:rPr>
          <w:rFonts w:ascii="Arial" w:hAnsi="Arial" w:cs="Arial"/>
          <w:color w:val="000000"/>
          <w:sz w:val="22"/>
        </w:rPr>
        <w:t>, 2, 4</w:t>
      </w:r>
      <w:r w:rsidRPr="00CD54D5">
        <w:rPr>
          <w:rFonts w:ascii="Arial" w:hAnsi="Arial" w:cs="Arial"/>
          <w:color w:val="000000"/>
          <w:sz w:val="22"/>
        </w:rPr>
        <w:t xml:space="preserve"> triazole-3-one, is a novel triazolone heterocyclic compound.  It is a synthetic small molecule that binds to the ATP pocket in the N-terminus of Hsp90 and demonstrates significant activity for down-regulating Hsp90 client protein levels.  This ability to impact a broad array of important oncogenes and cell </w:t>
      </w:r>
      <w:r w:rsidR="003220D2" w:rsidRPr="00CD54D5">
        <w:rPr>
          <w:rFonts w:ascii="Arial" w:hAnsi="Arial" w:cs="Arial"/>
          <w:color w:val="000000"/>
          <w:sz w:val="22"/>
        </w:rPr>
        <w:t>signalling</w:t>
      </w:r>
      <w:r w:rsidRPr="00CD54D5">
        <w:rPr>
          <w:rFonts w:ascii="Arial" w:hAnsi="Arial" w:cs="Arial"/>
          <w:color w:val="000000"/>
          <w:sz w:val="22"/>
        </w:rPr>
        <w:t xml:space="preserve"> kinases is reflected in </w:t>
      </w:r>
      <w:proofErr w:type="spellStart"/>
      <w:r w:rsidRPr="00CD54D5">
        <w:rPr>
          <w:rFonts w:ascii="Arial" w:hAnsi="Arial" w:cs="Arial"/>
          <w:color w:val="000000"/>
          <w:sz w:val="22"/>
        </w:rPr>
        <w:t>ganetespib’s</w:t>
      </w:r>
      <w:proofErr w:type="spellEnd"/>
      <w:r w:rsidRPr="00CD54D5">
        <w:rPr>
          <w:rFonts w:ascii="Arial" w:hAnsi="Arial" w:cs="Arial"/>
          <w:color w:val="000000"/>
          <w:sz w:val="22"/>
        </w:rPr>
        <w:t xml:space="preserve"> activity across a wide variety of </w:t>
      </w:r>
      <w:r w:rsidR="003220D2" w:rsidRPr="00CD54D5">
        <w:rPr>
          <w:rFonts w:ascii="Arial" w:hAnsi="Arial" w:cs="Arial"/>
          <w:color w:val="000000"/>
          <w:sz w:val="22"/>
        </w:rPr>
        <w:t>tumour</w:t>
      </w:r>
      <w:r w:rsidRPr="00CD54D5">
        <w:rPr>
          <w:rFonts w:ascii="Arial" w:hAnsi="Arial" w:cs="Arial"/>
          <w:color w:val="000000"/>
          <w:sz w:val="22"/>
        </w:rPr>
        <w:t xml:space="preserve"> cell types. </w:t>
      </w:r>
    </w:p>
    <w:p w14:paraId="263A572B" w14:textId="77777777" w:rsidR="00DA67E8" w:rsidRPr="00CD54D5" w:rsidRDefault="00DA67E8" w:rsidP="00507641">
      <w:pPr>
        <w:jc w:val="both"/>
        <w:rPr>
          <w:rFonts w:ascii="Arial" w:hAnsi="Arial" w:cs="Arial"/>
          <w:color w:val="000000"/>
          <w:sz w:val="22"/>
        </w:rPr>
      </w:pPr>
    </w:p>
    <w:p w14:paraId="272EC139" w14:textId="77777777" w:rsidR="00DA67E8" w:rsidRPr="00CD54D5" w:rsidRDefault="00DA67E8" w:rsidP="00507641">
      <w:pPr>
        <w:jc w:val="both"/>
        <w:rPr>
          <w:rFonts w:ascii="Arial" w:hAnsi="Arial" w:cs="Arial"/>
          <w:color w:val="000000"/>
          <w:sz w:val="22"/>
        </w:rPr>
      </w:pPr>
      <w:r w:rsidRPr="00CD54D5">
        <w:rPr>
          <w:rFonts w:ascii="Arial" w:hAnsi="Arial" w:cs="Arial"/>
          <w:color w:val="000000"/>
          <w:sz w:val="22"/>
        </w:rPr>
        <w:t xml:space="preserve">Solid </w:t>
      </w:r>
      <w:r w:rsidR="002F113D" w:rsidRPr="00CD54D5">
        <w:rPr>
          <w:rFonts w:ascii="Arial" w:hAnsi="Arial" w:cs="Arial"/>
          <w:color w:val="000000"/>
          <w:sz w:val="22"/>
        </w:rPr>
        <w:t>tumours</w:t>
      </w:r>
      <w:r w:rsidRPr="00CD54D5">
        <w:rPr>
          <w:rFonts w:ascii="Arial" w:hAnsi="Arial" w:cs="Arial"/>
          <w:color w:val="000000"/>
          <w:sz w:val="22"/>
        </w:rPr>
        <w:t xml:space="preserve"> typically exhibit regions of poor oxygen suppl</w:t>
      </w:r>
      <w:r w:rsidR="003220D2">
        <w:rPr>
          <w:rFonts w:ascii="Arial" w:hAnsi="Arial" w:cs="Arial"/>
          <w:color w:val="000000"/>
          <w:sz w:val="22"/>
        </w:rPr>
        <w:t>y, or hypoxia, due to disorganis</w:t>
      </w:r>
      <w:r w:rsidRPr="00CD54D5">
        <w:rPr>
          <w:rFonts w:ascii="Arial" w:hAnsi="Arial" w:cs="Arial"/>
          <w:color w:val="000000"/>
          <w:sz w:val="22"/>
        </w:rPr>
        <w:t xml:space="preserve">ed </w:t>
      </w:r>
      <w:r w:rsidR="003220D2" w:rsidRPr="00CD54D5">
        <w:rPr>
          <w:rFonts w:ascii="Arial" w:hAnsi="Arial" w:cs="Arial"/>
          <w:color w:val="000000"/>
          <w:sz w:val="22"/>
        </w:rPr>
        <w:t>tumour</w:t>
      </w:r>
      <w:r w:rsidRPr="00CD54D5">
        <w:rPr>
          <w:rFonts w:ascii="Arial" w:hAnsi="Arial" w:cs="Arial"/>
          <w:color w:val="000000"/>
          <w:sz w:val="22"/>
        </w:rPr>
        <w:t xml:space="preserve"> microvasculature limiting the efficient circulation of blood within the tissue.  The hypoxia-inducible transcription factor 1α (HIF1A) is activated by low oxygen conditions and is found in</w:t>
      </w:r>
      <w:r w:rsidR="002F113D">
        <w:rPr>
          <w:rFonts w:ascii="Arial" w:hAnsi="Arial" w:cs="Arial"/>
          <w:color w:val="000000"/>
          <w:sz w:val="22"/>
        </w:rPr>
        <w:t xml:space="preserve"> </w:t>
      </w:r>
      <w:r w:rsidRPr="00CD54D5">
        <w:rPr>
          <w:rFonts w:ascii="Arial" w:hAnsi="Arial" w:cs="Arial"/>
          <w:color w:val="000000"/>
          <w:sz w:val="22"/>
        </w:rPr>
        <w:t xml:space="preserve">high levels in malignant </w:t>
      </w:r>
      <w:r w:rsidR="002F113D" w:rsidRPr="00CD54D5">
        <w:rPr>
          <w:rFonts w:ascii="Arial" w:hAnsi="Arial" w:cs="Arial"/>
          <w:color w:val="000000"/>
          <w:sz w:val="22"/>
        </w:rPr>
        <w:t>tumours</w:t>
      </w:r>
      <w:r w:rsidRPr="00CD54D5">
        <w:rPr>
          <w:rFonts w:ascii="Arial" w:hAnsi="Arial" w:cs="Arial"/>
          <w:color w:val="000000"/>
          <w:sz w:val="22"/>
        </w:rPr>
        <w:t xml:space="preserve"> but not in normal tissues. HIF1A is a known client protein of Hsp90 and both its basal and induced levels are potently down-regulated by in vitro ganetespib </w:t>
      </w:r>
      <w:r w:rsidR="002F113D">
        <w:rPr>
          <w:rFonts w:ascii="Arial" w:hAnsi="Arial" w:cs="Arial"/>
          <w:color w:val="000000"/>
          <w:sz w:val="22"/>
        </w:rPr>
        <w:t>treatment.  Further, in in-</w:t>
      </w:r>
      <w:r w:rsidRPr="00CD54D5">
        <w:rPr>
          <w:rFonts w:ascii="Arial" w:hAnsi="Arial" w:cs="Arial"/>
          <w:color w:val="000000"/>
          <w:sz w:val="22"/>
        </w:rPr>
        <w:t xml:space="preserve">vivo mouse models, ganetespib was shown to penetrate deeply into hypoxic regions of the </w:t>
      </w:r>
      <w:r w:rsidR="002F113D" w:rsidRPr="00CD54D5">
        <w:rPr>
          <w:rFonts w:ascii="Arial" w:hAnsi="Arial" w:cs="Arial"/>
          <w:color w:val="000000"/>
          <w:sz w:val="22"/>
        </w:rPr>
        <w:t>tumours</w:t>
      </w:r>
      <w:r w:rsidRPr="00CD54D5">
        <w:rPr>
          <w:rFonts w:ascii="Arial" w:hAnsi="Arial" w:cs="Arial"/>
          <w:color w:val="000000"/>
          <w:sz w:val="22"/>
        </w:rPr>
        <w:t xml:space="preserve"> far from the nearest vessels and induce apoptosis</w:t>
      </w:r>
      <w:r w:rsidR="003220D2" w:rsidRPr="00CD54D5">
        <w:rPr>
          <w:rFonts w:ascii="Arial" w:hAnsi="Arial" w:cs="Arial"/>
          <w:color w:val="000000"/>
          <w:sz w:val="22"/>
        </w:rPr>
        <w:t>. (</w:t>
      </w:r>
      <w:r w:rsidRPr="00CD54D5">
        <w:rPr>
          <w:rFonts w:ascii="Arial" w:hAnsi="Arial" w:cs="Arial"/>
          <w:color w:val="000000"/>
          <w:sz w:val="22"/>
        </w:rPr>
        <w:t xml:space="preserve">15) </w:t>
      </w:r>
    </w:p>
    <w:p w14:paraId="47B76ED0" w14:textId="77777777" w:rsidR="00DA67E8" w:rsidRPr="00CD54D5" w:rsidRDefault="00DA67E8" w:rsidP="00507641">
      <w:pPr>
        <w:jc w:val="both"/>
        <w:rPr>
          <w:rFonts w:ascii="Arial" w:hAnsi="Arial" w:cs="Arial"/>
          <w:color w:val="000000"/>
          <w:sz w:val="22"/>
        </w:rPr>
      </w:pPr>
    </w:p>
    <w:p w14:paraId="632309DC" w14:textId="77777777" w:rsidR="00DA67E8" w:rsidRPr="00CD54D5" w:rsidRDefault="00DA67E8" w:rsidP="00507641">
      <w:pPr>
        <w:jc w:val="both"/>
        <w:rPr>
          <w:rFonts w:ascii="Arial" w:hAnsi="Arial" w:cs="Arial"/>
          <w:b/>
          <w:color w:val="000000"/>
          <w:sz w:val="22"/>
        </w:rPr>
      </w:pPr>
      <w:r w:rsidRPr="00CD54D5">
        <w:rPr>
          <w:rFonts w:ascii="Arial" w:hAnsi="Arial" w:cs="Arial"/>
          <w:b/>
          <w:color w:val="000000"/>
          <w:sz w:val="22"/>
        </w:rPr>
        <w:t xml:space="preserve">Clinical Experience </w:t>
      </w:r>
    </w:p>
    <w:p w14:paraId="523E3721" w14:textId="3DF8CE34" w:rsidR="00461FD2" w:rsidRPr="006836FD" w:rsidRDefault="00461FD2" w:rsidP="00114DD8">
      <w:pPr>
        <w:jc w:val="both"/>
        <w:rPr>
          <w:rFonts w:ascii="Arial" w:hAnsi="Arial" w:cs="Arial"/>
          <w:sz w:val="22"/>
          <w:szCs w:val="22"/>
        </w:rPr>
      </w:pPr>
      <w:r w:rsidRPr="006836FD">
        <w:rPr>
          <w:rFonts w:ascii="Arial" w:hAnsi="Arial" w:cs="Arial"/>
          <w:sz w:val="22"/>
          <w:szCs w:val="22"/>
        </w:rPr>
        <w:t>As of 2</w:t>
      </w:r>
      <w:r w:rsidR="0042764C">
        <w:rPr>
          <w:rFonts w:ascii="Arial" w:hAnsi="Arial" w:cs="Arial"/>
          <w:sz w:val="22"/>
          <w:szCs w:val="22"/>
        </w:rPr>
        <w:t>1</w:t>
      </w:r>
      <w:r w:rsidRPr="006836FD">
        <w:rPr>
          <w:rFonts w:ascii="Arial" w:hAnsi="Arial" w:cs="Arial"/>
          <w:sz w:val="22"/>
          <w:szCs w:val="22"/>
        </w:rPr>
        <w:t xml:space="preserve"> September 201</w:t>
      </w:r>
      <w:r w:rsidR="0042764C">
        <w:rPr>
          <w:rFonts w:ascii="Arial" w:hAnsi="Arial" w:cs="Arial"/>
          <w:sz w:val="22"/>
          <w:szCs w:val="22"/>
        </w:rPr>
        <w:t>5</w:t>
      </w:r>
      <w:r w:rsidRPr="006836FD">
        <w:rPr>
          <w:rFonts w:ascii="Arial" w:hAnsi="Arial" w:cs="Arial"/>
          <w:sz w:val="22"/>
          <w:szCs w:val="22"/>
        </w:rPr>
        <w:t xml:space="preserve">, </w:t>
      </w:r>
      <w:r w:rsidR="00114DD8" w:rsidRPr="00114DD8">
        <w:rPr>
          <w:rFonts w:ascii="Arial" w:hAnsi="Arial" w:cs="Arial"/>
          <w:sz w:val="22"/>
          <w:szCs w:val="22"/>
        </w:rPr>
        <w:t>1,</w:t>
      </w:r>
      <w:r w:rsidR="0042764C">
        <w:rPr>
          <w:rFonts w:ascii="Arial" w:hAnsi="Arial" w:cs="Arial"/>
          <w:sz w:val="22"/>
          <w:szCs w:val="22"/>
        </w:rPr>
        <w:t>524</w:t>
      </w:r>
      <w:r w:rsidR="00114DD8" w:rsidRPr="00114DD8">
        <w:rPr>
          <w:rFonts w:ascii="Arial" w:hAnsi="Arial" w:cs="Arial"/>
          <w:sz w:val="22"/>
          <w:szCs w:val="22"/>
        </w:rPr>
        <w:t xml:space="preserve"> </w:t>
      </w:r>
      <w:r w:rsidRPr="006836FD">
        <w:rPr>
          <w:rFonts w:ascii="Arial" w:hAnsi="Arial" w:cs="Arial"/>
          <w:sz w:val="22"/>
          <w:szCs w:val="22"/>
        </w:rPr>
        <w:t xml:space="preserve">individuals </w:t>
      </w:r>
      <w:r w:rsidR="00114DD8" w:rsidRPr="00114DD8">
        <w:rPr>
          <w:rFonts w:ascii="Arial" w:hAnsi="Arial" w:cs="Arial"/>
          <w:sz w:val="22"/>
          <w:szCs w:val="22"/>
        </w:rPr>
        <w:t xml:space="preserve">(patients and normal, healthy volunteers) </w:t>
      </w:r>
      <w:r w:rsidRPr="006836FD">
        <w:rPr>
          <w:rFonts w:ascii="Arial" w:hAnsi="Arial" w:cs="Arial"/>
          <w:sz w:val="22"/>
          <w:szCs w:val="22"/>
        </w:rPr>
        <w:t xml:space="preserve">have received at least 1 dose of ganetespib. A total of </w:t>
      </w:r>
      <w:r w:rsidR="004A31C2">
        <w:rPr>
          <w:rFonts w:ascii="Arial" w:hAnsi="Arial" w:cs="Arial"/>
          <w:sz w:val="22"/>
          <w:szCs w:val="22"/>
        </w:rPr>
        <w:t>40</w:t>
      </w:r>
      <w:r w:rsidR="00114DD8" w:rsidRPr="00114DD8">
        <w:rPr>
          <w:rFonts w:ascii="Arial" w:hAnsi="Arial" w:cs="Arial"/>
          <w:sz w:val="22"/>
          <w:szCs w:val="22"/>
        </w:rPr>
        <w:t xml:space="preserve">2 </w:t>
      </w:r>
      <w:r w:rsidRPr="006836FD">
        <w:rPr>
          <w:rFonts w:ascii="Arial" w:hAnsi="Arial" w:cs="Arial"/>
          <w:sz w:val="22"/>
          <w:szCs w:val="22"/>
        </w:rPr>
        <w:t xml:space="preserve">patients have been treated with single-agent </w:t>
      </w:r>
      <w:proofErr w:type="gramStart"/>
      <w:r w:rsidRPr="006836FD">
        <w:rPr>
          <w:rFonts w:ascii="Arial" w:hAnsi="Arial" w:cs="Arial"/>
          <w:sz w:val="22"/>
          <w:szCs w:val="22"/>
        </w:rPr>
        <w:t>ganetespib</w:t>
      </w:r>
      <w:r w:rsidR="008533D3">
        <w:rPr>
          <w:rFonts w:ascii="Arial" w:hAnsi="Arial" w:cs="Arial"/>
          <w:sz w:val="22"/>
          <w:szCs w:val="22"/>
        </w:rPr>
        <w:t>.</w:t>
      </w:r>
      <w:r w:rsidRPr="006836FD">
        <w:rPr>
          <w:rFonts w:ascii="Arial" w:hAnsi="Arial" w:cs="Arial"/>
          <w:sz w:val="22"/>
          <w:szCs w:val="22"/>
        </w:rPr>
        <w:t>.</w:t>
      </w:r>
      <w:proofErr w:type="gramEnd"/>
      <w:r w:rsidRPr="006836FD">
        <w:rPr>
          <w:rFonts w:ascii="Arial" w:hAnsi="Arial" w:cs="Arial"/>
          <w:sz w:val="22"/>
          <w:szCs w:val="22"/>
        </w:rPr>
        <w:t xml:space="preserve"> </w:t>
      </w:r>
    </w:p>
    <w:p w14:paraId="37D5D0A5" w14:textId="77777777" w:rsidR="00461FD2" w:rsidRPr="006836FD" w:rsidRDefault="00461FD2" w:rsidP="00461FD2">
      <w:pPr>
        <w:jc w:val="both"/>
        <w:rPr>
          <w:rFonts w:ascii="Arial" w:hAnsi="Arial" w:cs="Arial"/>
          <w:sz w:val="22"/>
          <w:szCs w:val="22"/>
        </w:rPr>
      </w:pPr>
    </w:p>
    <w:p w14:paraId="20B213BF" w14:textId="77777777" w:rsidR="00461FD2" w:rsidRPr="006836FD" w:rsidRDefault="00461FD2" w:rsidP="00461FD2">
      <w:pPr>
        <w:jc w:val="both"/>
        <w:rPr>
          <w:rFonts w:ascii="Arial" w:hAnsi="Arial" w:cs="Arial"/>
          <w:sz w:val="22"/>
          <w:szCs w:val="22"/>
        </w:rPr>
      </w:pPr>
      <w:r w:rsidRPr="006836FD">
        <w:rPr>
          <w:rFonts w:ascii="Arial" w:hAnsi="Arial" w:cs="Arial"/>
          <w:sz w:val="22"/>
          <w:szCs w:val="22"/>
        </w:rPr>
        <w:t xml:space="preserve">The MTD for once weekly dosing in solid </w:t>
      </w:r>
      <w:r w:rsidR="008533D3" w:rsidRPr="006836FD">
        <w:rPr>
          <w:rFonts w:ascii="Arial" w:hAnsi="Arial" w:cs="Arial"/>
          <w:sz w:val="22"/>
          <w:szCs w:val="22"/>
        </w:rPr>
        <w:t>tumours</w:t>
      </w:r>
      <w:r w:rsidRPr="006836FD">
        <w:rPr>
          <w:rFonts w:ascii="Arial" w:hAnsi="Arial" w:cs="Arial"/>
          <w:sz w:val="22"/>
          <w:szCs w:val="22"/>
        </w:rPr>
        <w:t xml:space="preserve"> was established at 216 mg/m</w:t>
      </w:r>
      <w:r w:rsidRPr="00896BF6">
        <w:rPr>
          <w:rFonts w:ascii="Arial" w:hAnsi="Arial" w:cs="Arial"/>
          <w:sz w:val="22"/>
          <w:szCs w:val="22"/>
          <w:vertAlign w:val="superscript"/>
        </w:rPr>
        <w:t>2</w:t>
      </w:r>
      <w:r w:rsidRPr="006836FD">
        <w:rPr>
          <w:rFonts w:ascii="Arial" w:hAnsi="Arial" w:cs="Arial"/>
          <w:sz w:val="22"/>
          <w:szCs w:val="22"/>
        </w:rPr>
        <w:t xml:space="preserve"> ganetespib administered 3 weeks consecutively of a 4-week cycle. The recommended dose for twice weekly dosing in patients with solid </w:t>
      </w:r>
      <w:r w:rsidR="008533D3" w:rsidRPr="006836FD">
        <w:rPr>
          <w:rFonts w:ascii="Arial" w:hAnsi="Arial" w:cs="Arial"/>
          <w:sz w:val="22"/>
          <w:szCs w:val="22"/>
        </w:rPr>
        <w:t>tumours</w:t>
      </w:r>
      <w:r w:rsidRPr="006836FD">
        <w:rPr>
          <w:rFonts w:ascii="Arial" w:hAnsi="Arial" w:cs="Arial"/>
          <w:sz w:val="22"/>
          <w:szCs w:val="22"/>
        </w:rPr>
        <w:t xml:space="preserve"> is 150 mg/m</w:t>
      </w:r>
      <w:r w:rsidRPr="006836FD">
        <w:rPr>
          <w:rFonts w:ascii="Arial" w:hAnsi="Arial" w:cs="Arial"/>
          <w:sz w:val="22"/>
          <w:szCs w:val="22"/>
          <w:vertAlign w:val="superscript"/>
        </w:rPr>
        <w:t>2</w:t>
      </w:r>
      <w:r w:rsidRPr="006836FD">
        <w:rPr>
          <w:rFonts w:ascii="Arial" w:hAnsi="Arial" w:cs="Arial"/>
          <w:sz w:val="22"/>
          <w:szCs w:val="22"/>
        </w:rPr>
        <w:t xml:space="preserve"> ganetespib administered 3 weeks consecutively of a 4-week cycle. </w:t>
      </w:r>
    </w:p>
    <w:p w14:paraId="6AAC5D00" w14:textId="77777777" w:rsidR="00461FD2" w:rsidRPr="006836FD" w:rsidRDefault="00461FD2" w:rsidP="00461FD2">
      <w:pPr>
        <w:jc w:val="both"/>
        <w:rPr>
          <w:rFonts w:ascii="Arial" w:hAnsi="Arial" w:cs="Arial"/>
          <w:sz w:val="22"/>
          <w:szCs w:val="22"/>
        </w:rPr>
      </w:pPr>
      <w:r w:rsidRPr="006836FD">
        <w:rPr>
          <w:rFonts w:ascii="Arial" w:hAnsi="Arial" w:cs="Arial"/>
          <w:sz w:val="22"/>
          <w:szCs w:val="22"/>
        </w:rPr>
        <w:t>The doses selected for further study in patients with hematologic malignancies were 200 mg/m</w:t>
      </w:r>
      <w:r w:rsidRPr="006836FD">
        <w:rPr>
          <w:rFonts w:ascii="Arial" w:hAnsi="Arial" w:cs="Arial"/>
          <w:sz w:val="22"/>
          <w:szCs w:val="22"/>
          <w:vertAlign w:val="superscript"/>
        </w:rPr>
        <w:t>2</w:t>
      </w:r>
      <w:r w:rsidRPr="006836FD">
        <w:rPr>
          <w:rFonts w:ascii="Arial" w:hAnsi="Arial" w:cs="Arial"/>
          <w:sz w:val="22"/>
          <w:szCs w:val="22"/>
        </w:rPr>
        <w:t xml:space="preserve"> once weekly and 90 mg/m</w:t>
      </w:r>
      <w:r w:rsidRPr="006836FD">
        <w:rPr>
          <w:rFonts w:ascii="Arial" w:hAnsi="Arial" w:cs="Arial"/>
          <w:sz w:val="22"/>
          <w:szCs w:val="22"/>
          <w:vertAlign w:val="superscript"/>
        </w:rPr>
        <w:t>2</w:t>
      </w:r>
      <w:r w:rsidRPr="006836FD">
        <w:rPr>
          <w:rFonts w:ascii="Arial" w:hAnsi="Arial" w:cs="Arial"/>
          <w:sz w:val="22"/>
          <w:szCs w:val="22"/>
        </w:rPr>
        <w:t xml:space="preserve"> twice weekly administered continuously without a rest week. </w:t>
      </w:r>
    </w:p>
    <w:p w14:paraId="7178C84D" w14:textId="77777777" w:rsidR="001D0F89" w:rsidRPr="00CD54D5" w:rsidRDefault="001D0F89" w:rsidP="00507641">
      <w:pPr>
        <w:jc w:val="both"/>
        <w:rPr>
          <w:rFonts w:ascii="Arial" w:hAnsi="Arial" w:cs="Arial"/>
          <w:b/>
          <w:color w:val="000000"/>
          <w:sz w:val="22"/>
        </w:rPr>
      </w:pPr>
    </w:p>
    <w:p w14:paraId="41A9231D" w14:textId="77777777" w:rsidR="00DA67E8" w:rsidRPr="002878CE" w:rsidRDefault="00DA67E8" w:rsidP="00507641">
      <w:pPr>
        <w:jc w:val="both"/>
        <w:rPr>
          <w:rFonts w:ascii="Arial" w:hAnsi="Arial" w:cs="Arial"/>
          <w:sz w:val="22"/>
          <w:szCs w:val="22"/>
        </w:rPr>
      </w:pPr>
      <w:r w:rsidRPr="002878CE">
        <w:rPr>
          <w:rFonts w:ascii="Arial" w:hAnsi="Arial" w:cs="Arial"/>
          <w:sz w:val="22"/>
          <w:szCs w:val="22"/>
        </w:rPr>
        <w:t>A phase II trial using ganetespib in 95 patients with advanced non-small cell lung cancer (previously treated) was presented at ASCO 2011 (Wong et al 2011), indicating promising efficacy and that it was tolerable. 29% of patients (19/95) were still on treatment at the end of the trial. The main endpoint was progression-free survival rate at 16 weeks which was 24%, 95% CI 14-36%. This has now led to a phase II/III trial of ganetespib and docetaxel as second-line treatment.</w:t>
      </w:r>
    </w:p>
    <w:p w14:paraId="10B4F42B" w14:textId="77777777" w:rsidR="00DA67E8" w:rsidRDefault="00DA67E8" w:rsidP="00507641">
      <w:pPr>
        <w:jc w:val="both"/>
        <w:rPr>
          <w:rFonts w:ascii="Arial" w:hAnsi="Arial" w:cs="Arial"/>
          <w:b/>
          <w:color w:val="000000"/>
          <w:sz w:val="22"/>
        </w:rPr>
      </w:pPr>
    </w:p>
    <w:p w14:paraId="0907C6ED" w14:textId="77777777" w:rsidR="00DA67E8" w:rsidRPr="00CD54D5" w:rsidRDefault="00DA67E8" w:rsidP="00507641">
      <w:pPr>
        <w:jc w:val="both"/>
        <w:rPr>
          <w:rFonts w:ascii="Arial" w:hAnsi="Arial" w:cs="Arial"/>
          <w:b/>
          <w:color w:val="000000"/>
          <w:sz w:val="22"/>
        </w:rPr>
      </w:pPr>
      <w:r w:rsidRPr="00CD54D5">
        <w:rPr>
          <w:rFonts w:ascii="Arial" w:hAnsi="Arial" w:cs="Arial"/>
          <w:b/>
          <w:color w:val="000000"/>
          <w:sz w:val="22"/>
        </w:rPr>
        <w:lastRenderedPageBreak/>
        <w:t xml:space="preserve">Adverse Effects  </w:t>
      </w:r>
    </w:p>
    <w:p w14:paraId="0A673982" w14:textId="205585DB" w:rsidR="00122EC3" w:rsidRDefault="00DA67E8" w:rsidP="00461FD2">
      <w:pPr>
        <w:jc w:val="both"/>
        <w:rPr>
          <w:rFonts w:ascii="Arial" w:hAnsi="Arial" w:cs="Arial"/>
          <w:sz w:val="22"/>
          <w:szCs w:val="22"/>
        </w:rPr>
      </w:pPr>
      <w:r w:rsidRPr="00CD54D5">
        <w:rPr>
          <w:rFonts w:ascii="Arial" w:hAnsi="Arial" w:cs="Arial"/>
          <w:color w:val="000000"/>
          <w:sz w:val="22"/>
        </w:rPr>
        <w:t xml:space="preserve">As per data reported in the Investigator Brochure (version </w:t>
      </w:r>
      <w:r w:rsidR="00122EC3">
        <w:rPr>
          <w:rFonts w:ascii="Arial" w:hAnsi="Arial" w:cs="Arial"/>
          <w:color w:val="000000"/>
          <w:sz w:val="22"/>
          <w:szCs w:val="22"/>
        </w:rPr>
        <w:t>1</w:t>
      </w:r>
      <w:r w:rsidR="0042764C">
        <w:rPr>
          <w:rFonts w:ascii="Arial" w:hAnsi="Arial" w:cs="Arial"/>
          <w:color w:val="000000"/>
          <w:sz w:val="22"/>
          <w:szCs w:val="22"/>
        </w:rPr>
        <w:t>1</w:t>
      </w:r>
      <w:r w:rsidR="00461FD2">
        <w:rPr>
          <w:rFonts w:ascii="Arial" w:hAnsi="Arial" w:cs="Arial"/>
          <w:color w:val="000000"/>
          <w:sz w:val="22"/>
          <w:szCs w:val="22"/>
        </w:rPr>
        <w:t xml:space="preserve">, </w:t>
      </w:r>
      <w:r w:rsidR="0042764C">
        <w:rPr>
          <w:rFonts w:ascii="Arial" w:hAnsi="Arial" w:cs="Arial"/>
          <w:color w:val="000000"/>
          <w:sz w:val="22"/>
          <w:szCs w:val="22"/>
        </w:rPr>
        <w:t>13</w:t>
      </w:r>
      <w:r w:rsidR="00122EC3">
        <w:rPr>
          <w:rFonts w:ascii="Arial" w:hAnsi="Arial" w:cs="Arial"/>
          <w:color w:val="000000"/>
          <w:sz w:val="22"/>
          <w:szCs w:val="22"/>
        </w:rPr>
        <w:t xml:space="preserve"> November</w:t>
      </w:r>
      <w:r w:rsidR="00461FD2" w:rsidRPr="006836FD">
        <w:rPr>
          <w:rFonts w:ascii="Arial" w:hAnsi="Arial" w:cs="Arial"/>
          <w:color w:val="000000"/>
          <w:sz w:val="22"/>
          <w:szCs w:val="22"/>
        </w:rPr>
        <w:t xml:space="preserve"> 201</w:t>
      </w:r>
      <w:r w:rsidR="0042764C">
        <w:rPr>
          <w:rFonts w:ascii="Arial" w:hAnsi="Arial" w:cs="Arial"/>
          <w:color w:val="000000"/>
          <w:sz w:val="22"/>
          <w:szCs w:val="22"/>
        </w:rPr>
        <w:t>5</w:t>
      </w:r>
      <w:r w:rsidR="00461FD2" w:rsidRPr="006836FD">
        <w:rPr>
          <w:rFonts w:ascii="Arial" w:hAnsi="Arial" w:cs="Arial"/>
          <w:color w:val="000000"/>
          <w:sz w:val="22"/>
          <w:szCs w:val="22"/>
        </w:rPr>
        <w:t xml:space="preserve">), </w:t>
      </w:r>
      <w:r w:rsidR="00122EC3" w:rsidRPr="00122EC3">
        <w:rPr>
          <w:rFonts w:ascii="Arial" w:hAnsi="Arial" w:cs="Arial"/>
          <w:sz w:val="22"/>
          <w:szCs w:val="22"/>
        </w:rPr>
        <w:t>approximately 99</w:t>
      </w:r>
      <w:r w:rsidR="0042764C">
        <w:rPr>
          <w:rFonts w:ascii="Arial" w:hAnsi="Arial" w:cs="Arial"/>
          <w:sz w:val="22"/>
          <w:szCs w:val="22"/>
        </w:rPr>
        <w:t>.5</w:t>
      </w:r>
      <w:r w:rsidR="00122EC3" w:rsidRPr="00122EC3">
        <w:rPr>
          <w:rFonts w:ascii="Arial" w:hAnsi="Arial" w:cs="Arial"/>
          <w:sz w:val="22"/>
          <w:szCs w:val="22"/>
        </w:rPr>
        <w:t>% of the patients in the largest pooled data set (single-agent studies, n=402) experienced at least 1 AE; 92</w:t>
      </w:r>
      <w:r w:rsidR="0042764C">
        <w:rPr>
          <w:rFonts w:ascii="Arial" w:hAnsi="Arial" w:cs="Arial"/>
          <w:sz w:val="22"/>
          <w:szCs w:val="22"/>
        </w:rPr>
        <w:t>.5</w:t>
      </w:r>
      <w:r w:rsidR="00122EC3" w:rsidRPr="00122EC3">
        <w:rPr>
          <w:rFonts w:ascii="Arial" w:hAnsi="Arial" w:cs="Arial"/>
          <w:sz w:val="22"/>
          <w:szCs w:val="22"/>
        </w:rPr>
        <w:t>% experienced at least 1 treatment-related event. The most frequently reported AEs were related to gastrointestinal toxicity, and included diarrhoea (80</w:t>
      </w:r>
      <w:r w:rsidR="0042764C">
        <w:rPr>
          <w:rFonts w:ascii="Arial" w:hAnsi="Arial" w:cs="Arial"/>
          <w:sz w:val="22"/>
          <w:szCs w:val="22"/>
        </w:rPr>
        <w:t>.1</w:t>
      </w:r>
      <w:r w:rsidR="00122EC3" w:rsidRPr="00122EC3">
        <w:rPr>
          <w:rFonts w:ascii="Arial" w:hAnsi="Arial" w:cs="Arial"/>
          <w:sz w:val="22"/>
          <w:szCs w:val="22"/>
        </w:rPr>
        <w:t>%), nausea (44</w:t>
      </w:r>
      <w:r w:rsidR="0042764C">
        <w:rPr>
          <w:rFonts w:ascii="Arial" w:hAnsi="Arial" w:cs="Arial"/>
          <w:sz w:val="22"/>
          <w:szCs w:val="22"/>
        </w:rPr>
        <w:t>.5</w:t>
      </w:r>
      <w:r w:rsidR="00122EC3" w:rsidRPr="00122EC3">
        <w:rPr>
          <w:rFonts w:ascii="Arial" w:hAnsi="Arial" w:cs="Arial"/>
          <w:sz w:val="22"/>
          <w:szCs w:val="22"/>
        </w:rPr>
        <w:t>%), decreased appetite (31</w:t>
      </w:r>
      <w:r w:rsidR="0042764C">
        <w:rPr>
          <w:rFonts w:ascii="Arial" w:hAnsi="Arial" w:cs="Arial"/>
          <w:sz w:val="22"/>
          <w:szCs w:val="22"/>
        </w:rPr>
        <w:t>.6</w:t>
      </w:r>
      <w:r w:rsidR="00122EC3" w:rsidRPr="00122EC3">
        <w:rPr>
          <w:rFonts w:ascii="Arial" w:hAnsi="Arial" w:cs="Arial"/>
          <w:sz w:val="22"/>
          <w:szCs w:val="22"/>
        </w:rPr>
        <w:t>%), vomiting (27</w:t>
      </w:r>
      <w:r w:rsidR="0042764C">
        <w:rPr>
          <w:rFonts w:ascii="Arial" w:hAnsi="Arial" w:cs="Arial"/>
          <w:sz w:val="22"/>
          <w:szCs w:val="22"/>
        </w:rPr>
        <w:t>.4</w:t>
      </w:r>
      <w:r w:rsidR="00122EC3" w:rsidRPr="00122EC3">
        <w:rPr>
          <w:rFonts w:ascii="Arial" w:hAnsi="Arial" w:cs="Arial"/>
          <w:sz w:val="22"/>
          <w:szCs w:val="22"/>
        </w:rPr>
        <w:t>%), constipation (2</w:t>
      </w:r>
      <w:r w:rsidR="0042764C">
        <w:rPr>
          <w:rFonts w:ascii="Arial" w:hAnsi="Arial" w:cs="Arial"/>
          <w:sz w:val="22"/>
          <w:szCs w:val="22"/>
        </w:rPr>
        <w:t>1.9</w:t>
      </w:r>
      <w:r w:rsidR="00122EC3" w:rsidRPr="00122EC3">
        <w:rPr>
          <w:rFonts w:ascii="Arial" w:hAnsi="Arial" w:cs="Arial"/>
          <w:sz w:val="22"/>
          <w:szCs w:val="22"/>
        </w:rPr>
        <w:t>%), and abdominal pain (20</w:t>
      </w:r>
      <w:r w:rsidR="0042764C">
        <w:rPr>
          <w:rFonts w:ascii="Arial" w:hAnsi="Arial" w:cs="Arial"/>
          <w:sz w:val="22"/>
          <w:szCs w:val="22"/>
        </w:rPr>
        <w:t>.9</w:t>
      </w:r>
      <w:r w:rsidR="00122EC3" w:rsidRPr="00122EC3">
        <w:rPr>
          <w:rFonts w:ascii="Arial" w:hAnsi="Arial" w:cs="Arial"/>
          <w:sz w:val="22"/>
          <w:szCs w:val="22"/>
        </w:rPr>
        <w:t>%). Non gastrointestinal-related events that occurred frequently have included fatigue (53</w:t>
      </w:r>
      <w:r w:rsidR="0042764C">
        <w:rPr>
          <w:rFonts w:ascii="Arial" w:hAnsi="Arial" w:cs="Arial"/>
          <w:sz w:val="22"/>
          <w:szCs w:val="22"/>
        </w:rPr>
        <w:t>.5</w:t>
      </w:r>
      <w:r w:rsidR="00122EC3" w:rsidRPr="00122EC3">
        <w:rPr>
          <w:rFonts w:ascii="Arial" w:hAnsi="Arial" w:cs="Arial"/>
          <w:sz w:val="22"/>
          <w:szCs w:val="22"/>
        </w:rPr>
        <w:t>%), headache (20</w:t>
      </w:r>
      <w:r w:rsidR="0042764C">
        <w:rPr>
          <w:rFonts w:ascii="Arial" w:hAnsi="Arial" w:cs="Arial"/>
          <w:sz w:val="22"/>
          <w:szCs w:val="22"/>
        </w:rPr>
        <w:t>.4</w:t>
      </w:r>
      <w:r w:rsidR="00122EC3" w:rsidRPr="00122EC3">
        <w:rPr>
          <w:rFonts w:ascii="Arial" w:hAnsi="Arial" w:cs="Arial"/>
          <w:sz w:val="22"/>
          <w:szCs w:val="22"/>
        </w:rPr>
        <w:t>%), and anaemia (21</w:t>
      </w:r>
      <w:r w:rsidR="0042764C">
        <w:rPr>
          <w:rFonts w:ascii="Arial" w:hAnsi="Arial" w:cs="Arial"/>
          <w:sz w:val="22"/>
          <w:szCs w:val="22"/>
        </w:rPr>
        <w:t>.1</w:t>
      </w:r>
      <w:r w:rsidR="00122EC3" w:rsidRPr="00122EC3">
        <w:rPr>
          <w:rFonts w:ascii="Arial" w:hAnsi="Arial" w:cs="Arial"/>
          <w:sz w:val="22"/>
          <w:szCs w:val="22"/>
        </w:rPr>
        <w:t>%). Approximately 2/3 (68</w:t>
      </w:r>
      <w:r w:rsidR="0042764C">
        <w:rPr>
          <w:rFonts w:ascii="Arial" w:hAnsi="Arial" w:cs="Arial"/>
          <w:sz w:val="22"/>
          <w:szCs w:val="22"/>
        </w:rPr>
        <w:t>.4</w:t>
      </w:r>
      <w:r w:rsidR="00122EC3" w:rsidRPr="00122EC3">
        <w:rPr>
          <w:rFonts w:ascii="Arial" w:hAnsi="Arial" w:cs="Arial"/>
          <w:sz w:val="22"/>
          <w:szCs w:val="22"/>
        </w:rPr>
        <w:t>%) of these patients experienced an event that was a Grade ≥3; 31</w:t>
      </w:r>
      <w:r w:rsidR="0042764C">
        <w:rPr>
          <w:rFonts w:ascii="Arial" w:hAnsi="Arial" w:cs="Arial"/>
          <w:sz w:val="22"/>
          <w:szCs w:val="22"/>
        </w:rPr>
        <w:t>.3</w:t>
      </w:r>
      <w:r w:rsidR="00122EC3" w:rsidRPr="00122EC3">
        <w:rPr>
          <w:rFonts w:ascii="Arial" w:hAnsi="Arial" w:cs="Arial"/>
          <w:sz w:val="22"/>
          <w:szCs w:val="22"/>
        </w:rPr>
        <w:t xml:space="preserve">% experienced a Grade ≥3 treatment-related event. Approximately </w:t>
      </w:r>
      <w:proofErr w:type="gramStart"/>
      <w:r w:rsidR="0042764C">
        <w:rPr>
          <w:rFonts w:ascii="Arial" w:hAnsi="Arial" w:cs="Arial"/>
          <w:sz w:val="22"/>
          <w:szCs w:val="22"/>
        </w:rPr>
        <w:t>39./</w:t>
      </w:r>
      <w:proofErr w:type="gramEnd"/>
      <w:r w:rsidR="0042764C">
        <w:rPr>
          <w:rFonts w:ascii="Arial" w:hAnsi="Arial" w:cs="Arial"/>
          <w:sz w:val="22"/>
          <w:szCs w:val="22"/>
        </w:rPr>
        <w:t>8</w:t>
      </w:r>
      <w:r w:rsidR="00122EC3" w:rsidRPr="00122EC3">
        <w:rPr>
          <w:rFonts w:ascii="Arial" w:hAnsi="Arial" w:cs="Arial"/>
          <w:sz w:val="22"/>
          <w:szCs w:val="22"/>
        </w:rPr>
        <w:t>% experienced at least 1 serious adverse event (SAE); 8</w:t>
      </w:r>
      <w:r w:rsidR="0042764C">
        <w:rPr>
          <w:rFonts w:ascii="Arial" w:hAnsi="Arial" w:cs="Arial"/>
          <w:sz w:val="22"/>
          <w:szCs w:val="22"/>
        </w:rPr>
        <w:t>.2</w:t>
      </w:r>
      <w:r w:rsidR="00122EC3" w:rsidRPr="00122EC3">
        <w:rPr>
          <w:rFonts w:ascii="Arial" w:hAnsi="Arial" w:cs="Arial"/>
          <w:sz w:val="22"/>
          <w:szCs w:val="22"/>
        </w:rPr>
        <w:t>% of patients had at least 1 treatment-related SAE.</w:t>
      </w:r>
    </w:p>
    <w:p w14:paraId="3515E7AD" w14:textId="77777777" w:rsidR="00122EC3" w:rsidRDefault="00122EC3" w:rsidP="00461FD2">
      <w:pPr>
        <w:jc w:val="both"/>
        <w:rPr>
          <w:rFonts w:ascii="Arial" w:hAnsi="Arial" w:cs="Arial"/>
          <w:sz w:val="22"/>
          <w:szCs w:val="22"/>
        </w:rPr>
      </w:pPr>
    </w:p>
    <w:p w14:paraId="24659B36" w14:textId="77777777" w:rsidR="00461FD2" w:rsidRDefault="00122EC3" w:rsidP="00461FD2">
      <w:pPr>
        <w:jc w:val="both"/>
        <w:rPr>
          <w:rFonts w:ascii="Arial" w:hAnsi="Arial" w:cs="Arial"/>
          <w:sz w:val="22"/>
          <w:szCs w:val="22"/>
        </w:rPr>
      </w:pPr>
      <w:r>
        <w:rPr>
          <w:rFonts w:ascii="Arial" w:hAnsi="Arial" w:cs="Arial"/>
          <w:sz w:val="22"/>
          <w:szCs w:val="22"/>
        </w:rPr>
        <w:t xml:space="preserve">Additional to the events listed above, 1 patient suffered a gastrointestinal perforation leading to death. This was assessed as being related to ganetespib. </w:t>
      </w:r>
    </w:p>
    <w:p w14:paraId="69002568" w14:textId="77777777" w:rsidR="00896BF6" w:rsidRDefault="00896BF6" w:rsidP="00461FD2">
      <w:pPr>
        <w:jc w:val="both"/>
        <w:rPr>
          <w:rFonts w:ascii="Arial" w:hAnsi="Arial" w:cs="Arial"/>
          <w:sz w:val="22"/>
          <w:szCs w:val="22"/>
        </w:rPr>
      </w:pPr>
    </w:p>
    <w:p w14:paraId="45A7E8DD" w14:textId="77777777" w:rsidR="00896BF6" w:rsidRPr="00896BF6" w:rsidRDefault="00896BF6" w:rsidP="00896BF6">
      <w:pPr>
        <w:jc w:val="both"/>
        <w:rPr>
          <w:rFonts w:ascii="Arial" w:hAnsi="Arial" w:cs="Arial"/>
          <w:color w:val="000000"/>
          <w:sz w:val="22"/>
          <w:szCs w:val="22"/>
        </w:rPr>
      </w:pPr>
      <w:r w:rsidRPr="00896BF6">
        <w:rPr>
          <w:rFonts w:ascii="Arial" w:hAnsi="Arial" w:cs="Arial"/>
          <w:color w:val="000000"/>
          <w:sz w:val="22"/>
          <w:szCs w:val="22"/>
        </w:rPr>
        <w:t xml:space="preserve">Ganetespib administered as a single agent had a </w:t>
      </w:r>
      <w:proofErr w:type="spellStart"/>
      <w:r w:rsidRPr="00896BF6">
        <w:rPr>
          <w:rFonts w:ascii="Arial" w:hAnsi="Arial" w:cs="Arial"/>
          <w:color w:val="000000"/>
          <w:sz w:val="22"/>
          <w:szCs w:val="22"/>
        </w:rPr>
        <w:t>favorable</w:t>
      </w:r>
      <w:proofErr w:type="spellEnd"/>
      <w:r w:rsidRPr="00896BF6">
        <w:rPr>
          <w:rFonts w:ascii="Arial" w:hAnsi="Arial" w:cs="Arial"/>
          <w:color w:val="000000"/>
          <w:sz w:val="22"/>
          <w:szCs w:val="22"/>
        </w:rPr>
        <w:t xml:space="preserve"> safety profile and was devoid of liver</w:t>
      </w:r>
      <w:r>
        <w:rPr>
          <w:rFonts w:ascii="Arial" w:hAnsi="Arial" w:cs="Arial"/>
          <w:color w:val="000000"/>
          <w:sz w:val="22"/>
          <w:szCs w:val="22"/>
        </w:rPr>
        <w:t xml:space="preserve"> </w:t>
      </w:r>
      <w:r w:rsidRPr="00896BF6">
        <w:rPr>
          <w:rFonts w:ascii="Arial" w:hAnsi="Arial" w:cs="Arial"/>
          <w:color w:val="000000"/>
          <w:sz w:val="22"/>
          <w:szCs w:val="22"/>
        </w:rPr>
        <w:t>toxicities and visual impairment associated with other Hsp90 inhibitors across all studies. In</w:t>
      </w:r>
      <w:r>
        <w:rPr>
          <w:rFonts w:ascii="Arial" w:hAnsi="Arial" w:cs="Arial"/>
          <w:color w:val="000000"/>
          <w:sz w:val="22"/>
          <w:szCs w:val="22"/>
        </w:rPr>
        <w:t xml:space="preserve"> </w:t>
      </w:r>
      <w:r w:rsidRPr="00896BF6">
        <w:rPr>
          <w:rFonts w:ascii="Arial" w:hAnsi="Arial" w:cs="Arial"/>
          <w:color w:val="000000"/>
          <w:sz w:val="22"/>
          <w:szCs w:val="22"/>
        </w:rPr>
        <w:t>addition, there was no evidence of myelosuppressive effect with documented decrease in</w:t>
      </w:r>
    </w:p>
    <w:p w14:paraId="559D3735" w14:textId="77777777" w:rsidR="00896BF6" w:rsidRPr="00896BF6" w:rsidRDefault="00896BF6" w:rsidP="00896BF6">
      <w:pPr>
        <w:jc w:val="both"/>
        <w:rPr>
          <w:rFonts w:ascii="Arial" w:hAnsi="Arial" w:cs="Arial"/>
          <w:color w:val="000000"/>
          <w:sz w:val="22"/>
          <w:szCs w:val="22"/>
        </w:rPr>
      </w:pPr>
      <w:r w:rsidRPr="00896BF6">
        <w:rPr>
          <w:rFonts w:ascii="Arial" w:hAnsi="Arial" w:cs="Arial"/>
          <w:color w:val="000000"/>
          <w:sz w:val="22"/>
          <w:szCs w:val="22"/>
        </w:rPr>
        <w:t xml:space="preserve">neutrophil count associated with ganetespib administration; this is </w:t>
      </w:r>
      <w:proofErr w:type="spellStart"/>
      <w:r w:rsidRPr="00896BF6">
        <w:rPr>
          <w:rFonts w:ascii="Arial" w:hAnsi="Arial" w:cs="Arial"/>
          <w:color w:val="000000"/>
          <w:sz w:val="22"/>
          <w:szCs w:val="22"/>
        </w:rPr>
        <w:t>favorable</w:t>
      </w:r>
      <w:proofErr w:type="spellEnd"/>
      <w:r w:rsidRPr="00896BF6">
        <w:rPr>
          <w:rFonts w:ascii="Arial" w:hAnsi="Arial" w:cs="Arial"/>
          <w:color w:val="000000"/>
          <w:sz w:val="22"/>
          <w:szCs w:val="22"/>
        </w:rPr>
        <w:t xml:space="preserve"> for the use of</w:t>
      </w:r>
    </w:p>
    <w:p w14:paraId="0B5BCCB1" w14:textId="77777777" w:rsidR="00896BF6" w:rsidRPr="00BF16F9" w:rsidRDefault="00896BF6" w:rsidP="00896BF6">
      <w:pPr>
        <w:jc w:val="both"/>
        <w:rPr>
          <w:rFonts w:ascii="Arial" w:hAnsi="Arial" w:cs="Arial"/>
          <w:color w:val="000000"/>
          <w:sz w:val="22"/>
          <w:szCs w:val="22"/>
        </w:rPr>
      </w:pPr>
      <w:r w:rsidRPr="00896BF6">
        <w:rPr>
          <w:rFonts w:ascii="Arial" w:hAnsi="Arial" w:cs="Arial"/>
          <w:color w:val="000000"/>
          <w:sz w:val="22"/>
          <w:szCs w:val="22"/>
        </w:rPr>
        <w:t>ganetespib in combination with chemotherapeutic agents.</w:t>
      </w:r>
    </w:p>
    <w:p w14:paraId="5BC84D02" w14:textId="77777777" w:rsidR="00DA67E8" w:rsidRDefault="00DA67E8" w:rsidP="00BF16F9">
      <w:pPr>
        <w:pStyle w:val="Heading2"/>
      </w:pPr>
      <w:bookmarkStart w:id="72" w:name="_Toc283031741"/>
      <w:bookmarkStart w:id="73" w:name="_Toc283376276"/>
      <w:bookmarkStart w:id="74" w:name="_Toc333484717"/>
      <w:bookmarkStart w:id="75" w:name="_Toc333484832"/>
      <w:bookmarkStart w:id="76" w:name="_Toc351624786"/>
      <w:bookmarkStart w:id="77" w:name="_Toc471826728"/>
      <w:bookmarkStart w:id="78" w:name="_Toc528323494"/>
      <w:r w:rsidRPr="00A23D8C">
        <w:t>Trial</w:t>
      </w:r>
      <w:bookmarkEnd w:id="72"/>
      <w:bookmarkEnd w:id="73"/>
      <w:r w:rsidR="00983832">
        <w:t xml:space="preserve"> </w:t>
      </w:r>
      <w:r>
        <w:t>Design</w:t>
      </w:r>
      <w:bookmarkEnd w:id="74"/>
      <w:bookmarkEnd w:id="75"/>
      <w:bookmarkEnd w:id="76"/>
      <w:bookmarkEnd w:id="77"/>
      <w:bookmarkEnd w:id="78"/>
    </w:p>
    <w:p w14:paraId="2E3F3419" w14:textId="77777777" w:rsidR="00DA67E8" w:rsidRPr="00FC20CF" w:rsidRDefault="00DA67E8" w:rsidP="00FC20CF">
      <w:pPr>
        <w:pStyle w:val="Heading3"/>
        <w:ind w:left="851" w:hanging="851"/>
      </w:pPr>
      <w:bookmarkStart w:id="79" w:name="_Toc471826729"/>
      <w:bookmarkStart w:id="80" w:name="_Toc528323495"/>
      <w:r w:rsidRPr="00FC20CF">
        <w:t>Phase I trial</w:t>
      </w:r>
      <w:bookmarkEnd w:id="79"/>
      <w:bookmarkEnd w:id="80"/>
    </w:p>
    <w:p w14:paraId="49BE6BE9" w14:textId="77777777" w:rsidR="00B219D2" w:rsidRDefault="00DA67E8" w:rsidP="001C7E00">
      <w:pPr>
        <w:pStyle w:val="CS-Text"/>
        <w:spacing w:before="20" w:afterLines="20" w:after="48"/>
        <w:ind w:left="782" w:hangingChars="354" w:hanging="782"/>
        <w:jc w:val="both"/>
        <w:rPr>
          <w:rFonts w:ascii="Arial" w:hAnsi="Arial" w:cs="Arial"/>
          <w:b/>
          <w:sz w:val="22"/>
          <w:szCs w:val="22"/>
          <w:lang w:val="en-US"/>
        </w:rPr>
      </w:pPr>
      <w:r w:rsidRPr="00E846E4">
        <w:rPr>
          <w:rFonts w:ascii="Arial" w:hAnsi="Arial" w:cs="Arial"/>
          <w:b/>
          <w:sz w:val="22"/>
          <w:szCs w:val="22"/>
          <w:lang w:val="en-US"/>
        </w:rPr>
        <w:t>Primary objective:</w:t>
      </w:r>
      <w:r w:rsidRPr="00E846E4">
        <w:rPr>
          <w:rFonts w:ascii="Arial" w:hAnsi="Arial" w:cs="Arial"/>
          <w:b/>
          <w:sz w:val="22"/>
          <w:szCs w:val="22"/>
          <w:lang w:val="en-US"/>
        </w:rPr>
        <w:tab/>
      </w:r>
    </w:p>
    <w:p w14:paraId="293EB8C4" w14:textId="77777777" w:rsidR="003028FF" w:rsidRDefault="00DA67E8" w:rsidP="00396567">
      <w:pPr>
        <w:pStyle w:val="CS-Text"/>
        <w:spacing w:before="20" w:afterLines="20" w:after="48"/>
        <w:rPr>
          <w:rFonts w:ascii="Arial" w:hAnsi="Arial" w:cs="Arial"/>
          <w:sz w:val="22"/>
          <w:szCs w:val="22"/>
          <w:lang w:val="en-US"/>
        </w:rPr>
      </w:pPr>
      <w:r w:rsidRPr="00E846E4">
        <w:rPr>
          <w:rFonts w:ascii="Arial" w:hAnsi="Arial" w:cs="Arial"/>
          <w:sz w:val="22"/>
          <w:szCs w:val="22"/>
          <w:lang w:val="en-US" w:eastAsia="ja-JP"/>
        </w:rPr>
        <w:t>To find the most tolerable dose</w:t>
      </w:r>
      <w:r w:rsidRPr="00E846E4">
        <w:rPr>
          <w:rFonts w:ascii="Arial" w:hAnsi="Arial" w:cs="Arial"/>
          <w:sz w:val="22"/>
          <w:szCs w:val="22"/>
          <w:lang w:val="en-US"/>
        </w:rPr>
        <w:t xml:space="preserve"> of </w:t>
      </w:r>
      <w:proofErr w:type="spellStart"/>
      <w:r>
        <w:rPr>
          <w:rFonts w:ascii="Arial" w:hAnsi="Arial" w:cs="Arial"/>
          <w:sz w:val="22"/>
          <w:szCs w:val="22"/>
          <w:lang w:val="en-US"/>
        </w:rPr>
        <w:t>ganetespib</w:t>
      </w:r>
      <w:proofErr w:type="spellEnd"/>
      <w:r>
        <w:rPr>
          <w:rFonts w:ascii="Arial" w:hAnsi="Arial" w:cs="Arial"/>
          <w:sz w:val="22"/>
          <w:szCs w:val="22"/>
          <w:lang w:eastAsia="ja-JP"/>
        </w:rPr>
        <w:t xml:space="preserve"> in combination with </w:t>
      </w:r>
      <w:r w:rsidRPr="00E846E4">
        <w:rPr>
          <w:rFonts w:ascii="Arial" w:hAnsi="Arial" w:cs="Arial"/>
          <w:sz w:val="22"/>
          <w:szCs w:val="22"/>
          <w:lang w:eastAsia="ja-JP"/>
        </w:rPr>
        <w:t xml:space="preserve">standard </w:t>
      </w:r>
      <w:r w:rsidR="00543127">
        <w:rPr>
          <w:rFonts w:ascii="Arial" w:hAnsi="Arial" w:cs="Arial"/>
          <w:sz w:val="22"/>
          <w:szCs w:val="22"/>
          <w:lang w:eastAsia="ja-JP"/>
        </w:rPr>
        <w:t>p</w:t>
      </w:r>
      <w:r>
        <w:rPr>
          <w:rFonts w:ascii="Arial" w:hAnsi="Arial" w:cs="Arial"/>
          <w:sz w:val="22"/>
          <w:szCs w:val="22"/>
          <w:lang w:eastAsia="ja-JP"/>
        </w:rPr>
        <w:t>emetrexed/</w:t>
      </w:r>
      <w:r w:rsidR="00543127">
        <w:rPr>
          <w:rFonts w:ascii="Arial" w:hAnsi="Arial" w:cs="Arial"/>
          <w:sz w:val="22"/>
          <w:szCs w:val="22"/>
          <w:lang w:eastAsia="ja-JP"/>
        </w:rPr>
        <w:t xml:space="preserve"> </w:t>
      </w:r>
      <w:r w:rsidR="000D4EA9">
        <w:rPr>
          <w:rFonts w:ascii="Arial" w:hAnsi="Arial" w:cs="Arial"/>
          <w:sz w:val="22"/>
          <w:szCs w:val="22"/>
          <w:lang w:eastAsia="ja-JP"/>
        </w:rPr>
        <w:t>platinum</w:t>
      </w:r>
      <w:r w:rsidR="000D4EA9" w:rsidRPr="00E846E4">
        <w:rPr>
          <w:rFonts w:ascii="Arial" w:hAnsi="Arial" w:cs="Arial"/>
          <w:sz w:val="22"/>
          <w:szCs w:val="22"/>
          <w:lang w:eastAsia="ja-JP"/>
        </w:rPr>
        <w:t xml:space="preserve"> </w:t>
      </w:r>
      <w:r w:rsidRPr="00E846E4">
        <w:rPr>
          <w:rFonts w:ascii="Arial" w:hAnsi="Arial" w:cs="Arial"/>
          <w:sz w:val="22"/>
          <w:szCs w:val="22"/>
          <w:lang w:val="en-US"/>
        </w:rPr>
        <w:t>in patients with mesothelioma.</w:t>
      </w:r>
    </w:p>
    <w:p w14:paraId="6642F8FD" w14:textId="77777777" w:rsidR="003028FF" w:rsidRDefault="003028FF" w:rsidP="00396567">
      <w:pPr>
        <w:pStyle w:val="CS-Text"/>
        <w:spacing w:before="20" w:afterLines="20" w:after="48"/>
        <w:ind w:left="779" w:hangingChars="354" w:hanging="779"/>
        <w:jc w:val="both"/>
        <w:rPr>
          <w:rFonts w:ascii="Arial" w:hAnsi="Arial" w:cs="Arial"/>
          <w:sz w:val="22"/>
          <w:szCs w:val="22"/>
          <w:lang w:eastAsia="ja-JP"/>
        </w:rPr>
      </w:pPr>
    </w:p>
    <w:p w14:paraId="3256EE2F" w14:textId="77777777" w:rsidR="003028FF" w:rsidRDefault="00DA67E8" w:rsidP="001C7E00">
      <w:pPr>
        <w:pStyle w:val="CS-Text"/>
        <w:spacing w:before="20" w:afterLines="20" w:after="48"/>
        <w:ind w:left="782" w:hangingChars="354" w:hanging="782"/>
        <w:jc w:val="both"/>
        <w:rPr>
          <w:rFonts w:ascii="Arial" w:hAnsi="Arial" w:cs="Arial"/>
          <w:b/>
          <w:sz w:val="22"/>
          <w:szCs w:val="22"/>
          <w:lang w:eastAsia="ja-JP"/>
        </w:rPr>
      </w:pPr>
      <w:r w:rsidRPr="00E846E4">
        <w:rPr>
          <w:rFonts w:ascii="Arial" w:hAnsi="Arial" w:cs="Arial"/>
          <w:b/>
          <w:sz w:val="22"/>
          <w:szCs w:val="22"/>
          <w:lang w:eastAsia="ja-JP"/>
        </w:rPr>
        <w:t xml:space="preserve">Secondary </w:t>
      </w:r>
      <w:r w:rsidRPr="00E846E4">
        <w:rPr>
          <w:rFonts w:ascii="Arial" w:hAnsi="Arial" w:cs="Arial"/>
          <w:b/>
          <w:sz w:val="22"/>
          <w:szCs w:val="22"/>
          <w:lang w:val="en-US"/>
        </w:rPr>
        <w:t>objectives</w:t>
      </w:r>
      <w:r w:rsidRPr="00E846E4">
        <w:rPr>
          <w:rFonts w:ascii="Arial" w:hAnsi="Arial" w:cs="Arial"/>
          <w:b/>
          <w:sz w:val="22"/>
          <w:szCs w:val="22"/>
          <w:lang w:eastAsia="ja-JP"/>
        </w:rPr>
        <w:t>:</w:t>
      </w:r>
    </w:p>
    <w:p w14:paraId="4BFC469B" w14:textId="77777777" w:rsidR="00DA67E8" w:rsidRPr="00E846E4" w:rsidRDefault="00DA67E8" w:rsidP="002F600D">
      <w:pPr>
        <w:pStyle w:val="ListParagraph"/>
        <w:numPr>
          <w:ilvl w:val="0"/>
          <w:numId w:val="15"/>
        </w:numPr>
        <w:jc w:val="both"/>
        <w:rPr>
          <w:rFonts w:ascii="Arial" w:hAnsi="Arial" w:cs="Arial"/>
          <w:sz w:val="22"/>
          <w:szCs w:val="22"/>
        </w:rPr>
      </w:pPr>
      <w:r w:rsidRPr="00E846E4">
        <w:rPr>
          <w:rFonts w:ascii="Arial" w:hAnsi="Arial" w:cs="Arial"/>
          <w:sz w:val="22"/>
          <w:szCs w:val="22"/>
        </w:rPr>
        <w:t xml:space="preserve">To examine the number of cycles of </w:t>
      </w:r>
      <w:r>
        <w:rPr>
          <w:rFonts w:ascii="Arial" w:hAnsi="Arial" w:cs="Arial"/>
          <w:sz w:val="22"/>
          <w:szCs w:val="22"/>
          <w:lang w:eastAsia="ja-JP"/>
        </w:rPr>
        <w:t>pemetrexed/</w:t>
      </w:r>
      <w:r w:rsidR="000D4EA9">
        <w:rPr>
          <w:rFonts w:ascii="Arial" w:hAnsi="Arial" w:cs="Arial"/>
          <w:sz w:val="22"/>
          <w:szCs w:val="22"/>
          <w:lang w:eastAsia="ja-JP"/>
        </w:rPr>
        <w:t>platinum</w:t>
      </w:r>
      <w:r w:rsidR="000D4EA9" w:rsidRPr="00E846E4">
        <w:rPr>
          <w:rFonts w:ascii="Arial" w:hAnsi="Arial" w:cs="Arial"/>
          <w:sz w:val="22"/>
          <w:szCs w:val="22"/>
          <w:lang w:eastAsia="ja-JP"/>
        </w:rPr>
        <w:t xml:space="preserve"> </w:t>
      </w:r>
      <w:r w:rsidRPr="00E846E4">
        <w:rPr>
          <w:rFonts w:ascii="Arial" w:hAnsi="Arial" w:cs="Arial"/>
          <w:sz w:val="22"/>
          <w:szCs w:val="22"/>
        </w:rPr>
        <w:t>chemotherapy administered.</w:t>
      </w:r>
    </w:p>
    <w:p w14:paraId="282D97BB" w14:textId="77777777" w:rsidR="00DA67E8" w:rsidRPr="00E846E4" w:rsidRDefault="00DA67E8" w:rsidP="002F600D">
      <w:pPr>
        <w:pStyle w:val="CS-Text"/>
        <w:numPr>
          <w:ilvl w:val="0"/>
          <w:numId w:val="15"/>
        </w:numPr>
        <w:spacing w:after="0"/>
        <w:jc w:val="both"/>
        <w:rPr>
          <w:rFonts w:ascii="Arial" w:hAnsi="Arial" w:cs="Arial"/>
          <w:sz w:val="22"/>
          <w:szCs w:val="22"/>
        </w:rPr>
      </w:pPr>
      <w:r w:rsidRPr="00E846E4">
        <w:rPr>
          <w:rFonts w:ascii="Arial" w:hAnsi="Arial" w:cs="Arial"/>
          <w:sz w:val="22"/>
          <w:szCs w:val="22"/>
        </w:rPr>
        <w:t>To examine the frequency of all Adverse Events graded by NCI-CTCAE version 4.</w:t>
      </w:r>
    </w:p>
    <w:p w14:paraId="7822983A" w14:textId="77777777" w:rsidR="00DA67E8" w:rsidRPr="00E846E4" w:rsidRDefault="00DA67E8" w:rsidP="002F600D">
      <w:pPr>
        <w:pStyle w:val="CS-Text"/>
        <w:numPr>
          <w:ilvl w:val="0"/>
          <w:numId w:val="15"/>
        </w:numPr>
        <w:spacing w:after="0"/>
        <w:jc w:val="both"/>
        <w:rPr>
          <w:rFonts w:ascii="Arial" w:hAnsi="Arial" w:cs="Arial"/>
          <w:sz w:val="22"/>
          <w:szCs w:val="22"/>
        </w:rPr>
      </w:pPr>
      <w:r w:rsidRPr="00E846E4">
        <w:rPr>
          <w:rFonts w:ascii="Arial" w:hAnsi="Arial" w:cs="Arial"/>
          <w:sz w:val="22"/>
          <w:szCs w:val="22"/>
        </w:rPr>
        <w:t xml:space="preserve">To evaluate the incidence of Dose Limiting Toxicities (DLTs) according to each </w:t>
      </w:r>
      <w:r>
        <w:rPr>
          <w:rFonts w:ascii="Arial" w:hAnsi="Arial" w:cs="Arial"/>
          <w:sz w:val="22"/>
          <w:szCs w:val="22"/>
        </w:rPr>
        <w:t>ganetespib</w:t>
      </w:r>
      <w:r w:rsidRPr="00E846E4">
        <w:rPr>
          <w:rFonts w:ascii="Arial" w:hAnsi="Arial" w:cs="Arial"/>
          <w:sz w:val="22"/>
          <w:szCs w:val="22"/>
        </w:rPr>
        <w:t xml:space="preserve"> dose cohort.</w:t>
      </w:r>
    </w:p>
    <w:p w14:paraId="6236EB38" w14:textId="77777777" w:rsidR="00DA67E8" w:rsidRPr="00E846E4" w:rsidRDefault="00DA67E8" w:rsidP="002F600D">
      <w:pPr>
        <w:pStyle w:val="CS-Text"/>
        <w:numPr>
          <w:ilvl w:val="0"/>
          <w:numId w:val="15"/>
        </w:numPr>
        <w:spacing w:after="0"/>
        <w:jc w:val="both"/>
        <w:rPr>
          <w:rFonts w:ascii="Arial" w:hAnsi="Arial" w:cs="Arial"/>
          <w:sz w:val="22"/>
          <w:szCs w:val="22"/>
        </w:rPr>
      </w:pPr>
      <w:r w:rsidRPr="00E846E4">
        <w:rPr>
          <w:rFonts w:ascii="Arial" w:hAnsi="Arial" w:cs="Arial"/>
          <w:sz w:val="22"/>
          <w:szCs w:val="22"/>
        </w:rPr>
        <w:t xml:space="preserve">To examine the objective tumour response according to </w:t>
      </w:r>
      <w:r w:rsidRPr="00E846E4">
        <w:rPr>
          <w:rFonts w:ascii="Arial" w:hAnsi="Arial" w:cs="Arial"/>
          <w:sz w:val="22"/>
          <w:szCs w:val="22"/>
          <w:lang w:val="en-US"/>
        </w:rPr>
        <w:t>meso-modified RECIST</w:t>
      </w:r>
      <w:r w:rsidRPr="00E846E4">
        <w:rPr>
          <w:rFonts w:ascii="Arial" w:hAnsi="Arial" w:cs="Arial"/>
          <w:sz w:val="22"/>
          <w:szCs w:val="22"/>
        </w:rPr>
        <w:t>, and the overall response rate.</w:t>
      </w:r>
    </w:p>
    <w:p w14:paraId="6FEAB0D0" w14:textId="77777777" w:rsidR="00DA67E8" w:rsidRPr="00E846E4" w:rsidRDefault="00DA67E8" w:rsidP="002F600D">
      <w:pPr>
        <w:pStyle w:val="CS-Text"/>
        <w:numPr>
          <w:ilvl w:val="0"/>
          <w:numId w:val="15"/>
        </w:numPr>
        <w:spacing w:after="0"/>
        <w:rPr>
          <w:rFonts w:ascii="Arial" w:hAnsi="Arial" w:cs="Arial"/>
          <w:sz w:val="22"/>
          <w:szCs w:val="22"/>
        </w:rPr>
      </w:pPr>
      <w:r w:rsidRPr="00E846E4">
        <w:rPr>
          <w:rFonts w:ascii="Arial" w:hAnsi="Arial" w:cs="Arial"/>
          <w:sz w:val="22"/>
          <w:szCs w:val="22"/>
        </w:rPr>
        <w:t>To examine biomarkers for response, progression and survival within a translational resear</w:t>
      </w:r>
      <w:r w:rsidR="00FE51FB">
        <w:rPr>
          <w:rFonts w:ascii="Arial" w:hAnsi="Arial" w:cs="Arial"/>
          <w:sz w:val="22"/>
          <w:szCs w:val="22"/>
        </w:rPr>
        <w:t xml:space="preserve">ch </w:t>
      </w:r>
      <w:proofErr w:type="spellStart"/>
      <w:r w:rsidR="00FE51FB">
        <w:rPr>
          <w:rFonts w:ascii="Arial" w:hAnsi="Arial" w:cs="Arial"/>
          <w:sz w:val="22"/>
          <w:szCs w:val="22"/>
        </w:rPr>
        <w:t>substudy</w:t>
      </w:r>
      <w:proofErr w:type="spellEnd"/>
      <w:r w:rsidR="00FE51FB">
        <w:rPr>
          <w:rFonts w:ascii="Arial" w:hAnsi="Arial" w:cs="Arial"/>
          <w:sz w:val="22"/>
          <w:szCs w:val="22"/>
        </w:rPr>
        <w:t xml:space="preserve"> </w:t>
      </w:r>
      <w:r w:rsidRPr="00E846E4">
        <w:rPr>
          <w:rFonts w:ascii="Arial" w:hAnsi="Arial" w:cs="Arial"/>
          <w:sz w:val="22"/>
          <w:szCs w:val="22"/>
        </w:rPr>
        <w:t xml:space="preserve">(see </w:t>
      </w:r>
      <w:r w:rsidRPr="00D82F30">
        <w:rPr>
          <w:rFonts w:ascii="Arial" w:hAnsi="Arial" w:cs="Arial"/>
          <w:sz w:val="22"/>
          <w:szCs w:val="22"/>
        </w:rPr>
        <w:t>section 2.2.3</w:t>
      </w:r>
      <w:r w:rsidRPr="00E846E4">
        <w:rPr>
          <w:rFonts w:ascii="Arial" w:hAnsi="Arial" w:cs="Arial"/>
          <w:sz w:val="22"/>
          <w:szCs w:val="22"/>
        </w:rPr>
        <w:t xml:space="preserve"> for more details).</w:t>
      </w:r>
      <w:r w:rsidRPr="00E846E4">
        <w:rPr>
          <w:rFonts w:ascii="Arial" w:hAnsi="Arial" w:cs="Arial"/>
          <w:sz w:val="22"/>
          <w:szCs w:val="22"/>
        </w:rPr>
        <w:br/>
      </w:r>
    </w:p>
    <w:p w14:paraId="198E03DE" w14:textId="77777777" w:rsidR="00DA67E8" w:rsidRPr="00E846E4" w:rsidRDefault="00DA67E8" w:rsidP="00E846E4">
      <w:pPr>
        <w:jc w:val="both"/>
        <w:rPr>
          <w:rFonts w:ascii="Arial" w:hAnsi="Arial" w:cs="Arial"/>
          <w:sz w:val="22"/>
          <w:szCs w:val="22"/>
        </w:rPr>
      </w:pPr>
      <w:r w:rsidRPr="00E846E4">
        <w:rPr>
          <w:rFonts w:ascii="Arial" w:hAnsi="Arial" w:cs="Arial"/>
          <w:sz w:val="22"/>
          <w:szCs w:val="22"/>
        </w:rPr>
        <w:t xml:space="preserve">Both safety (i.e. the observed number of DLTs per cohort and the overall toxicity profile) and the number of chemotherapy cycles administered would be used to determine the final dose of </w:t>
      </w:r>
      <w:r>
        <w:rPr>
          <w:rFonts w:ascii="Arial" w:hAnsi="Arial" w:cs="Arial"/>
          <w:sz w:val="22"/>
          <w:szCs w:val="22"/>
        </w:rPr>
        <w:t>ganetespib</w:t>
      </w:r>
      <w:r w:rsidRPr="00E846E4">
        <w:rPr>
          <w:rFonts w:ascii="Arial" w:hAnsi="Arial" w:cs="Arial"/>
          <w:sz w:val="22"/>
          <w:szCs w:val="22"/>
        </w:rPr>
        <w:t xml:space="preserve"> to be used in the phase II trial.</w:t>
      </w:r>
    </w:p>
    <w:p w14:paraId="78370920" w14:textId="77777777" w:rsidR="00DA67E8" w:rsidRPr="00E846E4" w:rsidRDefault="00DA67E8" w:rsidP="00E846E4">
      <w:pPr>
        <w:jc w:val="both"/>
        <w:rPr>
          <w:rFonts w:ascii="Arial" w:hAnsi="Arial" w:cs="Arial"/>
          <w:b/>
          <w:bCs/>
          <w:sz w:val="22"/>
          <w:szCs w:val="22"/>
        </w:rPr>
      </w:pPr>
    </w:p>
    <w:p w14:paraId="72661AA4" w14:textId="77777777" w:rsidR="00DA67E8" w:rsidRPr="00E846E4" w:rsidRDefault="00DA67E8" w:rsidP="00E846E4">
      <w:pPr>
        <w:jc w:val="both"/>
        <w:rPr>
          <w:rFonts w:ascii="Arial" w:hAnsi="Arial" w:cs="Arial"/>
          <w:b/>
          <w:bCs/>
          <w:sz w:val="22"/>
          <w:szCs w:val="22"/>
        </w:rPr>
      </w:pPr>
      <w:r w:rsidRPr="00E846E4">
        <w:rPr>
          <w:rFonts w:ascii="Arial" w:hAnsi="Arial" w:cs="Arial"/>
          <w:b/>
          <w:bCs/>
          <w:sz w:val="22"/>
          <w:szCs w:val="22"/>
        </w:rPr>
        <w:t>Design:</w:t>
      </w:r>
    </w:p>
    <w:p w14:paraId="5218F5E5" w14:textId="77777777" w:rsidR="007629E4" w:rsidRDefault="00DA67E8" w:rsidP="00E846E4">
      <w:pPr>
        <w:jc w:val="both"/>
        <w:rPr>
          <w:rFonts w:ascii="Arial" w:hAnsi="Arial" w:cs="Arial"/>
          <w:bCs/>
          <w:sz w:val="22"/>
          <w:szCs w:val="22"/>
        </w:rPr>
      </w:pPr>
      <w:r w:rsidRPr="00E846E4">
        <w:rPr>
          <w:rFonts w:ascii="Arial" w:hAnsi="Arial" w:cs="Arial"/>
          <w:bCs/>
          <w:sz w:val="22"/>
          <w:szCs w:val="22"/>
        </w:rPr>
        <w:t xml:space="preserve">In the phase I trial, 3 or 6 patients per dose cohort will be used. A further </w:t>
      </w:r>
      <w:r w:rsidR="004F0C24">
        <w:rPr>
          <w:rFonts w:ascii="Arial" w:hAnsi="Arial" w:cs="Arial"/>
          <w:bCs/>
          <w:sz w:val="22"/>
          <w:szCs w:val="22"/>
        </w:rPr>
        <w:t xml:space="preserve">3 or </w:t>
      </w:r>
      <w:r w:rsidRPr="00E846E4">
        <w:rPr>
          <w:rFonts w:ascii="Arial" w:hAnsi="Arial" w:cs="Arial"/>
          <w:bCs/>
          <w:sz w:val="22"/>
          <w:szCs w:val="22"/>
        </w:rPr>
        <w:t>6</w:t>
      </w:r>
      <w:r w:rsidR="004F0C24">
        <w:rPr>
          <w:rFonts w:ascii="Arial" w:hAnsi="Arial" w:cs="Arial"/>
          <w:bCs/>
          <w:sz w:val="22"/>
          <w:szCs w:val="22"/>
        </w:rPr>
        <w:t xml:space="preserve"> (to give a total of 9 in the cohort)</w:t>
      </w:r>
      <w:r w:rsidRPr="00E846E4">
        <w:rPr>
          <w:rFonts w:ascii="Arial" w:hAnsi="Arial" w:cs="Arial"/>
          <w:bCs/>
          <w:sz w:val="22"/>
          <w:szCs w:val="22"/>
        </w:rPr>
        <w:t xml:space="preserve"> would be allocated to the maxim</w:t>
      </w:r>
      <w:r>
        <w:rPr>
          <w:rFonts w:ascii="Arial" w:hAnsi="Arial" w:cs="Arial"/>
          <w:bCs/>
          <w:sz w:val="22"/>
          <w:szCs w:val="22"/>
        </w:rPr>
        <w:t>um tolerated dose</w:t>
      </w:r>
      <w:r w:rsidRPr="00E846E4">
        <w:rPr>
          <w:rFonts w:ascii="Arial" w:hAnsi="Arial" w:cs="Arial"/>
          <w:bCs/>
          <w:sz w:val="22"/>
          <w:szCs w:val="22"/>
        </w:rPr>
        <w:t>.</w:t>
      </w:r>
      <w:r w:rsidR="004F0C24">
        <w:rPr>
          <w:rFonts w:ascii="Arial" w:hAnsi="Arial" w:cs="Arial"/>
          <w:bCs/>
          <w:sz w:val="22"/>
          <w:szCs w:val="22"/>
        </w:rPr>
        <w:t xml:space="preserve"> </w:t>
      </w:r>
    </w:p>
    <w:p w14:paraId="229E36D2" w14:textId="31BB18D9" w:rsidR="00DA67E8" w:rsidRDefault="004F62E0" w:rsidP="00E846E4">
      <w:pPr>
        <w:jc w:val="both"/>
        <w:rPr>
          <w:rFonts w:ascii="Arial" w:hAnsi="Arial" w:cs="Arial"/>
          <w:bCs/>
          <w:sz w:val="22"/>
          <w:szCs w:val="22"/>
        </w:rPr>
      </w:pPr>
      <w:r>
        <w:rPr>
          <w:rFonts w:ascii="Arial" w:hAnsi="Arial" w:cs="Arial"/>
          <w:bCs/>
          <w:sz w:val="22"/>
          <w:szCs w:val="22"/>
        </w:rPr>
        <w:t>In parallel to</w:t>
      </w:r>
      <w:r w:rsidR="007629E4">
        <w:rPr>
          <w:rFonts w:ascii="Arial" w:hAnsi="Arial" w:cs="Arial"/>
          <w:bCs/>
          <w:sz w:val="22"/>
          <w:szCs w:val="22"/>
        </w:rPr>
        <w:t xml:space="preserve"> this</w:t>
      </w:r>
      <w:r w:rsidR="0065133E">
        <w:rPr>
          <w:rFonts w:ascii="Arial" w:hAnsi="Arial" w:cs="Arial"/>
          <w:bCs/>
          <w:sz w:val="22"/>
          <w:szCs w:val="22"/>
        </w:rPr>
        <w:t xml:space="preserve">, </w:t>
      </w:r>
      <w:r w:rsidR="004F0C24">
        <w:rPr>
          <w:rFonts w:ascii="Arial" w:hAnsi="Arial" w:cs="Arial"/>
          <w:bCs/>
          <w:sz w:val="22"/>
          <w:szCs w:val="22"/>
        </w:rPr>
        <w:t xml:space="preserve">additional </w:t>
      </w:r>
      <w:r w:rsidR="007629E4">
        <w:rPr>
          <w:rFonts w:ascii="Arial" w:hAnsi="Arial" w:cs="Arial"/>
          <w:bCs/>
          <w:sz w:val="22"/>
          <w:szCs w:val="22"/>
        </w:rPr>
        <w:t>patients</w:t>
      </w:r>
      <w:r w:rsidR="004F0C24">
        <w:rPr>
          <w:rFonts w:ascii="Arial" w:hAnsi="Arial" w:cs="Arial"/>
          <w:bCs/>
          <w:sz w:val="22"/>
          <w:szCs w:val="22"/>
        </w:rPr>
        <w:t xml:space="preserve"> will be treated with ganetespib</w:t>
      </w:r>
      <w:r w:rsidR="00DC7621">
        <w:rPr>
          <w:rFonts w:ascii="Arial" w:hAnsi="Arial" w:cs="Arial"/>
          <w:bCs/>
          <w:sz w:val="22"/>
          <w:szCs w:val="22"/>
        </w:rPr>
        <w:t>,</w:t>
      </w:r>
      <w:r w:rsidR="004F0C24">
        <w:rPr>
          <w:rFonts w:ascii="Arial" w:hAnsi="Arial" w:cs="Arial"/>
          <w:bCs/>
          <w:sz w:val="22"/>
          <w:szCs w:val="22"/>
        </w:rPr>
        <w:t xml:space="preserve"> pemetrexed and carboplatin</w:t>
      </w:r>
      <w:r w:rsidR="005A02FB">
        <w:rPr>
          <w:rFonts w:ascii="Arial" w:hAnsi="Arial" w:cs="Arial"/>
          <w:bCs/>
          <w:sz w:val="22"/>
          <w:szCs w:val="22"/>
        </w:rPr>
        <w:t xml:space="preserve"> (</w:t>
      </w:r>
      <w:r w:rsidR="005A02FB" w:rsidRPr="00E01E79">
        <w:rPr>
          <w:rFonts w:ascii="Arial" w:hAnsi="Arial" w:cs="Arial"/>
          <w:bCs/>
          <w:color w:val="000000"/>
          <w:sz w:val="22"/>
          <w:lang w:val="en-US"/>
        </w:rPr>
        <w:t>AUC5</w:t>
      </w:r>
      <w:r w:rsidR="005A02FB">
        <w:rPr>
          <w:rFonts w:ascii="Arial" w:hAnsi="Arial" w:cs="Arial"/>
          <w:bCs/>
          <w:color w:val="000000"/>
          <w:sz w:val="22"/>
          <w:lang w:val="en-US"/>
        </w:rPr>
        <w:t>)</w:t>
      </w:r>
      <w:r w:rsidR="00D03C44">
        <w:rPr>
          <w:rFonts w:ascii="Arial" w:hAnsi="Arial" w:cs="Arial"/>
          <w:bCs/>
          <w:sz w:val="22"/>
          <w:szCs w:val="22"/>
        </w:rPr>
        <w:t>.</w:t>
      </w:r>
      <w:r w:rsidR="004F0C24">
        <w:rPr>
          <w:rFonts w:ascii="Arial" w:hAnsi="Arial" w:cs="Arial"/>
          <w:bCs/>
          <w:sz w:val="22"/>
          <w:szCs w:val="22"/>
        </w:rPr>
        <w:t xml:space="preserve"> If treatment with carboplatin is confirmed to be safe and tolerable, the option of treating patients with either cisplatin or carboplatin during phase II will be taken</w:t>
      </w:r>
      <w:r w:rsidR="006162CD">
        <w:rPr>
          <w:rFonts w:ascii="Arial" w:hAnsi="Arial" w:cs="Arial"/>
          <w:bCs/>
          <w:sz w:val="22"/>
          <w:szCs w:val="22"/>
        </w:rPr>
        <w:t>, because these two drugs have similar effects (and in practice clinicians choose one or the other, depending on expected patient tolerability)</w:t>
      </w:r>
      <w:r w:rsidR="00D03C44">
        <w:rPr>
          <w:rFonts w:ascii="Arial" w:hAnsi="Arial" w:cs="Arial"/>
          <w:bCs/>
          <w:sz w:val="22"/>
          <w:szCs w:val="22"/>
        </w:rPr>
        <w:t>.</w:t>
      </w:r>
    </w:p>
    <w:p w14:paraId="2AA9EDF5" w14:textId="77777777" w:rsidR="00DA67E8" w:rsidRDefault="00DA67E8" w:rsidP="00E846E4">
      <w:pPr>
        <w:jc w:val="both"/>
        <w:rPr>
          <w:rFonts w:ascii="Arial" w:hAnsi="Arial" w:cs="Arial"/>
          <w:bCs/>
          <w:sz w:val="22"/>
          <w:szCs w:val="22"/>
        </w:rPr>
      </w:pPr>
    </w:p>
    <w:p w14:paraId="541A9769" w14:textId="77777777" w:rsidR="00DA67E8" w:rsidRPr="00FC20CF" w:rsidRDefault="00DA67E8" w:rsidP="00BC3474">
      <w:pPr>
        <w:pStyle w:val="Heading3"/>
        <w:spacing w:before="480"/>
        <w:ind w:left="851" w:hanging="851"/>
      </w:pPr>
      <w:r w:rsidRPr="00FC20CF">
        <w:tab/>
      </w:r>
      <w:bookmarkStart w:id="81" w:name="_Toc471826730"/>
      <w:bookmarkStart w:id="82" w:name="_Toc528323496"/>
      <w:r w:rsidRPr="00FC20CF">
        <w:t>Randomised phase II trial</w:t>
      </w:r>
      <w:bookmarkEnd w:id="81"/>
      <w:bookmarkEnd w:id="82"/>
    </w:p>
    <w:p w14:paraId="1B2F74F5" w14:textId="77777777" w:rsidR="00DA67E8" w:rsidRDefault="00DA67E8" w:rsidP="00C357BE">
      <w:pPr>
        <w:jc w:val="both"/>
        <w:rPr>
          <w:rFonts w:ascii="Arial" w:hAnsi="Arial" w:cs="Arial"/>
          <w:bCs/>
          <w:sz w:val="22"/>
          <w:szCs w:val="22"/>
        </w:rPr>
      </w:pPr>
      <w:r w:rsidRPr="00C357BE">
        <w:rPr>
          <w:rFonts w:ascii="Arial" w:hAnsi="Arial" w:cs="Arial"/>
          <w:bCs/>
          <w:sz w:val="22"/>
          <w:szCs w:val="22"/>
        </w:rPr>
        <w:t xml:space="preserve">The phase II trial will not start until the dose of </w:t>
      </w:r>
      <w:r>
        <w:rPr>
          <w:rFonts w:ascii="Arial" w:hAnsi="Arial" w:cs="Arial"/>
          <w:sz w:val="22"/>
          <w:szCs w:val="22"/>
        </w:rPr>
        <w:t>ganetespib</w:t>
      </w:r>
      <w:r w:rsidRPr="00C357BE">
        <w:rPr>
          <w:rFonts w:ascii="Arial" w:hAnsi="Arial" w:cs="Arial"/>
          <w:bCs/>
          <w:sz w:val="22"/>
          <w:szCs w:val="22"/>
        </w:rPr>
        <w:t xml:space="preserve"> has been determined by the phase I stage</w:t>
      </w:r>
      <w:r>
        <w:rPr>
          <w:rFonts w:ascii="Arial" w:hAnsi="Arial" w:cs="Arial"/>
          <w:bCs/>
          <w:sz w:val="22"/>
          <w:szCs w:val="22"/>
        </w:rPr>
        <w:t xml:space="preserve">, and there has been agreement by the Sponsor and </w:t>
      </w:r>
      <w:proofErr w:type="spellStart"/>
      <w:r>
        <w:rPr>
          <w:rFonts w:ascii="Arial" w:hAnsi="Arial" w:cs="Arial"/>
          <w:bCs/>
          <w:sz w:val="22"/>
          <w:szCs w:val="22"/>
        </w:rPr>
        <w:t>Synta</w:t>
      </w:r>
      <w:proofErr w:type="spellEnd"/>
      <w:r>
        <w:rPr>
          <w:rFonts w:ascii="Arial" w:hAnsi="Arial" w:cs="Arial"/>
          <w:bCs/>
          <w:sz w:val="22"/>
          <w:szCs w:val="22"/>
        </w:rPr>
        <w:t xml:space="preserve"> Pharmaceuticals Corp. </w:t>
      </w:r>
      <w:r w:rsidR="0037254E">
        <w:rPr>
          <w:rFonts w:ascii="Arial" w:hAnsi="Arial" w:cs="Arial"/>
          <w:bCs/>
          <w:sz w:val="22"/>
          <w:szCs w:val="22"/>
        </w:rPr>
        <w:t>t</w:t>
      </w:r>
      <w:r>
        <w:rPr>
          <w:rFonts w:ascii="Arial" w:hAnsi="Arial" w:cs="Arial"/>
          <w:bCs/>
          <w:sz w:val="22"/>
          <w:szCs w:val="22"/>
        </w:rPr>
        <w:t>o continue to phase II</w:t>
      </w:r>
      <w:r w:rsidRPr="00C357BE">
        <w:rPr>
          <w:rFonts w:ascii="Arial" w:hAnsi="Arial" w:cs="Arial"/>
          <w:bCs/>
          <w:sz w:val="22"/>
          <w:szCs w:val="22"/>
        </w:rPr>
        <w:t>.</w:t>
      </w:r>
      <w:r w:rsidR="004F0C24">
        <w:rPr>
          <w:rFonts w:ascii="Arial" w:hAnsi="Arial" w:cs="Arial"/>
          <w:bCs/>
          <w:sz w:val="22"/>
          <w:szCs w:val="22"/>
        </w:rPr>
        <w:t xml:space="preserve"> The decision to allow the option of treating patients with pemetrexed/carboplatin instead of pemetrexed/cisplatin during phase II (at the treating clinician’s discretion) will </w:t>
      </w:r>
      <w:r w:rsidR="006440E1">
        <w:rPr>
          <w:rFonts w:ascii="Arial" w:hAnsi="Arial" w:cs="Arial"/>
          <w:bCs/>
          <w:sz w:val="22"/>
          <w:szCs w:val="22"/>
        </w:rPr>
        <w:t xml:space="preserve">also </w:t>
      </w:r>
      <w:r w:rsidR="004F0C24">
        <w:rPr>
          <w:rFonts w:ascii="Arial" w:hAnsi="Arial" w:cs="Arial"/>
          <w:bCs/>
          <w:sz w:val="22"/>
          <w:szCs w:val="22"/>
        </w:rPr>
        <w:t xml:space="preserve">be </w:t>
      </w:r>
      <w:r w:rsidR="006440E1">
        <w:rPr>
          <w:rFonts w:ascii="Arial" w:hAnsi="Arial" w:cs="Arial"/>
          <w:bCs/>
          <w:sz w:val="22"/>
          <w:szCs w:val="22"/>
        </w:rPr>
        <w:t xml:space="preserve">made at this time. </w:t>
      </w:r>
      <w:r w:rsidR="004F0C24">
        <w:rPr>
          <w:rFonts w:ascii="Arial" w:hAnsi="Arial" w:cs="Arial"/>
          <w:bCs/>
          <w:sz w:val="22"/>
          <w:szCs w:val="22"/>
        </w:rPr>
        <w:t xml:space="preserve"> </w:t>
      </w:r>
    </w:p>
    <w:p w14:paraId="06A69E5E" w14:textId="77777777" w:rsidR="00BC0CDE" w:rsidRDefault="00BC0CDE" w:rsidP="00C357BE">
      <w:pPr>
        <w:jc w:val="both"/>
        <w:rPr>
          <w:rFonts w:ascii="Arial" w:hAnsi="Arial" w:cs="Arial"/>
          <w:bCs/>
          <w:sz w:val="22"/>
          <w:szCs w:val="22"/>
        </w:rPr>
      </w:pPr>
    </w:p>
    <w:p w14:paraId="0CDFEB46" w14:textId="15ECAFA0" w:rsidR="00BC0CDE" w:rsidRDefault="00495549" w:rsidP="00C357BE">
      <w:pPr>
        <w:jc w:val="both"/>
        <w:rPr>
          <w:rFonts w:ascii="Arial" w:hAnsi="Arial" w:cs="Arial"/>
          <w:bCs/>
          <w:sz w:val="22"/>
          <w:szCs w:val="22"/>
        </w:rPr>
      </w:pPr>
      <w:r w:rsidRPr="00495549">
        <w:rPr>
          <w:rFonts w:ascii="Arial" w:hAnsi="Arial" w:cs="Arial"/>
          <w:b/>
          <w:sz w:val="20"/>
          <w:szCs w:val="20"/>
        </w:rPr>
        <w:t>The trial will no longer proceed to phase II following the bus</w:t>
      </w:r>
      <w:r>
        <w:rPr>
          <w:rFonts w:ascii="Arial" w:hAnsi="Arial" w:cs="Arial"/>
          <w:b/>
          <w:sz w:val="20"/>
          <w:szCs w:val="20"/>
        </w:rPr>
        <w:t>iness decision by Madrigal Phar</w:t>
      </w:r>
      <w:r w:rsidRPr="00495549">
        <w:rPr>
          <w:rFonts w:ascii="Arial" w:hAnsi="Arial" w:cs="Arial"/>
          <w:b/>
          <w:sz w:val="20"/>
          <w:szCs w:val="20"/>
        </w:rPr>
        <w:t>m</w:t>
      </w:r>
      <w:r>
        <w:rPr>
          <w:rFonts w:ascii="Arial" w:hAnsi="Arial" w:cs="Arial"/>
          <w:b/>
          <w:sz w:val="20"/>
          <w:szCs w:val="20"/>
        </w:rPr>
        <w:t>a</w:t>
      </w:r>
      <w:r w:rsidRPr="00495549">
        <w:rPr>
          <w:rFonts w:ascii="Arial" w:hAnsi="Arial" w:cs="Arial"/>
          <w:b/>
          <w:sz w:val="20"/>
          <w:szCs w:val="20"/>
        </w:rPr>
        <w:t>ceuticals Inc</w:t>
      </w:r>
      <w:r w:rsidR="006169A5">
        <w:rPr>
          <w:rFonts w:ascii="Arial" w:hAnsi="Arial" w:cs="Arial"/>
          <w:b/>
          <w:sz w:val="20"/>
          <w:szCs w:val="20"/>
        </w:rPr>
        <w:t>.</w:t>
      </w:r>
      <w:r w:rsidRPr="00495549">
        <w:rPr>
          <w:rFonts w:ascii="Arial" w:hAnsi="Arial" w:cs="Arial"/>
          <w:b/>
          <w:sz w:val="20"/>
          <w:szCs w:val="20"/>
        </w:rPr>
        <w:t xml:space="preserve"> (formerly </w:t>
      </w:r>
      <w:proofErr w:type="spellStart"/>
      <w:r w:rsidRPr="00495549">
        <w:rPr>
          <w:rFonts w:ascii="Arial" w:hAnsi="Arial" w:cs="Arial"/>
          <w:b/>
          <w:sz w:val="20"/>
          <w:szCs w:val="20"/>
        </w:rPr>
        <w:t>Synta</w:t>
      </w:r>
      <w:proofErr w:type="spellEnd"/>
      <w:r w:rsidRPr="00495549">
        <w:rPr>
          <w:rFonts w:ascii="Arial" w:hAnsi="Arial" w:cs="Arial"/>
          <w:b/>
          <w:sz w:val="20"/>
          <w:szCs w:val="20"/>
        </w:rPr>
        <w:t xml:space="preserve"> Pharmaceuticals Corp</w:t>
      </w:r>
      <w:r w:rsidR="006169A5">
        <w:rPr>
          <w:rFonts w:ascii="Arial" w:hAnsi="Arial" w:cs="Arial"/>
          <w:b/>
          <w:sz w:val="20"/>
          <w:szCs w:val="20"/>
        </w:rPr>
        <w:t>.</w:t>
      </w:r>
      <w:r w:rsidRPr="00495549">
        <w:rPr>
          <w:rFonts w:ascii="Arial" w:hAnsi="Arial" w:cs="Arial"/>
          <w:b/>
          <w:sz w:val="20"/>
          <w:szCs w:val="20"/>
        </w:rPr>
        <w:t>) to cease development of ganetespib in this population.</w:t>
      </w:r>
    </w:p>
    <w:p w14:paraId="055186FE" w14:textId="77777777" w:rsidR="00BC0CDE" w:rsidRPr="00C357BE" w:rsidRDefault="00BC0CDE" w:rsidP="00C357BE">
      <w:pPr>
        <w:jc w:val="both"/>
        <w:rPr>
          <w:rFonts w:ascii="Arial" w:hAnsi="Arial" w:cs="Arial"/>
          <w:bCs/>
          <w:sz w:val="22"/>
          <w:szCs w:val="22"/>
        </w:rPr>
      </w:pPr>
    </w:p>
    <w:p w14:paraId="23B47858" w14:textId="77777777" w:rsidR="00DA67E8" w:rsidRPr="00C357BE" w:rsidRDefault="00DA67E8" w:rsidP="00C357BE">
      <w:pPr>
        <w:pStyle w:val="CTR-Text"/>
        <w:rPr>
          <w:rFonts w:ascii="Arial" w:hAnsi="Arial" w:cs="Arial"/>
          <w:sz w:val="22"/>
          <w:szCs w:val="22"/>
          <w:lang w:eastAsia="ja-JP"/>
        </w:rPr>
      </w:pPr>
      <w:r w:rsidRPr="00C357BE">
        <w:rPr>
          <w:rFonts w:ascii="Arial" w:hAnsi="Arial" w:cs="Arial"/>
          <w:b/>
          <w:sz w:val="22"/>
          <w:szCs w:val="22"/>
          <w:lang w:eastAsia="ja-JP"/>
        </w:rPr>
        <w:t xml:space="preserve">Primary </w:t>
      </w:r>
      <w:r w:rsidRPr="00C357BE">
        <w:rPr>
          <w:rFonts w:ascii="Arial" w:hAnsi="Arial" w:cs="Arial"/>
          <w:b/>
          <w:sz w:val="22"/>
          <w:szCs w:val="22"/>
          <w:lang w:val="en-US"/>
        </w:rPr>
        <w:t>objective</w:t>
      </w:r>
      <w:r w:rsidRPr="00C357BE">
        <w:rPr>
          <w:rFonts w:ascii="Arial" w:hAnsi="Arial" w:cs="Arial"/>
          <w:b/>
          <w:sz w:val="22"/>
          <w:szCs w:val="22"/>
          <w:lang w:eastAsia="ja-JP"/>
        </w:rPr>
        <w:t xml:space="preserve">: </w:t>
      </w:r>
      <w:r w:rsidRPr="00C357BE">
        <w:rPr>
          <w:rFonts w:ascii="Arial" w:hAnsi="Arial" w:cs="Arial"/>
          <w:b/>
          <w:sz w:val="22"/>
          <w:szCs w:val="22"/>
          <w:lang w:eastAsia="ja-JP"/>
        </w:rPr>
        <w:br/>
      </w:r>
      <w:r w:rsidRPr="00C357BE">
        <w:rPr>
          <w:rFonts w:ascii="Arial" w:hAnsi="Arial" w:cs="Arial"/>
          <w:sz w:val="22"/>
          <w:szCs w:val="22"/>
          <w:lang w:eastAsia="ja-JP"/>
        </w:rPr>
        <w:t xml:space="preserve">To examine whether Progression Free Survival (PFS) is improved in patients given </w:t>
      </w:r>
      <w:r>
        <w:rPr>
          <w:rFonts w:ascii="Arial" w:hAnsi="Arial" w:cs="Arial"/>
          <w:sz w:val="22"/>
          <w:szCs w:val="22"/>
          <w:lang w:eastAsia="ja-JP"/>
        </w:rPr>
        <w:t>g</w:t>
      </w:r>
      <w:r>
        <w:rPr>
          <w:rFonts w:ascii="Arial" w:hAnsi="Arial" w:cs="Arial"/>
          <w:sz w:val="22"/>
          <w:szCs w:val="22"/>
        </w:rPr>
        <w:t>anetespib</w:t>
      </w:r>
      <w:r w:rsidRPr="00C357BE">
        <w:rPr>
          <w:rFonts w:ascii="Arial" w:hAnsi="Arial" w:cs="Arial"/>
          <w:sz w:val="22"/>
          <w:szCs w:val="22"/>
          <w:lang w:eastAsia="ja-JP"/>
        </w:rPr>
        <w:t xml:space="preserve">, compared to those given </w:t>
      </w:r>
      <w:r w:rsidR="00507641">
        <w:rPr>
          <w:rFonts w:ascii="Arial" w:hAnsi="Arial" w:cs="Arial"/>
          <w:sz w:val="22"/>
          <w:szCs w:val="22"/>
          <w:lang w:eastAsia="ja-JP"/>
        </w:rPr>
        <w:t>pemetrexed/</w:t>
      </w:r>
      <w:r w:rsidR="00D03C44">
        <w:rPr>
          <w:rFonts w:ascii="Arial" w:hAnsi="Arial" w:cs="Arial"/>
          <w:sz w:val="22"/>
          <w:szCs w:val="22"/>
          <w:lang w:eastAsia="ja-JP"/>
        </w:rPr>
        <w:t>platinum (</w:t>
      </w:r>
      <w:r w:rsidR="00507641">
        <w:rPr>
          <w:rFonts w:ascii="Arial" w:hAnsi="Arial" w:cs="Arial"/>
          <w:sz w:val="22"/>
          <w:szCs w:val="22"/>
          <w:lang w:eastAsia="ja-JP"/>
        </w:rPr>
        <w:t xml:space="preserve">cisplatin </w:t>
      </w:r>
      <w:r w:rsidR="006440E1">
        <w:rPr>
          <w:rFonts w:ascii="Arial" w:hAnsi="Arial" w:cs="Arial"/>
          <w:sz w:val="22"/>
          <w:szCs w:val="22"/>
          <w:lang w:eastAsia="ja-JP"/>
        </w:rPr>
        <w:t>or carboplatin</w:t>
      </w:r>
      <w:r w:rsidR="00D03C44">
        <w:rPr>
          <w:rFonts w:ascii="Arial" w:hAnsi="Arial" w:cs="Arial"/>
          <w:sz w:val="22"/>
          <w:szCs w:val="22"/>
          <w:lang w:eastAsia="ja-JP"/>
        </w:rPr>
        <w:t>)</w:t>
      </w:r>
      <w:r w:rsidR="006440E1">
        <w:rPr>
          <w:rFonts w:ascii="Arial" w:hAnsi="Arial" w:cs="Arial"/>
          <w:sz w:val="22"/>
          <w:szCs w:val="22"/>
          <w:lang w:eastAsia="ja-JP"/>
        </w:rPr>
        <w:t xml:space="preserve"> </w:t>
      </w:r>
      <w:r w:rsidR="00507641">
        <w:rPr>
          <w:rFonts w:ascii="Arial" w:hAnsi="Arial" w:cs="Arial"/>
          <w:sz w:val="22"/>
          <w:szCs w:val="22"/>
          <w:lang w:eastAsia="ja-JP"/>
        </w:rPr>
        <w:t>alone</w:t>
      </w:r>
      <w:r w:rsidRPr="00C357BE">
        <w:rPr>
          <w:rFonts w:ascii="Arial" w:hAnsi="Arial" w:cs="Arial"/>
          <w:sz w:val="22"/>
          <w:szCs w:val="22"/>
          <w:lang w:eastAsia="ja-JP"/>
        </w:rPr>
        <w:t xml:space="preserve"> (a trial of superiority).</w:t>
      </w:r>
    </w:p>
    <w:p w14:paraId="5D79990A" w14:textId="77777777" w:rsidR="00DA67E8" w:rsidRPr="00C357BE" w:rsidRDefault="00DA67E8" w:rsidP="00C357BE">
      <w:pPr>
        <w:pStyle w:val="CTR-Text"/>
        <w:spacing w:after="0"/>
        <w:jc w:val="both"/>
        <w:rPr>
          <w:rFonts w:ascii="Arial" w:hAnsi="Arial" w:cs="Arial"/>
          <w:b/>
          <w:sz w:val="22"/>
          <w:szCs w:val="22"/>
          <w:lang w:eastAsia="ja-JP"/>
        </w:rPr>
      </w:pPr>
      <w:r w:rsidRPr="00C357BE">
        <w:rPr>
          <w:rFonts w:ascii="Arial" w:hAnsi="Arial" w:cs="Arial"/>
          <w:b/>
          <w:sz w:val="22"/>
          <w:szCs w:val="22"/>
          <w:lang w:eastAsia="ja-JP"/>
        </w:rPr>
        <w:t xml:space="preserve">Secondary </w:t>
      </w:r>
      <w:r w:rsidRPr="00C357BE">
        <w:rPr>
          <w:rFonts w:ascii="Arial" w:hAnsi="Arial" w:cs="Arial"/>
          <w:b/>
          <w:sz w:val="22"/>
          <w:szCs w:val="22"/>
          <w:lang w:val="en-US"/>
        </w:rPr>
        <w:t>objectives</w:t>
      </w:r>
      <w:r w:rsidRPr="00C357BE">
        <w:rPr>
          <w:rFonts w:ascii="Arial" w:hAnsi="Arial" w:cs="Arial"/>
          <w:b/>
          <w:sz w:val="22"/>
          <w:szCs w:val="22"/>
          <w:lang w:eastAsia="ja-JP"/>
        </w:rPr>
        <w:t>:</w:t>
      </w:r>
    </w:p>
    <w:p w14:paraId="1CF10301" w14:textId="77777777" w:rsidR="00DA67E8" w:rsidRPr="00C357BE" w:rsidRDefault="00DA67E8" w:rsidP="002F600D">
      <w:pPr>
        <w:pStyle w:val="CTR-Text"/>
        <w:numPr>
          <w:ilvl w:val="0"/>
          <w:numId w:val="16"/>
        </w:numPr>
        <w:spacing w:after="0"/>
        <w:jc w:val="both"/>
        <w:rPr>
          <w:rFonts w:ascii="Arial" w:hAnsi="Arial" w:cs="Arial"/>
          <w:sz w:val="22"/>
          <w:szCs w:val="22"/>
        </w:rPr>
      </w:pPr>
      <w:r w:rsidRPr="00C357BE">
        <w:rPr>
          <w:rFonts w:ascii="Arial" w:hAnsi="Arial" w:cs="Arial"/>
          <w:sz w:val="22"/>
          <w:szCs w:val="22"/>
        </w:rPr>
        <w:t xml:space="preserve">To examine the frequency of all Adverse Events graded by NCI-CTCAE version 4, in particular those with </w:t>
      </w:r>
      <w:r>
        <w:rPr>
          <w:rFonts w:ascii="Arial" w:hAnsi="Arial" w:cs="Arial"/>
          <w:sz w:val="22"/>
          <w:szCs w:val="22"/>
        </w:rPr>
        <w:t xml:space="preserve">events of greater than or equal to </w:t>
      </w:r>
      <w:r w:rsidRPr="00C357BE">
        <w:rPr>
          <w:rFonts w:ascii="Arial" w:hAnsi="Arial" w:cs="Arial"/>
          <w:sz w:val="22"/>
          <w:szCs w:val="22"/>
        </w:rPr>
        <w:t>grade 3.</w:t>
      </w:r>
    </w:p>
    <w:p w14:paraId="650D0631" w14:textId="77777777" w:rsidR="00DA67E8" w:rsidRPr="00C357BE" w:rsidRDefault="00DA67E8" w:rsidP="002F600D">
      <w:pPr>
        <w:pStyle w:val="CTR-Text"/>
        <w:numPr>
          <w:ilvl w:val="0"/>
          <w:numId w:val="16"/>
        </w:numPr>
        <w:spacing w:after="0"/>
        <w:jc w:val="both"/>
        <w:rPr>
          <w:rFonts w:ascii="Arial" w:hAnsi="Arial" w:cs="Arial"/>
          <w:sz w:val="22"/>
          <w:szCs w:val="22"/>
        </w:rPr>
      </w:pPr>
      <w:r w:rsidRPr="00C357BE">
        <w:rPr>
          <w:rFonts w:ascii="Arial" w:hAnsi="Arial" w:cs="Arial"/>
          <w:sz w:val="22"/>
          <w:szCs w:val="22"/>
        </w:rPr>
        <w:t xml:space="preserve">To examine the objective tumour response according to </w:t>
      </w:r>
      <w:r w:rsidRPr="00C357BE">
        <w:rPr>
          <w:rFonts w:ascii="Arial" w:hAnsi="Arial" w:cs="Arial"/>
          <w:sz w:val="22"/>
          <w:szCs w:val="22"/>
          <w:lang w:val="en-US"/>
        </w:rPr>
        <w:t>meso-modified RECIST</w:t>
      </w:r>
      <w:r w:rsidRPr="00C357BE">
        <w:rPr>
          <w:rFonts w:ascii="Arial" w:hAnsi="Arial" w:cs="Arial"/>
          <w:sz w:val="22"/>
          <w:szCs w:val="22"/>
        </w:rPr>
        <w:t>, and the overall response rate.</w:t>
      </w:r>
    </w:p>
    <w:p w14:paraId="3FB374EB" w14:textId="77777777" w:rsidR="00DA67E8" w:rsidRPr="00C357BE" w:rsidRDefault="00DA67E8" w:rsidP="002F600D">
      <w:pPr>
        <w:pStyle w:val="CTR-Text"/>
        <w:numPr>
          <w:ilvl w:val="0"/>
          <w:numId w:val="16"/>
        </w:numPr>
        <w:spacing w:after="100" w:afterAutospacing="1"/>
        <w:jc w:val="both"/>
        <w:rPr>
          <w:rFonts w:ascii="Arial" w:hAnsi="Arial" w:cs="Arial"/>
          <w:sz w:val="22"/>
          <w:szCs w:val="22"/>
        </w:rPr>
      </w:pPr>
      <w:r w:rsidRPr="00C357BE">
        <w:rPr>
          <w:rFonts w:ascii="Arial" w:hAnsi="Arial" w:cs="Arial"/>
          <w:sz w:val="22"/>
          <w:szCs w:val="22"/>
        </w:rPr>
        <w:t>To examine overall survival.</w:t>
      </w:r>
    </w:p>
    <w:p w14:paraId="62994385" w14:textId="77777777" w:rsidR="00DA67E8" w:rsidRDefault="00DA67E8" w:rsidP="002F600D">
      <w:pPr>
        <w:pStyle w:val="CTR-Text"/>
        <w:numPr>
          <w:ilvl w:val="0"/>
          <w:numId w:val="16"/>
        </w:numPr>
        <w:spacing w:after="100" w:afterAutospacing="1"/>
        <w:jc w:val="both"/>
        <w:rPr>
          <w:rFonts w:ascii="Arial" w:hAnsi="Arial" w:cs="Arial"/>
          <w:sz w:val="22"/>
          <w:szCs w:val="22"/>
        </w:rPr>
      </w:pPr>
      <w:r w:rsidRPr="00C357BE">
        <w:rPr>
          <w:rFonts w:ascii="Arial" w:hAnsi="Arial" w:cs="Arial"/>
          <w:sz w:val="22"/>
          <w:szCs w:val="22"/>
        </w:rPr>
        <w:t>To examine the number of chemotherapy cycles (</w:t>
      </w:r>
      <w:r>
        <w:rPr>
          <w:rFonts w:ascii="Arial" w:hAnsi="Arial" w:cs="Arial"/>
          <w:sz w:val="22"/>
          <w:szCs w:val="22"/>
        </w:rPr>
        <w:t>pemetrexed/cisplatin</w:t>
      </w:r>
      <w:r w:rsidR="006440E1">
        <w:rPr>
          <w:rFonts w:ascii="Arial" w:hAnsi="Arial" w:cs="Arial"/>
          <w:sz w:val="22"/>
          <w:szCs w:val="22"/>
        </w:rPr>
        <w:t xml:space="preserve"> or pemetrexed/carboplatin</w:t>
      </w:r>
      <w:r w:rsidRPr="00C357BE">
        <w:rPr>
          <w:rFonts w:ascii="Arial" w:hAnsi="Arial" w:cs="Arial"/>
          <w:sz w:val="22"/>
          <w:szCs w:val="22"/>
        </w:rPr>
        <w:t>) completed; and for patients who stop before 6 cycles, the reasons for stopping early.</w:t>
      </w:r>
    </w:p>
    <w:p w14:paraId="2CC03197" w14:textId="77777777" w:rsidR="00A74914" w:rsidRPr="00C357BE" w:rsidRDefault="00A74914" w:rsidP="002F600D">
      <w:pPr>
        <w:pStyle w:val="CTR-Text"/>
        <w:numPr>
          <w:ilvl w:val="0"/>
          <w:numId w:val="16"/>
        </w:numPr>
        <w:spacing w:after="100" w:afterAutospacing="1"/>
        <w:jc w:val="both"/>
        <w:rPr>
          <w:rFonts w:ascii="Arial" w:hAnsi="Arial" w:cs="Arial"/>
          <w:sz w:val="22"/>
          <w:szCs w:val="22"/>
        </w:rPr>
      </w:pPr>
      <w:r w:rsidRPr="00E846E4">
        <w:rPr>
          <w:rFonts w:ascii="Arial" w:hAnsi="Arial" w:cs="Arial"/>
          <w:sz w:val="22"/>
          <w:szCs w:val="22"/>
        </w:rPr>
        <w:t>To examine biomarkers for response, progression and survival within a translational resear</w:t>
      </w:r>
      <w:r>
        <w:rPr>
          <w:rFonts w:ascii="Arial" w:hAnsi="Arial" w:cs="Arial"/>
          <w:sz w:val="22"/>
          <w:szCs w:val="22"/>
        </w:rPr>
        <w:t xml:space="preserve">ch </w:t>
      </w:r>
      <w:proofErr w:type="spellStart"/>
      <w:r>
        <w:rPr>
          <w:rFonts w:ascii="Arial" w:hAnsi="Arial" w:cs="Arial"/>
          <w:sz w:val="22"/>
          <w:szCs w:val="22"/>
        </w:rPr>
        <w:t>substudy</w:t>
      </w:r>
      <w:proofErr w:type="spellEnd"/>
      <w:r>
        <w:rPr>
          <w:rFonts w:ascii="Arial" w:hAnsi="Arial" w:cs="Arial"/>
          <w:sz w:val="22"/>
          <w:szCs w:val="22"/>
        </w:rPr>
        <w:t xml:space="preserve"> </w:t>
      </w:r>
      <w:r w:rsidRPr="00E846E4">
        <w:rPr>
          <w:rFonts w:ascii="Arial" w:hAnsi="Arial" w:cs="Arial"/>
          <w:sz w:val="22"/>
          <w:szCs w:val="22"/>
        </w:rPr>
        <w:t xml:space="preserve">(see </w:t>
      </w:r>
      <w:r w:rsidRPr="00D82F30">
        <w:rPr>
          <w:rFonts w:ascii="Arial" w:hAnsi="Arial" w:cs="Arial"/>
          <w:sz w:val="22"/>
          <w:szCs w:val="22"/>
        </w:rPr>
        <w:t>section 2.2.3</w:t>
      </w:r>
      <w:r w:rsidRPr="00E846E4">
        <w:rPr>
          <w:rFonts w:ascii="Arial" w:hAnsi="Arial" w:cs="Arial"/>
          <w:sz w:val="22"/>
          <w:szCs w:val="22"/>
        </w:rPr>
        <w:t xml:space="preserve"> for more details).</w:t>
      </w:r>
    </w:p>
    <w:p w14:paraId="643B3363" w14:textId="77777777" w:rsidR="007A017D" w:rsidRDefault="007A017D" w:rsidP="00C357BE">
      <w:pPr>
        <w:jc w:val="both"/>
        <w:rPr>
          <w:rFonts w:ascii="Arial" w:hAnsi="Arial" w:cs="Arial"/>
          <w:b/>
          <w:bCs/>
          <w:sz w:val="22"/>
          <w:szCs w:val="22"/>
        </w:rPr>
      </w:pPr>
    </w:p>
    <w:p w14:paraId="4E2F4C62" w14:textId="77777777" w:rsidR="00DA67E8" w:rsidRPr="00C357BE" w:rsidRDefault="00DA67E8" w:rsidP="00C357BE">
      <w:pPr>
        <w:jc w:val="both"/>
        <w:rPr>
          <w:rFonts w:ascii="Arial" w:hAnsi="Arial" w:cs="Arial"/>
          <w:color w:val="000000"/>
          <w:sz w:val="22"/>
          <w:szCs w:val="22"/>
        </w:rPr>
      </w:pPr>
      <w:r w:rsidRPr="00C357BE">
        <w:rPr>
          <w:rFonts w:ascii="Arial" w:hAnsi="Arial" w:cs="Arial"/>
          <w:b/>
          <w:bCs/>
          <w:sz w:val="22"/>
          <w:szCs w:val="22"/>
        </w:rPr>
        <w:t xml:space="preserve">Design: </w:t>
      </w:r>
      <w:r w:rsidRPr="00C357BE">
        <w:rPr>
          <w:rFonts w:ascii="Arial" w:hAnsi="Arial" w:cs="Arial"/>
          <w:b/>
          <w:bCs/>
          <w:sz w:val="22"/>
          <w:szCs w:val="22"/>
        </w:rPr>
        <w:br/>
      </w:r>
      <w:r w:rsidRPr="00C357BE">
        <w:rPr>
          <w:rFonts w:ascii="Arial" w:hAnsi="Arial" w:cs="Arial"/>
          <w:color w:val="000000"/>
          <w:sz w:val="22"/>
          <w:szCs w:val="22"/>
        </w:rPr>
        <w:t xml:space="preserve">A randomised multicentre phase II clinical trial. Patients will be randomised 1:1 to two treatment arms. </w:t>
      </w:r>
    </w:p>
    <w:p w14:paraId="07922944" w14:textId="77777777" w:rsidR="00DA67E8" w:rsidRPr="00C357BE" w:rsidRDefault="00DA67E8" w:rsidP="00C357BE">
      <w:pPr>
        <w:pStyle w:val="BodyText12"/>
        <w:spacing w:after="0" w:line="240" w:lineRule="auto"/>
        <w:ind w:left="0"/>
        <w:rPr>
          <w:rFonts w:ascii="Arial" w:hAnsi="Arial" w:cs="Arial"/>
          <w:color w:val="000000"/>
          <w:sz w:val="22"/>
          <w:szCs w:val="22"/>
        </w:rPr>
      </w:pPr>
    </w:p>
    <w:p w14:paraId="0D45CB21" w14:textId="77777777" w:rsidR="00DA67E8" w:rsidRPr="00C357BE" w:rsidRDefault="00DA67E8" w:rsidP="00C357BE">
      <w:pPr>
        <w:pStyle w:val="BodyText12"/>
        <w:spacing w:after="0" w:line="240" w:lineRule="auto"/>
        <w:ind w:left="0"/>
        <w:rPr>
          <w:rFonts w:ascii="Arial" w:hAnsi="Arial" w:cs="Arial"/>
          <w:color w:val="000000"/>
          <w:sz w:val="22"/>
          <w:szCs w:val="22"/>
        </w:rPr>
      </w:pPr>
      <w:r w:rsidRPr="00C357BE">
        <w:rPr>
          <w:rFonts w:ascii="Arial" w:hAnsi="Arial" w:cs="Arial"/>
          <w:color w:val="000000"/>
          <w:sz w:val="22"/>
          <w:szCs w:val="22"/>
        </w:rPr>
        <w:t xml:space="preserve">In </w:t>
      </w:r>
      <w:r w:rsidR="006440E1">
        <w:rPr>
          <w:rFonts w:ascii="Arial" w:hAnsi="Arial" w:cs="Arial"/>
          <w:b/>
          <w:color w:val="000000"/>
          <w:sz w:val="22"/>
          <w:szCs w:val="22"/>
        </w:rPr>
        <w:t>A</w:t>
      </w:r>
      <w:r w:rsidRPr="00C357BE">
        <w:rPr>
          <w:rFonts w:ascii="Arial" w:hAnsi="Arial" w:cs="Arial"/>
          <w:b/>
          <w:color w:val="000000"/>
          <w:sz w:val="22"/>
          <w:szCs w:val="22"/>
        </w:rPr>
        <w:t>rm A</w:t>
      </w:r>
      <w:r w:rsidRPr="00C357BE">
        <w:rPr>
          <w:rFonts w:ascii="Arial" w:hAnsi="Arial" w:cs="Arial"/>
          <w:color w:val="000000"/>
          <w:sz w:val="22"/>
          <w:szCs w:val="22"/>
        </w:rPr>
        <w:t xml:space="preserve"> (experimental arm), patients will receive pemetrexed </w:t>
      </w:r>
      <w:r w:rsidR="00E76F2C">
        <w:rPr>
          <w:rFonts w:ascii="Arial" w:hAnsi="Arial" w:cs="Arial"/>
          <w:color w:val="000000"/>
          <w:sz w:val="22"/>
          <w:szCs w:val="22"/>
        </w:rPr>
        <w:t>(</w:t>
      </w:r>
      <w:r w:rsidRPr="00C357BE">
        <w:rPr>
          <w:rFonts w:ascii="Arial" w:hAnsi="Arial" w:cs="Arial"/>
          <w:color w:val="000000"/>
          <w:sz w:val="22"/>
          <w:szCs w:val="22"/>
        </w:rPr>
        <w:t>500mg/m</w:t>
      </w:r>
      <w:r w:rsidRPr="00C357BE">
        <w:rPr>
          <w:rFonts w:ascii="Arial" w:hAnsi="Arial" w:cs="Arial"/>
          <w:color w:val="000000"/>
          <w:sz w:val="22"/>
          <w:szCs w:val="22"/>
          <w:vertAlign w:val="superscript"/>
        </w:rPr>
        <w:t>2</w:t>
      </w:r>
      <w:r>
        <w:rPr>
          <w:rFonts w:ascii="Arial" w:hAnsi="Arial" w:cs="Arial"/>
          <w:color w:val="000000"/>
          <w:sz w:val="22"/>
          <w:szCs w:val="22"/>
        </w:rPr>
        <w:t>IV</w:t>
      </w:r>
      <w:r w:rsidR="00E76F2C">
        <w:rPr>
          <w:rFonts w:ascii="Arial" w:hAnsi="Arial" w:cs="Arial"/>
          <w:color w:val="000000"/>
          <w:sz w:val="22"/>
          <w:szCs w:val="22"/>
        </w:rPr>
        <w:t>)</w:t>
      </w:r>
      <w:r>
        <w:rPr>
          <w:rFonts w:ascii="Arial" w:hAnsi="Arial" w:cs="Arial"/>
          <w:color w:val="000000"/>
          <w:sz w:val="22"/>
          <w:szCs w:val="22"/>
        </w:rPr>
        <w:t xml:space="preserve"> </w:t>
      </w:r>
      <w:r w:rsidRPr="00C357BE">
        <w:rPr>
          <w:rFonts w:ascii="Arial" w:hAnsi="Arial" w:cs="Arial"/>
          <w:color w:val="000000"/>
          <w:sz w:val="22"/>
          <w:szCs w:val="22"/>
        </w:rPr>
        <w:t xml:space="preserve">and cisplatin </w:t>
      </w:r>
      <w:r w:rsidR="006440E1">
        <w:rPr>
          <w:rFonts w:ascii="Arial" w:hAnsi="Arial" w:cs="Arial"/>
          <w:color w:val="000000"/>
          <w:sz w:val="22"/>
          <w:szCs w:val="22"/>
        </w:rPr>
        <w:t>(</w:t>
      </w:r>
      <w:r w:rsidRPr="00C357BE">
        <w:rPr>
          <w:rFonts w:ascii="Arial" w:hAnsi="Arial" w:cs="Arial"/>
          <w:color w:val="000000"/>
          <w:sz w:val="22"/>
          <w:szCs w:val="22"/>
        </w:rPr>
        <w:t>75mg/m</w:t>
      </w:r>
      <w:r w:rsidRPr="00C357BE">
        <w:rPr>
          <w:rFonts w:ascii="Arial" w:hAnsi="Arial" w:cs="Arial"/>
          <w:color w:val="000000"/>
          <w:sz w:val="22"/>
          <w:szCs w:val="22"/>
          <w:vertAlign w:val="superscript"/>
        </w:rPr>
        <w:t xml:space="preserve">2 </w:t>
      </w:r>
      <w:r>
        <w:rPr>
          <w:rFonts w:ascii="Arial" w:hAnsi="Arial" w:cs="Arial"/>
          <w:color w:val="000000"/>
          <w:sz w:val="22"/>
          <w:szCs w:val="22"/>
        </w:rPr>
        <w:t>IV</w:t>
      </w:r>
      <w:r w:rsidR="006440E1">
        <w:rPr>
          <w:rFonts w:ascii="Arial" w:hAnsi="Arial" w:cs="Arial"/>
          <w:color w:val="000000"/>
          <w:sz w:val="22"/>
          <w:szCs w:val="22"/>
        </w:rPr>
        <w:t>) or carboplatin (</w:t>
      </w:r>
      <w:r w:rsidR="005A02FB">
        <w:rPr>
          <w:rFonts w:ascii="Arial" w:hAnsi="Arial" w:cs="Arial"/>
          <w:color w:val="000000"/>
          <w:sz w:val="22"/>
          <w:szCs w:val="22"/>
        </w:rPr>
        <w:t>AUC5</w:t>
      </w:r>
      <w:r w:rsidR="006440E1">
        <w:rPr>
          <w:rFonts w:ascii="Arial" w:hAnsi="Arial" w:cs="Arial"/>
          <w:color w:val="000000"/>
          <w:sz w:val="22"/>
          <w:szCs w:val="22"/>
        </w:rPr>
        <w:t>)</w:t>
      </w:r>
      <w:r>
        <w:rPr>
          <w:rFonts w:ascii="Arial" w:hAnsi="Arial" w:cs="Arial"/>
          <w:color w:val="000000"/>
          <w:sz w:val="22"/>
          <w:szCs w:val="22"/>
        </w:rPr>
        <w:t xml:space="preserve"> </w:t>
      </w:r>
      <w:r w:rsidRPr="00C357BE">
        <w:rPr>
          <w:rFonts w:ascii="Arial" w:hAnsi="Arial" w:cs="Arial"/>
          <w:color w:val="000000"/>
          <w:sz w:val="22"/>
          <w:szCs w:val="22"/>
        </w:rPr>
        <w:t>on Day 1</w:t>
      </w:r>
      <w:r w:rsidR="000341B7">
        <w:rPr>
          <w:rFonts w:ascii="Arial" w:hAnsi="Arial" w:cs="Arial"/>
          <w:color w:val="000000"/>
          <w:sz w:val="22"/>
          <w:szCs w:val="22"/>
        </w:rPr>
        <w:t>, and</w:t>
      </w:r>
      <w:r w:rsidR="00B142D7">
        <w:rPr>
          <w:rFonts w:ascii="Arial" w:hAnsi="Arial" w:cs="Arial"/>
          <w:color w:val="000000"/>
          <w:sz w:val="22"/>
          <w:szCs w:val="22"/>
        </w:rPr>
        <w:t xml:space="preserve"> </w:t>
      </w:r>
      <w:proofErr w:type="spellStart"/>
      <w:r w:rsidR="00B142D7">
        <w:rPr>
          <w:rFonts w:ascii="Arial" w:hAnsi="Arial" w:cs="Arial"/>
          <w:color w:val="000000"/>
          <w:sz w:val="22"/>
          <w:szCs w:val="22"/>
        </w:rPr>
        <w:t>ganetespib</w:t>
      </w:r>
      <w:proofErr w:type="spellEnd"/>
      <w:r w:rsidR="00B142D7">
        <w:rPr>
          <w:rFonts w:ascii="Arial" w:hAnsi="Arial" w:cs="Arial"/>
          <w:color w:val="000000"/>
          <w:sz w:val="22"/>
          <w:szCs w:val="22"/>
        </w:rPr>
        <w:t xml:space="preserve"> Day 1 and 15.</w:t>
      </w:r>
      <w:r w:rsidRPr="00C357BE">
        <w:rPr>
          <w:rFonts w:ascii="Arial" w:hAnsi="Arial" w:cs="Arial"/>
          <w:color w:val="000000"/>
          <w:sz w:val="22"/>
          <w:szCs w:val="22"/>
        </w:rPr>
        <w:t xml:space="preserve"> </w:t>
      </w:r>
      <w:r w:rsidR="00B142D7">
        <w:rPr>
          <w:rFonts w:ascii="Arial" w:hAnsi="Arial" w:cs="Arial"/>
          <w:color w:val="000000"/>
          <w:sz w:val="22"/>
          <w:szCs w:val="22"/>
        </w:rPr>
        <w:t xml:space="preserve">Maintenance </w:t>
      </w:r>
      <w:proofErr w:type="spellStart"/>
      <w:r w:rsidR="00B142D7">
        <w:rPr>
          <w:rFonts w:ascii="Arial" w:hAnsi="Arial" w:cs="Arial"/>
          <w:color w:val="000000"/>
          <w:sz w:val="22"/>
          <w:szCs w:val="22"/>
        </w:rPr>
        <w:t>ganetespib</w:t>
      </w:r>
      <w:proofErr w:type="spellEnd"/>
      <w:r w:rsidR="00B142D7">
        <w:rPr>
          <w:rFonts w:ascii="Arial" w:hAnsi="Arial" w:cs="Arial"/>
          <w:color w:val="000000"/>
          <w:sz w:val="22"/>
          <w:szCs w:val="22"/>
        </w:rPr>
        <w:t xml:space="preserve"> may be prescribed if appropriate. </w:t>
      </w:r>
      <w:r w:rsidRPr="00C357BE">
        <w:rPr>
          <w:rFonts w:ascii="Arial" w:hAnsi="Arial" w:cs="Arial"/>
          <w:color w:val="000000"/>
          <w:sz w:val="22"/>
          <w:szCs w:val="22"/>
        </w:rPr>
        <w:t xml:space="preserve">Patients receive </w:t>
      </w:r>
      <w:proofErr w:type="spellStart"/>
      <w:r>
        <w:rPr>
          <w:rFonts w:ascii="Arial" w:hAnsi="Arial" w:cs="Arial"/>
          <w:sz w:val="22"/>
          <w:szCs w:val="22"/>
        </w:rPr>
        <w:t>ganetespib</w:t>
      </w:r>
      <w:proofErr w:type="spellEnd"/>
      <w:r w:rsidRPr="00C357BE">
        <w:rPr>
          <w:rFonts w:ascii="Arial" w:hAnsi="Arial" w:cs="Arial"/>
          <w:color w:val="000000"/>
          <w:sz w:val="22"/>
          <w:szCs w:val="22"/>
        </w:rPr>
        <w:t xml:space="preserve"> at the dose indicated by the phase I trial. </w:t>
      </w:r>
    </w:p>
    <w:p w14:paraId="498E7805" w14:textId="77777777" w:rsidR="00DA67E8" w:rsidRPr="00C357BE" w:rsidRDefault="00DA67E8" w:rsidP="00C357BE">
      <w:pPr>
        <w:pStyle w:val="BodyText12"/>
        <w:spacing w:after="0" w:line="240" w:lineRule="auto"/>
        <w:ind w:left="0"/>
        <w:rPr>
          <w:rFonts w:ascii="Arial" w:hAnsi="Arial" w:cs="Arial"/>
          <w:color w:val="000000"/>
          <w:sz w:val="22"/>
          <w:szCs w:val="22"/>
        </w:rPr>
      </w:pPr>
    </w:p>
    <w:p w14:paraId="799F3925" w14:textId="77777777" w:rsidR="00DA67E8" w:rsidRPr="00C357BE" w:rsidRDefault="00DA67E8" w:rsidP="00C357BE">
      <w:pPr>
        <w:pStyle w:val="BodyText12"/>
        <w:spacing w:after="0" w:line="240" w:lineRule="auto"/>
        <w:ind w:left="0"/>
        <w:rPr>
          <w:rFonts w:ascii="Arial" w:hAnsi="Arial" w:cs="Arial"/>
          <w:color w:val="000000"/>
          <w:sz w:val="22"/>
          <w:szCs w:val="22"/>
        </w:rPr>
      </w:pPr>
      <w:r w:rsidRPr="00C357BE">
        <w:rPr>
          <w:rFonts w:ascii="Arial" w:hAnsi="Arial" w:cs="Arial"/>
          <w:color w:val="000000"/>
          <w:sz w:val="22"/>
          <w:szCs w:val="22"/>
        </w:rPr>
        <w:t xml:space="preserve">In </w:t>
      </w:r>
      <w:r w:rsidR="006440E1">
        <w:rPr>
          <w:rFonts w:ascii="Arial" w:hAnsi="Arial" w:cs="Arial"/>
          <w:b/>
          <w:color w:val="000000"/>
          <w:sz w:val="22"/>
          <w:szCs w:val="22"/>
        </w:rPr>
        <w:t>A</w:t>
      </w:r>
      <w:r w:rsidRPr="00C357BE">
        <w:rPr>
          <w:rFonts w:ascii="Arial" w:hAnsi="Arial" w:cs="Arial"/>
          <w:b/>
          <w:color w:val="000000"/>
          <w:sz w:val="22"/>
          <w:szCs w:val="22"/>
        </w:rPr>
        <w:t>rm B</w:t>
      </w:r>
      <w:r w:rsidRPr="00C357BE">
        <w:rPr>
          <w:rFonts w:ascii="Arial" w:hAnsi="Arial" w:cs="Arial"/>
          <w:color w:val="000000"/>
          <w:sz w:val="22"/>
          <w:szCs w:val="22"/>
        </w:rPr>
        <w:t xml:space="preserve"> (control arm), patients will receive pemetrexed </w:t>
      </w:r>
      <w:r w:rsidR="005A02FB">
        <w:rPr>
          <w:rFonts w:ascii="Arial" w:hAnsi="Arial" w:cs="Arial"/>
          <w:color w:val="000000"/>
          <w:sz w:val="22"/>
          <w:szCs w:val="22"/>
        </w:rPr>
        <w:t>(</w:t>
      </w:r>
      <w:r w:rsidR="005A02FB" w:rsidRPr="00C357BE">
        <w:rPr>
          <w:rFonts w:ascii="Arial" w:hAnsi="Arial" w:cs="Arial"/>
          <w:color w:val="000000"/>
          <w:sz w:val="22"/>
          <w:szCs w:val="22"/>
        </w:rPr>
        <w:t>500mg/m</w:t>
      </w:r>
      <w:r w:rsidR="005A02FB" w:rsidRPr="00C357BE">
        <w:rPr>
          <w:rFonts w:ascii="Arial" w:hAnsi="Arial" w:cs="Arial"/>
          <w:color w:val="000000"/>
          <w:sz w:val="22"/>
          <w:szCs w:val="22"/>
          <w:vertAlign w:val="superscript"/>
        </w:rPr>
        <w:t>2</w:t>
      </w:r>
      <w:r w:rsidR="005A02FB">
        <w:rPr>
          <w:rFonts w:ascii="Arial" w:hAnsi="Arial" w:cs="Arial"/>
          <w:color w:val="000000"/>
          <w:sz w:val="22"/>
          <w:szCs w:val="22"/>
          <w:vertAlign w:val="superscript"/>
        </w:rPr>
        <w:t xml:space="preserve"> </w:t>
      </w:r>
      <w:r w:rsidR="005A02FB">
        <w:rPr>
          <w:rFonts w:ascii="Arial" w:hAnsi="Arial" w:cs="Arial"/>
          <w:color w:val="000000"/>
          <w:sz w:val="22"/>
          <w:szCs w:val="22"/>
        </w:rPr>
        <w:t xml:space="preserve">IV) </w:t>
      </w:r>
      <w:r w:rsidRPr="00C357BE">
        <w:rPr>
          <w:rFonts w:ascii="Arial" w:hAnsi="Arial" w:cs="Arial"/>
          <w:color w:val="000000"/>
          <w:sz w:val="22"/>
          <w:szCs w:val="22"/>
        </w:rPr>
        <w:t xml:space="preserve">and cisplatin </w:t>
      </w:r>
      <w:r w:rsidR="005A02FB">
        <w:rPr>
          <w:rFonts w:ascii="Arial" w:hAnsi="Arial" w:cs="Arial"/>
          <w:color w:val="000000"/>
          <w:sz w:val="22"/>
          <w:szCs w:val="22"/>
        </w:rPr>
        <w:t>(</w:t>
      </w:r>
      <w:r w:rsidR="005A02FB" w:rsidRPr="00C357BE">
        <w:rPr>
          <w:rFonts w:ascii="Arial" w:hAnsi="Arial" w:cs="Arial"/>
          <w:color w:val="000000"/>
          <w:sz w:val="22"/>
          <w:szCs w:val="22"/>
        </w:rPr>
        <w:t>75mg/m</w:t>
      </w:r>
      <w:r w:rsidR="005A02FB" w:rsidRPr="00C357BE">
        <w:rPr>
          <w:rFonts w:ascii="Arial" w:hAnsi="Arial" w:cs="Arial"/>
          <w:color w:val="000000"/>
          <w:sz w:val="22"/>
          <w:szCs w:val="22"/>
          <w:vertAlign w:val="superscript"/>
        </w:rPr>
        <w:t xml:space="preserve">2 </w:t>
      </w:r>
      <w:r w:rsidR="005A02FB">
        <w:rPr>
          <w:rFonts w:ascii="Arial" w:hAnsi="Arial" w:cs="Arial"/>
          <w:color w:val="000000"/>
          <w:sz w:val="22"/>
          <w:szCs w:val="22"/>
        </w:rPr>
        <w:t xml:space="preserve">IV) </w:t>
      </w:r>
      <w:r w:rsidR="006440E1">
        <w:rPr>
          <w:rFonts w:ascii="Arial" w:hAnsi="Arial" w:cs="Arial"/>
          <w:color w:val="000000"/>
          <w:sz w:val="22"/>
          <w:szCs w:val="22"/>
        </w:rPr>
        <w:t xml:space="preserve">or carboplatin </w:t>
      </w:r>
      <w:r w:rsidR="005A02FB">
        <w:rPr>
          <w:rFonts w:ascii="Arial" w:hAnsi="Arial" w:cs="Arial"/>
          <w:color w:val="000000"/>
          <w:sz w:val="22"/>
          <w:szCs w:val="22"/>
        </w:rPr>
        <w:t xml:space="preserve">(AUC5) </w:t>
      </w:r>
      <w:r w:rsidRPr="00C357BE">
        <w:rPr>
          <w:rFonts w:ascii="Arial" w:hAnsi="Arial" w:cs="Arial"/>
          <w:color w:val="000000"/>
          <w:sz w:val="22"/>
          <w:szCs w:val="22"/>
        </w:rPr>
        <w:t>on Day 1</w:t>
      </w:r>
    </w:p>
    <w:p w14:paraId="6C603EC5" w14:textId="77777777" w:rsidR="00DA67E8" w:rsidRPr="00C357BE" w:rsidRDefault="00DA67E8" w:rsidP="00C357BE">
      <w:pPr>
        <w:jc w:val="both"/>
        <w:rPr>
          <w:rFonts w:ascii="Arial" w:hAnsi="Arial" w:cs="Arial"/>
          <w:b/>
          <w:bCs/>
          <w:i/>
          <w:iCs/>
          <w:color w:val="0000FF"/>
          <w:sz w:val="22"/>
          <w:szCs w:val="22"/>
        </w:rPr>
      </w:pPr>
      <w:r w:rsidRPr="00C357BE">
        <w:rPr>
          <w:rFonts w:ascii="Arial" w:hAnsi="Arial" w:cs="Arial"/>
          <w:color w:val="000000"/>
          <w:sz w:val="22"/>
          <w:szCs w:val="22"/>
        </w:rPr>
        <w:t>All patients enrolled in the trial should receive B</w:t>
      </w:r>
      <w:r w:rsidRPr="00C357BE">
        <w:rPr>
          <w:rFonts w:ascii="Arial" w:hAnsi="Arial" w:cs="Arial"/>
          <w:color w:val="000000"/>
          <w:sz w:val="22"/>
          <w:szCs w:val="22"/>
          <w:vertAlign w:val="subscript"/>
        </w:rPr>
        <w:t>12</w:t>
      </w:r>
      <w:r w:rsidRPr="00C357BE">
        <w:rPr>
          <w:rFonts w:ascii="Arial" w:hAnsi="Arial" w:cs="Arial"/>
          <w:color w:val="000000"/>
          <w:sz w:val="22"/>
          <w:szCs w:val="22"/>
        </w:rPr>
        <w:t xml:space="preserve"> and folate vitamin supplementation, in</w:t>
      </w:r>
      <w:r>
        <w:rPr>
          <w:rFonts w:ascii="Arial" w:hAnsi="Arial" w:cs="Arial"/>
          <w:color w:val="000000"/>
          <w:sz w:val="22"/>
          <w:szCs w:val="22"/>
        </w:rPr>
        <w:t xml:space="preserve"> </w:t>
      </w:r>
      <w:r w:rsidRPr="00C357BE">
        <w:rPr>
          <w:rFonts w:ascii="Arial" w:hAnsi="Arial" w:cs="Arial"/>
          <w:color w:val="000000"/>
          <w:sz w:val="22"/>
          <w:szCs w:val="22"/>
        </w:rPr>
        <w:t>line with usual practice.</w:t>
      </w:r>
    </w:p>
    <w:p w14:paraId="4354EEFF" w14:textId="77777777" w:rsidR="00DA67E8" w:rsidRPr="00C357BE" w:rsidRDefault="00DA67E8" w:rsidP="00C357BE">
      <w:pPr>
        <w:jc w:val="both"/>
        <w:rPr>
          <w:rFonts w:ascii="Arial" w:hAnsi="Arial" w:cs="Arial"/>
          <w:sz w:val="22"/>
          <w:szCs w:val="22"/>
        </w:rPr>
      </w:pPr>
    </w:p>
    <w:p w14:paraId="2C6187FA" w14:textId="77777777" w:rsidR="00DA67E8" w:rsidRPr="00FC20CF" w:rsidRDefault="00DA67E8" w:rsidP="00FC20CF">
      <w:pPr>
        <w:pStyle w:val="Heading3"/>
        <w:ind w:left="851" w:hanging="851"/>
      </w:pPr>
      <w:bookmarkStart w:id="83" w:name="_Toc471826731"/>
      <w:bookmarkStart w:id="84" w:name="_Toc528323497"/>
      <w:r w:rsidRPr="00FC20CF">
        <w:t>Translational research</w:t>
      </w:r>
      <w:bookmarkEnd w:id="83"/>
      <w:bookmarkEnd w:id="84"/>
    </w:p>
    <w:p w14:paraId="34AA4568" w14:textId="77777777" w:rsidR="00DA67E8" w:rsidRPr="00C357BE" w:rsidRDefault="00DA67E8" w:rsidP="00C357BE">
      <w:pPr>
        <w:jc w:val="both"/>
        <w:rPr>
          <w:rFonts w:ascii="Arial" w:hAnsi="Arial" w:cs="Arial"/>
          <w:b/>
          <w:bCs/>
          <w:i/>
          <w:iCs/>
          <w:sz w:val="22"/>
          <w:szCs w:val="22"/>
        </w:rPr>
      </w:pPr>
      <w:r w:rsidRPr="00C357BE">
        <w:rPr>
          <w:rFonts w:ascii="Arial" w:hAnsi="Arial" w:cs="Arial"/>
          <w:sz w:val="22"/>
          <w:szCs w:val="22"/>
        </w:rPr>
        <w:t xml:space="preserve">Formalin fixed paraffin embedded (FFPE) diagnostic tissue blocks will be collected from </w:t>
      </w:r>
      <w:r w:rsidRPr="00C357BE">
        <w:rPr>
          <w:rFonts w:ascii="Arial" w:hAnsi="Arial" w:cs="Arial"/>
          <w:b/>
          <w:sz w:val="22"/>
          <w:szCs w:val="22"/>
        </w:rPr>
        <w:t>all</w:t>
      </w:r>
      <w:r w:rsidRPr="00C357BE">
        <w:rPr>
          <w:rFonts w:ascii="Arial" w:hAnsi="Arial" w:cs="Arial"/>
          <w:sz w:val="22"/>
          <w:szCs w:val="22"/>
        </w:rPr>
        <w:t xml:space="preserve"> patients, where available, who are enrolled into this clinical trial, to enable high quality RNA and DNA extraction for future pharmacogenomics studies. FFPE tissue will be used to build a tissue microarray to study putative predictive biomarkers</w:t>
      </w:r>
      <w:r w:rsidR="0035727C">
        <w:rPr>
          <w:rFonts w:ascii="Arial" w:hAnsi="Arial" w:cs="Arial"/>
          <w:sz w:val="22"/>
          <w:szCs w:val="22"/>
        </w:rPr>
        <w:t>.</w:t>
      </w:r>
      <w:r w:rsidR="00FE51FB">
        <w:rPr>
          <w:rFonts w:ascii="Arial" w:hAnsi="Arial" w:cs="Arial"/>
          <w:sz w:val="22"/>
          <w:szCs w:val="22"/>
        </w:rPr>
        <w:t xml:space="preserve"> </w:t>
      </w:r>
      <w:r w:rsidRPr="00C357BE">
        <w:rPr>
          <w:rFonts w:ascii="Arial" w:hAnsi="Arial" w:cs="Arial"/>
          <w:sz w:val="22"/>
          <w:szCs w:val="22"/>
        </w:rPr>
        <w:t xml:space="preserve">See </w:t>
      </w:r>
      <w:r w:rsidR="00D82F30" w:rsidRPr="00D82F30">
        <w:rPr>
          <w:rFonts w:ascii="Arial" w:hAnsi="Arial" w:cs="Arial"/>
          <w:sz w:val="22"/>
          <w:szCs w:val="22"/>
        </w:rPr>
        <w:t>section</w:t>
      </w:r>
      <w:r w:rsidR="00D82F30">
        <w:rPr>
          <w:rFonts w:ascii="Arial" w:hAnsi="Arial" w:cs="Arial"/>
          <w:sz w:val="22"/>
          <w:szCs w:val="22"/>
        </w:rPr>
        <w:t xml:space="preserve"> 20</w:t>
      </w:r>
      <w:r w:rsidRPr="00C357BE">
        <w:rPr>
          <w:rFonts w:ascii="Arial" w:hAnsi="Arial" w:cs="Arial"/>
          <w:sz w:val="22"/>
          <w:szCs w:val="22"/>
        </w:rPr>
        <w:t xml:space="preserve"> for details</w:t>
      </w:r>
    </w:p>
    <w:p w14:paraId="03357A7B" w14:textId="77777777" w:rsidR="00DA67E8" w:rsidRPr="00C357BE" w:rsidRDefault="00DA67E8" w:rsidP="00C357BE">
      <w:pPr>
        <w:rPr>
          <w:rFonts w:ascii="Arial" w:hAnsi="Arial" w:cs="Arial"/>
          <w:color w:val="000080"/>
          <w:sz w:val="22"/>
          <w:szCs w:val="22"/>
          <w:lang w:val="en-US"/>
        </w:rPr>
      </w:pPr>
    </w:p>
    <w:p w14:paraId="35A8700A" w14:textId="77777777" w:rsidR="00DA67E8" w:rsidRDefault="00DA67E8" w:rsidP="00C357BE">
      <w:pPr>
        <w:jc w:val="both"/>
        <w:rPr>
          <w:rFonts w:ascii="Arial" w:hAnsi="Arial" w:cs="Arial"/>
          <w:sz w:val="22"/>
          <w:szCs w:val="22"/>
        </w:rPr>
      </w:pPr>
      <w:r w:rsidRPr="00C357BE">
        <w:rPr>
          <w:rFonts w:ascii="Arial" w:hAnsi="Arial" w:cs="Arial"/>
          <w:sz w:val="22"/>
          <w:szCs w:val="22"/>
        </w:rPr>
        <w:lastRenderedPageBreak/>
        <w:t>Tissue blocks will be retained for the trial. However, requests for the return of the block will be considered (provided there is tissue remaining) during the course/end of the trial once cores have been obtained.</w:t>
      </w:r>
    </w:p>
    <w:p w14:paraId="19DF01AF" w14:textId="77777777" w:rsidR="003F6B75" w:rsidRDefault="003F6B75" w:rsidP="00C357BE">
      <w:pPr>
        <w:jc w:val="both"/>
        <w:rPr>
          <w:rFonts w:ascii="Arial" w:hAnsi="Arial" w:cs="Arial"/>
          <w:sz w:val="22"/>
          <w:szCs w:val="22"/>
        </w:rPr>
      </w:pPr>
    </w:p>
    <w:p w14:paraId="1B505D16" w14:textId="77777777" w:rsidR="00B36B9D" w:rsidRDefault="00B36B9D" w:rsidP="00E846E4">
      <w:pPr>
        <w:jc w:val="both"/>
        <w:rPr>
          <w:rFonts w:ascii="Arial" w:hAnsi="Arial" w:cs="Arial"/>
          <w:sz w:val="22"/>
          <w:szCs w:val="22"/>
        </w:rPr>
      </w:pPr>
      <w:r>
        <w:rPr>
          <w:rFonts w:ascii="Arial" w:hAnsi="Arial" w:cs="Arial"/>
          <w:sz w:val="22"/>
          <w:szCs w:val="22"/>
        </w:rPr>
        <w:t xml:space="preserve">Blood samples will be collected </w:t>
      </w:r>
      <w:r w:rsidR="007E66C4">
        <w:rPr>
          <w:rFonts w:ascii="Arial" w:hAnsi="Arial" w:cs="Arial"/>
          <w:sz w:val="22"/>
          <w:szCs w:val="22"/>
        </w:rPr>
        <w:t>for translational research at baseline</w:t>
      </w:r>
      <w:r w:rsidR="00801320">
        <w:rPr>
          <w:rFonts w:ascii="Arial" w:hAnsi="Arial" w:cs="Arial"/>
          <w:sz w:val="22"/>
          <w:szCs w:val="22"/>
        </w:rPr>
        <w:t xml:space="preserve"> </w:t>
      </w:r>
      <w:r w:rsidR="007E66C4">
        <w:rPr>
          <w:rFonts w:ascii="Arial" w:hAnsi="Arial" w:cs="Arial"/>
          <w:sz w:val="22"/>
          <w:szCs w:val="22"/>
        </w:rPr>
        <w:t xml:space="preserve">and on progression </w:t>
      </w:r>
      <w:r>
        <w:rPr>
          <w:rFonts w:ascii="Arial" w:hAnsi="Arial" w:cs="Arial"/>
          <w:sz w:val="22"/>
          <w:szCs w:val="22"/>
        </w:rPr>
        <w:t xml:space="preserve">from patients in the cisplatin </w:t>
      </w:r>
      <w:r w:rsidR="000D4EA9">
        <w:rPr>
          <w:rFonts w:ascii="Arial" w:hAnsi="Arial" w:cs="Arial"/>
          <w:sz w:val="22"/>
          <w:szCs w:val="22"/>
        </w:rPr>
        <w:t xml:space="preserve">and carboplatin </w:t>
      </w:r>
      <w:r>
        <w:rPr>
          <w:rFonts w:ascii="Arial" w:hAnsi="Arial" w:cs="Arial"/>
          <w:sz w:val="22"/>
          <w:szCs w:val="22"/>
        </w:rPr>
        <w:t xml:space="preserve">cohort </w:t>
      </w:r>
      <w:r w:rsidR="000D4EA9">
        <w:rPr>
          <w:rFonts w:ascii="Arial" w:hAnsi="Arial" w:cs="Arial"/>
          <w:sz w:val="22"/>
          <w:szCs w:val="22"/>
        </w:rPr>
        <w:t>used to confirm MTD.</w:t>
      </w:r>
    </w:p>
    <w:p w14:paraId="750FC58B" w14:textId="77777777" w:rsidR="00B36B9D" w:rsidRDefault="00B36B9D" w:rsidP="00E846E4">
      <w:pPr>
        <w:jc w:val="both"/>
        <w:rPr>
          <w:rFonts w:ascii="Arial" w:hAnsi="Arial" w:cs="Arial"/>
          <w:sz w:val="22"/>
          <w:szCs w:val="22"/>
        </w:rPr>
      </w:pPr>
    </w:p>
    <w:p w14:paraId="791A5A4E" w14:textId="77777777" w:rsidR="00621BD4" w:rsidRDefault="00621BD4" w:rsidP="00E846E4">
      <w:pPr>
        <w:jc w:val="both"/>
        <w:rPr>
          <w:rFonts w:ascii="Arial" w:hAnsi="Arial" w:cs="Arial"/>
          <w:sz w:val="22"/>
          <w:szCs w:val="22"/>
        </w:rPr>
      </w:pPr>
      <w:r w:rsidRPr="00621BD4">
        <w:rPr>
          <w:rFonts w:ascii="Arial" w:hAnsi="Arial" w:cs="Arial"/>
          <w:sz w:val="22"/>
          <w:szCs w:val="22"/>
        </w:rPr>
        <w:t>Blood samples will be collect</w:t>
      </w:r>
      <w:r>
        <w:rPr>
          <w:rFonts w:ascii="Arial" w:hAnsi="Arial" w:cs="Arial"/>
          <w:sz w:val="22"/>
          <w:szCs w:val="22"/>
        </w:rPr>
        <w:t>ed</w:t>
      </w:r>
      <w:r w:rsidRPr="00621BD4">
        <w:rPr>
          <w:rFonts w:ascii="Arial" w:hAnsi="Arial" w:cs="Arial"/>
          <w:sz w:val="22"/>
          <w:szCs w:val="22"/>
        </w:rPr>
        <w:t xml:space="preserve"> in the phase II trial at baseline and on progression to isolate circulating free tumour DNA from blood </w:t>
      </w:r>
      <w:r w:rsidRPr="00C357BE">
        <w:rPr>
          <w:rFonts w:ascii="Arial" w:hAnsi="Arial" w:cs="Arial"/>
          <w:sz w:val="22"/>
          <w:szCs w:val="22"/>
        </w:rPr>
        <w:t>for future pharmacogenomics studies</w:t>
      </w:r>
      <w:r>
        <w:rPr>
          <w:rFonts w:ascii="Arial" w:hAnsi="Arial" w:cs="Arial"/>
          <w:sz w:val="22"/>
          <w:szCs w:val="22"/>
        </w:rPr>
        <w:t xml:space="preserve">. </w:t>
      </w:r>
    </w:p>
    <w:p w14:paraId="03076970" w14:textId="77777777" w:rsidR="006A334B" w:rsidRDefault="006A334B" w:rsidP="00E846E4">
      <w:pPr>
        <w:jc w:val="both"/>
        <w:rPr>
          <w:rFonts w:ascii="Arial" w:hAnsi="Arial" w:cs="Arial"/>
          <w:sz w:val="22"/>
          <w:szCs w:val="22"/>
        </w:rPr>
      </w:pPr>
    </w:p>
    <w:p w14:paraId="4E648DFB" w14:textId="77777777" w:rsidR="006A334B" w:rsidRPr="00621BD4" w:rsidRDefault="006A334B" w:rsidP="006A334B">
      <w:pPr>
        <w:jc w:val="both"/>
        <w:rPr>
          <w:rFonts w:ascii="Arial" w:hAnsi="Arial" w:cs="Arial"/>
          <w:sz w:val="22"/>
          <w:szCs w:val="22"/>
        </w:rPr>
      </w:pPr>
      <w:r>
        <w:rPr>
          <w:rFonts w:ascii="Arial" w:hAnsi="Arial" w:cs="Arial"/>
          <w:sz w:val="22"/>
          <w:szCs w:val="22"/>
        </w:rPr>
        <w:t>Some biomarkers will be evaluated during the trial, and considered with published evidence. It is possible that one biomarker strongly predicts response, and if this is the case there will be a review of the trial design with the Independent Data Monitoring Committee, to consider whether the patient population (the remaining patients to be recruited) should be enriched for this marker (i.e. only marker positive patients would be eligible).</w:t>
      </w:r>
    </w:p>
    <w:p w14:paraId="02A7BB0B" w14:textId="77777777" w:rsidR="006A334B" w:rsidRPr="00621BD4" w:rsidRDefault="006A334B" w:rsidP="00E846E4">
      <w:pPr>
        <w:jc w:val="both"/>
        <w:rPr>
          <w:rFonts w:ascii="Arial" w:hAnsi="Arial" w:cs="Arial"/>
          <w:sz w:val="22"/>
          <w:szCs w:val="22"/>
        </w:rPr>
      </w:pPr>
    </w:p>
    <w:p w14:paraId="77BF4BD7" w14:textId="77777777" w:rsidR="00DA67E8" w:rsidRDefault="00CA5BEB" w:rsidP="00BF16F9">
      <w:pPr>
        <w:pStyle w:val="Heading2"/>
      </w:pPr>
      <w:bookmarkStart w:id="85" w:name="_Toc283031742"/>
      <w:bookmarkStart w:id="86" w:name="_Toc283376277"/>
      <w:bookmarkStart w:id="87" w:name="_Toc333484718"/>
      <w:bookmarkStart w:id="88" w:name="_Toc333484833"/>
      <w:bookmarkStart w:id="89" w:name="_Toc351624787"/>
      <w:r>
        <w:rPr>
          <w:lang w:val="en-GB"/>
        </w:rPr>
        <w:tab/>
      </w:r>
      <w:bookmarkStart w:id="90" w:name="_Toc471826732"/>
      <w:bookmarkStart w:id="91" w:name="_Toc528323498"/>
      <w:r w:rsidR="00DA67E8" w:rsidRPr="00A23D8C">
        <w:t>Trial activation</w:t>
      </w:r>
      <w:bookmarkEnd w:id="85"/>
      <w:bookmarkEnd w:id="86"/>
      <w:bookmarkEnd w:id="87"/>
      <w:bookmarkEnd w:id="88"/>
      <w:bookmarkEnd w:id="89"/>
      <w:bookmarkEnd w:id="90"/>
      <w:bookmarkEnd w:id="91"/>
    </w:p>
    <w:p w14:paraId="00CD75D1" w14:textId="77777777" w:rsidR="00DA67E8" w:rsidRPr="00B16B88" w:rsidRDefault="00DA67E8" w:rsidP="00203A2B">
      <w:pPr>
        <w:pStyle w:val="ProtTempparagraph"/>
        <w:spacing w:before="240" w:after="60"/>
        <w:rPr>
          <w:sz w:val="22"/>
          <w:szCs w:val="22"/>
        </w:rPr>
      </w:pPr>
      <w:r w:rsidRPr="00B16B88">
        <w:rPr>
          <w:sz w:val="22"/>
          <w:szCs w:val="22"/>
        </w:rPr>
        <w:t>UCL CTC will ensure that all trial documentation has been reviewed and approved by all relevant bodies and that the following have been obtained prior to activating the trial:</w:t>
      </w:r>
    </w:p>
    <w:p w14:paraId="652D7CF5" w14:textId="77777777" w:rsidR="00DA67E8" w:rsidRPr="00B16B88" w:rsidRDefault="00DA67E8" w:rsidP="00D65DE2">
      <w:pPr>
        <w:numPr>
          <w:ilvl w:val="0"/>
          <w:numId w:val="50"/>
        </w:numPr>
        <w:jc w:val="both"/>
        <w:rPr>
          <w:rFonts w:ascii="Arial" w:hAnsi="Arial" w:cs="Arial"/>
          <w:sz w:val="22"/>
          <w:szCs w:val="22"/>
        </w:rPr>
      </w:pPr>
      <w:r w:rsidRPr="00B16B88">
        <w:rPr>
          <w:rFonts w:ascii="Arial" w:hAnsi="Arial" w:cs="Arial"/>
          <w:sz w:val="22"/>
          <w:szCs w:val="22"/>
        </w:rPr>
        <w:t>Research Ethics Committee approval</w:t>
      </w:r>
    </w:p>
    <w:p w14:paraId="1D1FBF63" w14:textId="77777777" w:rsidR="0035727C" w:rsidRPr="0035727C" w:rsidRDefault="00DA67E8" w:rsidP="00D65DE2">
      <w:pPr>
        <w:numPr>
          <w:ilvl w:val="0"/>
          <w:numId w:val="50"/>
        </w:numPr>
        <w:jc w:val="both"/>
        <w:rPr>
          <w:rFonts w:ascii="Arial" w:hAnsi="Arial" w:cs="Arial"/>
          <w:sz w:val="22"/>
          <w:szCs w:val="22"/>
        </w:rPr>
      </w:pPr>
      <w:r w:rsidRPr="00B16B88">
        <w:rPr>
          <w:rFonts w:ascii="Arial" w:hAnsi="Arial" w:cs="Arial"/>
          <w:sz w:val="22"/>
          <w:szCs w:val="22"/>
        </w:rPr>
        <w:t>Clinical Trial Authorisation from the Medicines and Healthcare products Regulatory Agency (MHRA)</w:t>
      </w:r>
    </w:p>
    <w:p w14:paraId="65FE0BFC" w14:textId="77777777" w:rsidR="0035727C" w:rsidRPr="0035727C" w:rsidRDefault="00DA67E8" w:rsidP="00D65DE2">
      <w:pPr>
        <w:numPr>
          <w:ilvl w:val="0"/>
          <w:numId w:val="50"/>
        </w:numPr>
        <w:jc w:val="both"/>
        <w:rPr>
          <w:rFonts w:ascii="Arial" w:hAnsi="Arial" w:cs="Arial"/>
          <w:sz w:val="22"/>
          <w:szCs w:val="22"/>
        </w:rPr>
      </w:pPr>
      <w:r w:rsidRPr="0035727C">
        <w:rPr>
          <w:rFonts w:ascii="Arial" w:hAnsi="Arial" w:cs="Arial"/>
          <w:sz w:val="22"/>
          <w:szCs w:val="22"/>
        </w:rPr>
        <w:t>‘Adoption’ into NIHR portfolio NHS permission</w:t>
      </w:r>
    </w:p>
    <w:p w14:paraId="5E1EA646" w14:textId="77777777" w:rsidR="0035727C" w:rsidRPr="0035727C" w:rsidRDefault="00DA67E8" w:rsidP="00D65DE2">
      <w:pPr>
        <w:numPr>
          <w:ilvl w:val="0"/>
          <w:numId w:val="50"/>
        </w:numPr>
        <w:jc w:val="both"/>
        <w:rPr>
          <w:rFonts w:ascii="Arial" w:hAnsi="Arial" w:cs="Arial"/>
          <w:sz w:val="22"/>
          <w:szCs w:val="22"/>
        </w:rPr>
      </w:pPr>
      <w:r w:rsidRPr="0035727C">
        <w:rPr>
          <w:rFonts w:ascii="Arial" w:hAnsi="Arial" w:cs="Arial"/>
          <w:sz w:val="22"/>
          <w:szCs w:val="22"/>
        </w:rPr>
        <w:t>Adequate funding for central coordination</w:t>
      </w:r>
    </w:p>
    <w:p w14:paraId="58DDC291" w14:textId="77777777" w:rsidR="0035727C" w:rsidRPr="0035727C" w:rsidRDefault="00DA67E8" w:rsidP="00D65DE2">
      <w:pPr>
        <w:numPr>
          <w:ilvl w:val="0"/>
          <w:numId w:val="50"/>
        </w:numPr>
        <w:jc w:val="both"/>
        <w:rPr>
          <w:rFonts w:ascii="Arial" w:hAnsi="Arial" w:cs="Arial"/>
          <w:sz w:val="22"/>
          <w:szCs w:val="22"/>
        </w:rPr>
      </w:pPr>
      <w:r w:rsidRPr="0035727C">
        <w:rPr>
          <w:rFonts w:ascii="Arial" w:hAnsi="Arial" w:cs="Arial"/>
          <w:sz w:val="22"/>
          <w:szCs w:val="22"/>
        </w:rPr>
        <w:t>Confirmation of sponsorship</w:t>
      </w:r>
    </w:p>
    <w:p w14:paraId="4E7E072C" w14:textId="77777777" w:rsidR="0035727C" w:rsidRPr="0035727C" w:rsidRDefault="00DA67E8" w:rsidP="00D65DE2">
      <w:pPr>
        <w:numPr>
          <w:ilvl w:val="0"/>
          <w:numId w:val="50"/>
        </w:numPr>
        <w:jc w:val="both"/>
        <w:rPr>
          <w:rFonts w:ascii="Arial" w:hAnsi="Arial" w:cs="Arial"/>
          <w:sz w:val="22"/>
          <w:szCs w:val="22"/>
        </w:rPr>
      </w:pPr>
      <w:r w:rsidRPr="0035727C">
        <w:rPr>
          <w:rFonts w:ascii="Arial" w:hAnsi="Arial" w:cs="Arial"/>
          <w:sz w:val="22"/>
          <w:szCs w:val="22"/>
        </w:rPr>
        <w:t>Adequate insurance provision</w:t>
      </w:r>
      <w:bookmarkStart w:id="92" w:name="_Toc283031743"/>
      <w:bookmarkStart w:id="93" w:name="_Toc283376278"/>
    </w:p>
    <w:p w14:paraId="53E5FC4C" w14:textId="77777777" w:rsidR="00BF16F9" w:rsidRPr="009400C8" w:rsidRDefault="00DA67E8" w:rsidP="009400C8">
      <w:pPr>
        <w:pStyle w:val="Heading1"/>
        <w:rPr>
          <w:bCs w:val="0"/>
        </w:rPr>
      </w:pPr>
      <w:r>
        <w:br w:type="page"/>
      </w:r>
      <w:bookmarkStart w:id="94" w:name="_Toc333484719"/>
      <w:bookmarkStart w:id="95" w:name="_Toc333484834"/>
      <w:bookmarkStart w:id="96" w:name="_Toc351624788"/>
      <w:bookmarkStart w:id="97" w:name="_Toc471826733"/>
      <w:bookmarkStart w:id="98" w:name="_Toc528323499"/>
      <w:r w:rsidRPr="009400C8">
        <w:rPr>
          <w:bCs w:val="0"/>
        </w:rPr>
        <w:lastRenderedPageBreak/>
        <w:t>Selection of Sites/Site Investigators</w:t>
      </w:r>
      <w:bookmarkStart w:id="99" w:name="_Toc283031744"/>
      <w:bookmarkStart w:id="100" w:name="_Toc283376279"/>
      <w:bookmarkStart w:id="101" w:name="_Toc333484720"/>
      <w:bookmarkStart w:id="102" w:name="_Toc333484835"/>
      <w:bookmarkStart w:id="103" w:name="_Toc351624789"/>
      <w:bookmarkEnd w:id="92"/>
      <w:bookmarkEnd w:id="93"/>
      <w:bookmarkEnd w:id="94"/>
      <w:bookmarkEnd w:id="95"/>
      <w:bookmarkEnd w:id="96"/>
      <w:bookmarkEnd w:id="97"/>
      <w:bookmarkEnd w:id="98"/>
    </w:p>
    <w:p w14:paraId="390CDD3B" w14:textId="77777777" w:rsidR="00DA67E8" w:rsidRDefault="00DA67E8" w:rsidP="00BF16F9">
      <w:pPr>
        <w:pStyle w:val="Heading2"/>
      </w:pPr>
      <w:bookmarkStart w:id="104" w:name="_Toc471826734"/>
      <w:bookmarkStart w:id="105" w:name="_Toc528323500"/>
      <w:r w:rsidRPr="00A23D8C">
        <w:t>Site selection</w:t>
      </w:r>
      <w:bookmarkEnd w:id="99"/>
      <w:bookmarkEnd w:id="100"/>
      <w:bookmarkEnd w:id="101"/>
      <w:bookmarkEnd w:id="102"/>
      <w:bookmarkEnd w:id="103"/>
      <w:bookmarkEnd w:id="104"/>
      <w:bookmarkEnd w:id="105"/>
    </w:p>
    <w:p w14:paraId="3D8FF04F" w14:textId="77777777" w:rsidR="00DA67E8" w:rsidRPr="007041E0" w:rsidRDefault="00DA67E8" w:rsidP="00A35164">
      <w:pPr>
        <w:numPr>
          <w:ilvl w:val="12"/>
          <w:numId w:val="0"/>
        </w:numPr>
        <w:spacing w:after="240"/>
        <w:jc w:val="both"/>
        <w:rPr>
          <w:rFonts w:ascii="Arial" w:hAnsi="Arial" w:cs="Arial"/>
          <w:color w:val="000000"/>
          <w:sz w:val="22"/>
          <w:szCs w:val="22"/>
        </w:rPr>
      </w:pPr>
      <w:r w:rsidRPr="007041E0">
        <w:rPr>
          <w:rFonts w:ascii="Arial" w:hAnsi="Arial" w:cs="Arial"/>
          <w:bCs/>
          <w:color w:val="000000"/>
          <w:sz w:val="22"/>
          <w:szCs w:val="22"/>
        </w:rPr>
        <w:t>In this protocol</w:t>
      </w:r>
      <w:r w:rsidR="00983832">
        <w:rPr>
          <w:rFonts w:ascii="Arial" w:hAnsi="Arial" w:cs="Arial"/>
          <w:bCs/>
          <w:color w:val="000000"/>
          <w:sz w:val="22"/>
          <w:szCs w:val="22"/>
        </w:rPr>
        <w:t xml:space="preserve"> </w:t>
      </w:r>
      <w:r w:rsidRPr="007041E0">
        <w:rPr>
          <w:rFonts w:ascii="Arial" w:hAnsi="Arial" w:cs="Arial"/>
          <w:bCs/>
          <w:color w:val="000000"/>
          <w:sz w:val="22"/>
          <w:szCs w:val="22"/>
        </w:rPr>
        <w:t xml:space="preserve">trial </w:t>
      </w:r>
      <w:r w:rsidRPr="007041E0">
        <w:rPr>
          <w:rFonts w:ascii="Arial" w:hAnsi="Arial" w:cs="Arial"/>
          <w:b/>
          <w:bCs/>
          <w:color w:val="000000"/>
          <w:sz w:val="22"/>
          <w:szCs w:val="22"/>
        </w:rPr>
        <w:t>‘site’</w:t>
      </w:r>
      <w:r w:rsidRPr="007041E0">
        <w:rPr>
          <w:rFonts w:ascii="Arial" w:hAnsi="Arial" w:cs="Arial"/>
          <w:color w:val="000000"/>
          <w:sz w:val="22"/>
          <w:szCs w:val="22"/>
        </w:rPr>
        <w:t xml:space="preserve"> refers to the hospital where trial-related activities are conducted.</w:t>
      </w:r>
    </w:p>
    <w:p w14:paraId="5602D24D" w14:textId="77777777" w:rsidR="00DA67E8" w:rsidRPr="007041E0" w:rsidRDefault="00DA67E8" w:rsidP="00203A2B">
      <w:pPr>
        <w:spacing w:before="240" w:after="60"/>
        <w:jc w:val="both"/>
        <w:rPr>
          <w:rFonts w:ascii="Arial" w:hAnsi="Arial" w:cs="Arial"/>
          <w:sz w:val="22"/>
          <w:szCs w:val="22"/>
        </w:rPr>
      </w:pPr>
      <w:r w:rsidRPr="007041E0">
        <w:rPr>
          <w:rFonts w:ascii="Arial" w:hAnsi="Arial" w:cs="Arial"/>
          <w:sz w:val="22"/>
          <w:szCs w:val="22"/>
        </w:rPr>
        <w:t>Sites must be able to comply with:</w:t>
      </w:r>
    </w:p>
    <w:p w14:paraId="454AB860" w14:textId="77777777" w:rsidR="00DA67E8" w:rsidRPr="007041E0" w:rsidRDefault="00DA67E8" w:rsidP="002F600D">
      <w:pPr>
        <w:numPr>
          <w:ilvl w:val="0"/>
          <w:numId w:val="3"/>
        </w:numPr>
        <w:jc w:val="both"/>
        <w:rPr>
          <w:rFonts w:ascii="Arial" w:hAnsi="Arial" w:cs="Arial"/>
          <w:sz w:val="22"/>
          <w:szCs w:val="22"/>
        </w:rPr>
      </w:pPr>
      <w:r w:rsidRPr="007041E0">
        <w:rPr>
          <w:rFonts w:ascii="Arial" w:hAnsi="Arial" w:cs="Arial"/>
          <w:sz w:val="22"/>
          <w:szCs w:val="22"/>
        </w:rPr>
        <w:t>Trial treatment, imaging, clinical care, follow up schedules and all requirements of the trial protocol</w:t>
      </w:r>
    </w:p>
    <w:p w14:paraId="5E9023FF" w14:textId="77777777" w:rsidR="00DA67E8" w:rsidRPr="007041E0" w:rsidRDefault="00DA67E8" w:rsidP="002F600D">
      <w:pPr>
        <w:numPr>
          <w:ilvl w:val="0"/>
          <w:numId w:val="3"/>
        </w:numPr>
        <w:jc w:val="both"/>
        <w:rPr>
          <w:rFonts w:ascii="Arial" w:hAnsi="Arial" w:cs="Arial"/>
          <w:sz w:val="22"/>
          <w:szCs w:val="22"/>
        </w:rPr>
      </w:pPr>
      <w:r w:rsidRPr="007041E0">
        <w:rPr>
          <w:rFonts w:ascii="Arial" w:hAnsi="Arial" w:cs="Arial"/>
          <w:sz w:val="22"/>
          <w:szCs w:val="22"/>
        </w:rPr>
        <w:t>Requirements of the Research Governance Framework and the Medicines for Human Use (clinical trials) Act (SI 2004/1031 and all amendments)</w:t>
      </w:r>
    </w:p>
    <w:p w14:paraId="5AC1E7C5" w14:textId="77777777" w:rsidR="0037254E" w:rsidRPr="0037254E" w:rsidRDefault="00DA67E8" w:rsidP="002F600D">
      <w:pPr>
        <w:numPr>
          <w:ilvl w:val="0"/>
          <w:numId w:val="3"/>
        </w:numPr>
        <w:jc w:val="both"/>
        <w:rPr>
          <w:rFonts w:ascii="Arial" w:hAnsi="Arial" w:cs="Arial"/>
          <w:sz w:val="22"/>
          <w:szCs w:val="22"/>
        </w:rPr>
      </w:pPr>
      <w:r w:rsidRPr="007041E0">
        <w:rPr>
          <w:rFonts w:ascii="Arial" w:hAnsi="Arial" w:cs="Arial"/>
          <w:sz w:val="22"/>
          <w:szCs w:val="22"/>
        </w:rPr>
        <w:t>Data collection requirements</w:t>
      </w:r>
      <w:r w:rsidR="0037254E">
        <w:rPr>
          <w:rFonts w:ascii="Arial" w:hAnsi="Arial" w:cs="Arial"/>
          <w:sz w:val="22"/>
          <w:szCs w:val="22"/>
        </w:rPr>
        <w:t xml:space="preserve"> - </w:t>
      </w:r>
      <w:r w:rsidR="0037254E" w:rsidRPr="0037254E">
        <w:rPr>
          <w:rFonts w:ascii="Arial" w:hAnsi="Arial" w:cs="Arial"/>
          <w:sz w:val="22"/>
          <w:szCs w:val="22"/>
        </w:rPr>
        <w:t xml:space="preserve">data sent to CTC within </w:t>
      </w:r>
      <w:r w:rsidR="0037254E" w:rsidRPr="0037254E">
        <w:rPr>
          <w:rFonts w:ascii="Arial" w:hAnsi="Arial" w:cs="Arial"/>
          <w:b/>
          <w:sz w:val="22"/>
          <w:szCs w:val="22"/>
        </w:rPr>
        <w:t>2 weeks for the phase I trial</w:t>
      </w:r>
      <w:r w:rsidR="0037254E" w:rsidRPr="0037254E">
        <w:rPr>
          <w:rFonts w:ascii="Arial" w:hAnsi="Arial" w:cs="Arial"/>
          <w:sz w:val="22"/>
          <w:szCs w:val="22"/>
        </w:rPr>
        <w:t xml:space="preserve"> and within </w:t>
      </w:r>
      <w:r w:rsidR="0037254E" w:rsidRPr="0037254E">
        <w:rPr>
          <w:rFonts w:ascii="Arial" w:hAnsi="Arial" w:cs="Arial"/>
          <w:b/>
          <w:sz w:val="22"/>
          <w:szCs w:val="22"/>
        </w:rPr>
        <w:t>1 month for the phase II trial</w:t>
      </w:r>
      <w:r w:rsidR="0037254E" w:rsidRPr="0037254E">
        <w:rPr>
          <w:rFonts w:ascii="Arial" w:hAnsi="Arial" w:cs="Arial"/>
          <w:sz w:val="22"/>
          <w:szCs w:val="22"/>
        </w:rPr>
        <w:t xml:space="preserve"> of the patient being seen</w:t>
      </w:r>
      <w:r w:rsidR="0037254E" w:rsidRPr="0037254E">
        <w:rPr>
          <w:sz w:val="22"/>
          <w:szCs w:val="22"/>
        </w:rPr>
        <w:t>.</w:t>
      </w:r>
    </w:p>
    <w:p w14:paraId="5BE54D40" w14:textId="77777777" w:rsidR="0037254E" w:rsidRDefault="0037254E" w:rsidP="0037254E">
      <w:pPr>
        <w:spacing w:before="240" w:after="60"/>
        <w:jc w:val="both"/>
        <w:rPr>
          <w:rFonts w:ascii="Arial" w:hAnsi="Arial" w:cs="Arial"/>
          <w:sz w:val="22"/>
          <w:szCs w:val="22"/>
        </w:rPr>
      </w:pPr>
      <w:r>
        <w:rPr>
          <w:rFonts w:ascii="Arial" w:hAnsi="Arial" w:cs="Arial"/>
          <w:sz w:val="22"/>
          <w:szCs w:val="22"/>
        </w:rPr>
        <w:t>In addition Site must have:</w:t>
      </w:r>
    </w:p>
    <w:p w14:paraId="06D1848B" w14:textId="77777777" w:rsidR="0037254E" w:rsidRDefault="0037254E" w:rsidP="002F600D">
      <w:pPr>
        <w:numPr>
          <w:ilvl w:val="0"/>
          <w:numId w:val="3"/>
        </w:numPr>
        <w:jc w:val="both"/>
        <w:rPr>
          <w:rFonts w:ascii="Arial" w:hAnsi="Arial" w:cs="Arial"/>
          <w:sz w:val="22"/>
          <w:szCs w:val="22"/>
        </w:rPr>
      </w:pPr>
      <w:r>
        <w:rPr>
          <w:rFonts w:ascii="Arial" w:hAnsi="Arial" w:cs="Arial"/>
          <w:sz w:val="22"/>
          <w:szCs w:val="22"/>
        </w:rPr>
        <w:t>Previous experience in early phase trials</w:t>
      </w:r>
    </w:p>
    <w:p w14:paraId="2ED67860" w14:textId="77777777" w:rsidR="0037254E" w:rsidRPr="007041E0" w:rsidRDefault="00210F35" w:rsidP="002F600D">
      <w:pPr>
        <w:numPr>
          <w:ilvl w:val="0"/>
          <w:numId w:val="3"/>
        </w:numPr>
        <w:jc w:val="both"/>
        <w:rPr>
          <w:rFonts w:ascii="Arial" w:hAnsi="Arial" w:cs="Arial"/>
          <w:sz w:val="22"/>
          <w:szCs w:val="22"/>
        </w:rPr>
      </w:pPr>
      <w:r>
        <w:rPr>
          <w:rFonts w:ascii="Arial" w:hAnsi="Arial" w:cs="Arial"/>
          <w:sz w:val="22"/>
          <w:szCs w:val="22"/>
        </w:rPr>
        <w:t>F</w:t>
      </w:r>
      <w:r w:rsidR="0037254E" w:rsidRPr="007041E0">
        <w:rPr>
          <w:rFonts w:ascii="Arial" w:hAnsi="Arial" w:cs="Arial"/>
          <w:sz w:val="22"/>
          <w:szCs w:val="22"/>
        </w:rPr>
        <w:t>acilities to provide</w:t>
      </w:r>
      <w:r w:rsidR="0037254E">
        <w:rPr>
          <w:rFonts w:ascii="Arial" w:hAnsi="Arial" w:cs="Arial"/>
          <w:sz w:val="22"/>
          <w:szCs w:val="22"/>
        </w:rPr>
        <w:t xml:space="preserve"> </w:t>
      </w:r>
      <w:r w:rsidR="0037254E" w:rsidRPr="007041E0">
        <w:rPr>
          <w:rFonts w:ascii="Arial" w:hAnsi="Arial" w:cs="Arial"/>
          <w:b/>
          <w:sz w:val="22"/>
          <w:szCs w:val="22"/>
        </w:rPr>
        <w:t>24 hour medical advice</w:t>
      </w:r>
      <w:r w:rsidR="0037254E" w:rsidRPr="007041E0">
        <w:rPr>
          <w:rFonts w:ascii="Arial" w:hAnsi="Arial" w:cs="Arial"/>
          <w:sz w:val="22"/>
          <w:szCs w:val="22"/>
        </w:rPr>
        <w:t xml:space="preserve"> for trial patients.</w:t>
      </w:r>
    </w:p>
    <w:p w14:paraId="74D4D755" w14:textId="77777777" w:rsidR="0037254E" w:rsidRPr="007041E0" w:rsidRDefault="0037254E" w:rsidP="0037254E">
      <w:pPr>
        <w:ind w:left="720"/>
        <w:jc w:val="both"/>
        <w:rPr>
          <w:rFonts w:ascii="Arial" w:hAnsi="Arial" w:cs="Arial"/>
          <w:sz w:val="22"/>
          <w:szCs w:val="22"/>
        </w:rPr>
      </w:pPr>
    </w:p>
    <w:p w14:paraId="2455DDA1" w14:textId="77777777" w:rsidR="00DA67E8" w:rsidRDefault="00DA67E8" w:rsidP="00BF16F9">
      <w:pPr>
        <w:pStyle w:val="Heading2"/>
      </w:pPr>
      <w:bookmarkStart w:id="106" w:name="_Toc283031745"/>
      <w:bookmarkStart w:id="107" w:name="_Toc283376280"/>
      <w:bookmarkStart w:id="108" w:name="_Toc333484721"/>
      <w:bookmarkStart w:id="109" w:name="_Toc333484836"/>
      <w:bookmarkStart w:id="110" w:name="_Toc351624790"/>
      <w:bookmarkStart w:id="111" w:name="_Toc471826735"/>
      <w:bookmarkStart w:id="112" w:name="_Toc528323501"/>
      <w:r w:rsidRPr="00A23D8C">
        <w:t>Selection of Principal</w:t>
      </w:r>
      <w:r w:rsidR="00983832">
        <w:t xml:space="preserve"> </w:t>
      </w:r>
      <w:r w:rsidRPr="00A23D8C">
        <w:t>Investigator and other investigators at sites</w:t>
      </w:r>
      <w:bookmarkEnd w:id="106"/>
      <w:bookmarkEnd w:id="107"/>
      <w:bookmarkEnd w:id="108"/>
      <w:bookmarkEnd w:id="109"/>
      <w:bookmarkEnd w:id="110"/>
      <w:bookmarkEnd w:id="111"/>
      <w:bookmarkEnd w:id="112"/>
    </w:p>
    <w:p w14:paraId="0D2425CF" w14:textId="77777777" w:rsidR="00DA67E8" w:rsidRPr="00A23D8C" w:rsidRDefault="00DA67E8" w:rsidP="00A35164">
      <w:pPr>
        <w:pStyle w:val="ProtTempparagraph"/>
        <w:spacing w:after="240"/>
      </w:pPr>
      <w:r w:rsidRPr="007041E0">
        <w:rPr>
          <w:sz w:val="22"/>
          <w:szCs w:val="22"/>
        </w:rPr>
        <w:t>Sites must have an appropriate Principal Investigator (PI), i.e. a health care professional authorised by the site,</w:t>
      </w:r>
      <w:r w:rsidR="00983832">
        <w:rPr>
          <w:sz w:val="22"/>
          <w:szCs w:val="22"/>
        </w:rPr>
        <w:t xml:space="preserve"> </w:t>
      </w:r>
      <w:r w:rsidRPr="007041E0">
        <w:rPr>
          <w:sz w:val="22"/>
          <w:szCs w:val="22"/>
        </w:rPr>
        <w:t>ethics committee and regulatory authority, to lead and coordinate the work of the trial on behalf of the site.  Other investigators at site wishing to participate in the trial must be trained and approved by the PI. All investigators must be medical doctors and</w:t>
      </w:r>
      <w:r w:rsidR="00983832">
        <w:rPr>
          <w:sz w:val="22"/>
          <w:szCs w:val="22"/>
        </w:rPr>
        <w:t xml:space="preserve"> </w:t>
      </w:r>
      <w:r w:rsidRPr="007041E0">
        <w:rPr>
          <w:sz w:val="22"/>
          <w:szCs w:val="22"/>
        </w:rPr>
        <w:t>have experience of treating</w:t>
      </w:r>
      <w:r>
        <w:rPr>
          <w:sz w:val="22"/>
          <w:szCs w:val="22"/>
        </w:rPr>
        <w:t xml:space="preserve"> mesothelioma</w:t>
      </w:r>
      <w:r>
        <w:rPr>
          <w:color w:val="FF0000"/>
          <w:sz w:val="22"/>
          <w:szCs w:val="22"/>
        </w:rPr>
        <w:t>.</w:t>
      </w:r>
    </w:p>
    <w:p w14:paraId="3ECB3224" w14:textId="77777777" w:rsidR="00DA67E8" w:rsidRDefault="00DA67E8" w:rsidP="00BF16F9">
      <w:pPr>
        <w:pStyle w:val="Heading2"/>
      </w:pPr>
      <w:bookmarkStart w:id="113" w:name="_Toc283031746"/>
      <w:bookmarkStart w:id="114" w:name="_Toc283376281"/>
      <w:bookmarkStart w:id="115" w:name="_Toc333484722"/>
      <w:bookmarkStart w:id="116" w:name="_Toc333484837"/>
      <w:bookmarkStart w:id="117" w:name="_Toc351624791"/>
      <w:bookmarkStart w:id="118" w:name="_Toc471826736"/>
      <w:bookmarkStart w:id="119" w:name="_Toc528323502"/>
      <w:r w:rsidRPr="00A23D8C">
        <w:t>Training requirements for site staff</w:t>
      </w:r>
      <w:bookmarkEnd w:id="113"/>
      <w:bookmarkEnd w:id="114"/>
      <w:bookmarkEnd w:id="115"/>
      <w:bookmarkEnd w:id="116"/>
      <w:bookmarkEnd w:id="117"/>
      <w:bookmarkEnd w:id="118"/>
      <w:bookmarkEnd w:id="119"/>
    </w:p>
    <w:p w14:paraId="144F74E9" w14:textId="77777777" w:rsidR="00DA67E8" w:rsidRPr="00BD462B" w:rsidRDefault="00DA67E8" w:rsidP="00A35164">
      <w:pPr>
        <w:pStyle w:val="ProtTempparagraph"/>
        <w:spacing w:after="240"/>
        <w:rPr>
          <w:sz w:val="22"/>
          <w:szCs w:val="22"/>
        </w:rPr>
      </w:pPr>
      <w:r w:rsidRPr="00BD462B">
        <w:rPr>
          <w:sz w:val="22"/>
          <w:szCs w:val="22"/>
        </w:rPr>
        <w:t>All site staff must be appropriately qualified by education, training and experience to perform the trial related duties allocated to them, which must be recorded on the site delegation log.</w:t>
      </w:r>
    </w:p>
    <w:p w14:paraId="4744BC5A" w14:textId="77777777" w:rsidR="00DA67E8" w:rsidRPr="00BD462B" w:rsidRDefault="00DA67E8" w:rsidP="00A35164">
      <w:pPr>
        <w:pStyle w:val="ProtTempparagraph"/>
        <w:spacing w:after="240"/>
        <w:rPr>
          <w:sz w:val="22"/>
          <w:szCs w:val="22"/>
        </w:rPr>
      </w:pPr>
      <w:r w:rsidRPr="00BD462B">
        <w:rPr>
          <w:sz w:val="22"/>
          <w:szCs w:val="22"/>
        </w:rPr>
        <w:t>CVs for all staff must be kept up-to-date, signed and dated and copies held in the Investigator Site File (ISF).  An up-to-date, signed copy of the CV for the PI must be forwarded to UCL CTC upon request.</w:t>
      </w:r>
    </w:p>
    <w:p w14:paraId="32FA9AE5" w14:textId="77777777" w:rsidR="00DA67E8" w:rsidRPr="00BD462B" w:rsidRDefault="00DA67E8" w:rsidP="00A35164">
      <w:pPr>
        <w:pStyle w:val="ProtTempparagraph"/>
        <w:spacing w:after="240"/>
        <w:rPr>
          <w:sz w:val="22"/>
          <w:szCs w:val="22"/>
        </w:rPr>
      </w:pPr>
      <w:r w:rsidRPr="00BD462B">
        <w:rPr>
          <w:sz w:val="22"/>
          <w:szCs w:val="22"/>
        </w:rPr>
        <w:t>GCP training is required for all staff responsible for trial activities. The frequency of repeat training may be dictated by the requirements of their employing institution, or 2 yearly where the institution has no policy, and more frequently when there have been updates to the legal or regulatory requirements</w:t>
      </w:r>
      <w:r w:rsidR="00983832">
        <w:rPr>
          <w:sz w:val="22"/>
          <w:szCs w:val="22"/>
        </w:rPr>
        <w:t xml:space="preserve"> </w:t>
      </w:r>
      <w:r w:rsidRPr="00BD462B">
        <w:rPr>
          <w:sz w:val="22"/>
          <w:szCs w:val="22"/>
        </w:rPr>
        <w:t>for the conduct of clinical trials.</w:t>
      </w:r>
    </w:p>
    <w:p w14:paraId="531500A2" w14:textId="77777777" w:rsidR="009237DE" w:rsidRPr="009237DE" w:rsidRDefault="00C26972" w:rsidP="009237DE">
      <w:pPr>
        <w:pStyle w:val="Heading2"/>
      </w:pPr>
      <w:bookmarkStart w:id="120" w:name="_Toc283031747"/>
      <w:bookmarkStart w:id="121" w:name="_Toc283376282"/>
      <w:bookmarkStart w:id="122" w:name="_Toc333484723"/>
      <w:bookmarkStart w:id="123" w:name="_Toc333484838"/>
      <w:r>
        <w:rPr>
          <w:lang w:val="en-GB"/>
        </w:rPr>
        <w:t xml:space="preserve">    </w:t>
      </w:r>
      <w:bookmarkStart w:id="124" w:name="_Toc351624792"/>
      <w:bookmarkStart w:id="125" w:name="_Toc471826737"/>
      <w:bookmarkStart w:id="126" w:name="_Toc528323503"/>
      <w:r w:rsidR="00DA67E8" w:rsidRPr="00A23D8C">
        <w:t>Site initiation and activation</w:t>
      </w:r>
      <w:bookmarkStart w:id="127" w:name="_Toc283031748"/>
      <w:bookmarkStart w:id="128" w:name="_Toc283376283"/>
      <w:bookmarkStart w:id="129" w:name="_Toc333484724"/>
      <w:bookmarkStart w:id="130" w:name="_Toc333484839"/>
      <w:bookmarkStart w:id="131" w:name="_Toc351624793"/>
      <w:bookmarkEnd w:id="120"/>
      <w:bookmarkEnd w:id="121"/>
      <w:bookmarkEnd w:id="122"/>
      <w:bookmarkEnd w:id="123"/>
      <w:bookmarkEnd w:id="124"/>
      <w:bookmarkEnd w:id="125"/>
      <w:bookmarkEnd w:id="126"/>
    </w:p>
    <w:p w14:paraId="67C61E97" w14:textId="77777777" w:rsidR="00DA67E8" w:rsidRPr="009237DE" w:rsidRDefault="00DA67E8" w:rsidP="009237DE">
      <w:pPr>
        <w:pStyle w:val="Heading3"/>
        <w:ind w:left="851" w:hanging="851"/>
      </w:pPr>
      <w:bookmarkStart w:id="132" w:name="_Toc471826738"/>
      <w:bookmarkStart w:id="133" w:name="_Toc528323504"/>
      <w:r w:rsidRPr="009237DE">
        <w:t>Site initiation</w:t>
      </w:r>
      <w:bookmarkEnd w:id="127"/>
      <w:bookmarkEnd w:id="128"/>
      <w:bookmarkEnd w:id="129"/>
      <w:bookmarkEnd w:id="130"/>
      <w:bookmarkEnd w:id="131"/>
      <w:bookmarkEnd w:id="132"/>
      <w:bookmarkEnd w:id="133"/>
    </w:p>
    <w:p w14:paraId="36907B98" w14:textId="77777777" w:rsidR="00DA67E8" w:rsidRPr="00BD462B" w:rsidRDefault="00DA67E8" w:rsidP="00A35164">
      <w:pPr>
        <w:pStyle w:val="ProtTempparagraph"/>
        <w:spacing w:after="240"/>
        <w:rPr>
          <w:sz w:val="22"/>
          <w:szCs w:val="22"/>
        </w:rPr>
      </w:pPr>
      <w:r w:rsidRPr="00BD462B">
        <w:rPr>
          <w:sz w:val="22"/>
          <w:szCs w:val="22"/>
        </w:rPr>
        <w:t>Before a site is activated, the UCL CTC trial team will arrange a site initiation with the site which the PI, the pharmacy lead and site research team must attend. The site will be trained in the day-to-day management of the trial and essential documentation required for the trial will be checked.</w:t>
      </w:r>
    </w:p>
    <w:p w14:paraId="5FE24FE8" w14:textId="77777777" w:rsidR="00DA67E8" w:rsidRPr="00BD462B" w:rsidRDefault="00DA67E8" w:rsidP="00A35164">
      <w:pPr>
        <w:pStyle w:val="ProtTempparagraph"/>
        <w:spacing w:after="240"/>
        <w:rPr>
          <w:sz w:val="22"/>
          <w:szCs w:val="22"/>
        </w:rPr>
      </w:pPr>
      <w:r w:rsidRPr="00BD462B">
        <w:rPr>
          <w:sz w:val="22"/>
          <w:szCs w:val="22"/>
        </w:rPr>
        <w:lastRenderedPageBreak/>
        <w:t xml:space="preserve">Site initiation will be performed for each site by site visit for the phase I trial. Site Initiation for </w:t>
      </w:r>
      <w:r w:rsidRPr="00BD462B">
        <w:rPr>
          <w:rFonts w:cs="Tahoma"/>
          <w:sz w:val="22"/>
          <w:szCs w:val="22"/>
        </w:rPr>
        <w:t xml:space="preserve">the Phase II trial may be performed by either site visit or teleconference. This is in addition to any investigator meetings that may take place during the phase I and phase II trials. </w:t>
      </w:r>
    </w:p>
    <w:p w14:paraId="08206162" w14:textId="77777777" w:rsidR="00DA67E8" w:rsidRPr="007041E0" w:rsidRDefault="00DA67E8" w:rsidP="009237DE">
      <w:pPr>
        <w:pStyle w:val="Heading3"/>
        <w:ind w:left="851" w:hanging="851"/>
      </w:pPr>
      <w:bookmarkStart w:id="134" w:name="_Toc283027272"/>
      <w:bookmarkStart w:id="135" w:name="_Toc283027493"/>
      <w:bookmarkStart w:id="136" w:name="_Toc283027675"/>
      <w:bookmarkStart w:id="137" w:name="_Toc283027856"/>
      <w:bookmarkStart w:id="138" w:name="_Toc283028149"/>
      <w:bookmarkStart w:id="139" w:name="_Toc283028314"/>
      <w:bookmarkStart w:id="140" w:name="_Toc283029376"/>
      <w:bookmarkStart w:id="141" w:name="_Toc283029541"/>
      <w:bookmarkStart w:id="142" w:name="_Toc283031749"/>
      <w:bookmarkStart w:id="143" w:name="_Toc283376284"/>
      <w:bookmarkStart w:id="144" w:name="_Toc283027273"/>
      <w:bookmarkStart w:id="145" w:name="_Toc283027494"/>
      <w:bookmarkStart w:id="146" w:name="_Toc283027676"/>
      <w:bookmarkStart w:id="147" w:name="_Toc283027857"/>
      <w:bookmarkStart w:id="148" w:name="_Toc283028150"/>
      <w:bookmarkStart w:id="149" w:name="_Toc283028315"/>
      <w:bookmarkStart w:id="150" w:name="_Toc283029377"/>
      <w:bookmarkStart w:id="151" w:name="_Toc283029542"/>
      <w:bookmarkStart w:id="152" w:name="_Toc283031750"/>
      <w:bookmarkStart w:id="153" w:name="_Toc283376285"/>
      <w:bookmarkStart w:id="154" w:name="_Toc283027274"/>
      <w:bookmarkStart w:id="155" w:name="_Toc283027495"/>
      <w:bookmarkStart w:id="156" w:name="_Toc283027677"/>
      <w:bookmarkStart w:id="157" w:name="_Toc283027858"/>
      <w:bookmarkStart w:id="158" w:name="_Toc283028151"/>
      <w:bookmarkStart w:id="159" w:name="_Toc283028316"/>
      <w:bookmarkStart w:id="160" w:name="_Toc283029378"/>
      <w:bookmarkStart w:id="161" w:name="_Toc283029543"/>
      <w:bookmarkStart w:id="162" w:name="_Toc283031751"/>
      <w:bookmarkStart w:id="163" w:name="_Toc283376286"/>
      <w:bookmarkStart w:id="164" w:name="_Toc283027275"/>
      <w:bookmarkStart w:id="165" w:name="_Toc283027496"/>
      <w:bookmarkStart w:id="166" w:name="_Toc283027678"/>
      <w:bookmarkStart w:id="167" w:name="_Toc283027859"/>
      <w:bookmarkStart w:id="168" w:name="_Toc283028152"/>
      <w:bookmarkStart w:id="169" w:name="_Toc283028317"/>
      <w:bookmarkStart w:id="170" w:name="_Toc283029379"/>
      <w:bookmarkStart w:id="171" w:name="_Toc283029544"/>
      <w:bookmarkStart w:id="172" w:name="_Toc283031752"/>
      <w:bookmarkStart w:id="173" w:name="_Toc283376287"/>
      <w:bookmarkStart w:id="174" w:name="_Toc283031753"/>
      <w:bookmarkStart w:id="175" w:name="_Toc283376288"/>
      <w:bookmarkStart w:id="176" w:name="_Toc333484725"/>
      <w:bookmarkStart w:id="177" w:name="_Toc333484840"/>
      <w:bookmarkStart w:id="178" w:name="_Toc351624794"/>
      <w:bookmarkStart w:id="179" w:name="_Toc471826739"/>
      <w:bookmarkStart w:id="180" w:name="_Toc52832350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7041E0">
        <w:t>Required documentation</w:t>
      </w:r>
      <w:bookmarkEnd w:id="174"/>
      <w:bookmarkEnd w:id="175"/>
      <w:bookmarkEnd w:id="176"/>
      <w:bookmarkEnd w:id="177"/>
      <w:bookmarkEnd w:id="178"/>
      <w:bookmarkEnd w:id="179"/>
      <w:bookmarkEnd w:id="180"/>
    </w:p>
    <w:p w14:paraId="5D44A7DE" w14:textId="77777777" w:rsidR="00DA67E8" w:rsidRPr="004B11BA" w:rsidRDefault="00DA67E8" w:rsidP="004B11BA">
      <w:pPr>
        <w:pStyle w:val="ProtTempparagraph"/>
        <w:spacing w:after="240"/>
        <w:rPr>
          <w:sz w:val="22"/>
          <w:szCs w:val="22"/>
        </w:rPr>
      </w:pPr>
      <w:r w:rsidRPr="00BD462B">
        <w:rPr>
          <w:sz w:val="22"/>
          <w:szCs w:val="22"/>
        </w:rPr>
        <w:t>The following documentation must be submitted by the site to UCL CTC prior to a site being activated by UCL CTC trial team:</w:t>
      </w:r>
    </w:p>
    <w:p w14:paraId="2DE8E37D" w14:textId="77777777" w:rsidR="00DA67E8" w:rsidRPr="00BD462B"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Trial specific Site Registration Form (identifying relevant local staff)</w:t>
      </w:r>
    </w:p>
    <w:p w14:paraId="5A6C0534" w14:textId="77777777" w:rsidR="00DA67E8" w:rsidRPr="00BD462B"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All relevant institutional approvals (e.g. local NHS permission</w:t>
      </w:r>
      <w:r w:rsidR="001F750A">
        <w:rPr>
          <w:rFonts w:ascii="Arial" w:hAnsi="Arial" w:cs="Arial"/>
          <w:sz w:val="22"/>
          <w:szCs w:val="22"/>
        </w:rPr>
        <w:t>/confirmation of capacity and capability</w:t>
      </w:r>
      <w:r w:rsidRPr="00BD462B">
        <w:rPr>
          <w:rFonts w:ascii="Arial" w:hAnsi="Arial" w:cs="Arial"/>
          <w:sz w:val="22"/>
          <w:szCs w:val="22"/>
        </w:rPr>
        <w:t>)</w:t>
      </w:r>
    </w:p>
    <w:p w14:paraId="7D109113" w14:textId="77777777" w:rsidR="00DA67E8" w:rsidRPr="00853AF9" w:rsidRDefault="00DA67E8" w:rsidP="006D3F09">
      <w:pPr>
        <w:numPr>
          <w:ilvl w:val="0"/>
          <w:numId w:val="3"/>
        </w:numPr>
        <w:ind w:hanging="426"/>
        <w:jc w:val="both"/>
        <w:rPr>
          <w:rFonts w:ascii="Arial" w:hAnsi="Arial" w:cs="Arial"/>
          <w:sz w:val="22"/>
          <w:szCs w:val="22"/>
        </w:rPr>
      </w:pPr>
      <w:r w:rsidRPr="00BD462B">
        <w:rPr>
          <w:rFonts w:ascii="Arial" w:hAnsi="Arial" w:cs="Arial"/>
          <w:sz w:val="22"/>
          <w:szCs w:val="22"/>
        </w:rPr>
        <w:t>A completed site delegation log that is signed and dated by the PI</w:t>
      </w:r>
    </w:p>
    <w:p w14:paraId="7F9A8966" w14:textId="77777777" w:rsidR="00DA67E8" w:rsidRPr="00BD462B"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A copy of the PI’s current CV that is signed and dated</w:t>
      </w:r>
      <w:r w:rsidR="00210F35">
        <w:rPr>
          <w:rFonts w:ascii="Arial" w:hAnsi="Arial" w:cs="Arial"/>
          <w:sz w:val="22"/>
          <w:szCs w:val="22"/>
        </w:rPr>
        <w:t>, with details of GCP training (or separate GCP certificate if not detailed in CV)</w:t>
      </w:r>
    </w:p>
    <w:p w14:paraId="669605DD" w14:textId="77777777" w:rsidR="00DA67E8" w:rsidRPr="00BD462B"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A copy of the prescription sheet to be used in the trial</w:t>
      </w:r>
    </w:p>
    <w:p w14:paraId="246BDA36" w14:textId="77777777" w:rsidR="00DA67E8" w:rsidRPr="00BD462B"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A copy of the drug accountability log if CTC template not used</w:t>
      </w:r>
    </w:p>
    <w:p w14:paraId="589F04CF" w14:textId="77777777" w:rsidR="00DA67E8" w:rsidRPr="00BD462B" w:rsidRDefault="00DA67E8" w:rsidP="00DC0AC5">
      <w:pPr>
        <w:pStyle w:val="ProtTempparagraph"/>
        <w:spacing w:after="0"/>
        <w:ind w:hanging="426"/>
        <w:rPr>
          <w:b/>
          <w:i/>
          <w:color w:val="0000FF"/>
          <w:sz w:val="22"/>
          <w:szCs w:val="22"/>
        </w:rPr>
      </w:pPr>
    </w:p>
    <w:p w14:paraId="67886611" w14:textId="77777777" w:rsidR="00DA67E8" w:rsidRDefault="00DA67E8" w:rsidP="004B11BA">
      <w:pPr>
        <w:pStyle w:val="ProtTempparagraph"/>
        <w:spacing w:after="0"/>
        <w:rPr>
          <w:sz w:val="22"/>
          <w:szCs w:val="22"/>
        </w:rPr>
      </w:pPr>
      <w:r w:rsidRPr="00BD462B">
        <w:rPr>
          <w:sz w:val="22"/>
          <w:szCs w:val="22"/>
        </w:rPr>
        <w:t>The UCL CTC trial team will ensure that, for UK sites:</w:t>
      </w:r>
    </w:p>
    <w:p w14:paraId="76C09774" w14:textId="77777777" w:rsidR="00626C86" w:rsidRPr="004B11BA" w:rsidRDefault="00626C86" w:rsidP="004B11BA">
      <w:pPr>
        <w:pStyle w:val="ProtTempparagraph"/>
        <w:spacing w:after="0"/>
        <w:rPr>
          <w:sz w:val="22"/>
          <w:szCs w:val="22"/>
        </w:rPr>
      </w:pPr>
    </w:p>
    <w:p w14:paraId="557F31F4" w14:textId="77777777" w:rsidR="00DA67E8" w:rsidRPr="00BD462B"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If the site was not included in the original CSP application, the Part C is updated and the R&amp;D form is resubmitted to CSP (who will notify the lead CLRN of the new site)</w:t>
      </w:r>
    </w:p>
    <w:p w14:paraId="0BAC3E60" w14:textId="77777777" w:rsidR="00DA67E8" w:rsidRPr="00BD462B"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An SSI form is transferred to the site via IRAS</w:t>
      </w:r>
    </w:p>
    <w:p w14:paraId="69E1AF75" w14:textId="77777777" w:rsidR="00DA67E8" w:rsidRPr="00BD462B"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If the site was not included on the original REC application, a substantial amendment is submitted to and approved by the REC</w:t>
      </w:r>
    </w:p>
    <w:p w14:paraId="1214F964" w14:textId="77777777" w:rsidR="00DA67E8"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If the site was not included on the original CTA application, the CTA is updated and the MHRA notified at the next substantial amendment to the MHRA</w:t>
      </w:r>
    </w:p>
    <w:p w14:paraId="49B03BA8" w14:textId="77777777" w:rsidR="004B11BA" w:rsidRPr="00BD462B" w:rsidRDefault="004B11BA" w:rsidP="004B11BA">
      <w:pPr>
        <w:ind w:left="720"/>
        <w:jc w:val="both"/>
        <w:rPr>
          <w:rFonts w:ascii="Arial" w:hAnsi="Arial" w:cs="Arial"/>
          <w:sz w:val="22"/>
          <w:szCs w:val="22"/>
        </w:rPr>
      </w:pPr>
    </w:p>
    <w:p w14:paraId="08ED7D11" w14:textId="77777777" w:rsidR="00DA67E8" w:rsidRDefault="00DA67E8" w:rsidP="004B11BA">
      <w:pPr>
        <w:pStyle w:val="ProtTempparagraph"/>
        <w:spacing w:after="0"/>
        <w:rPr>
          <w:sz w:val="22"/>
          <w:szCs w:val="22"/>
        </w:rPr>
      </w:pPr>
      <w:r w:rsidRPr="00BD462B">
        <w:rPr>
          <w:sz w:val="22"/>
          <w:szCs w:val="22"/>
        </w:rPr>
        <w:t>In addition, the following agreements must be in place:</w:t>
      </w:r>
    </w:p>
    <w:p w14:paraId="19E3B145" w14:textId="77777777" w:rsidR="00626C86" w:rsidRPr="00BD462B" w:rsidRDefault="00626C86" w:rsidP="004B11BA">
      <w:pPr>
        <w:pStyle w:val="ProtTempparagraph"/>
        <w:spacing w:after="0"/>
        <w:rPr>
          <w:sz w:val="22"/>
          <w:szCs w:val="22"/>
        </w:rPr>
      </w:pPr>
    </w:p>
    <w:p w14:paraId="4F147177" w14:textId="77777777" w:rsidR="00DA67E8" w:rsidRPr="00BD462B" w:rsidRDefault="00DA67E8" w:rsidP="002F600D">
      <w:pPr>
        <w:numPr>
          <w:ilvl w:val="0"/>
          <w:numId w:val="3"/>
        </w:numPr>
        <w:ind w:hanging="426"/>
        <w:jc w:val="both"/>
        <w:rPr>
          <w:rFonts w:ascii="Arial" w:hAnsi="Arial" w:cs="Arial"/>
          <w:sz w:val="22"/>
          <w:szCs w:val="22"/>
        </w:rPr>
      </w:pPr>
      <w:r w:rsidRPr="00BD462B">
        <w:rPr>
          <w:rFonts w:ascii="Arial" w:hAnsi="Arial" w:cs="Arial"/>
          <w:sz w:val="22"/>
          <w:szCs w:val="22"/>
        </w:rPr>
        <w:t>For UK sites: a signed Clinical Trial Site Agreement (CTSA) between the Sponsor and the relevant institution (usually a NHS Trust)</w:t>
      </w:r>
    </w:p>
    <w:p w14:paraId="5E51D46B" w14:textId="77777777" w:rsidR="00DA67E8" w:rsidRPr="007041E0" w:rsidRDefault="00DA67E8" w:rsidP="00853AF9">
      <w:pPr>
        <w:pStyle w:val="Heading3"/>
        <w:numPr>
          <w:ilvl w:val="2"/>
          <w:numId w:val="39"/>
        </w:numPr>
      </w:pPr>
      <w:bookmarkStart w:id="181" w:name="_Toc283027277"/>
      <w:bookmarkStart w:id="182" w:name="_Toc283027498"/>
      <w:bookmarkStart w:id="183" w:name="_Toc283027680"/>
      <w:bookmarkStart w:id="184" w:name="_Toc283027861"/>
      <w:bookmarkStart w:id="185" w:name="_Toc283028154"/>
      <w:bookmarkStart w:id="186" w:name="_Toc283028319"/>
      <w:bookmarkStart w:id="187" w:name="_Toc283029381"/>
      <w:bookmarkStart w:id="188" w:name="_Toc283029546"/>
      <w:bookmarkStart w:id="189" w:name="_Toc283031754"/>
      <w:bookmarkStart w:id="190" w:name="_Toc283376289"/>
      <w:bookmarkStart w:id="191" w:name="_Toc283027278"/>
      <w:bookmarkStart w:id="192" w:name="_Toc283027499"/>
      <w:bookmarkStart w:id="193" w:name="_Toc283027681"/>
      <w:bookmarkStart w:id="194" w:name="_Toc283027862"/>
      <w:bookmarkStart w:id="195" w:name="_Toc283028155"/>
      <w:bookmarkStart w:id="196" w:name="_Toc283028320"/>
      <w:bookmarkStart w:id="197" w:name="_Toc283029382"/>
      <w:bookmarkStart w:id="198" w:name="_Toc283029547"/>
      <w:bookmarkStart w:id="199" w:name="_Toc283031755"/>
      <w:bookmarkStart w:id="200" w:name="_Toc283376290"/>
      <w:bookmarkStart w:id="201" w:name="_Toc283027279"/>
      <w:bookmarkStart w:id="202" w:name="_Toc283027500"/>
      <w:bookmarkStart w:id="203" w:name="_Toc283027682"/>
      <w:bookmarkStart w:id="204" w:name="_Toc283027863"/>
      <w:bookmarkStart w:id="205" w:name="_Toc283028156"/>
      <w:bookmarkStart w:id="206" w:name="_Toc283028321"/>
      <w:bookmarkStart w:id="207" w:name="_Toc283029383"/>
      <w:bookmarkStart w:id="208" w:name="_Toc283029548"/>
      <w:bookmarkStart w:id="209" w:name="_Toc283031756"/>
      <w:bookmarkStart w:id="210" w:name="_Toc283376291"/>
      <w:bookmarkStart w:id="211" w:name="_Toc283031757"/>
      <w:bookmarkStart w:id="212" w:name="_Toc283376292"/>
      <w:bookmarkStart w:id="213" w:name="_Toc333484726"/>
      <w:bookmarkStart w:id="214" w:name="_Toc333484841"/>
      <w:bookmarkStart w:id="215" w:name="_Toc351624795"/>
      <w:bookmarkStart w:id="216" w:name="_Toc471826740"/>
      <w:bookmarkStart w:id="217" w:name="_Toc52832350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7041E0">
        <w:t>Site activation letter</w:t>
      </w:r>
      <w:bookmarkEnd w:id="211"/>
      <w:bookmarkEnd w:id="212"/>
      <w:bookmarkEnd w:id="213"/>
      <w:bookmarkEnd w:id="214"/>
      <w:bookmarkEnd w:id="215"/>
      <w:bookmarkEnd w:id="216"/>
      <w:bookmarkEnd w:id="217"/>
    </w:p>
    <w:p w14:paraId="044F062F" w14:textId="77777777" w:rsidR="00DA67E8" w:rsidRPr="007041E0" w:rsidRDefault="00DA67E8" w:rsidP="00A35164">
      <w:pPr>
        <w:pStyle w:val="ProtTempparagraph"/>
        <w:spacing w:after="240"/>
        <w:rPr>
          <w:sz w:val="22"/>
          <w:szCs w:val="22"/>
        </w:rPr>
      </w:pPr>
      <w:r w:rsidRPr="007041E0">
        <w:rPr>
          <w:sz w:val="22"/>
          <w:szCs w:val="22"/>
        </w:rPr>
        <w:t>Once the UCL CTC trial team</w:t>
      </w:r>
      <w:r w:rsidR="00983832">
        <w:rPr>
          <w:sz w:val="22"/>
          <w:szCs w:val="22"/>
        </w:rPr>
        <w:t xml:space="preserve"> </w:t>
      </w:r>
      <w:r w:rsidRPr="007041E0">
        <w:rPr>
          <w:sz w:val="22"/>
          <w:szCs w:val="22"/>
        </w:rPr>
        <w:t>has received all required</w:t>
      </w:r>
      <w:r w:rsidR="00983832">
        <w:rPr>
          <w:sz w:val="22"/>
          <w:szCs w:val="22"/>
        </w:rPr>
        <w:t xml:space="preserve"> </w:t>
      </w:r>
      <w:r w:rsidRPr="007041E0">
        <w:rPr>
          <w:sz w:val="22"/>
          <w:szCs w:val="22"/>
        </w:rPr>
        <w:t>documentation and the site has been initiated, a site activation letter will be issued to the PI, at which point the site may start to approach patients.</w:t>
      </w:r>
    </w:p>
    <w:p w14:paraId="66ACEF78" w14:textId="77777777" w:rsidR="00DA67E8" w:rsidRPr="007041E0" w:rsidRDefault="00DA67E8" w:rsidP="00A35164">
      <w:pPr>
        <w:pStyle w:val="ProtTempparagraph"/>
        <w:spacing w:after="240"/>
        <w:rPr>
          <w:color w:val="000000"/>
          <w:sz w:val="22"/>
          <w:szCs w:val="22"/>
        </w:rPr>
      </w:pPr>
      <w:r w:rsidRPr="007041E0">
        <w:rPr>
          <w:color w:val="000000"/>
          <w:sz w:val="22"/>
          <w:szCs w:val="22"/>
        </w:rPr>
        <w:t xml:space="preserve">Once the site has been activated by UCL CTC, the PI is responsible for ensuring: </w:t>
      </w:r>
    </w:p>
    <w:p w14:paraId="136BC9DB" w14:textId="77777777" w:rsidR="00DA67E8" w:rsidRPr="007041E0" w:rsidRDefault="00DA67E8" w:rsidP="002F600D">
      <w:pPr>
        <w:numPr>
          <w:ilvl w:val="0"/>
          <w:numId w:val="3"/>
        </w:numPr>
        <w:jc w:val="both"/>
        <w:rPr>
          <w:rFonts w:ascii="Arial" w:hAnsi="Arial" w:cs="Arial"/>
          <w:sz w:val="22"/>
          <w:szCs w:val="22"/>
        </w:rPr>
      </w:pPr>
      <w:r w:rsidRPr="007041E0">
        <w:rPr>
          <w:rFonts w:ascii="Arial" w:hAnsi="Arial" w:cs="Arial"/>
          <w:sz w:val="22"/>
          <w:szCs w:val="22"/>
        </w:rPr>
        <w:t>adherence to the most recent version of the protocol;</w:t>
      </w:r>
    </w:p>
    <w:p w14:paraId="292B8252" w14:textId="77777777" w:rsidR="00DA67E8" w:rsidRPr="007041E0" w:rsidRDefault="00DA67E8" w:rsidP="002F600D">
      <w:pPr>
        <w:numPr>
          <w:ilvl w:val="0"/>
          <w:numId w:val="3"/>
        </w:numPr>
        <w:jc w:val="both"/>
        <w:rPr>
          <w:rFonts w:ascii="Arial" w:hAnsi="Arial" w:cs="Arial"/>
          <w:sz w:val="22"/>
          <w:szCs w:val="22"/>
        </w:rPr>
      </w:pPr>
      <w:r w:rsidRPr="007041E0">
        <w:rPr>
          <w:rFonts w:ascii="Arial" w:hAnsi="Arial" w:cs="Arial"/>
          <w:sz w:val="22"/>
          <w:szCs w:val="22"/>
        </w:rPr>
        <w:t>all relevant site staff are trained in the protocol requirements;</w:t>
      </w:r>
    </w:p>
    <w:p w14:paraId="05333A44" w14:textId="77777777" w:rsidR="00DA67E8" w:rsidRPr="007041E0" w:rsidRDefault="00DA67E8" w:rsidP="002F600D">
      <w:pPr>
        <w:numPr>
          <w:ilvl w:val="0"/>
          <w:numId w:val="3"/>
        </w:numPr>
        <w:jc w:val="both"/>
        <w:rPr>
          <w:rFonts w:ascii="Arial" w:hAnsi="Arial" w:cs="Arial"/>
          <w:sz w:val="22"/>
          <w:szCs w:val="22"/>
        </w:rPr>
      </w:pPr>
      <w:r w:rsidRPr="007041E0">
        <w:rPr>
          <w:rFonts w:ascii="Arial" w:hAnsi="Arial" w:cs="Arial"/>
          <w:sz w:val="22"/>
          <w:szCs w:val="22"/>
        </w:rPr>
        <w:t>appropriate recruitment and medical care of patients in the trial;</w:t>
      </w:r>
    </w:p>
    <w:p w14:paraId="194EF834" w14:textId="77777777" w:rsidR="00DA67E8" w:rsidRPr="007041E0" w:rsidRDefault="00DA67E8" w:rsidP="002F600D">
      <w:pPr>
        <w:numPr>
          <w:ilvl w:val="0"/>
          <w:numId w:val="3"/>
        </w:numPr>
        <w:jc w:val="both"/>
        <w:rPr>
          <w:rFonts w:ascii="Arial" w:hAnsi="Arial" w:cs="Arial"/>
          <w:sz w:val="22"/>
          <w:szCs w:val="22"/>
        </w:rPr>
      </w:pPr>
      <w:r w:rsidRPr="007041E0">
        <w:rPr>
          <w:rFonts w:ascii="Arial" w:hAnsi="Arial" w:cs="Arial"/>
          <w:sz w:val="22"/>
          <w:szCs w:val="22"/>
        </w:rPr>
        <w:t>timely completion and return of CRFs (including assessment of all adverse events);</w:t>
      </w:r>
    </w:p>
    <w:p w14:paraId="0594B0E5" w14:textId="77777777" w:rsidR="00DA67E8" w:rsidRPr="007041E0" w:rsidRDefault="00DA67E8" w:rsidP="002F600D">
      <w:pPr>
        <w:numPr>
          <w:ilvl w:val="0"/>
          <w:numId w:val="3"/>
        </w:numPr>
        <w:jc w:val="both"/>
        <w:rPr>
          <w:rFonts w:ascii="Arial" w:hAnsi="Arial" w:cs="Arial"/>
          <w:sz w:val="22"/>
          <w:szCs w:val="22"/>
        </w:rPr>
      </w:pPr>
      <w:r w:rsidRPr="007041E0">
        <w:rPr>
          <w:rFonts w:ascii="Arial" w:hAnsi="Arial" w:cs="Arial"/>
          <w:sz w:val="22"/>
          <w:szCs w:val="22"/>
        </w:rPr>
        <w:t>prompt notification and assessment of all serious adverse events;</w:t>
      </w:r>
    </w:p>
    <w:p w14:paraId="3452F80A" w14:textId="77777777" w:rsidR="00DA67E8" w:rsidRPr="00853AF9" w:rsidRDefault="00DA67E8" w:rsidP="00C874F5">
      <w:pPr>
        <w:numPr>
          <w:ilvl w:val="0"/>
          <w:numId w:val="3"/>
        </w:numPr>
        <w:jc w:val="both"/>
        <w:rPr>
          <w:rFonts w:ascii="Arial" w:hAnsi="Arial" w:cs="Arial"/>
        </w:rPr>
      </w:pPr>
      <w:r w:rsidRPr="00853AF9">
        <w:rPr>
          <w:rFonts w:ascii="Arial" w:hAnsi="Arial" w:cs="Arial"/>
          <w:sz w:val="22"/>
          <w:szCs w:val="22"/>
        </w:rPr>
        <w:t>that the site has</w:t>
      </w:r>
      <w:r w:rsidR="00983832" w:rsidRPr="00853AF9">
        <w:rPr>
          <w:rFonts w:ascii="Arial" w:hAnsi="Arial" w:cs="Arial"/>
          <w:sz w:val="22"/>
          <w:szCs w:val="22"/>
        </w:rPr>
        <w:t xml:space="preserve"> </w:t>
      </w:r>
      <w:r w:rsidRPr="00853AF9">
        <w:rPr>
          <w:rFonts w:ascii="Arial" w:hAnsi="Arial" w:cs="Arial"/>
          <w:sz w:val="22"/>
          <w:szCs w:val="22"/>
        </w:rPr>
        <w:t>facilities to provide</w:t>
      </w:r>
      <w:r w:rsidR="00E25E51" w:rsidRPr="00853AF9">
        <w:rPr>
          <w:rFonts w:ascii="Arial" w:hAnsi="Arial" w:cs="Arial"/>
          <w:sz w:val="22"/>
          <w:szCs w:val="22"/>
        </w:rPr>
        <w:t xml:space="preserve"> </w:t>
      </w:r>
      <w:proofErr w:type="gramStart"/>
      <w:r w:rsidRPr="00853AF9">
        <w:rPr>
          <w:rFonts w:ascii="Arial" w:hAnsi="Arial" w:cs="Arial"/>
          <w:b/>
          <w:sz w:val="22"/>
          <w:szCs w:val="22"/>
        </w:rPr>
        <w:t>24 hour</w:t>
      </w:r>
      <w:proofErr w:type="gramEnd"/>
      <w:r w:rsidRPr="00853AF9">
        <w:rPr>
          <w:rFonts w:ascii="Arial" w:hAnsi="Arial" w:cs="Arial"/>
          <w:b/>
          <w:sz w:val="22"/>
          <w:szCs w:val="22"/>
        </w:rPr>
        <w:t xml:space="preserve"> medical advice</w:t>
      </w:r>
      <w:r w:rsidRPr="005C2AA4">
        <w:rPr>
          <w:rFonts w:ascii="Arial" w:hAnsi="Arial" w:cs="Arial"/>
          <w:sz w:val="22"/>
          <w:szCs w:val="22"/>
        </w:rPr>
        <w:t xml:space="preserve"> for trial patients.</w:t>
      </w:r>
    </w:p>
    <w:p w14:paraId="6E026FF9" w14:textId="77777777" w:rsidR="00DA67E8" w:rsidRPr="009400C8" w:rsidRDefault="00DA67E8" w:rsidP="009400C8">
      <w:pPr>
        <w:pStyle w:val="Heading1"/>
        <w:rPr>
          <w:bCs w:val="0"/>
        </w:rPr>
      </w:pPr>
      <w:bookmarkStart w:id="218" w:name="_Toc283031758"/>
      <w:bookmarkStart w:id="219" w:name="_Toc283376293"/>
      <w:r>
        <w:br w:type="page"/>
      </w:r>
      <w:bookmarkStart w:id="220" w:name="_Toc333484727"/>
      <w:bookmarkStart w:id="221" w:name="_Toc333484842"/>
      <w:bookmarkStart w:id="222" w:name="_Toc351624796"/>
      <w:bookmarkStart w:id="223" w:name="_Toc471826741"/>
      <w:bookmarkStart w:id="224" w:name="_Toc528323507"/>
      <w:r w:rsidRPr="009400C8">
        <w:rPr>
          <w:bCs w:val="0"/>
        </w:rPr>
        <w:lastRenderedPageBreak/>
        <w:t>Informed consent</w:t>
      </w:r>
      <w:bookmarkEnd w:id="218"/>
      <w:bookmarkEnd w:id="219"/>
      <w:bookmarkEnd w:id="220"/>
      <w:bookmarkEnd w:id="221"/>
      <w:bookmarkEnd w:id="222"/>
      <w:bookmarkEnd w:id="223"/>
      <w:bookmarkEnd w:id="224"/>
    </w:p>
    <w:p w14:paraId="6E8E8336" w14:textId="77777777" w:rsidR="00DA67E8" w:rsidRPr="00521555" w:rsidRDefault="00DA67E8" w:rsidP="00A35164">
      <w:pPr>
        <w:pStyle w:val="ProtTempparagraph"/>
        <w:spacing w:after="240"/>
        <w:rPr>
          <w:sz w:val="22"/>
          <w:szCs w:val="22"/>
        </w:rPr>
      </w:pPr>
      <w:r w:rsidRPr="00521555">
        <w:rPr>
          <w:sz w:val="22"/>
          <w:szCs w:val="22"/>
        </w:rPr>
        <w:t xml:space="preserve">Sites are responsible for assessing a patient’s </w:t>
      </w:r>
      <w:r w:rsidR="009F37D0">
        <w:rPr>
          <w:sz w:val="22"/>
          <w:szCs w:val="22"/>
        </w:rPr>
        <w:t xml:space="preserve">capacity </w:t>
      </w:r>
      <w:r w:rsidRPr="00521555">
        <w:rPr>
          <w:sz w:val="22"/>
          <w:szCs w:val="22"/>
        </w:rPr>
        <w:t>to give informed consent.</w:t>
      </w:r>
    </w:p>
    <w:p w14:paraId="6C4CB436" w14:textId="77777777" w:rsidR="00DA67E8" w:rsidRDefault="00DA67E8" w:rsidP="00A35164">
      <w:pPr>
        <w:pStyle w:val="ProtTempparagraph"/>
        <w:spacing w:after="240"/>
        <w:rPr>
          <w:sz w:val="22"/>
          <w:szCs w:val="22"/>
        </w:rPr>
      </w:pPr>
      <w:r w:rsidRPr="00521555">
        <w:rPr>
          <w:sz w:val="22"/>
          <w:szCs w:val="22"/>
        </w:rPr>
        <w:t>Sites must ensure</w:t>
      </w:r>
      <w:r w:rsidR="00983832">
        <w:rPr>
          <w:sz w:val="22"/>
          <w:szCs w:val="22"/>
        </w:rPr>
        <w:t xml:space="preserve"> </w:t>
      </w:r>
      <w:r w:rsidRPr="00521555">
        <w:rPr>
          <w:sz w:val="22"/>
          <w:szCs w:val="22"/>
        </w:rPr>
        <w:t>that all patients have been given the current approved version of the patient information sheet, are fully informed about the trial and have confirmed their willingness to take part in the trial by signing the current approved consent form.</w:t>
      </w:r>
    </w:p>
    <w:p w14:paraId="55AA76B9" w14:textId="77777777" w:rsidR="009F37D0" w:rsidRPr="002424F8" w:rsidRDefault="009F37D0" w:rsidP="00A35164">
      <w:pPr>
        <w:pStyle w:val="ProtTempparagraph"/>
        <w:spacing w:after="240"/>
        <w:rPr>
          <w:sz w:val="22"/>
          <w:szCs w:val="22"/>
        </w:rPr>
      </w:pPr>
      <w:r w:rsidRPr="002424F8">
        <w:rPr>
          <w:sz w:val="22"/>
          <w:szCs w:val="22"/>
        </w:rPr>
        <w:t>Sites must assess a patient’s ability to understand verbal and written information in English and whether or not an interpreter would be required to ensure fully informed consent. If a patient requires an interpreter and none is available, the patient should not be considered for the trial.</w:t>
      </w:r>
    </w:p>
    <w:p w14:paraId="079981D5" w14:textId="77777777" w:rsidR="00DA67E8" w:rsidRPr="00521555" w:rsidRDefault="00DA67E8" w:rsidP="00A35164">
      <w:pPr>
        <w:pStyle w:val="ProtTempparagraph"/>
        <w:spacing w:after="240"/>
        <w:rPr>
          <w:sz w:val="22"/>
          <w:szCs w:val="22"/>
        </w:rPr>
      </w:pPr>
      <w:r w:rsidRPr="00521555">
        <w:rPr>
          <w:sz w:val="22"/>
          <w:szCs w:val="22"/>
        </w:rPr>
        <w:t>The PI, or</w:t>
      </w:r>
      <w:r w:rsidR="00983832">
        <w:rPr>
          <w:sz w:val="22"/>
          <w:szCs w:val="22"/>
        </w:rPr>
        <w:t xml:space="preserve"> </w:t>
      </w:r>
      <w:r w:rsidRPr="00521555">
        <w:rPr>
          <w:sz w:val="22"/>
          <w:szCs w:val="22"/>
        </w:rPr>
        <w:t>other appropriately trained site staff</w:t>
      </w:r>
      <w:r>
        <w:rPr>
          <w:sz w:val="22"/>
          <w:szCs w:val="22"/>
        </w:rPr>
        <w:t xml:space="preserve"> (</w:t>
      </w:r>
      <w:r w:rsidRPr="00521555">
        <w:rPr>
          <w:sz w:val="22"/>
          <w:szCs w:val="22"/>
        </w:rPr>
        <w:t xml:space="preserve">where delegated </w:t>
      </w:r>
      <w:r>
        <w:rPr>
          <w:sz w:val="22"/>
          <w:szCs w:val="22"/>
        </w:rPr>
        <w:t>by the PI)</w:t>
      </w:r>
      <w:r w:rsidR="002F113D" w:rsidRPr="00521555">
        <w:rPr>
          <w:sz w:val="22"/>
          <w:szCs w:val="22"/>
        </w:rPr>
        <w:t>, are</w:t>
      </w:r>
      <w:r w:rsidR="00983832">
        <w:rPr>
          <w:sz w:val="22"/>
          <w:szCs w:val="22"/>
        </w:rPr>
        <w:t xml:space="preserve"> </w:t>
      </w:r>
      <w:r w:rsidRPr="00521555">
        <w:rPr>
          <w:sz w:val="22"/>
          <w:szCs w:val="22"/>
        </w:rPr>
        <w:t>required to provide a full explanation of the trial and all relevant treatment options to each patient prior to trial entry.  During these discussions,</w:t>
      </w:r>
      <w:r w:rsidR="00983832">
        <w:rPr>
          <w:sz w:val="22"/>
          <w:szCs w:val="22"/>
        </w:rPr>
        <w:t xml:space="preserve"> </w:t>
      </w:r>
      <w:r w:rsidRPr="00521555">
        <w:rPr>
          <w:sz w:val="22"/>
          <w:szCs w:val="22"/>
        </w:rPr>
        <w:t>the current</w:t>
      </w:r>
      <w:r w:rsidR="00983832">
        <w:rPr>
          <w:sz w:val="22"/>
          <w:szCs w:val="22"/>
        </w:rPr>
        <w:t xml:space="preserve"> </w:t>
      </w:r>
      <w:r w:rsidRPr="00521555">
        <w:rPr>
          <w:sz w:val="22"/>
          <w:szCs w:val="22"/>
        </w:rPr>
        <w:t>approved patient information sheet for the trial should be discussed with the patient.  A minimum of twenty four hours must be allowed for the patient to consider and discuss participation in the trial. Written informed consent on the current approved version of the consent form for the trial must be obtained before any trial-specific procedures are conducted.  The discussion and consent process must be documented in the patient notes.</w:t>
      </w:r>
    </w:p>
    <w:p w14:paraId="27168E10" w14:textId="77777777" w:rsidR="00DA67E8" w:rsidRPr="00521555" w:rsidRDefault="00DA67E8" w:rsidP="00A35164">
      <w:pPr>
        <w:pStyle w:val="ProtTempparagraph"/>
        <w:spacing w:after="240"/>
        <w:rPr>
          <w:sz w:val="22"/>
          <w:szCs w:val="22"/>
        </w:rPr>
      </w:pPr>
      <w:r w:rsidRPr="00521555">
        <w:rPr>
          <w:sz w:val="22"/>
          <w:szCs w:val="22"/>
        </w:rPr>
        <w:t xml:space="preserve">Site </w:t>
      </w:r>
      <w:r w:rsidR="006440E1">
        <w:rPr>
          <w:sz w:val="22"/>
          <w:szCs w:val="22"/>
        </w:rPr>
        <w:t>S</w:t>
      </w:r>
      <w:r w:rsidRPr="00521555">
        <w:rPr>
          <w:sz w:val="22"/>
          <w:szCs w:val="22"/>
        </w:rPr>
        <w:t>taff are responsible for:</w:t>
      </w:r>
    </w:p>
    <w:p w14:paraId="2754D2CE" w14:textId="77777777" w:rsidR="00DA67E8" w:rsidRPr="00521555" w:rsidRDefault="00DA67E8" w:rsidP="002F600D">
      <w:pPr>
        <w:numPr>
          <w:ilvl w:val="0"/>
          <w:numId w:val="3"/>
        </w:numPr>
        <w:rPr>
          <w:rFonts w:ascii="Arial" w:hAnsi="Arial" w:cs="Arial"/>
          <w:sz w:val="22"/>
          <w:szCs w:val="22"/>
        </w:rPr>
      </w:pPr>
      <w:r w:rsidRPr="00521555">
        <w:rPr>
          <w:rFonts w:ascii="Arial" w:hAnsi="Arial" w:cs="Arial"/>
          <w:sz w:val="22"/>
          <w:szCs w:val="22"/>
        </w:rPr>
        <w:t>checking that the correct (current approved) version of the patient information sheet and consent form are used;</w:t>
      </w:r>
    </w:p>
    <w:p w14:paraId="7C27FE40" w14:textId="77777777" w:rsidR="00DA67E8" w:rsidRPr="00521555" w:rsidRDefault="00DA67E8" w:rsidP="002F600D">
      <w:pPr>
        <w:numPr>
          <w:ilvl w:val="0"/>
          <w:numId w:val="3"/>
        </w:numPr>
        <w:rPr>
          <w:rFonts w:ascii="Arial" w:hAnsi="Arial" w:cs="Arial"/>
          <w:sz w:val="22"/>
          <w:szCs w:val="22"/>
        </w:rPr>
      </w:pPr>
      <w:r w:rsidRPr="00521555">
        <w:rPr>
          <w:rFonts w:ascii="Arial" w:hAnsi="Arial" w:cs="Arial"/>
          <w:sz w:val="22"/>
          <w:szCs w:val="22"/>
        </w:rPr>
        <w:t>checking that information on the consent form is complete and legible;</w:t>
      </w:r>
    </w:p>
    <w:p w14:paraId="2551E027" w14:textId="77777777" w:rsidR="00DA67E8" w:rsidRPr="00521555" w:rsidRDefault="00DA67E8" w:rsidP="002F600D">
      <w:pPr>
        <w:numPr>
          <w:ilvl w:val="0"/>
          <w:numId w:val="3"/>
        </w:numPr>
        <w:rPr>
          <w:rFonts w:ascii="Arial" w:hAnsi="Arial" w:cs="Arial"/>
          <w:sz w:val="22"/>
          <w:szCs w:val="22"/>
        </w:rPr>
      </w:pPr>
      <w:r w:rsidRPr="00521555">
        <w:rPr>
          <w:rFonts w:ascii="Arial" w:hAnsi="Arial" w:cs="Arial"/>
          <w:sz w:val="22"/>
          <w:szCs w:val="22"/>
        </w:rPr>
        <w:t>checking that the patient has completed/initialled all relevant sections and signed and dated the form;</w:t>
      </w:r>
    </w:p>
    <w:p w14:paraId="5110F83B" w14:textId="77777777" w:rsidR="00DA67E8" w:rsidRPr="00521555" w:rsidRDefault="00DA67E8" w:rsidP="002F600D">
      <w:pPr>
        <w:numPr>
          <w:ilvl w:val="0"/>
          <w:numId w:val="3"/>
        </w:numPr>
        <w:rPr>
          <w:rFonts w:ascii="Arial" w:hAnsi="Arial" w:cs="Arial"/>
          <w:sz w:val="22"/>
          <w:szCs w:val="22"/>
        </w:rPr>
      </w:pPr>
      <w:r w:rsidRPr="00521555">
        <w:rPr>
          <w:rFonts w:ascii="Arial" w:hAnsi="Arial" w:cs="Arial"/>
          <w:sz w:val="22"/>
          <w:szCs w:val="22"/>
        </w:rPr>
        <w:t>checking that an appropriate member of staff has countersigned and dated the consent form to confirm that they provided information to the patient;</w:t>
      </w:r>
    </w:p>
    <w:p w14:paraId="130FD4E4" w14:textId="77777777" w:rsidR="00DA67E8" w:rsidRPr="00521555" w:rsidRDefault="00DA67E8" w:rsidP="002F600D">
      <w:pPr>
        <w:numPr>
          <w:ilvl w:val="0"/>
          <w:numId w:val="3"/>
        </w:numPr>
        <w:rPr>
          <w:rFonts w:ascii="Arial" w:hAnsi="Arial" w:cs="Arial"/>
          <w:sz w:val="22"/>
          <w:szCs w:val="22"/>
        </w:rPr>
      </w:pPr>
      <w:r w:rsidRPr="00521555">
        <w:rPr>
          <w:rFonts w:ascii="Arial" w:hAnsi="Arial" w:cs="Arial"/>
          <w:sz w:val="22"/>
          <w:szCs w:val="22"/>
        </w:rPr>
        <w:t>checking that an appropriate member of staff has made dated entries in the patient’s medical notes relating to the informed consent process (i.e. information given, consent signed etc.);</w:t>
      </w:r>
    </w:p>
    <w:p w14:paraId="6166E00E" w14:textId="77777777" w:rsidR="00B16E83" w:rsidRDefault="00B16E83" w:rsidP="002F600D">
      <w:pPr>
        <w:numPr>
          <w:ilvl w:val="0"/>
          <w:numId w:val="3"/>
        </w:numPr>
        <w:ind w:left="714" w:hanging="357"/>
        <w:rPr>
          <w:rFonts w:ascii="Arial" w:hAnsi="Arial" w:cs="Arial"/>
          <w:sz w:val="22"/>
          <w:szCs w:val="22"/>
        </w:rPr>
      </w:pPr>
      <w:r w:rsidRPr="00C40D29">
        <w:rPr>
          <w:rFonts w:ascii="Arial" w:hAnsi="Arial" w:cs="Arial"/>
          <w:sz w:val="22"/>
          <w:szCs w:val="22"/>
        </w:rPr>
        <w:t>following registration/randomisation: adding the patient trial number to all copies of the consent form(s), which should be filed in the patient’s medical notes and investigator site file</w:t>
      </w:r>
    </w:p>
    <w:p w14:paraId="42AE5FE3" w14:textId="77777777" w:rsidR="00A75FB3" w:rsidRPr="00521555" w:rsidRDefault="00A75FB3" w:rsidP="002F600D">
      <w:pPr>
        <w:numPr>
          <w:ilvl w:val="0"/>
          <w:numId w:val="3"/>
        </w:numPr>
        <w:rPr>
          <w:rFonts w:ascii="Arial" w:hAnsi="Arial" w:cs="Arial"/>
          <w:sz w:val="22"/>
          <w:szCs w:val="22"/>
        </w:rPr>
      </w:pPr>
      <w:r w:rsidRPr="00521555">
        <w:rPr>
          <w:rFonts w:ascii="Arial" w:hAnsi="Arial" w:cs="Arial"/>
          <w:sz w:val="22"/>
          <w:szCs w:val="22"/>
        </w:rPr>
        <w:t>giving the patient a copy of their signed consent form, patient information sheet, and patient contact card;</w:t>
      </w:r>
    </w:p>
    <w:p w14:paraId="36A16966" w14:textId="77777777" w:rsidR="00A75FB3" w:rsidRDefault="00A75FB3" w:rsidP="00A75FB3">
      <w:pPr>
        <w:ind w:left="714"/>
        <w:rPr>
          <w:rFonts w:ascii="Arial" w:hAnsi="Arial" w:cs="Arial"/>
          <w:sz w:val="22"/>
          <w:szCs w:val="22"/>
        </w:rPr>
      </w:pPr>
    </w:p>
    <w:p w14:paraId="6955310A" w14:textId="77777777" w:rsidR="00C40D29" w:rsidRPr="00C40D29" w:rsidRDefault="00C40D29" w:rsidP="00C40D29">
      <w:pPr>
        <w:ind w:left="714"/>
        <w:rPr>
          <w:rFonts w:ascii="Arial" w:hAnsi="Arial" w:cs="Arial"/>
          <w:sz w:val="22"/>
          <w:szCs w:val="22"/>
        </w:rPr>
      </w:pPr>
    </w:p>
    <w:p w14:paraId="04473550" w14:textId="77777777" w:rsidR="00DA67E8" w:rsidRPr="00521555" w:rsidRDefault="00DA67E8" w:rsidP="00A35164">
      <w:pPr>
        <w:pStyle w:val="ProtTempparagraph"/>
        <w:spacing w:after="240"/>
        <w:rPr>
          <w:sz w:val="22"/>
          <w:szCs w:val="22"/>
        </w:rPr>
      </w:pPr>
      <w:r w:rsidRPr="00521555">
        <w:rPr>
          <w:sz w:val="22"/>
          <w:szCs w:val="22"/>
        </w:rPr>
        <w:t xml:space="preserve">The right of the patient to refuse to participate in the trial </w:t>
      </w:r>
      <w:r w:rsidRPr="00D82F30">
        <w:rPr>
          <w:sz w:val="22"/>
          <w:szCs w:val="22"/>
        </w:rPr>
        <w:t>without giving reasons must be respected.  All patients are free to withdraw at any time.  Also refer to section 13.0</w:t>
      </w:r>
      <w:r w:rsidR="000D6576" w:rsidRPr="00D82F30">
        <w:rPr>
          <w:sz w:val="22"/>
          <w:szCs w:val="22"/>
        </w:rPr>
        <w:t xml:space="preserve"> </w:t>
      </w:r>
      <w:r w:rsidRPr="00D82F30">
        <w:rPr>
          <w:sz w:val="22"/>
          <w:szCs w:val="22"/>
        </w:rPr>
        <w:t>(Withdrawal of patients).</w:t>
      </w:r>
    </w:p>
    <w:p w14:paraId="3AD4E806" w14:textId="77777777" w:rsidR="00DA67E8" w:rsidRDefault="00DA67E8">
      <w:pPr>
        <w:rPr>
          <w:rFonts w:ascii="Arial" w:hAnsi="Arial" w:cs="Arial"/>
          <w:b/>
          <w:bCs/>
          <w:kern w:val="32"/>
          <w:sz w:val="32"/>
          <w:szCs w:val="32"/>
        </w:rPr>
      </w:pPr>
    </w:p>
    <w:p w14:paraId="14D5FD3B" w14:textId="77777777" w:rsidR="009237DE" w:rsidRPr="009400C8" w:rsidRDefault="00DA67E8" w:rsidP="009400C8">
      <w:pPr>
        <w:pStyle w:val="Heading1"/>
        <w:rPr>
          <w:bCs w:val="0"/>
        </w:rPr>
      </w:pPr>
      <w:bookmarkStart w:id="225" w:name="_Toc283031759"/>
      <w:bookmarkStart w:id="226" w:name="_Toc283376294"/>
      <w:r>
        <w:br w:type="page"/>
      </w:r>
      <w:bookmarkStart w:id="227" w:name="_Toc333484728"/>
      <w:bookmarkStart w:id="228" w:name="_Toc333484843"/>
      <w:bookmarkStart w:id="229" w:name="_Toc351624797"/>
      <w:bookmarkStart w:id="230" w:name="_Toc471826742"/>
      <w:bookmarkStart w:id="231" w:name="_Toc528323508"/>
      <w:r w:rsidRPr="009400C8">
        <w:rPr>
          <w:bCs w:val="0"/>
        </w:rPr>
        <w:lastRenderedPageBreak/>
        <w:t>Selection of Patients</w:t>
      </w:r>
      <w:bookmarkStart w:id="232" w:name="_Toc283031760"/>
      <w:bookmarkStart w:id="233" w:name="_Toc283376295"/>
      <w:bookmarkStart w:id="234" w:name="_Toc333484729"/>
      <w:bookmarkStart w:id="235" w:name="_Toc333484844"/>
      <w:bookmarkStart w:id="236" w:name="_Toc351624798"/>
      <w:bookmarkEnd w:id="225"/>
      <w:bookmarkEnd w:id="226"/>
      <w:bookmarkEnd w:id="227"/>
      <w:bookmarkEnd w:id="228"/>
      <w:bookmarkEnd w:id="229"/>
      <w:bookmarkEnd w:id="230"/>
      <w:bookmarkEnd w:id="231"/>
    </w:p>
    <w:p w14:paraId="70608C1C" w14:textId="77777777" w:rsidR="00DA67E8" w:rsidRPr="00836117" w:rsidRDefault="00DA67E8" w:rsidP="009237DE">
      <w:pPr>
        <w:pStyle w:val="Heading2"/>
      </w:pPr>
      <w:bookmarkStart w:id="237" w:name="_Toc471826743"/>
      <w:bookmarkStart w:id="238" w:name="_Toc528323509"/>
      <w:r w:rsidRPr="00836117">
        <w:t>Pre-registration (phase I) &amp; pre-randomisation (phase II</w:t>
      </w:r>
      <w:bookmarkEnd w:id="232"/>
      <w:bookmarkEnd w:id="233"/>
      <w:r w:rsidR="002F113D" w:rsidRPr="00836117">
        <w:t>) Evaluation</w:t>
      </w:r>
      <w:bookmarkEnd w:id="234"/>
      <w:bookmarkEnd w:id="235"/>
      <w:bookmarkEnd w:id="236"/>
      <w:bookmarkEnd w:id="237"/>
      <w:bookmarkEnd w:id="238"/>
    </w:p>
    <w:p w14:paraId="42EBF98B" w14:textId="77777777" w:rsidR="00DA67E8" w:rsidRPr="002C1160" w:rsidRDefault="00DA67E8" w:rsidP="002C1160">
      <w:pPr>
        <w:pStyle w:val="Normal1"/>
        <w:rPr>
          <w:rFonts w:cs="Arial"/>
          <w:sz w:val="22"/>
          <w:szCs w:val="22"/>
        </w:rPr>
      </w:pPr>
      <w:r w:rsidRPr="002C1160">
        <w:rPr>
          <w:rFonts w:cs="Arial"/>
          <w:sz w:val="22"/>
          <w:szCs w:val="22"/>
        </w:rPr>
        <w:t xml:space="preserve">There are a number of assessments and procedures that must be performed to ensure a patient’s suitability for participation in the trial. Please </w:t>
      </w:r>
      <w:r w:rsidRPr="00D82F30">
        <w:rPr>
          <w:rFonts w:cs="Arial"/>
          <w:sz w:val="22"/>
          <w:szCs w:val="22"/>
        </w:rPr>
        <w:t>see section 8.1 for</w:t>
      </w:r>
      <w:r w:rsidRPr="002C1160">
        <w:rPr>
          <w:rFonts w:cs="Arial"/>
          <w:sz w:val="22"/>
          <w:szCs w:val="22"/>
        </w:rPr>
        <w:t xml:space="preserve"> full details of the pre</w:t>
      </w:r>
      <w:r w:rsidR="00E71AEB">
        <w:rPr>
          <w:rFonts w:cs="Arial"/>
          <w:sz w:val="22"/>
          <w:szCs w:val="22"/>
        </w:rPr>
        <w:noBreakHyphen/>
      </w:r>
      <w:r w:rsidRPr="002C1160">
        <w:rPr>
          <w:rFonts w:cs="Arial"/>
          <w:sz w:val="22"/>
          <w:szCs w:val="22"/>
        </w:rPr>
        <w:t>registration (phase I) or pre-randomisation (phase II) investigations which are required prior to patient entry.</w:t>
      </w:r>
    </w:p>
    <w:p w14:paraId="71D12E92" w14:textId="77777777" w:rsidR="00DA67E8" w:rsidRDefault="00DA67E8" w:rsidP="00BF16F9">
      <w:pPr>
        <w:pStyle w:val="Heading2"/>
      </w:pPr>
      <w:bookmarkStart w:id="239" w:name="_Toc283031761"/>
      <w:bookmarkStart w:id="240" w:name="_Toc283376296"/>
      <w:bookmarkStart w:id="241" w:name="_Toc333484730"/>
      <w:bookmarkStart w:id="242" w:name="_Toc333484845"/>
      <w:bookmarkStart w:id="243" w:name="_Toc351624799"/>
      <w:bookmarkStart w:id="244" w:name="_Toc471826744"/>
      <w:bookmarkStart w:id="245" w:name="_Toc528323510"/>
      <w:r w:rsidRPr="00A23D8C">
        <w:t>Screening Log</w:t>
      </w:r>
      <w:bookmarkEnd w:id="239"/>
      <w:bookmarkEnd w:id="240"/>
      <w:bookmarkEnd w:id="241"/>
      <w:bookmarkEnd w:id="242"/>
      <w:bookmarkEnd w:id="243"/>
      <w:bookmarkEnd w:id="244"/>
      <w:bookmarkEnd w:id="245"/>
    </w:p>
    <w:p w14:paraId="00F49885" w14:textId="77777777" w:rsidR="00DA67E8" w:rsidRPr="00836117" w:rsidRDefault="00DA67E8" w:rsidP="00A35164">
      <w:pPr>
        <w:pStyle w:val="ProtTempparagraph"/>
        <w:spacing w:after="240"/>
        <w:rPr>
          <w:b/>
          <w:bCs/>
          <w:i/>
          <w:iCs/>
          <w:sz w:val="22"/>
          <w:szCs w:val="22"/>
        </w:rPr>
      </w:pPr>
      <w:r w:rsidRPr="00836117">
        <w:rPr>
          <w:sz w:val="22"/>
          <w:szCs w:val="22"/>
        </w:rPr>
        <w:t>A screening log must be maintained by the site and kept in the Investigator Site File. This must record each patient screened for the trial and the reasons why they were not registered</w:t>
      </w:r>
      <w:r w:rsidR="00483A47">
        <w:rPr>
          <w:sz w:val="22"/>
          <w:szCs w:val="22"/>
        </w:rPr>
        <w:t xml:space="preserve"> </w:t>
      </w:r>
      <w:r w:rsidRPr="00836117">
        <w:rPr>
          <w:sz w:val="22"/>
          <w:szCs w:val="22"/>
        </w:rPr>
        <w:t>or randomised in the trial if this is the case.</w:t>
      </w:r>
      <w:r>
        <w:rPr>
          <w:sz w:val="22"/>
          <w:szCs w:val="22"/>
        </w:rPr>
        <w:t xml:space="preserve"> A copy of the </w:t>
      </w:r>
      <w:r w:rsidRPr="00836117">
        <w:rPr>
          <w:sz w:val="22"/>
          <w:szCs w:val="22"/>
        </w:rPr>
        <w:t xml:space="preserve">log must be sent to UCL CTC when </w:t>
      </w:r>
      <w:r w:rsidR="002F113D" w:rsidRPr="00836117">
        <w:rPr>
          <w:sz w:val="22"/>
          <w:szCs w:val="22"/>
        </w:rPr>
        <w:t>requested, with</w:t>
      </w:r>
      <w:r w:rsidRPr="00836117">
        <w:rPr>
          <w:sz w:val="22"/>
          <w:szCs w:val="22"/>
        </w:rPr>
        <w:t xml:space="preserve"> patient identifiers removed prior to sending. </w:t>
      </w:r>
    </w:p>
    <w:p w14:paraId="428BD4FF" w14:textId="77777777" w:rsidR="00DA67E8" w:rsidRDefault="00DA67E8" w:rsidP="00BF16F9">
      <w:pPr>
        <w:pStyle w:val="Heading2"/>
      </w:pPr>
      <w:bookmarkStart w:id="246" w:name="_Toc283031762"/>
      <w:bookmarkStart w:id="247" w:name="_Toc283376297"/>
      <w:bookmarkStart w:id="248" w:name="_Toc333484731"/>
      <w:bookmarkStart w:id="249" w:name="_Toc333484846"/>
      <w:bookmarkStart w:id="250" w:name="_Toc351624800"/>
      <w:bookmarkStart w:id="251" w:name="_Toc471826745"/>
      <w:bookmarkStart w:id="252" w:name="_Toc528323511"/>
      <w:r w:rsidRPr="00A23D8C">
        <w:t>Patient Eligibility</w:t>
      </w:r>
      <w:bookmarkEnd w:id="246"/>
      <w:bookmarkEnd w:id="247"/>
      <w:bookmarkEnd w:id="248"/>
      <w:bookmarkEnd w:id="249"/>
      <w:bookmarkEnd w:id="250"/>
      <w:bookmarkEnd w:id="251"/>
      <w:bookmarkEnd w:id="252"/>
    </w:p>
    <w:p w14:paraId="09771AB3" w14:textId="77777777" w:rsidR="00DA67E8" w:rsidRPr="005D1F30" w:rsidRDefault="00DA67E8" w:rsidP="00A35164">
      <w:pPr>
        <w:pStyle w:val="ProtTempparagraph"/>
        <w:spacing w:after="240"/>
        <w:rPr>
          <w:sz w:val="22"/>
          <w:szCs w:val="22"/>
        </w:rPr>
      </w:pPr>
      <w:r w:rsidRPr="005D1F30">
        <w:rPr>
          <w:sz w:val="22"/>
          <w:szCs w:val="22"/>
        </w:rPr>
        <w:t xml:space="preserve">There will be no exception to the eligibility requirements at the time of registration (phase I) /randomisation (phase II). </w:t>
      </w:r>
      <w:r w:rsidR="000950BB" w:rsidRPr="000950BB">
        <w:rPr>
          <w:sz w:val="22"/>
        </w:rPr>
        <w:t>Ensuring</w:t>
      </w:r>
      <w:r w:rsidR="000950BB" w:rsidRPr="000950BB">
        <w:rPr>
          <w:color w:val="FF0000"/>
          <w:sz w:val="22"/>
        </w:rPr>
        <w:t xml:space="preserve"> </w:t>
      </w:r>
      <w:r w:rsidR="000950BB" w:rsidRPr="000950BB">
        <w:rPr>
          <w:sz w:val="22"/>
        </w:rPr>
        <w:t xml:space="preserve">patient eligibility is the responsibility of the PI or other delegated Investigator(s). </w:t>
      </w:r>
      <w:r w:rsidRPr="005D1F30">
        <w:rPr>
          <w:sz w:val="22"/>
          <w:szCs w:val="22"/>
        </w:rPr>
        <w:t xml:space="preserve">Queries in relation to the eligibility criteria must be addressed prior to calling/faxing for registration/randomisation. Patients are eligible for the trial if all the inclusion criteria are met and none of the exclusion criteria applies. </w:t>
      </w:r>
    </w:p>
    <w:p w14:paraId="3947FEB9" w14:textId="77777777" w:rsidR="00DA67E8" w:rsidRDefault="00DA67E8" w:rsidP="00BF16F9">
      <w:pPr>
        <w:pStyle w:val="Heading2"/>
      </w:pPr>
      <w:bookmarkStart w:id="253" w:name="_Toc283031763"/>
      <w:bookmarkStart w:id="254" w:name="_Toc283376298"/>
      <w:bookmarkStart w:id="255" w:name="_Toc333484732"/>
      <w:bookmarkStart w:id="256" w:name="_Toc333484847"/>
      <w:bookmarkStart w:id="257" w:name="_Toc351624801"/>
      <w:bookmarkStart w:id="258" w:name="_Toc471826746"/>
      <w:bookmarkStart w:id="259" w:name="_Toc528323512"/>
      <w:r w:rsidRPr="00A23D8C">
        <w:t>Patient Inclusion Criteria</w:t>
      </w:r>
      <w:bookmarkEnd w:id="253"/>
      <w:bookmarkEnd w:id="254"/>
      <w:bookmarkEnd w:id="255"/>
      <w:bookmarkEnd w:id="256"/>
      <w:bookmarkEnd w:id="257"/>
      <w:bookmarkEnd w:id="258"/>
      <w:bookmarkEnd w:id="259"/>
    </w:p>
    <w:p w14:paraId="1A03D3CE" w14:textId="77777777" w:rsidR="00DA67E8" w:rsidRPr="00133C41" w:rsidRDefault="004C62B2" w:rsidP="00D65DE2">
      <w:pPr>
        <w:numPr>
          <w:ilvl w:val="0"/>
          <w:numId w:val="41"/>
        </w:numPr>
        <w:jc w:val="both"/>
        <w:rPr>
          <w:rFonts w:ascii="Arial" w:hAnsi="Arial" w:cs="Arial"/>
          <w:sz w:val="22"/>
        </w:rPr>
      </w:pPr>
      <w:r>
        <w:rPr>
          <w:rFonts w:ascii="Arial" w:hAnsi="Arial" w:cs="Arial"/>
          <w:sz w:val="22"/>
        </w:rPr>
        <w:t>Histop</w:t>
      </w:r>
      <w:r w:rsidRPr="00133C41">
        <w:rPr>
          <w:rFonts w:ascii="Arial" w:hAnsi="Arial" w:cs="Arial"/>
          <w:sz w:val="22"/>
        </w:rPr>
        <w:t xml:space="preserve">athological </w:t>
      </w:r>
      <w:r w:rsidR="00DA67E8" w:rsidRPr="00133C41">
        <w:rPr>
          <w:rFonts w:ascii="Arial" w:hAnsi="Arial" w:cs="Arial"/>
          <w:sz w:val="22"/>
        </w:rPr>
        <w:t>confirmation of malignant pleural mesothelioma</w:t>
      </w:r>
    </w:p>
    <w:p w14:paraId="1FE13C16" w14:textId="77777777" w:rsidR="00DA67E8" w:rsidRPr="00133C41" w:rsidRDefault="00DA67E8" w:rsidP="00D65DE2">
      <w:pPr>
        <w:numPr>
          <w:ilvl w:val="0"/>
          <w:numId w:val="41"/>
        </w:numPr>
        <w:jc w:val="both"/>
        <w:rPr>
          <w:rFonts w:ascii="Arial" w:hAnsi="Arial" w:cs="Arial"/>
          <w:b/>
          <w:sz w:val="22"/>
        </w:rPr>
      </w:pPr>
      <w:r w:rsidRPr="00133C41">
        <w:rPr>
          <w:rFonts w:ascii="Arial" w:hAnsi="Arial" w:cs="Arial"/>
          <w:sz w:val="22"/>
        </w:rPr>
        <w:t xml:space="preserve">Measurable disease using meso-modified RECIST criteria </w:t>
      </w:r>
      <w:r w:rsidRPr="007D6EED">
        <w:rPr>
          <w:rFonts w:ascii="Arial" w:hAnsi="Arial" w:cs="Arial"/>
          <w:b/>
          <w:sz w:val="22"/>
        </w:rPr>
        <w:t>(</w:t>
      </w:r>
      <w:r w:rsidR="0030152E">
        <w:rPr>
          <w:rFonts w:ascii="Arial" w:hAnsi="Arial" w:cs="Arial"/>
          <w:b/>
          <w:sz w:val="22"/>
        </w:rPr>
        <w:t>CT</w:t>
      </w:r>
      <w:r w:rsidR="0030152E" w:rsidRPr="00133C41">
        <w:rPr>
          <w:rFonts w:ascii="Arial" w:hAnsi="Arial" w:cs="Arial"/>
          <w:b/>
          <w:sz w:val="22"/>
        </w:rPr>
        <w:t xml:space="preserve"> </w:t>
      </w:r>
      <w:r w:rsidRPr="00133C41">
        <w:rPr>
          <w:rFonts w:ascii="Arial" w:hAnsi="Arial" w:cs="Arial"/>
          <w:b/>
          <w:sz w:val="22"/>
        </w:rPr>
        <w:t>scan must be within 28 day</w:t>
      </w:r>
      <w:r>
        <w:rPr>
          <w:rFonts w:ascii="Arial" w:hAnsi="Arial" w:cs="Arial"/>
          <w:b/>
          <w:sz w:val="22"/>
        </w:rPr>
        <w:t>s of registration/randomisation)</w:t>
      </w:r>
      <w:r w:rsidR="00ED0E45">
        <w:rPr>
          <w:rFonts w:ascii="Arial" w:hAnsi="Arial" w:cs="Arial"/>
          <w:b/>
          <w:sz w:val="22"/>
        </w:rPr>
        <w:t xml:space="preserve"> </w:t>
      </w:r>
      <w:r w:rsidR="00ED0E45" w:rsidRPr="00ED0E45">
        <w:rPr>
          <w:rFonts w:ascii="Arial" w:hAnsi="Arial" w:cs="Arial"/>
          <w:sz w:val="22"/>
        </w:rPr>
        <w:t>– (appendix 6)</w:t>
      </w:r>
    </w:p>
    <w:p w14:paraId="1ECADEF4" w14:textId="77777777" w:rsidR="00DA67E8" w:rsidRPr="00133C41" w:rsidRDefault="00DA67E8" w:rsidP="00D65DE2">
      <w:pPr>
        <w:numPr>
          <w:ilvl w:val="0"/>
          <w:numId w:val="41"/>
        </w:numPr>
        <w:jc w:val="both"/>
        <w:rPr>
          <w:rFonts w:ascii="Arial" w:hAnsi="Arial" w:cs="Arial"/>
          <w:sz w:val="22"/>
        </w:rPr>
      </w:pPr>
      <w:r w:rsidRPr="00133C41">
        <w:rPr>
          <w:rFonts w:ascii="Arial" w:hAnsi="Arial" w:cs="Arial"/>
          <w:sz w:val="22"/>
        </w:rPr>
        <w:t>Performance status ECOG 0-1</w:t>
      </w:r>
    </w:p>
    <w:p w14:paraId="67D7EAA4" w14:textId="77777777" w:rsidR="00DA67E8" w:rsidRPr="00CD54D5" w:rsidRDefault="00DA67E8" w:rsidP="00D65DE2">
      <w:pPr>
        <w:numPr>
          <w:ilvl w:val="0"/>
          <w:numId w:val="41"/>
        </w:numPr>
        <w:jc w:val="both"/>
        <w:rPr>
          <w:rFonts w:ascii="Arial" w:hAnsi="Arial" w:cs="Arial"/>
          <w:sz w:val="22"/>
        </w:rPr>
      </w:pPr>
      <w:r w:rsidRPr="00133C41">
        <w:rPr>
          <w:rFonts w:ascii="Arial" w:hAnsi="Arial" w:cs="Arial"/>
          <w:sz w:val="22"/>
        </w:rPr>
        <w:t>Age at least 18 years</w:t>
      </w:r>
    </w:p>
    <w:p w14:paraId="615171AA" w14:textId="77777777" w:rsidR="00DA67E8" w:rsidRPr="00133C41" w:rsidRDefault="00DA67E8" w:rsidP="00D65DE2">
      <w:pPr>
        <w:numPr>
          <w:ilvl w:val="0"/>
          <w:numId w:val="41"/>
        </w:numPr>
        <w:jc w:val="both"/>
        <w:rPr>
          <w:rFonts w:ascii="Arial" w:hAnsi="Arial" w:cs="Arial"/>
          <w:sz w:val="22"/>
        </w:rPr>
      </w:pPr>
      <w:r w:rsidRPr="00133C41">
        <w:rPr>
          <w:rFonts w:ascii="Arial" w:hAnsi="Arial" w:cs="Arial"/>
          <w:sz w:val="22"/>
        </w:rPr>
        <w:t>Adequate haematological status:</w:t>
      </w:r>
    </w:p>
    <w:p w14:paraId="0C8269AB" w14:textId="77777777" w:rsidR="00DA67E8" w:rsidRPr="00133C41" w:rsidRDefault="00DA67E8" w:rsidP="00D65DE2">
      <w:pPr>
        <w:numPr>
          <w:ilvl w:val="1"/>
          <w:numId w:val="42"/>
        </w:numPr>
        <w:jc w:val="both"/>
        <w:rPr>
          <w:rFonts w:ascii="Arial" w:hAnsi="Arial" w:cs="Arial"/>
          <w:sz w:val="22"/>
        </w:rPr>
      </w:pPr>
      <w:r w:rsidRPr="00133C41">
        <w:rPr>
          <w:rFonts w:ascii="Arial" w:hAnsi="Arial" w:cs="Arial"/>
          <w:sz w:val="22"/>
        </w:rPr>
        <w:t>Haemoglobin 10</w:t>
      </w:r>
      <w:r w:rsidR="00013F98">
        <w:rPr>
          <w:rFonts w:ascii="Arial" w:hAnsi="Arial" w:cs="Arial"/>
          <w:sz w:val="22"/>
        </w:rPr>
        <w:t>0</w:t>
      </w:r>
      <w:r w:rsidRPr="00133C41">
        <w:rPr>
          <w:rFonts w:ascii="Arial" w:hAnsi="Arial" w:cs="Arial"/>
          <w:sz w:val="22"/>
        </w:rPr>
        <w:t>g/</w:t>
      </w:r>
      <w:r w:rsidR="00013F98">
        <w:rPr>
          <w:rFonts w:ascii="Arial" w:hAnsi="Arial" w:cs="Arial"/>
          <w:sz w:val="22"/>
        </w:rPr>
        <w:t>L</w:t>
      </w:r>
      <w:r w:rsidRPr="00133C41">
        <w:rPr>
          <w:rFonts w:ascii="Arial" w:hAnsi="Arial" w:cs="Arial"/>
          <w:sz w:val="22"/>
        </w:rPr>
        <w:t xml:space="preserve"> or greater</w:t>
      </w:r>
    </w:p>
    <w:p w14:paraId="021C6F9C" w14:textId="77777777" w:rsidR="00DA67E8" w:rsidRPr="00133C41" w:rsidRDefault="00DA67E8" w:rsidP="00D65DE2">
      <w:pPr>
        <w:numPr>
          <w:ilvl w:val="1"/>
          <w:numId w:val="42"/>
        </w:numPr>
        <w:jc w:val="both"/>
        <w:rPr>
          <w:rFonts w:ascii="Arial" w:hAnsi="Arial" w:cs="Arial"/>
          <w:sz w:val="22"/>
        </w:rPr>
      </w:pPr>
      <w:r w:rsidRPr="00133C41">
        <w:rPr>
          <w:rFonts w:ascii="Arial" w:hAnsi="Arial" w:cs="Arial"/>
          <w:sz w:val="22"/>
        </w:rPr>
        <w:t xml:space="preserve">Neutrophil count </w:t>
      </w:r>
      <w:r>
        <w:rPr>
          <w:rFonts w:ascii="Arial" w:hAnsi="Arial" w:cs="Arial"/>
          <w:sz w:val="22"/>
        </w:rPr>
        <w:t>≥</w:t>
      </w:r>
      <w:r w:rsidR="006420EB">
        <w:rPr>
          <w:rFonts w:ascii="Arial" w:hAnsi="Arial" w:cs="Arial"/>
          <w:sz w:val="22"/>
        </w:rPr>
        <w:t>2</w:t>
      </w:r>
      <w:r w:rsidRPr="00133C41">
        <w:rPr>
          <w:rFonts w:ascii="Arial" w:hAnsi="Arial" w:cs="Arial"/>
          <w:sz w:val="22"/>
        </w:rPr>
        <w:t>.</w:t>
      </w:r>
      <w:r w:rsidR="006420EB">
        <w:rPr>
          <w:rFonts w:ascii="Arial" w:hAnsi="Arial" w:cs="Arial"/>
          <w:sz w:val="22"/>
        </w:rPr>
        <w:t>0</w:t>
      </w:r>
      <w:r w:rsidRPr="00133C41">
        <w:rPr>
          <w:rFonts w:ascii="Arial" w:hAnsi="Arial" w:cs="Arial"/>
          <w:sz w:val="22"/>
        </w:rPr>
        <w:t xml:space="preserve"> x 10</w:t>
      </w:r>
      <w:r w:rsidRPr="00133C41">
        <w:rPr>
          <w:rFonts w:ascii="Arial" w:hAnsi="Arial" w:cs="Arial"/>
          <w:sz w:val="22"/>
          <w:szCs w:val="22"/>
          <w:vertAlign w:val="superscript"/>
        </w:rPr>
        <w:t>9</w:t>
      </w:r>
      <w:r>
        <w:rPr>
          <w:rFonts w:ascii="Arial" w:hAnsi="Arial" w:cs="Arial"/>
          <w:sz w:val="22"/>
        </w:rPr>
        <w:t>/L</w:t>
      </w:r>
    </w:p>
    <w:p w14:paraId="17F266C7" w14:textId="77777777" w:rsidR="00DA67E8" w:rsidRPr="00133C41" w:rsidRDefault="00DA67E8" w:rsidP="00D65DE2">
      <w:pPr>
        <w:numPr>
          <w:ilvl w:val="1"/>
          <w:numId w:val="42"/>
        </w:numPr>
        <w:jc w:val="both"/>
        <w:rPr>
          <w:rFonts w:ascii="Arial" w:hAnsi="Arial" w:cs="Arial"/>
          <w:sz w:val="22"/>
        </w:rPr>
      </w:pPr>
      <w:r w:rsidRPr="00133C41">
        <w:rPr>
          <w:rFonts w:ascii="Arial" w:hAnsi="Arial" w:cs="Arial"/>
          <w:sz w:val="22"/>
        </w:rPr>
        <w:t xml:space="preserve">Platelets </w:t>
      </w:r>
      <w:r>
        <w:rPr>
          <w:rFonts w:ascii="Arial" w:hAnsi="Arial" w:cs="Arial"/>
          <w:sz w:val="22"/>
        </w:rPr>
        <w:t>≥</w:t>
      </w:r>
      <w:r w:rsidRPr="00133C41">
        <w:rPr>
          <w:rFonts w:ascii="Arial" w:hAnsi="Arial" w:cs="Arial"/>
          <w:sz w:val="22"/>
        </w:rPr>
        <w:t>100 x 10</w:t>
      </w:r>
      <w:r w:rsidRPr="00133C41">
        <w:rPr>
          <w:rFonts w:ascii="Arial" w:hAnsi="Arial" w:cs="Arial"/>
          <w:sz w:val="22"/>
          <w:szCs w:val="22"/>
          <w:vertAlign w:val="superscript"/>
        </w:rPr>
        <w:t>9</w:t>
      </w:r>
      <w:r>
        <w:rPr>
          <w:rFonts w:ascii="Arial" w:hAnsi="Arial" w:cs="Arial"/>
          <w:sz w:val="22"/>
        </w:rPr>
        <w:t xml:space="preserve"> /L</w:t>
      </w:r>
    </w:p>
    <w:p w14:paraId="495D8F20" w14:textId="77777777" w:rsidR="00DA67E8" w:rsidRPr="00133C41" w:rsidRDefault="00DA67E8" w:rsidP="00D65DE2">
      <w:pPr>
        <w:numPr>
          <w:ilvl w:val="0"/>
          <w:numId w:val="41"/>
        </w:numPr>
        <w:jc w:val="both"/>
        <w:rPr>
          <w:rFonts w:ascii="Arial" w:hAnsi="Arial" w:cs="Arial"/>
          <w:sz w:val="22"/>
        </w:rPr>
      </w:pPr>
      <w:r w:rsidRPr="00133C41">
        <w:rPr>
          <w:rFonts w:ascii="Arial" w:hAnsi="Arial" w:cs="Arial"/>
          <w:sz w:val="22"/>
        </w:rPr>
        <w:t>Adequate organ function:</w:t>
      </w:r>
    </w:p>
    <w:p w14:paraId="25489D43" w14:textId="77777777" w:rsidR="00DA67E8" w:rsidRPr="00133C41" w:rsidRDefault="00E4354A" w:rsidP="00D65DE2">
      <w:pPr>
        <w:numPr>
          <w:ilvl w:val="1"/>
          <w:numId w:val="43"/>
        </w:numPr>
        <w:jc w:val="both"/>
        <w:rPr>
          <w:rFonts w:ascii="Arial" w:hAnsi="Arial" w:cs="Arial"/>
          <w:sz w:val="22"/>
        </w:rPr>
      </w:pPr>
      <w:r w:rsidRPr="00E4354A">
        <w:rPr>
          <w:rFonts w:ascii="Arial" w:hAnsi="Arial" w:cs="Arial"/>
          <w:sz w:val="22"/>
        </w:rPr>
        <w:t xml:space="preserve">Bilirubin </w:t>
      </w:r>
      <w:r w:rsidR="00DA67E8">
        <w:rPr>
          <w:rFonts w:ascii="Arial" w:hAnsi="Arial" w:cs="Arial"/>
          <w:sz w:val="22"/>
        </w:rPr>
        <w:t>≤</w:t>
      </w:r>
      <w:r w:rsidRPr="00E4354A">
        <w:rPr>
          <w:rFonts w:ascii="Arial" w:hAnsi="Arial" w:cs="Arial"/>
          <w:sz w:val="22"/>
        </w:rPr>
        <w:t xml:space="preserve">1.5x </w:t>
      </w:r>
      <w:r w:rsidR="00DA67E8" w:rsidRPr="00133C41">
        <w:rPr>
          <w:rFonts w:ascii="Arial" w:hAnsi="Arial" w:cs="Arial"/>
          <w:sz w:val="22"/>
        </w:rPr>
        <w:t>UL</w:t>
      </w:r>
      <w:r w:rsidR="00DA67E8">
        <w:rPr>
          <w:rFonts w:ascii="Arial" w:hAnsi="Arial" w:cs="Arial"/>
          <w:sz w:val="22"/>
        </w:rPr>
        <w:t>N, ALP ≤2.5x ULN, ALT or AST ≤</w:t>
      </w:r>
      <w:r w:rsidR="00DA67E8" w:rsidRPr="00133C41">
        <w:rPr>
          <w:rFonts w:ascii="Arial" w:hAnsi="Arial" w:cs="Arial"/>
          <w:sz w:val="22"/>
        </w:rPr>
        <w:t>1.5x ULN</w:t>
      </w:r>
    </w:p>
    <w:p w14:paraId="6DC5D69F" w14:textId="77777777" w:rsidR="00DA67E8" w:rsidRDefault="00DA67E8" w:rsidP="00D65DE2">
      <w:pPr>
        <w:numPr>
          <w:ilvl w:val="1"/>
          <w:numId w:val="43"/>
        </w:numPr>
        <w:jc w:val="both"/>
        <w:rPr>
          <w:rFonts w:ascii="Arial" w:hAnsi="Arial" w:cs="Arial"/>
          <w:sz w:val="22"/>
        </w:rPr>
      </w:pPr>
      <w:r>
        <w:rPr>
          <w:rFonts w:ascii="Arial" w:hAnsi="Arial" w:cs="Arial"/>
          <w:sz w:val="22"/>
        </w:rPr>
        <w:t xml:space="preserve">Serum creatinine ≤1.5 </w:t>
      </w:r>
      <w:r w:rsidRPr="00133C41">
        <w:rPr>
          <w:rFonts w:ascii="Arial" w:hAnsi="Arial" w:cs="Arial"/>
          <w:sz w:val="22"/>
        </w:rPr>
        <w:t xml:space="preserve">x ULN or calculated creatinine </w:t>
      </w:r>
      <w:r w:rsidR="008522AD" w:rsidRPr="008522AD">
        <w:rPr>
          <w:rFonts w:ascii="Arial" w:hAnsi="Arial" w:cs="Arial"/>
          <w:sz w:val="22"/>
        </w:rPr>
        <w:t>clearance</w:t>
      </w:r>
      <w:r w:rsidR="008522AD" w:rsidRPr="00133C41">
        <w:rPr>
          <w:rFonts w:ascii="Arial" w:hAnsi="Arial" w:cs="Arial"/>
          <w:sz w:val="22"/>
        </w:rPr>
        <w:t xml:space="preserve"> </w:t>
      </w:r>
      <w:r w:rsidRPr="00133C41">
        <w:rPr>
          <w:rFonts w:ascii="Arial" w:hAnsi="Arial" w:cs="Arial"/>
          <w:sz w:val="22"/>
        </w:rPr>
        <w:t xml:space="preserve">≥ </w:t>
      </w:r>
      <w:r w:rsidR="00C26972">
        <w:rPr>
          <w:rFonts w:ascii="Arial" w:hAnsi="Arial" w:cs="Arial"/>
          <w:sz w:val="22"/>
        </w:rPr>
        <w:t>6</w:t>
      </w:r>
      <w:r w:rsidRPr="00133C41">
        <w:rPr>
          <w:rFonts w:ascii="Arial" w:hAnsi="Arial" w:cs="Arial"/>
          <w:sz w:val="22"/>
        </w:rPr>
        <w:t>0ml/min (C&amp;G or EDTA) (appendix 4)</w:t>
      </w:r>
    </w:p>
    <w:p w14:paraId="59C7964F" w14:textId="77777777" w:rsidR="00BE2148" w:rsidRPr="00133C41" w:rsidRDefault="00BE2148" w:rsidP="00D65DE2">
      <w:pPr>
        <w:numPr>
          <w:ilvl w:val="0"/>
          <w:numId w:val="41"/>
        </w:numPr>
        <w:jc w:val="both"/>
        <w:rPr>
          <w:rFonts w:ascii="Arial" w:hAnsi="Arial" w:cs="Arial"/>
          <w:sz w:val="22"/>
        </w:rPr>
      </w:pPr>
      <w:r>
        <w:rPr>
          <w:rFonts w:ascii="Arial" w:hAnsi="Arial" w:cs="Arial"/>
          <w:sz w:val="22"/>
        </w:rPr>
        <w:t xml:space="preserve">Chemotherapy naïve </w:t>
      </w:r>
    </w:p>
    <w:p w14:paraId="58DE3AFA" w14:textId="178B75F4" w:rsidR="00DA67E8" w:rsidRPr="001D13FA" w:rsidRDefault="00DA67E8" w:rsidP="00D65DE2">
      <w:pPr>
        <w:numPr>
          <w:ilvl w:val="0"/>
          <w:numId w:val="41"/>
        </w:numPr>
        <w:jc w:val="both"/>
        <w:rPr>
          <w:rFonts w:ascii="Arial" w:hAnsi="Arial" w:cs="Arial"/>
          <w:sz w:val="22"/>
        </w:rPr>
      </w:pPr>
      <w:r w:rsidRPr="001D13FA">
        <w:rPr>
          <w:rFonts w:ascii="Arial" w:hAnsi="Arial" w:cs="Arial"/>
          <w:sz w:val="22"/>
        </w:rPr>
        <w:t xml:space="preserve">Negative serum pregnancy test for female patients </w:t>
      </w:r>
      <w:r w:rsidR="00E71AEB" w:rsidRPr="001D13FA">
        <w:rPr>
          <w:rFonts w:ascii="Arial" w:hAnsi="Arial" w:cs="Arial"/>
          <w:sz w:val="22"/>
        </w:rPr>
        <w:t xml:space="preserve">of </w:t>
      </w:r>
      <w:r w:rsidR="005956A6">
        <w:rPr>
          <w:rFonts w:ascii="Arial" w:hAnsi="Arial" w:cs="Arial"/>
          <w:sz w:val="22"/>
        </w:rPr>
        <w:t>child-</w:t>
      </w:r>
      <w:proofErr w:type="gramStart"/>
      <w:r w:rsidR="005956A6">
        <w:rPr>
          <w:rFonts w:ascii="Arial" w:hAnsi="Arial" w:cs="Arial"/>
          <w:sz w:val="22"/>
        </w:rPr>
        <w:t xml:space="preserve">bearing </w:t>
      </w:r>
      <w:r w:rsidR="00E71AEB" w:rsidRPr="001D13FA">
        <w:rPr>
          <w:rFonts w:ascii="Arial" w:hAnsi="Arial" w:cs="Arial"/>
          <w:sz w:val="22"/>
        </w:rPr>
        <w:t xml:space="preserve"> potential</w:t>
      </w:r>
      <w:proofErr w:type="gramEnd"/>
      <w:r w:rsidRPr="001D13FA">
        <w:rPr>
          <w:rFonts w:ascii="Arial" w:hAnsi="Arial" w:cs="Arial"/>
          <w:sz w:val="22"/>
        </w:rPr>
        <w:t xml:space="preserve">. </w:t>
      </w:r>
    </w:p>
    <w:p w14:paraId="60896056" w14:textId="5C38DE4A" w:rsidR="00DA67E8" w:rsidRPr="001D13FA" w:rsidRDefault="00DA67E8" w:rsidP="00D65DE2">
      <w:pPr>
        <w:numPr>
          <w:ilvl w:val="0"/>
          <w:numId w:val="41"/>
        </w:numPr>
        <w:jc w:val="both"/>
        <w:rPr>
          <w:rFonts w:ascii="Arial" w:hAnsi="Arial" w:cs="Arial"/>
          <w:sz w:val="22"/>
        </w:rPr>
      </w:pPr>
      <w:r w:rsidRPr="001D13FA">
        <w:rPr>
          <w:rFonts w:ascii="Arial" w:hAnsi="Arial" w:cs="Arial"/>
          <w:sz w:val="22"/>
        </w:rPr>
        <w:t xml:space="preserve">Male subjects and women of </w:t>
      </w:r>
      <w:r w:rsidR="005956A6">
        <w:rPr>
          <w:rFonts w:ascii="Arial" w:hAnsi="Arial" w:cs="Arial"/>
          <w:sz w:val="22"/>
        </w:rPr>
        <w:t>child-</w:t>
      </w:r>
      <w:proofErr w:type="gramStart"/>
      <w:r w:rsidR="005956A6">
        <w:rPr>
          <w:rFonts w:ascii="Arial" w:hAnsi="Arial" w:cs="Arial"/>
          <w:sz w:val="22"/>
        </w:rPr>
        <w:t xml:space="preserve">bearing </w:t>
      </w:r>
      <w:r w:rsidRPr="001D13FA">
        <w:rPr>
          <w:rFonts w:ascii="Arial" w:hAnsi="Arial" w:cs="Arial"/>
          <w:sz w:val="22"/>
        </w:rPr>
        <w:t xml:space="preserve"> potential</w:t>
      </w:r>
      <w:proofErr w:type="gramEnd"/>
      <w:r w:rsidRPr="001D13FA">
        <w:rPr>
          <w:rFonts w:ascii="Arial" w:hAnsi="Arial" w:cs="Arial"/>
          <w:sz w:val="22"/>
        </w:rPr>
        <w:t xml:space="preserve"> must agree to use an acceptable method of birth control for the duration of the trial and for 6 months after the last trial treatment</w:t>
      </w:r>
      <w:r>
        <w:rPr>
          <w:rFonts w:ascii="Arial" w:hAnsi="Arial" w:cs="Arial"/>
          <w:sz w:val="22"/>
        </w:rPr>
        <w:t xml:space="preserve"> cycle has finished</w:t>
      </w:r>
      <w:r w:rsidRPr="001D13FA">
        <w:rPr>
          <w:rFonts w:ascii="Arial" w:hAnsi="Arial" w:cs="Arial"/>
          <w:sz w:val="22"/>
        </w:rPr>
        <w:t xml:space="preserve">. (See section </w:t>
      </w:r>
      <w:r w:rsidR="00AC64AC">
        <w:rPr>
          <w:rFonts w:ascii="Arial" w:hAnsi="Arial" w:cs="Arial"/>
          <w:sz w:val="22"/>
        </w:rPr>
        <w:t>5.6</w:t>
      </w:r>
      <w:r w:rsidRPr="001D13FA">
        <w:rPr>
          <w:rFonts w:ascii="Arial" w:hAnsi="Arial" w:cs="Arial"/>
          <w:sz w:val="22"/>
        </w:rPr>
        <w:t xml:space="preserve"> for details) </w:t>
      </w:r>
    </w:p>
    <w:p w14:paraId="1141A314" w14:textId="77777777" w:rsidR="00DA67E8" w:rsidRPr="00133C41" w:rsidRDefault="00DA67E8" w:rsidP="00D65DE2">
      <w:pPr>
        <w:numPr>
          <w:ilvl w:val="0"/>
          <w:numId w:val="41"/>
        </w:numPr>
        <w:jc w:val="both"/>
        <w:rPr>
          <w:rFonts w:ascii="Arial" w:hAnsi="Arial" w:cs="Arial"/>
          <w:sz w:val="22"/>
        </w:rPr>
      </w:pPr>
      <w:r w:rsidRPr="00133C41">
        <w:rPr>
          <w:rFonts w:ascii="Arial" w:hAnsi="Arial" w:cs="Arial"/>
          <w:sz w:val="22"/>
        </w:rPr>
        <w:t>Ability to understand and willing to sign the written informed consent to participate (including donation of diagnostic biopsy tissue for research)</w:t>
      </w:r>
    </w:p>
    <w:p w14:paraId="1E19F5F5" w14:textId="77777777" w:rsidR="00DA67E8" w:rsidRPr="00133C41" w:rsidRDefault="00DA67E8" w:rsidP="00D65DE2">
      <w:pPr>
        <w:numPr>
          <w:ilvl w:val="0"/>
          <w:numId w:val="41"/>
        </w:numPr>
        <w:jc w:val="both"/>
        <w:rPr>
          <w:rFonts w:ascii="Arial" w:hAnsi="Arial" w:cs="Arial"/>
          <w:sz w:val="22"/>
        </w:rPr>
      </w:pPr>
      <w:r w:rsidRPr="00133C41">
        <w:rPr>
          <w:rFonts w:ascii="Arial" w:hAnsi="Arial" w:cs="Arial"/>
          <w:sz w:val="22"/>
        </w:rPr>
        <w:t>Ability to comply with the requirements of the protocol</w:t>
      </w:r>
    </w:p>
    <w:p w14:paraId="64FD7A9D" w14:textId="77777777" w:rsidR="00DA67E8" w:rsidRDefault="00C4661E" w:rsidP="00BF16F9">
      <w:pPr>
        <w:pStyle w:val="Heading2"/>
      </w:pPr>
      <w:bookmarkStart w:id="260" w:name="_Toc283031764"/>
      <w:bookmarkStart w:id="261" w:name="_Toc283376299"/>
      <w:bookmarkStart w:id="262" w:name="_Toc333484733"/>
      <w:bookmarkStart w:id="263" w:name="_Toc333484848"/>
      <w:bookmarkStart w:id="264" w:name="_Toc351624802"/>
      <w:bookmarkStart w:id="265" w:name="_Toc471826747"/>
      <w:bookmarkStart w:id="266" w:name="_Toc528323513"/>
      <w:r>
        <w:lastRenderedPageBreak/>
        <w:t xml:space="preserve">Patient </w:t>
      </w:r>
      <w:r w:rsidR="00DA67E8" w:rsidRPr="00A23D8C">
        <w:t>Exclusion Criteria</w:t>
      </w:r>
      <w:bookmarkEnd w:id="260"/>
      <w:bookmarkEnd w:id="261"/>
      <w:bookmarkEnd w:id="262"/>
      <w:bookmarkEnd w:id="263"/>
      <w:bookmarkEnd w:id="264"/>
      <w:bookmarkEnd w:id="265"/>
      <w:bookmarkEnd w:id="266"/>
    </w:p>
    <w:p w14:paraId="6B55C53B" w14:textId="77777777" w:rsidR="00DA67E8" w:rsidRPr="00307768" w:rsidRDefault="00DA67E8" w:rsidP="00D65DE2">
      <w:pPr>
        <w:numPr>
          <w:ilvl w:val="0"/>
          <w:numId w:val="44"/>
        </w:numPr>
        <w:jc w:val="both"/>
        <w:rPr>
          <w:rFonts w:ascii="Arial" w:hAnsi="Arial" w:cs="Arial"/>
          <w:sz w:val="22"/>
          <w:szCs w:val="22"/>
        </w:rPr>
      </w:pPr>
      <w:r w:rsidRPr="00307768">
        <w:rPr>
          <w:rFonts w:ascii="Arial" w:hAnsi="Arial" w:cs="Arial"/>
          <w:sz w:val="22"/>
          <w:szCs w:val="22"/>
        </w:rPr>
        <w:t xml:space="preserve">Prior exposure to other investigational or commercial agents or therapies administered with the intent of treating the patient’s malignancy. This includes </w:t>
      </w:r>
      <w:proofErr w:type="spellStart"/>
      <w:r w:rsidRPr="00307768">
        <w:rPr>
          <w:rFonts w:ascii="Arial" w:hAnsi="Arial" w:cs="Arial"/>
          <w:sz w:val="22"/>
          <w:szCs w:val="22"/>
        </w:rPr>
        <w:t>crizotinib</w:t>
      </w:r>
      <w:proofErr w:type="spellEnd"/>
      <w:r w:rsidRPr="00307768">
        <w:rPr>
          <w:rFonts w:ascii="Arial" w:hAnsi="Arial" w:cs="Arial"/>
          <w:sz w:val="22"/>
          <w:szCs w:val="22"/>
        </w:rPr>
        <w:t>, other ALK-targeted agents, and any Hsp90 inhibitor</w:t>
      </w:r>
      <w:r>
        <w:rPr>
          <w:rFonts w:ascii="Arial" w:hAnsi="Arial" w:cs="Arial"/>
          <w:sz w:val="22"/>
          <w:szCs w:val="22"/>
        </w:rPr>
        <w:t xml:space="preserve"> (e.g. ganetespib)</w:t>
      </w:r>
      <w:r w:rsidRPr="00307768">
        <w:rPr>
          <w:rFonts w:ascii="Arial" w:hAnsi="Arial" w:cs="Arial"/>
          <w:sz w:val="22"/>
          <w:szCs w:val="22"/>
        </w:rPr>
        <w:t>. Prior valproic acid is acceptable but only if there has been at least 30 days wash-out period</w:t>
      </w:r>
    </w:p>
    <w:p w14:paraId="547C4D5C" w14:textId="77777777" w:rsidR="00DA67E8" w:rsidRPr="001D13FA" w:rsidRDefault="00DA67E8" w:rsidP="00D65DE2">
      <w:pPr>
        <w:pStyle w:val="letterindent"/>
        <w:widowControl/>
        <w:numPr>
          <w:ilvl w:val="0"/>
          <w:numId w:val="44"/>
        </w:numPr>
        <w:spacing w:before="0"/>
        <w:rPr>
          <w:rFonts w:ascii="Arial" w:hAnsi="Arial" w:cs="Arial"/>
          <w:sz w:val="22"/>
          <w:lang w:val="en-GB"/>
        </w:rPr>
      </w:pPr>
      <w:r w:rsidRPr="001D13FA">
        <w:rPr>
          <w:rFonts w:ascii="Arial" w:hAnsi="Arial" w:cs="Arial"/>
          <w:sz w:val="22"/>
          <w:lang w:val="en-GB"/>
        </w:rPr>
        <w:t>Evidence of CNS metastases that in the opinion of the investigator should receive local treatment prior to systemic cytotoxic chemotherapy</w:t>
      </w:r>
    </w:p>
    <w:p w14:paraId="3FB0B609" w14:textId="77777777" w:rsidR="00DA67E8" w:rsidRPr="001D13FA" w:rsidRDefault="00DA67E8" w:rsidP="00D65DE2">
      <w:pPr>
        <w:numPr>
          <w:ilvl w:val="0"/>
          <w:numId w:val="44"/>
        </w:numPr>
        <w:jc w:val="both"/>
        <w:rPr>
          <w:rFonts w:ascii="Arial" w:hAnsi="Arial" w:cs="Arial"/>
          <w:sz w:val="22"/>
        </w:rPr>
      </w:pPr>
      <w:r w:rsidRPr="001D13FA">
        <w:rPr>
          <w:rFonts w:ascii="Arial" w:hAnsi="Arial" w:cs="Arial"/>
          <w:sz w:val="22"/>
        </w:rPr>
        <w:t>Uncontrolled intercurrent illness including but not limited to:</w:t>
      </w:r>
    </w:p>
    <w:p w14:paraId="79445B85" w14:textId="77777777" w:rsidR="00DA67E8" w:rsidRPr="001D13FA" w:rsidRDefault="00DA67E8" w:rsidP="00D65DE2">
      <w:pPr>
        <w:numPr>
          <w:ilvl w:val="1"/>
          <w:numId w:val="33"/>
        </w:numPr>
        <w:jc w:val="both"/>
        <w:rPr>
          <w:rFonts w:ascii="Arial" w:hAnsi="Arial" w:cs="Arial"/>
          <w:sz w:val="22"/>
        </w:rPr>
      </w:pPr>
      <w:r w:rsidRPr="001D13FA">
        <w:rPr>
          <w:rFonts w:ascii="Arial" w:hAnsi="Arial" w:cs="Arial"/>
          <w:sz w:val="22"/>
        </w:rPr>
        <w:t xml:space="preserve">Symptomatic neurological illness </w:t>
      </w:r>
    </w:p>
    <w:p w14:paraId="4E77FEDE" w14:textId="77777777" w:rsidR="00DA67E8" w:rsidRPr="001D13FA" w:rsidRDefault="00DA67E8" w:rsidP="00D65DE2">
      <w:pPr>
        <w:numPr>
          <w:ilvl w:val="1"/>
          <w:numId w:val="33"/>
        </w:numPr>
        <w:jc w:val="both"/>
        <w:rPr>
          <w:rFonts w:ascii="Arial" w:hAnsi="Arial" w:cs="Arial"/>
          <w:sz w:val="22"/>
        </w:rPr>
      </w:pPr>
      <w:r w:rsidRPr="001D13FA">
        <w:rPr>
          <w:rFonts w:ascii="Arial" w:hAnsi="Arial" w:cs="Arial"/>
          <w:sz w:val="22"/>
        </w:rPr>
        <w:t>Active uncontrolled systemic infection considered opportunistic, life threatening or clinically significant at the time of treatment</w:t>
      </w:r>
    </w:p>
    <w:p w14:paraId="6C7966BC" w14:textId="77777777" w:rsidR="00DA67E8" w:rsidRPr="001D13FA" w:rsidRDefault="00DA67E8" w:rsidP="00D65DE2">
      <w:pPr>
        <w:numPr>
          <w:ilvl w:val="1"/>
          <w:numId w:val="33"/>
        </w:numPr>
        <w:jc w:val="both"/>
        <w:rPr>
          <w:rFonts w:ascii="Arial" w:hAnsi="Arial" w:cs="Arial"/>
          <w:sz w:val="22"/>
        </w:rPr>
      </w:pPr>
      <w:r w:rsidRPr="001D13FA">
        <w:rPr>
          <w:rFonts w:ascii="Arial" w:hAnsi="Arial" w:cs="Arial"/>
          <w:sz w:val="22"/>
        </w:rPr>
        <w:t>Significant pulmonary disease or hypoxia</w:t>
      </w:r>
    </w:p>
    <w:p w14:paraId="08671D35" w14:textId="77777777" w:rsidR="00DA67E8" w:rsidRPr="001D13FA" w:rsidRDefault="00DA67E8" w:rsidP="00D65DE2">
      <w:pPr>
        <w:numPr>
          <w:ilvl w:val="1"/>
          <w:numId w:val="33"/>
        </w:numPr>
        <w:jc w:val="both"/>
        <w:rPr>
          <w:rFonts w:ascii="Arial" w:hAnsi="Arial" w:cs="Arial"/>
          <w:sz w:val="22"/>
        </w:rPr>
      </w:pPr>
      <w:r w:rsidRPr="001D13FA">
        <w:rPr>
          <w:rFonts w:ascii="Arial" w:hAnsi="Arial" w:cs="Arial"/>
          <w:sz w:val="22"/>
        </w:rPr>
        <w:t>Psychiatric illness/social situations that would limit compliance with trial requirements</w:t>
      </w:r>
    </w:p>
    <w:p w14:paraId="76D824BC" w14:textId="77777777" w:rsidR="00DA67E8" w:rsidRDefault="00DA67E8" w:rsidP="00D65DE2">
      <w:pPr>
        <w:numPr>
          <w:ilvl w:val="1"/>
          <w:numId w:val="33"/>
        </w:numPr>
        <w:jc w:val="both"/>
        <w:rPr>
          <w:rFonts w:ascii="Arial" w:hAnsi="Arial" w:cs="Arial"/>
          <w:sz w:val="22"/>
        </w:rPr>
      </w:pPr>
      <w:r w:rsidRPr="001D13FA">
        <w:rPr>
          <w:rFonts w:ascii="Arial" w:hAnsi="Arial" w:cs="Arial"/>
          <w:sz w:val="22"/>
        </w:rPr>
        <w:t>Human immunodeficiency</w:t>
      </w:r>
      <w:r>
        <w:rPr>
          <w:rFonts w:ascii="Arial" w:hAnsi="Arial" w:cs="Arial"/>
          <w:sz w:val="22"/>
        </w:rPr>
        <w:t xml:space="preserve"> virus (HIV)-positive patients</w:t>
      </w:r>
    </w:p>
    <w:p w14:paraId="5D064020" w14:textId="77777777" w:rsidR="00DA67E8" w:rsidRPr="001D13FA" w:rsidRDefault="00DA67E8" w:rsidP="00D65DE2">
      <w:pPr>
        <w:numPr>
          <w:ilvl w:val="1"/>
          <w:numId w:val="33"/>
        </w:numPr>
        <w:jc w:val="both"/>
        <w:rPr>
          <w:rFonts w:ascii="Arial" w:hAnsi="Arial" w:cs="Arial"/>
          <w:sz w:val="22"/>
        </w:rPr>
      </w:pPr>
      <w:r>
        <w:rPr>
          <w:rFonts w:ascii="Arial" w:hAnsi="Arial" w:cs="Arial"/>
          <w:sz w:val="22"/>
        </w:rPr>
        <w:t>K</w:t>
      </w:r>
      <w:r w:rsidRPr="001D13FA">
        <w:rPr>
          <w:rFonts w:ascii="Arial" w:hAnsi="Arial" w:cs="Arial"/>
          <w:sz w:val="22"/>
        </w:rPr>
        <w:t>nown hepatitis B or C infection</w:t>
      </w:r>
    </w:p>
    <w:p w14:paraId="53D6E0F8" w14:textId="77777777" w:rsidR="00394E9E" w:rsidRPr="00394E9E" w:rsidRDefault="00DA67E8" w:rsidP="00D65DE2">
      <w:pPr>
        <w:numPr>
          <w:ilvl w:val="1"/>
          <w:numId w:val="33"/>
        </w:numPr>
        <w:jc w:val="both"/>
        <w:rPr>
          <w:rFonts w:ascii="Arial" w:hAnsi="Arial" w:cs="Arial"/>
          <w:sz w:val="22"/>
        </w:rPr>
      </w:pPr>
      <w:r w:rsidRPr="001D13FA">
        <w:rPr>
          <w:rFonts w:ascii="Arial" w:hAnsi="Arial" w:cs="Arial"/>
          <w:sz w:val="22"/>
        </w:rPr>
        <w:t>Uncontrolled diabetes mellitus</w:t>
      </w:r>
    </w:p>
    <w:p w14:paraId="75815FA9" w14:textId="77777777" w:rsidR="00394E9E" w:rsidRPr="00394E9E" w:rsidRDefault="00394E9E" w:rsidP="00D65DE2">
      <w:pPr>
        <w:numPr>
          <w:ilvl w:val="0"/>
          <w:numId w:val="44"/>
        </w:numPr>
        <w:rPr>
          <w:rFonts w:ascii="Arial" w:hAnsi="Arial" w:cs="Arial"/>
          <w:sz w:val="22"/>
          <w:szCs w:val="22"/>
        </w:rPr>
      </w:pPr>
      <w:r w:rsidRPr="00394E9E">
        <w:rPr>
          <w:rFonts w:ascii="Arial" w:hAnsi="Arial" w:cs="Arial"/>
          <w:sz w:val="22"/>
          <w:szCs w:val="22"/>
        </w:rPr>
        <w:t xml:space="preserve">Serum potassium, magnesium, and calcium levels </w:t>
      </w:r>
      <w:r w:rsidR="00720D24">
        <w:rPr>
          <w:rFonts w:ascii="Arial" w:hAnsi="Arial" w:cs="Arial"/>
          <w:sz w:val="22"/>
          <w:szCs w:val="22"/>
        </w:rPr>
        <w:t xml:space="preserve">no more than 10% </w:t>
      </w:r>
      <w:r w:rsidRPr="00394E9E">
        <w:rPr>
          <w:rFonts w:ascii="Arial" w:hAnsi="Arial" w:cs="Arial"/>
          <w:sz w:val="22"/>
          <w:szCs w:val="22"/>
        </w:rPr>
        <w:t>outside the Sites normal reference ranges</w:t>
      </w:r>
    </w:p>
    <w:p w14:paraId="7F3FC0DD" w14:textId="77777777" w:rsidR="00DA67E8" w:rsidRPr="00542DDE" w:rsidRDefault="00DA67E8" w:rsidP="00D65DE2">
      <w:pPr>
        <w:pStyle w:val="ListParagraph"/>
        <w:numPr>
          <w:ilvl w:val="0"/>
          <w:numId w:val="44"/>
        </w:numPr>
        <w:jc w:val="both"/>
        <w:rPr>
          <w:rFonts w:ascii="Arial" w:hAnsi="Arial" w:cs="Arial"/>
          <w:sz w:val="22"/>
          <w:szCs w:val="22"/>
        </w:rPr>
      </w:pPr>
      <w:r w:rsidRPr="00542DDE">
        <w:rPr>
          <w:rFonts w:ascii="Arial" w:hAnsi="Arial" w:cs="Arial"/>
          <w:sz w:val="22"/>
          <w:szCs w:val="22"/>
        </w:rPr>
        <w:t>Known serious cardiac illness including but not confined to:</w:t>
      </w:r>
    </w:p>
    <w:p w14:paraId="4BD6E2D5" w14:textId="77777777" w:rsidR="00E4408C" w:rsidRPr="00E4408C" w:rsidRDefault="00E4408C" w:rsidP="00D65DE2">
      <w:pPr>
        <w:numPr>
          <w:ilvl w:val="1"/>
          <w:numId w:val="33"/>
        </w:numPr>
        <w:jc w:val="both"/>
        <w:rPr>
          <w:rFonts w:ascii="Arial" w:hAnsi="Arial" w:cs="Arial"/>
          <w:sz w:val="22"/>
        </w:rPr>
      </w:pPr>
      <w:r w:rsidRPr="00E4408C">
        <w:rPr>
          <w:rFonts w:ascii="Arial" w:hAnsi="Arial" w:cs="Arial"/>
          <w:sz w:val="22"/>
        </w:rPr>
        <w:t xml:space="preserve">Clinically unstable cardiac disease, including unstable atrial fibrillation, symptomatic bradycardia, unstable congestive heart failure, active myocardial ischemia, or indwelling temporary pacemaker </w:t>
      </w:r>
    </w:p>
    <w:p w14:paraId="0DC8EBA9" w14:textId="77777777" w:rsidR="00E4408C" w:rsidRPr="00E4408C" w:rsidRDefault="00E4408C" w:rsidP="00D65DE2">
      <w:pPr>
        <w:numPr>
          <w:ilvl w:val="1"/>
          <w:numId w:val="33"/>
        </w:numPr>
        <w:jc w:val="both"/>
        <w:rPr>
          <w:rFonts w:ascii="Arial" w:hAnsi="Arial" w:cs="Arial"/>
          <w:sz w:val="22"/>
        </w:rPr>
      </w:pPr>
      <w:r w:rsidRPr="00E4408C">
        <w:rPr>
          <w:rFonts w:ascii="Arial" w:hAnsi="Arial" w:cs="Arial"/>
          <w:sz w:val="22"/>
        </w:rPr>
        <w:t xml:space="preserve">Ventricular tachycardia or a supraventricular tachycardia that requires treatment with a Class </w:t>
      </w:r>
      <w:proofErr w:type="spellStart"/>
      <w:r w:rsidRPr="00E4408C">
        <w:rPr>
          <w:rFonts w:ascii="Arial" w:hAnsi="Arial" w:cs="Arial"/>
          <w:sz w:val="22"/>
        </w:rPr>
        <w:t>Ia</w:t>
      </w:r>
      <w:proofErr w:type="spellEnd"/>
      <w:r w:rsidRPr="00E4408C">
        <w:rPr>
          <w:rFonts w:ascii="Arial" w:hAnsi="Arial" w:cs="Arial"/>
          <w:sz w:val="22"/>
        </w:rPr>
        <w:t xml:space="preserve"> anti-arrhythmic drug (</w:t>
      </w:r>
      <w:r w:rsidR="008533D3" w:rsidRPr="00E4408C">
        <w:rPr>
          <w:rFonts w:ascii="Arial" w:hAnsi="Arial" w:cs="Arial"/>
          <w:sz w:val="22"/>
        </w:rPr>
        <w:t>e.g.</w:t>
      </w:r>
      <w:r w:rsidRPr="00E4408C">
        <w:rPr>
          <w:rFonts w:ascii="Arial" w:hAnsi="Arial" w:cs="Arial"/>
          <w:sz w:val="22"/>
        </w:rPr>
        <w:t>, quinidine, procainamide, disopyramide) or Class III anti-arrhythmic drug (</w:t>
      </w:r>
      <w:r w:rsidR="008533D3" w:rsidRPr="00E4408C">
        <w:rPr>
          <w:rFonts w:ascii="Arial" w:hAnsi="Arial" w:cs="Arial"/>
          <w:sz w:val="22"/>
        </w:rPr>
        <w:t>e.g.</w:t>
      </w:r>
      <w:r w:rsidRPr="00E4408C">
        <w:rPr>
          <w:rFonts w:ascii="Arial" w:hAnsi="Arial" w:cs="Arial"/>
          <w:sz w:val="22"/>
        </w:rPr>
        <w:t xml:space="preserve">, sotalol, amiodarone, </w:t>
      </w:r>
      <w:proofErr w:type="spellStart"/>
      <w:r w:rsidRPr="00E4408C">
        <w:rPr>
          <w:rFonts w:ascii="Arial" w:hAnsi="Arial" w:cs="Arial"/>
          <w:sz w:val="22"/>
        </w:rPr>
        <w:t>dofetilide</w:t>
      </w:r>
      <w:proofErr w:type="spellEnd"/>
      <w:r w:rsidRPr="00E4408C">
        <w:rPr>
          <w:rFonts w:ascii="Arial" w:hAnsi="Arial" w:cs="Arial"/>
          <w:sz w:val="22"/>
        </w:rPr>
        <w:t xml:space="preserve">). Use of other anti-arrhythmic drugs is permitted. </w:t>
      </w:r>
    </w:p>
    <w:p w14:paraId="7005638B" w14:textId="77777777" w:rsidR="00E4408C" w:rsidRPr="00E4408C" w:rsidRDefault="00E4408C" w:rsidP="00D65DE2">
      <w:pPr>
        <w:numPr>
          <w:ilvl w:val="1"/>
          <w:numId w:val="33"/>
        </w:numPr>
        <w:jc w:val="both"/>
        <w:rPr>
          <w:rFonts w:ascii="Arial" w:hAnsi="Arial" w:cs="Arial"/>
          <w:sz w:val="22"/>
        </w:rPr>
      </w:pPr>
      <w:r w:rsidRPr="00E4408C">
        <w:rPr>
          <w:rFonts w:ascii="Arial" w:hAnsi="Arial" w:cs="Arial"/>
          <w:sz w:val="22"/>
        </w:rPr>
        <w:t xml:space="preserve">Use of medications that have been linked to the occurrence of </w:t>
      </w:r>
      <w:proofErr w:type="spellStart"/>
      <w:r w:rsidRPr="00E4408C">
        <w:rPr>
          <w:rFonts w:ascii="Arial" w:hAnsi="Arial" w:cs="Arial"/>
          <w:sz w:val="22"/>
        </w:rPr>
        <w:t>torsades</w:t>
      </w:r>
      <w:proofErr w:type="spellEnd"/>
      <w:r w:rsidRPr="00E4408C">
        <w:rPr>
          <w:rFonts w:ascii="Arial" w:hAnsi="Arial" w:cs="Arial"/>
          <w:sz w:val="22"/>
        </w:rPr>
        <w:t xml:space="preserve"> de pointes (see Appendix 5 for the list of such medications) </w:t>
      </w:r>
    </w:p>
    <w:p w14:paraId="19C8D1B2" w14:textId="77777777" w:rsidR="00E4408C" w:rsidRPr="00E4408C" w:rsidRDefault="00E4408C" w:rsidP="00D65DE2">
      <w:pPr>
        <w:numPr>
          <w:ilvl w:val="1"/>
          <w:numId w:val="33"/>
        </w:numPr>
        <w:jc w:val="both"/>
        <w:rPr>
          <w:rFonts w:ascii="Arial" w:hAnsi="Arial" w:cs="Arial"/>
          <w:sz w:val="22"/>
        </w:rPr>
      </w:pPr>
      <w:r w:rsidRPr="00E4408C">
        <w:rPr>
          <w:rFonts w:ascii="Arial" w:hAnsi="Arial" w:cs="Arial"/>
          <w:sz w:val="22"/>
        </w:rPr>
        <w:t xml:space="preserve">Second- or third-degree atrioventricular (AV) block unless treated with a permanent pacemaker </w:t>
      </w:r>
    </w:p>
    <w:p w14:paraId="4821596E" w14:textId="77777777" w:rsidR="00E4408C" w:rsidRPr="00E4408C" w:rsidRDefault="00E4408C" w:rsidP="00D65DE2">
      <w:pPr>
        <w:numPr>
          <w:ilvl w:val="1"/>
          <w:numId w:val="33"/>
        </w:numPr>
        <w:jc w:val="both"/>
        <w:rPr>
          <w:rFonts w:ascii="Arial" w:hAnsi="Arial" w:cs="Arial"/>
          <w:sz w:val="22"/>
        </w:rPr>
      </w:pPr>
      <w:r w:rsidRPr="00E4408C">
        <w:rPr>
          <w:rFonts w:ascii="Arial" w:hAnsi="Arial" w:cs="Arial"/>
          <w:sz w:val="22"/>
        </w:rPr>
        <w:t xml:space="preserve">Complete left bundle branch block (LBBB) </w:t>
      </w:r>
    </w:p>
    <w:p w14:paraId="42709A8A" w14:textId="77777777" w:rsidR="00E4408C" w:rsidRPr="00E4408C" w:rsidRDefault="00E4408C" w:rsidP="00D65DE2">
      <w:pPr>
        <w:numPr>
          <w:ilvl w:val="1"/>
          <w:numId w:val="33"/>
        </w:numPr>
        <w:jc w:val="both"/>
        <w:rPr>
          <w:rFonts w:ascii="Arial" w:hAnsi="Arial" w:cs="Arial"/>
          <w:sz w:val="22"/>
        </w:rPr>
      </w:pPr>
      <w:r w:rsidRPr="00E4408C">
        <w:rPr>
          <w:rFonts w:ascii="Arial" w:hAnsi="Arial" w:cs="Arial"/>
          <w:sz w:val="22"/>
        </w:rPr>
        <w:t xml:space="preserve">History of long QT Syndrome or a family member with this condition </w:t>
      </w:r>
    </w:p>
    <w:p w14:paraId="74E58835" w14:textId="77777777" w:rsidR="00E4408C" w:rsidRPr="00E4408C" w:rsidRDefault="008533D3" w:rsidP="00D65DE2">
      <w:pPr>
        <w:numPr>
          <w:ilvl w:val="1"/>
          <w:numId w:val="33"/>
        </w:numPr>
        <w:jc w:val="both"/>
        <w:rPr>
          <w:rFonts w:ascii="Arial" w:hAnsi="Arial" w:cs="Arial"/>
          <w:sz w:val="22"/>
        </w:rPr>
      </w:pPr>
      <w:r>
        <w:rPr>
          <w:rFonts w:ascii="Arial" w:hAnsi="Arial" w:cs="Arial"/>
          <w:sz w:val="22"/>
        </w:rPr>
        <w:t>QTc &gt;470</w:t>
      </w:r>
      <w:r w:rsidR="00E4408C" w:rsidRPr="00E4408C">
        <w:rPr>
          <w:rFonts w:ascii="Arial" w:hAnsi="Arial" w:cs="Arial"/>
          <w:sz w:val="22"/>
        </w:rPr>
        <w:t xml:space="preserve">ms (average of triplicate ECG recordings); a consistent method of QTc calculation must be used for each patient's QTc measurements. </w:t>
      </w:r>
      <w:proofErr w:type="spellStart"/>
      <w:r w:rsidR="00E4408C" w:rsidRPr="00E4408C">
        <w:rPr>
          <w:rFonts w:ascii="Arial" w:hAnsi="Arial" w:cs="Arial"/>
          <w:sz w:val="22"/>
        </w:rPr>
        <w:t>QTcF</w:t>
      </w:r>
      <w:proofErr w:type="spellEnd"/>
      <w:r w:rsidR="00E4408C" w:rsidRPr="00E4408C">
        <w:rPr>
          <w:rFonts w:ascii="Arial" w:hAnsi="Arial" w:cs="Arial"/>
          <w:sz w:val="22"/>
        </w:rPr>
        <w:t xml:space="preserve"> (</w:t>
      </w:r>
      <w:proofErr w:type="spellStart"/>
      <w:r w:rsidR="00E4408C" w:rsidRPr="00E4408C">
        <w:rPr>
          <w:rFonts w:ascii="Arial" w:hAnsi="Arial" w:cs="Arial"/>
          <w:sz w:val="22"/>
        </w:rPr>
        <w:t>Fridericia's</w:t>
      </w:r>
      <w:proofErr w:type="spellEnd"/>
      <w:r w:rsidR="00E4408C" w:rsidRPr="00E4408C">
        <w:rPr>
          <w:rFonts w:ascii="Arial" w:hAnsi="Arial" w:cs="Arial"/>
          <w:sz w:val="22"/>
        </w:rPr>
        <w:t xml:space="preserve"> formula) is preferred </w:t>
      </w:r>
    </w:p>
    <w:p w14:paraId="24A73E8F" w14:textId="77777777" w:rsidR="00DA67E8" w:rsidRDefault="00DA67E8" w:rsidP="00D65DE2">
      <w:pPr>
        <w:numPr>
          <w:ilvl w:val="0"/>
          <w:numId w:val="44"/>
        </w:numPr>
        <w:jc w:val="both"/>
        <w:rPr>
          <w:rFonts w:ascii="Arial" w:hAnsi="Arial" w:cs="Arial"/>
          <w:sz w:val="22"/>
        </w:rPr>
      </w:pPr>
      <w:r w:rsidRPr="001D13FA">
        <w:rPr>
          <w:rFonts w:ascii="Arial" w:hAnsi="Arial" w:cs="Arial"/>
          <w:sz w:val="22"/>
        </w:rPr>
        <w:t>The patient has a history of prior malignant tumour, unless the patient has been without evidence of disease for at least three years, or the tumour was a non-melanoma skin tumour or in</w:t>
      </w:r>
      <w:r>
        <w:rPr>
          <w:rFonts w:ascii="Arial" w:hAnsi="Arial" w:cs="Arial"/>
          <w:sz w:val="22"/>
        </w:rPr>
        <w:t xml:space="preserve"> </w:t>
      </w:r>
      <w:r w:rsidRPr="001D13FA">
        <w:rPr>
          <w:rFonts w:ascii="Arial" w:hAnsi="Arial" w:cs="Arial"/>
          <w:sz w:val="22"/>
        </w:rPr>
        <w:t>situ cervix carcinoma</w:t>
      </w:r>
    </w:p>
    <w:p w14:paraId="3F17BD9B" w14:textId="77777777" w:rsidR="00855A86" w:rsidRPr="00855A86" w:rsidRDefault="00855A86" w:rsidP="00855A86">
      <w:pPr>
        <w:numPr>
          <w:ilvl w:val="0"/>
          <w:numId w:val="44"/>
        </w:numPr>
        <w:jc w:val="both"/>
        <w:rPr>
          <w:rFonts w:ascii="Arial" w:hAnsi="Arial" w:cs="Arial"/>
          <w:sz w:val="22"/>
          <w:szCs w:val="22"/>
        </w:rPr>
      </w:pPr>
      <w:r w:rsidRPr="00C874F5">
        <w:rPr>
          <w:rFonts w:ascii="Arial" w:hAnsi="Arial" w:cs="Arial"/>
          <w:sz w:val="22"/>
          <w:szCs w:val="22"/>
        </w:rPr>
        <w:t xml:space="preserve">The patient has a history of prior gastrointestinal illness or disorder. </w:t>
      </w:r>
    </w:p>
    <w:p w14:paraId="0CD1ABFE" w14:textId="77777777" w:rsidR="00DA67E8" w:rsidRPr="00542DDE" w:rsidRDefault="00DA67E8" w:rsidP="00D65DE2">
      <w:pPr>
        <w:numPr>
          <w:ilvl w:val="0"/>
          <w:numId w:val="44"/>
        </w:numPr>
        <w:jc w:val="both"/>
        <w:rPr>
          <w:rFonts w:ascii="Arial" w:hAnsi="Arial" w:cs="Arial"/>
          <w:sz w:val="22"/>
        </w:rPr>
      </w:pPr>
      <w:r w:rsidRPr="001D13FA">
        <w:rPr>
          <w:rFonts w:ascii="Arial" w:hAnsi="Arial" w:cs="Arial"/>
          <w:sz w:val="22"/>
        </w:rPr>
        <w:t xml:space="preserve">Pregnant women or </w:t>
      </w:r>
      <w:r>
        <w:rPr>
          <w:rFonts w:ascii="Arial" w:hAnsi="Arial" w:cs="Arial"/>
          <w:sz w:val="22"/>
        </w:rPr>
        <w:t xml:space="preserve">those who are </w:t>
      </w:r>
      <w:r w:rsidRPr="001D13FA">
        <w:rPr>
          <w:rFonts w:ascii="Arial" w:hAnsi="Arial" w:cs="Arial"/>
          <w:sz w:val="22"/>
        </w:rPr>
        <w:t>lactating</w:t>
      </w:r>
    </w:p>
    <w:p w14:paraId="62BFEA17" w14:textId="77777777" w:rsidR="00DA67E8" w:rsidRPr="00307768" w:rsidRDefault="00DA67E8" w:rsidP="00D65DE2">
      <w:pPr>
        <w:numPr>
          <w:ilvl w:val="0"/>
          <w:numId w:val="44"/>
        </w:numPr>
        <w:jc w:val="both"/>
        <w:rPr>
          <w:rFonts w:ascii="Arial" w:hAnsi="Arial" w:cs="Arial"/>
          <w:sz w:val="22"/>
        </w:rPr>
      </w:pPr>
      <w:r w:rsidRPr="00307768">
        <w:rPr>
          <w:rFonts w:ascii="Arial" w:hAnsi="Arial" w:cs="Arial"/>
          <w:sz w:val="22"/>
        </w:rPr>
        <w:t>Pre-planned surgery or procedures that would interfere with the conduct of the trial</w:t>
      </w:r>
    </w:p>
    <w:p w14:paraId="778464BF" w14:textId="77777777" w:rsidR="00DA67E8" w:rsidRDefault="00DA67E8" w:rsidP="00D65DE2">
      <w:pPr>
        <w:numPr>
          <w:ilvl w:val="0"/>
          <w:numId w:val="44"/>
        </w:numPr>
        <w:jc w:val="both"/>
        <w:rPr>
          <w:rFonts w:ascii="Arial" w:hAnsi="Arial" w:cs="Arial"/>
          <w:sz w:val="22"/>
        </w:rPr>
      </w:pPr>
      <w:r w:rsidRPr="001D13FA">
        <w:rPr>
          <w:rFonts w:ascii="Arial" w:hAnsi="Arial" w:cs="Arial"/>
          <w:sz w:val="22"/>
        </w:rPr>
        <w:t>Patients who have had surgery (does not include pleurodesis or pleurectomy) within 28 days of randomisation should not be included</w:t>
      </w:r>
    </w:p>
    <w:p w14:paraId="2D19DEE9" w14:textId="77777777" w:rsidR="00CB11E4" w:rsidRPr="001D13FA" w:rsidRDefault="00CB11E4" w:rsidP="00D65DE2">
      <w:pPr>
        <w:numPr>
          <w:ilvl w:val="0"/>
          <w:numId w:val="44"/>
        </w:numPr>
        <w:jc w:val="both"/>
        <w:rPr>
          <w:rFonts w:ascii="Arial" w:hAnsi="Arial" w:cs="Arial"/>
          <w:sz w:val="22"/>
        </w:rPr>
      </w:pPr>
      <w:r>
        <w:rPr>
          <w:rFonts w:ascii="Arial" w:hAnsi="Arial" w:cs="Arial"/>
          <w:sz w:val="22"/>
        </w:rPr>
        <w:t xml:space="preserve">Previous treatment </w:t>
      </w:r>
      <w:r w:rsidR="0008573D">
        <w:rPr>
          <w:rFonts w:ascii="Arial" w:hAnsi="Arial" w:cs="Arial"/>
          <w:sz w:val="22"/>
        </w:rPr>
        <w:t xml:space="preserve">of mesothelioma </w:t>
      </w:r>
      <w:r>
        <w:rPr>
          <w:rFonts w:ascii="Arial" w:hAnsi="Arial" w:cs="Arial"/>
          <w:sz w:val="22"/>
        </w:rPr>
        <w:t xml:space="preserve">with </w:t>
      </w:r>
      <w:r w:rsidRPr="001D13FA">
        <w:rPr>
          <w:rFonts w:ascii="Arial" w:hAnsi="Arial" w:cs="Arial"/>
          <w:sz w:val="22"/>
        </w:rPr>
        <w:t>systemic chemotherapy</w:t>
      </w:r>
    </w:p>
    <w:p w14:paraId="54895D4C" w14:textId="77777777" w:rsidR="00DA67E8" w:rsidRPr="001D13FA" w:rsidRDefault="00DA67E8" w:rsidP="00D65DE2">
      <w:pPr>
        <w:numPr>
          <w:ilvl w:val="0"/>
          <w:numId w:val="44"/>
        </w:numPr>
        <w:jc w:val="both"/>
        <w:rPr>
          <w:rFonts w:ascii="Arial" w:hAnsi="Arial" w:cs="Arial"/>
          <w:sz w:val="22"/>
          <w:szCs w:val="22"/>
        </w:rPr>
      </w:pPr>
      <w:r w:rsidRPr="001D13FA">
        <w:rPr>
          <w:rFonts w:ascii="Arial" w:hAnsi="Arial" w:cs="Arial"/>
          <w:sz w:val="22"/>
        </w:rPr>
        <w:t xml:space="preserve">Receipt of extensive radiation therapy, systemic chemotherapy, or other anti-neoplastic </w:t>
      </w:r>
      <w:r w:rsidRPr="001D13FA">
        <w:rPr>
          <w:rFonts w:ascii="Arial" w:hAnsi="Arial" w:cs="Arial"/>
          <w:sz w:val="22"/>
          <w:szCs w:val="22"/>
        </w:rPr>
        <w:t>therapy within 4 weeks before enrolment is not allowed. However, drain site radiotherapy is allowed</w:t>
      </w:r>
    </w:p>
    <w:p w14:paraId="34CCFF7B" w14:textId="77777777" w:rsidR="00DA67E8" w:rsidRDefault="00DA67E8" w:rsidP="00D65DE2">
      <w:pPr>
        <w:numPr>
          <w:ilvl w:val="0"/>
          <w:numId w:val="44"/>
        </w:numPr>
        <w:jc w:val="both"/>
        <w:rPr>
          <w:rFonts w:ascii="Arial" w:hAnsi="Arial" w:cs="Arial"/>
          <w:sz w:val="22"/>
          <w:szCs w:val="22"/>
        </w:rPr>
      </w:pPr>
      <w:r w:rsidRPr="00542DDE">
        <w:rPr>
          <w:rFonts w:ascii="Arial" w:hAnsi="Arial" w:cs="Arial"/>
          <w:sz w:val="22"/>
          <w:szCs w:val="22"/>
        </w:rPr>
        <w:t>Significant weight loss (≥10% body weight) within the 4 weeks prior to Cycle 1 Day 1.</w:t>
      </w:r>
    </w:p>
    <w:p w14:paraId="3771E77A" w14:textId="77777777" w:rsidR="00DA67E8" w:rsidRDefault="00DA67E8" w:rsidP="00D65DE2">
      <w:pPr>
        <w:numPr>
          <w:ilvl w:val="0"/>
          <w:numId w:val="44"/>
        </w:numPr>
        <w:jc w:val="both"/>
        <w:rPr>
          <w:rFonts w:ascii="Arial" w:hAnsi="Arial" w:cs="Arial"/>
          <w:sz w:val="22"/>
          <w:szCs w:val="22"/>
        </w:rPr>
      </w:pPr>
      <w:r>
        <w:rPr>
          <w:rFonts w:ascii="Arial" w:hAnsi="Arial" w:cs="Arial"/>
          <w:sz w:val="22"/>
          <w:szCs w:val="22"/>
        </w:rPr>
        <w:t>Patients who have had a yellow fever vaccination in the previous 30 days.</w:t>
      </w:r>
    </w:p>
    <w:p w14:paraId="27CA0C56" w14:textId="77777777" w:rsidR="00DA67E8" w:rsidRPr="00DA08AA" w:rsidRDefault="00DA67E8" w:rsidP="00D65DE2">
      <w:pPr>
        <w:numPr>
          <w:ilvl w:val="0"/>
          <w:numId w:val="44"/>
        </w:numPr>
        <w:jc w:val="both"/>
        <w:rPr>
          <w:rFonts w:ascii="Arial" w:hAnsi="Arial" w:cs="Arial"/>
          <w:sz w:val="22"/>
          <w:szCs w:val="22"/>
        </w:rPr>
      </w:pPr>
      <w:r w:rsidRPr="00DA08AA">
        <w:rPr>
          <w:rFonts w:ascii="Arial" w:hAnsi="Arial" w:cs="Arial"/>
          <w:sz w:val="22"/>
          <w:szCs w:val="22"/>
        </w:rPr>
        <w:t xml:space="preserve">Other medications, severe acute/chronic medical or psychiatric condition, or laboratory abnormality that may increase the risk associated with study participation or study drug </w:t>
      </w:r>
      <w:r w:rsidRPr="00DA08AA">
        <w:rPr>
          <w:rFonts w:ascii="Arial" w:hAnsi="Arial" w:cs="Arial"/>
          <w:sz w:val="22"/>
          <w:szCs w:val="22"/>
        </w:rPr>
        <w:lastRenderedPageBreak/>
        <w:t>administration, or may interfere with the interpretation of study results, and in the judgment of the investigator would make the subject inappropriate for entry into this study.</w:t>
      </w:r>
    </w:p>
    <w:p w14:paraId="0D4810FE" w14:textId="77777777" w:rsidR="00DA67E8" w:rsidRPr="00542DDE" w:rsidRDefault="00DA67E8" w:rsidP="00DA08AA">
      <w:pPr>
        <w:ind w:left="426"/>
        <w:jc w:val="both"/>
        <w:rPr>
          <w:rFonts w:ascii="Arial" w:hAnsi="Arial" w:cs="Arial"/>
          <w:sz w:val="22"/>
          <w:szCs w:val="22"/>
        </w:rPr>
      </w:pPr>
    </w:p>
    <w:p w14:paraId="20C09A45" w14:textId="77777777" w:rsidR="00DA67E8" w:rsidRPr="00542DDE" w:rsidRDefault="00DA67E8" w:rsidP="00BF16F9">
      <w:pPr>
        <w:pStyle w:val="Heading2"/>
      </w:pPr>
      <w:bookmarkStart w:id="267" w:name="_Toc283031765"/>
      <w:bookmarkStart w:id="268" w:name="_Toc283376300"/>
      <w:bookmarkStart w:id="269" w:name="_Toc333484734"/>
      <w:bookmarkStart w:id="270" w:name="_Toc333484849"/>
      <w:bookmarkStart w:id="271" w:name="_Toc351624803"/>
      <w:bookmarkStart w:id="272" w:name="_Toc471826748"/>
      <w:bookmarkStart w:id="273" w:name="_Toc528323514"/>
      <w:r w:rsidRPr="00542DDE">
        <w:t>Pregnancy and Birth Control</w:t>
      </w:r>
      <w:bookmarkEnd w:id="267"/>
      <w:bookmarkEnd w:id="268"/>
      <w:bookmarkEnd w:id="269"/>
      <w:bookmarkEnd w:id="270"/>
      <w:bookmarkEnd w:id="271"/>
      <w:bookmarkEnd w:id="272"/>
      <w:bookmarkEnd w:id="273"/>
    </w:p>
    <w:p w14:paraId="17EB132C" w14:textId="77777777" w:rsidR="00760CC4" w:rsidRPr="00D65900" w:rsidRDefault="00760CC4" w:rsidP="00760CC4">
      <w:pPr>
        <w:spacing w:after="240"/>
        <w:jc w:val="both"/>
        <w:rPr>
          <w:rFonts w:ascii="Arial" w:hAnsi="Arial" w:cs="Arial"/>
          <w:bCs/>
          <w:iCs/>
          <w:sz w:val="22"/>
          <w:szCs w:val="22"/>
        </w:rPr>
      </w:pPr>
      <w:r w:rsidRPr="00D65900">
        <w:rPr>
          <w:rFonts w:ascii="Arial" w:hAnsi="Arial" w:cs="Arial"/>
          <w:bCs/>
          <w:iCs/>
          <w:sz w:val="22"/>
          <w:szCs w:val="22"/>
        </w:rPr>
        <w:t xml:space="preserve">Ganetespib may involve currently unforeseeable risks to pregnant women, to an unborn child (an embryo or a foetus), or to children of nursing women.  In an animal study, pregnant rats given ganetespib daily had side effects such as decreased weight gain and/or weight loss, and an increase in embryonic deaths.  </w:t>
      </w:r>
    </w:p>
    <w:p w14:paraId="304B4B1D" w14:textId="77777777" w:rsidR="00760CC4" w:rsidRPr="00D65900" w:rsidRDefault="00760CC4" w:rsidP="00760CC4">
      <w:pPr>
        <w:spacing w:after="240"/>
        <w:jc w:val="both"/>
        <w:rPr>
          <w:rFonts w:ascii="Arial" w:hAnsi="Arial" w:cs="Arial"/>
          <w:bCs/>
          <w:iCs/>
          <w:sz w:val="22"/>
          <w:szCs w:val="22"/>
        </w:rPr>
      </w:pPr>
      <w:r w:rsidRPr="00D65900">
        <w:rPr>
          <w:rFonts w:ascii="Arial" w:hAnsi="Arial" w:cs="Arial"/>
          <w:bCs/>
          <w:iCs/>
          <w:sz w:val="22"/>
          <w:szCs w:val="22"/>
        </w:rPr>
        <w:t xml:space="preserve">Men who are participating in this trial need to understand the possible danger of taking a drug whose effects on the foetus are unknown. </w:t>
      </w:r>
    </w:p>
    <w:p w14:paraId="538D5FFD" w14:textId="77777777" w:rsidR="00760CC4" w:rsidRPr="00544978" w:rsidRDefault="00760CC4" w:rsidP="00760CC4">
      <w:pPr>
        <w:spacing w:after="240"/>
        <w:jc w:val="both"/>
        <w:rPr>
          <w:rFonts w:ascii="Arial" w:hAnsi="Arial" w:cs="Arial"/>
          <w:bCs/>
          <w:iCs/>
          <w:sz w:val="22"/>
          <w:szCs w:val="22"/>
        </w:rPr>
      </w:pPr>
      <w:r w:rsidRPr="00544978">
        <w:rPr>
          <w:rFonts w:ascii="Arial" w:hAnsi="Arial" w:cs="Arial"/>
          <w:bCs/>
          <w:iCs/>
          <w:sz w:val="22"/>
          <w:szCs w:val="22"/>
        </w:rPr>
        <w:t>Due to insufficient data on the effects of ganetespib</w:t>
      </w:r>
      <w:r>
        <w:rPr>
          <w:rFonts w:ascii="Arial" w:hAnsi="Arial" w:cs="Arial"/>
          <w:bCs/>
          <w:iCs/>
          <w:sz w:val="22"/>
          <w:szCs w:val="22"/>
        </w:rPr>
        <w:t xml:space="preserve"> in combination with pemetrexed/cisplatin </w:t>
      </w:r>
      <w:r w:rsidR="00E4408C">
        <w:rPr>
          <w:rFonts w:ascii="Arial" w:hAnsi="Arial" w:cs="Arial"/>
          <w:bCs/>
          <w:iCs/>
          <w:sz w:val="22"/>
          <w:szCs w:val="22"/>
        </w:rPr>
        <w:t xml:space="preserve">or carboplatin </w:t>
      </w:r>
      <w:r w:rsidRPr="00544978">
        <w:rPr>
          <w:rFonts w:ascii="Arial" w:hAnsi="Arial" w:cs="Arial"/>
          <w:bCs/>
          <w:iCs/>
          <w:sz w:val="22"/>
          <w:szCs w:val="22"/>
        </w:rPr>
        <w:t xml:space="preserve">during pregnancy and lactation, </w:t>
      </w:r>
      <w:r>
        <w:rPr>
          <w:rFonts w:ascii="Arial" w:hAnsi="Arial" w:cs="Arial"/>
          <w:bCs/>
          <w:iCs/>
          <w:sz w:val="22"/>
          <w:szCs w:val="22"/>
        </w:rPr>
        <w:t xml:space="preserve">all </w:t>
      </w:r>
      <w:r w:rsidRPr="00544978">
        <w:rPr>
          <w:rFonts w:ascii="Arial" w:hAnsi="Arial" w:cs="Arial"/>
          <w:bCs/>
          <w:iCs/>
          <w:sz w:val="22"/>
          <w:szCs w:val="22"/>
        </w:rPr>
        <w:t>patients must consent to use one</w:t>
      </w:r>
      <w:r>
        <w:rPr>
          <w:rFonts w:ascii="Arial" w:hAnsi="Arial" w:cs="Arial"/>
          <w:bCs/>
          <w:iCs/>
          <w:sz w:val="22"/>
          <w:szCs w:val="22"/>
        </w:rPr>
        <w:t xml:space="preserve"> </w:t>
      </w:r>
      <w:r w:rsidRPr="00544978">
        <w:rPr>
          <w:rFonts w:ascii="Arial" w:hAnsi="Arial" w:cs="Arial"/>
          <w:bCs/>
          <w:iCs/>
          <w:sz w:val="22"/>
          <w:szCs w:val="22"/>
        </w:rPr>
        <w:t xml:space="preserve">of the following acceptable methods of contraception for the duration of trial treatment, and until </w:t>
      </w:r>
      <w:r>
        <w:rPr>
          <w:rFonts w:ascii="Arial" w:hAnsi="Arial" w:cs="Arial"/>
          <w:bCs/>
          <w:iCs/>
          <w:sz w:val="22"/>
          <w:szCs w:val="22"/>
        </w:rPr>
        <w:t>6 months</w:t>
      </w:r>
      <w:r w:rsidRPr="00544978">
        <w:rPr>
          <w:rFonts w:ascii="Arial" w:hAnsi="Arial" w:cs="Arial"/>
          <w:bCs/>
          <w:iCs/>
          <w:sz w:val="22"/>
          <w:szCs w:val="22"/>
        </w:rPr>
        <w:t xml:space="preserve"> after the last treatment cycle has finished.</w:t>
      </w:r>
      <w:r>
        <w:rPr>
          <w:rFonts w:ascii="Arial" w:hAnsi="Arial" w:cs="Arial"/>
          <w:bCs/>
          <w:iCs/>
          <w:sz w:val="22"/>
          <w:szCs w:val="22"/>
        </w:rPr>
        <w:t xml:space="preserve"> </w:t>
      </w:r>
      <w:r w:rsidRPr="00544978">
        <w:rPr>
          <w:rFonts w:ascii="Arial" w:hAnsi="Arial" w:cs="Arial"/>
          <w:bCs/>
          <w:iCs/>
          <w:sz w:val="22"/>
          <w:szCs w:val="22"/>
        </w:rPr>
        <w:t>Acceptable methods of effective contraception for this trial are</w:t>
      </w:r>
      <w:r>
        <w:rPr>
          <w:rFonts w:ascii="Arial" w:hAnsi="Arial" w:cs="Arial"/>
          <w:bCs/>
          <w:iCs/>
          <w:sz w:val="22"/>
          <w:szCs w:val="22"/>
        </w:rPr>
        <w:t xml:space="preserve"> (women of childbearing potential, or men who have partners of childbearing potential)</w:t>
      </w:r>
      <w:r w:rsidRPr="00544978">
        <w:rPr>
          <w:rFonts w:ascii="Arial" w:hAnsi="Arial" w:cs="Arial"/>
          <w:bCs/>
          <w:iCs/>
          <w:sz w:val="22"/>
          <w:szCs w:val="22"/>
        </w:rPr>
        <w:t>:</w:t>
      </w:r>
    </w:p>
    <w:p w14:paraId="71A85F8C" w14:textId="77777777" w:rsidR="00760CC4" w:rsidRPr="00544978" w:rsidRDefault="00760CC4" w:rsidP="002F600D">
      <w:pPr>
        <w:pStyle w:val="ListParagraph"/>
        <w:numPr>
          <w:ilvl w:val="0"/>
          <w:numId w:val="8"/>
        </w:numPr>
        <w:jc w:val="both"/>
        <w:rPr>
          <w:rFonts w:ascii="Arial" w:hAnsi="Arial" w:cs="Arial"/>
          <w:b/>
          <w:bCs/>
          <w:i/>
          <w:iCs/>
          <w:sz w:val="22"/>
          <w:szCs w:val="22"/>
        </w:rPr>
      </w:pPr>
      <w:r w:rsidRPr="009564FF">
        <w:rPr>
          <w:rFonts w:ascii="Arial" w:hAnsi="Arial" w:cs="Arial"/>
          <w:bCs/>
          <w:iCs/>
          <w:sz w:val="22"/>
          <w:szCs w:val="22"/>
        </w:rPr>
        <w:t xml:space="preserve">Established use of oral, injected or implanted hormonal methods of contraception.  </w:t>
      </w:r>
    </w:p>
    <w:p w14:paraId="63667A9D" w14:textId="77777777" w:rsidR="00760CC4" w:rsidRPr="00544978" w:rsidRDefault="00760CC4" w:rsidP="002F600D">
      <w:pPr>
        <w:pStyle w:val="ListParagraph"/>
        <w:numPr>
          <w:ilvl w:val="0"/>
          <w:numId w:val="8"/>
        </w:numPr>
        <w:jc w:val="both"/>
        <w:rPr>
          <w:rFonts w:ascii="Arial" w:hAnsi="Arial" w:cs="Arial"/>
          <w:b/>
          <w:bCs/>
          <w:i/>
          <w:iCs/>
          <w:sz w:val="22"/>
          <w:szCs w:val="22"/>
        </w:rPr>
      </w:pPr>
      <w:r w:rsidRPr="00544978">
        <w:rPr>
          <w:rFonts w:ascii="Arial" w:hAnsi="Arial" w:cs="Arial"/>
          <w:bCs/>
          <w:iCs/>
          <w:sz w:val="22"/>
          <w:szCs w:val="22"/>
        </w:rPr>
        <w:t xml:space="preserve">Barrier methods of contraception: condom or occlusive cap (diaphragm or cervical/vault caps) </w:t>
      </w:r>
      <w:r w:rsidRPr="00544978">
        <w:rPr>
          <w:rFonts w:ascii="Arial" w:hAnsi="Arial" w:cs="Arial"/>
          <w:bCs/>
          <w:iCs/>
          <w:sz w:val="22"/>
          <w:szCs w:val="22"/>
          <w:u w:val="single"/>
        </w:rPr>
        <w:t>with</w:t>
      </w:r>
      <w:r w:rsidRPr="00544978">
        <w:rPr>
          <w:rFonts w:ascii="Arial" w:hAnsi="Arial" w:cs="Arial"/>
          <w:bCs/>
          <w:iCs/>
          <w:sz w:val="22"/>
          <w:szCs w:val="22"/>
        </w:rPr>
        <w:t xml:space="preserve"> spermicidal foam/gel/film/cream/suppository).  The use of barrier contraceptives should always be supplemented with the use of a spermicide.  The following should be noted:</w:t>
      </w:r>
    </w:p>
    <w:p w14:paraId="6D7AC381" w14:textId="77777777" w:rsidR="00760CC4" w:rsidRPr="00544978" w:rsidRDefault="00760CC4" w:rsidP="002F600D">
      <w:pPr>
        <w:pStyle w:val="ListParagraph"/>
        <w:numPr>
          <w:ilvl w:val="1"/>
          <w:numId w:val="8"/>
        </w:numPr>
        <w:jc w:val="both"/>
        <w:rPr>
          <w:rFonts w:ascii="Arial" w:hAnsi="Arial" w:cs="Arial"/>
          <w:bCs/>
          <w:iCs/>
          <w:sz w:val="22"/>
          <w:szCs w:val="22"/>
        </w:rPr>
      </w:pPr>
      <w:r w:rsidRPr="00544978">
        <w:rPr>
          <w:rFonts w:ascii="Arial" w:hAnsi="Arial" w:cs="Arial"/>
          <w:bCs/>
          <w:iCs/>
          <w:sz w:val="22"/>
          <w:szCs w:val="22"/>
        </w:rPr>
        <w:t xml:space="preserve">Failure rates indicate that, when used alone, the diaphragm or condom are </w:t>
      </w:r>
      <w:r w:rsidRPr="00544978">
        <w:rPr>
          <w:rFonts w:ascii="Arial" w:hAnsi="Arial" w:cs="Arial"/>
          <w:b/>
          <w:bCs/>
          <w:iCs/>
          <w:sz w:val="22"/>
          <w:szCs w:val="22"/>
        </w:rPr>
        <w:t>not</w:t>
      </w:r>
      <w:r w:rsidRPr="00544978">
        <w:rPr>
          <w:rFonts w:ascii="Arial" w:hAnsi="Arial" w:cs="Arial"/>
          <w:bCs/>
          <w:iCs/>
          <w:sz w:val="22"/>
          <w:szCs w:val="22"/>
        </w:rPr>
        <w:t xml:space="preserve"> highly effective forms of contraception.  Therefore the use of additional spermicides does confer additional theoretical contraceptive protection.</w:t>
      </w:r>
    </w:p>
    <w:p w14:paraId="19AB3057" w14:textId="77777777" w:rsidR="00760CC4" w:rsidRPr="00544978" w:rsidRDefault="00760CC4" w:rsidP="002F600D">
      <w:pPr>
        <w:pStyle w:val="ListParagraph"/>
        <w:numPr>
          <w:ilvl w:val="1"/>
          <w:numId w:val="8"/>
        </w:numPr>
        <w:jc w:val="both"/>
        <w:rPr>
          <w:rFonts w:ascii="Arial" w:hAnsi="Arial" w:cs="Arial"/>
          <w:bCs/>
          <w:iCs/>
          <w:sz w:val="22"/>
          <w:szCs w:val="22"/>
        </w:rPr>
      </w:pPr>
      <w:r w:rsidRPr="00544978">
        <w:rPr>
          <w:rFonts w:ascii="Arial" w:hAnsi="Arial" w:cs="Arial"/>
          <w:bCs/>
          <w:iCs/>
          <w:sz w:val="22"/>
          <w:szCs w:val="22"/>
        </w:rPr>
        <w:t>However, spermicides alone are inefficient at preventing pregnancy when the whole ejaculate is spilled.  Therefore, spermicides are not a barrier method of contraception and must not be used alone.</w:t>
      </w:r>
    </w:p>
    <w:p w14:paraId="576A327A" w14:textId="77777777" w:rsidR="00760CC4" w:rsidRPr="00544978" w:rsidRDefault="00760CC4" w:rsidP="002F600D">
      <w:pPr>
        <w:pStyle w:val="ListParagraph"/>
        <w:numPr>
          <w:ilvl w:val="0"/>
          <w:numId w:val="8"/>
        </w:numPr>
        <w:jc w:val="both"/>
        <w:rPr>
          <w:rFonts w:ascii="Arial" w:hAnsi="Arial" w:cs="Arial"/>
          <w:bCs/>
          <w:iCs/>
          <w:sz w:val="22"/>
          <w:szCs w:val="22"/>
        </w:rPr>
      </w:pPr>
      <w:r w:rsidRPr="00544978">
        <w:rPr>
          <w:rFonts w:ascii="Arial" w:hAnsi="Arial" w:cs="Arial"/>
          <w:bCs/>
          <w:iCs/>
          <w:sz w:val="22"/>
          <w:szCs w:val="22"/>
        </w:rPr>
        <w:t>Male sterilisation (with appropriate post-vasectomy documentation of the absence of sperm in the ejaculate).  For female patients, the vasectomised male partners must be the sole partner for that patient.  Please note that sterilisation is not usually regarded as completely reliable enough on its own to ensure that pregnancy can never occur.</w:t>
      </w:r>
    </w:p>
    <w:p w14:paraId="201F46FE" w14:textId="77777777" w:rsidR="00760CC4" w:rsidRDefault="00760CC4" w:rsidP="00760CC4">
      <w:pPr>
        <w:pStyle w:val="ProtTempparagraph"/>
        <w:spacing w:after="0"/>
        <w:rPr>
          <w:bCs/>
          <w:iCs/>
          <w:sz w:val="22"/>
          <w:szCs w:val="22"/>
        </w:rPr>
      </w:pPr>
    </w:p>
    <w:p w14:paraId="6AF33B7D" w14:textId="77777777" w:rsidR="00760CC4" w:rsidRDefault="00760CC4" w:rsidP="00760CC4">
      <w:pPr>
        <w:pStyle w:val="ProtTempparagraph"/>
        <w:spacing w:after="240"/>
        <w:rPr>
          <w:sz w:val="22"/>
          <w:szCs w:val="22"/>
        </w:rPr>
      </w:pPr>
      <w:r w:rsidRPr="00544978">
        <w:rPr>
          <w:bCs/>
          <w:iCs/>
          <w:sz w:val="22"/>
          <w:szCs w:val="22"/>
        </w:rPr>
        <w:t xml:space="preserve">Absolute and continuous abstinence: When this is in line with the preferred and usual lifestyle of the patient.  Please note that periodic abstinence (e.g. calendar, ovulation, </w:t>
      </w:r>
      <w:proofErr w:type="spellStart"/>
      <w:r w:rsidRPr="00544978">
        <w:rPr>
          <w:bCs/>
          <w:iCs/>
          <w:sz w:val="22"/>
          <w:szCs w:val="22"/>
        </w:rPr>
        <w:t>symptothermal</w:t>
      </w:r>
      <w:proofErr w:type="spellEnd"/>
      <w:r w:rsidRPr="00544978">
        <w:rPr>
          <w:bCs/>
          <w:iCs/>
          <w:sz w:val="22"/>
          <w:szCs w:val="22"/>
        </w:rPr>
        <w:t>, post-ovulation methods) and withdrawal are not acceptable methods of contraception</w:t>
      </w:r>
      <w:r w:rsidR="00C40D29">
        <w:rPr>
          <w:bCs/>
          <w:iCs/>
          <w:sz w:val="22"/>
          <w:szCs w:val="22"/>
        </w:rPr>
        <w:t xml:space="preserve">. </w:t>
      </w:r>
      <w:r w:rsidRPr="00544978">
        <w:rPr>
          <w:sz w:val="22"/>
          <w:szCs w:val="22"/>
        </w:rPr>
        <w:t>The method(s) of contraception used must be stated in the patient medical notes and CRFs.</w:t>
      </w:r>
    </w:p>
    <w:p w14:paraId="103E139D" w14:textId="77777777" w:rsidR="00760CC4" w:rsidRPr="00EE713E" w:rsidRDefault="00791C60" w:rsidP="00FC20CF">
      <w:pPr>
        <w:pStyle w:val="Heading3"/>
        <w:ind w:left="851" w:hanging="851"/>
      </w:pPr>
      <w:r w:rsidRPr="00FC20CF">
        <w:t xml:space="preserve"> </w:t>
      </w:r>
      <w:bookmarkStart w:id="274" w:name="_Toc471826749"/>
      <w:bookmarkStart w:id="275" w:name="_Toc528323515"/>
      <w:r w:rsidR="00760CC4" w:rsidRPr="00EE713E">
        <w:t>Pregnancy Testing</w:t>
      </w:r>
      <w:bookmarkEnd w:id="274"/>
      <w:bookmarkEnd w:id="275"/>
    </w:p>
    <w:p w14:paraId="38832269" w14:textId="0BBB72B2" w:rsidR="00760CC4" w:rsidRPr="00EE713E" w:rsidRDefault="00760CC4" w:rsidP="00760CC4">
      <w:pPr>
        <w:jc w:val="both"/>
        <w:rPr>
          <w:rFonts w:ascii="Arial" w:hAnsi="Arial" w:cs="Arial"/>
          <w:sz w:val="22"/>
          <w:szCs w:val="22"/>
        </w:rPr>
      </w:pPr>
      <w:r w:rsidRPr="00EE713E">
        <w:rPr>
          <w:rFonts w:ascii="Arial" w:hAnsi="Arial" w:cs="Arial"/>
          <w:sz w:val="22"/>
          <w:szCs w:val="22"/>
        </w:rPr>
        <w:t xml:space="preserve">A baseline serum pregnancy test (beta-HCG) must be obtained within 1 week prior to the first dose of trial treatment for women of </w:t>
      </w:r>
      <w:r w:rsidR="005956A6">
        <w:rPr>
          <w:rFonts w:ascii="Arial" w:hAnsi="Arial" w:cs="Arial"/>
          <w:sz w:val="22"/>
          <w:szCs w:val="22"/>
        </w:rPr>
        <w:t>child-bearing</w:t>
      </w:r>
      <w:r w:rsidRPr="00EE713E">
        <w:rPr>
          <w:rFonts w:ascii="Arial" w:hAnsi="Arial" w:cs="Arial"/>
          <w:sz w:val="22"/>
          <w:szCs w:val="22"/>
        </w:rPr>
        <w:t xml:space="preserve"> potential.</w:t>
      </w:r>
      <w:r w:rsidRPr="00EE713E">
        <w:rPr>
          <w:rFonts w:ascii="Arial" w:hAnsi="Arial" w:cs="Arial"/>
          <w:sz w:val="22"/>
          <w:szCs w:val="22"/>
          <w:lang w:val="en-US"/>
        </w:rPr>
        <w:t xml:space="preserve"> If a patient becomes pregnant, she must be immediately withdrawn from the trial.</w:t>
      </w:r>
    </w:p>
    <w:p w14:paraId="19CBEEB6" w14:textId="77777777" w:rsidR="00760CC4" w:rsidRDefault="00760CC4" w:rsidP="00760CC4">
      <w:pPr>
        <w:jc w:val="both"/>
        <w:rPr>
          <w:rFonts w:ascii="Arial" w:hAnsi="Arial" w:cs="Arial"/>
          <w:bCs/>
          <w:iCs/>
          <w:sz w:val="22"/>
          <w:szCs w:val="22"/>
        </w:rPr>
      </w:pPr>
    </w:p>
    <w:p w14:paraId="3F918A6B" w14:textId="77777777" w:rsidR="00760CC4" w:rsidRPr="00EE713E" w:rsidRDefault="00760CC4" w:rsidP="00760CC4">
      <w:pPr>
        <w:spacing w:after="240"/>
        <w:jc w:val="both"/>
        <w:rPr>
          <w:rFonts w:ascii="Arial" w:hAnsi="Arial" w:cs="Arial"/>
          <w:sz w:val="22"/>
          <w:szCs w:val="22"/>
        </w:rPr>
      </w:pPr>
      <w:r w:rsidRPr="00EE713E">
        <w:rPr>
          <w:rFonts w:ascii="Arial" w:hAnsi="Arial" w:cs="Arial"/>
          <w:bCs/>
          <w:iCs/>
          <w:sz w:val="22"/>
          <w:szCs w:val="22"/>
        </w:rPr>
        <w:t>A woman of childbearing potential is a sexually mature woman (i.e. any female who has experienced menstrual bleeding) who has not:</w:t>
      </w:r>
    </w:p>
    <w:p w14:paraId="4D77FD97" w14:textId="77777777" w:rsidR="00760CC4" w:rsidRPr="00EE713E" w:rsidRDefault="00760CC4" w:rsidP="002F600D">
      <w:pPr>
        <w:pStyle w:val="ListParagraph"/>
        <w:numPr>
          <w:ilvl w:val="0"/>
          <w:numId w:val="7"/>
        </w:numPr>
        <w:jc w:val="both"/>
        <w:rPr>
          <w:rFonts w:ascii="Arial" w:hAnsi="Arial" w:cs="Arial"/>
          <w:bCs/>
          <w:iCs/>
          <w:sz w:val="22"/>
          <w:szCs w:val="22"/>
        </w:rPr>
      </w:pPr>
      <w:r w:rsidRPr="00EE713E">
        <w:rPr>
          <w:rFonts w:ascii="Arial" w:hAnsi="Arial" w:cs="Arial"/>
          <w:bCs/>
          <w:iCs/>
          <w:sz w:val="22"/>
          <w:szCs w:val="22"/>
        </w:rPr>
        <w:t>undergone a hysterectomy or bilateral oophorectomy/salpingectomy</w:t>
      </w:r>
    </w:p>
    <w:p w14:paraId="0F487814" w14:textId="77777777" w:rsidR="00760CC4" w:rsidRDefault="00760CC4" w:rsidP="002F600D">
      <w:pPr>
        <w:pStyle w:val="ListParagraph"/>
        <w:numPr>
          <w:ilvl w:val="0"/>
          <w:numId w:val="7"/>
        </w:numPr>
        <w:jc w:val="both"/>
        <w:rPr>
          <w:rFonts w:ascii="Arial" w:hAnsi="Arial" w:cs="Arial"/>
          <w:bCs/>
          <w:iCs/>
          <w:sz w:val="22"/>
          <w:szCs w:val="22"/>
        </w:rPr>
      </w:pPr>
      <w:r w:rsidRPr="00EE713E">
        <w:rPr>
          <w:rFonts w:ascii="Arial" w:hAnsi="Arial" w:cs="Arial"/>
          <w:bCs/>
          <w:iCs/>
          <w:sz w:val="22"/>
          <w:szCs w:val="22"/>
        </w:rPr>
        <w:lastRenderedPageBreak/>
        <w:t>been postmenopausal for 24 consecutive months (i.e. who has had menses at any time in the preceding 24 consecutive months without an alternative medical cause)</w:t>
      </w:r>
    </w:p>
    <w:p w14:paraId="6A335228" w14:textId="77777777" w:rsidR="00094A6B" w:rsidRPr="00EE713E" w:rsidRDefault="00094A6B" w:rsidP="00094A6B">
      <w:pPr>
        <w:pStyle w:val="ListParagraph"/>
        <w:jc w:val="both"/>
        <w:rPr>
          <w:rFonts w:ascii="Arial" w:hAnsi="Arial" w:cs="Arial"/>
          <w:bCs/>
          <w:iCs/>
          <w:sz w:val="22"/>
          <w:szCs w:val="22"/>
        </w:rPr>
      </w:pPr>
    </w:p>
    <w:p w14:paraId="4DE3BFE4" w14:textId="77777777" w:rsidR="00760CC4" w:rsidRPr="00544978" w:rsidRDefault="00760CC4" w:rsidP="005C2AA4">
      <w:pPr>
        <w:pStyle w:val="ProtTempparagraph"/>
        <w:spacing w:after="240"/>
        <w:rPr>
          <w:sz w:val="22"/>
          <w:szCs w:val="22"/>
        </w:rPr>
      </w:pPr>
      <w:r w:rsidRPr="00544978">
        <w:rPr>
          <w:sz w:val="22"/>
          <w:szCs w:val="22"/>
        </w:rPr>
        <w:t>If a patient or the partner of a male trial patient becomes pregnant during the trial UCL</w:t>
      </w:r>
      <w:r w:rsidR="00094A6B">
        <w:rPr>
          <w:sz w:val="22"/>
          <w:szCs w:val="22"/>
        </w:rPr>
        <w:t xml:space="preserve"> </w:t>
      </w:r>
      <w:r w:rsidRPr="00544978">
        <w:rPr>
          <w:sz w:val="22"/>
          <w:szCs w:val="22"/>
        </w:rPr>
        <w:t>CTC must be informed immediately (See section 10.0 Pharmacovigilance for details on the reporting procedure)</w:t>
      </w:r>
      <w:r w:rsidR="005C2AA4">
        <w:rPr>
          <w:sz w:val="22"/>
          <w:szCs w:val="22"/>
        </w:rPr>
        <w:t>)</w:t>
      </w:r>
      <w:r w:rsidRPr="00544978">
        <w:rPr>
          <w:sz w:val="22"/>
          <w:szCs w:val="22"/>
        </w:rPr>
        <w:t>.</w:t>
      </w:r>
      <w:r>
        <w:rPr>
          <w:sz w:val="22"/>
          <w:szCs w:val="22"/>
        </w:rPr>
        <w:t xml:space="preserve"> </w:t>
      </w:r>
      <w:r w:rsidRPr="00544978">
        <w:rPr>
          <w:sz w:val="22"/>
          <w:szCs w:val="22"/>
          <w:lang w:eastAsia="en-GB"/>
        </w:rPr>
        <w:t>A female patient who become</w:t>
      </w:r>
      <w:r>
        <w:rPr>
          <w:sz w:val="22"/>
          <w:szCs w:val="22"/>
          <w:lang w:eastAsia="en-GB"/>
        </w:rPr>
        <w:t>s</w:t>
      </w:r>
      <w:r w:rsidRPr="00544978">
        <w:rPr>
          <w:sz w:val="22"/>
          <w:szCs w:val="22"/>
          <w:lang w:eastAsia="en-GB"/>
        </w:rPr>
        <w:t xml:space="preserve"> pregnant and her treating physician should have an immediate and thorough discussion to evaluate </w:t>
      </w:r>
      <w:r>
        <w:rPr>
          <w:sz w:val="22"/>
          <w:szCs w:val="22"/>
          <w:lang w:eastAsia="en-GB"/>
        </w:rPr>
        <w:t xml:space="preserve">pregnancy in the context of drug exposure. </w:t>
      </w:r>
      <w:r w:rsidR="00EB0C74">
        <w:rPr>
          <w:sz w:val="22"/>
          <w:szCs w:val="22"/>
          <w:lang w:eastAsia="en-GB"/>
        </w:rPr>
        <w:t xml:space="preserve">All trial treatment </w:t>
      </w:r>
      <w:r>
        <w:rPr>
          <w:sz w:val="22"/>
          <w:szCs w:val="22"/>
          <w:lang w:eastAsia="en-GB"/>
        </w:rPr>
        <w:t xml:space="preserve">should be stopped immediately. </w:t>
      </w:r>
    </w:p>
    <w:p w14:paraId="3545753B" w14:textId="77777777" w:rsidR="00DA67E8" w:rsidRPr="00544978" w:rsidRDefault="00855BA6" w:rsidP="00853D63">
      <w:pPr>
        <w:pStyle w:val="ProtTempparagraph"/>
        <w:spacing w:after="240"/>
        <w:rPr>
          <w:sz w:val="22"/>
          <w:szCs w:val="22"/>
          <w:lang w:eastAsia="en-GB"/>
        </w:rPr>
      </w:pPr>
      <w:r>
        <w:rPr>
          <w:sz w:val="22"/>
          <w:szCs w:val="22"/>
          <w:lang w:eastAsia="en-GB"/>
        </w:rPr>
        <w:br w:type="page"/>
      </w:r>
    </w:p>
    <w:p w14:paraId="44AF2563" w14:textId="77777777" w:rsidR="00DA67E8" w:rsidRPr="009400C8" w:rsidRDefault="00DA67E8" w:rsidP="009400C8">
      <w:pPr>
        <w:pStyle w:val="Heading1"/>
      </w:pPr>
      <w:bookmarkStart w:id="276" w:name="_Toc283031767"/>
      <w:bookmarkStart w:id="277" w:name="_Toc283376302"/>
      <w:bookmarkStart w:id="278" w:name="_Toc333484735"/>
      <w:bookmarkStart w:id="279" w:name="_Toc333484850"/>
      <w:bookmarkStart w:id="280" w:name="_Toc351624804"/>
      <w:bookmarkStart w:id="281" w:name="_Toc471826750"/>
      <w:bookmarkStart w:id="282" w:name="_Toc528323516"/>
      <w:r w:rsidRPr="009400C8">
        <w:rPr>
          <w:bCs w:val="0"/>
        </w:rPr>
        <w:lastRenderedPageBreak/>
        <w:t xml:space="preserve">Registration (phase I) and </w:t>
      </w:r>
      <w:r w:rsidR="002F113D" w:rsidRPr="009400C8">
        <w:rPr>
          <w:bCs w:val="0"/>
        </w:rPr>
        <w:t>Randomisation (</w:t>
      </w:r>
      <w:r w:rsidRPr="009400C8">
        <w:rPr>
          <w:bCs w:val="0"/>
        </w:rPr>
        <w:t>phase II)</w:t>
      </w:r>
      <w:r w:rsidRPr="009400C8">
        <w:t xml:space="preserve"> Procedures</w:t>
      </w:r>
      <w:bookmarkEnd w:id="276"/>
      <w:bookmarkEnd w:id="277"/>
      <w:bookmarkEnd w:id="278"/>
      <w:bookmarkEnd w:id="279"/>
      <w:bookmarkEnd w:id="280"/>
      <w:bookmarkEnd w:id="281"/>
      <w:bookmarkEnd w:id="282"/>
    </w:p>
    <w:p w14:paraId="0E3A0F59" w14:textId="77777777" w:rsidR="00DA67E8" w:rsidRDefault="00DA67E8" w:rsidP="00452D91">
      <w:pPr>
        <w:pStyle w:val="ProtTempparagraph"/>
        <w:spacing w:after="240"/>
        <w:rPr>
          <w:sz w:val="22"/>
          <w:szCs w:val="22"/>
        </w:rPr>
      </w:pPr>
      <w:r w:rsidRPr="00452D91">
        <w:rPr>
          <w:sz w:val="22"/>
          <w:szCs w:val="22"/>
        </w:rPr>
        <w:t>Patient registration (phase I) or randomisation (phase II) will be undertaken centrally at UCL CTC and this must be performed prior to commencement of any trial treatment/intervention.</w:t>
      </w:r>
    </w:p>
    <w:tbl>
      <w:tblPr>
        <w:tblW w:w="9498" w:type="dxa"/>
        <w:tblInd w:w="108" w:type="dxa"/>
        <w:tblBorders>
          <w:top w:val="single" w:sz="12" w:space="0" w:color="FF0000"/>
          <w:left w:val="single" w:sz="12" w:space="0" w:color="FF0000"/>
          <w:bottom w:val="single" w:sz="12" w:space="0" w:color="FF0000"/>
          <w:right w:val="single" w:sz="12" w:space="0" w:color="FF0000"/>
        </w:tblBorders>
        <w:tblLook w:val="0000" w:firstRow="0" w:lastRow="0" w:firstColumn="0" w:lastColumn="0" w:noHBand="0" w:noVBand="0"/>
      </w:tblPr>
      <w:tblGrid>
        <w:gridCol w:w="4820"/>
        <w:gridCol w:w="4678"/>
      </w:tblGrid>
      <w:tr w:rsidR="00DA67E8" w:rsidRPr="00A23D8C" w14:paraId="6957F3E6" w14:textId="77777777" w:rsidTr="00452D91">
        <w:tc>
          <w:tcPr>
            <w:tcW w:w="4820" w:type="dxa"/>
            <w:tcBorders>
              <w:top w:val="single" w:sz="12" w:space="0" w:color="FF0000"/>
            </w:tcBorders>
          </w:tcPr>
          <w:p w14:paraId="646B8EA4" w14:textId="77777777" w:rsidR="00DA67E8" w:rsidRPr="00452D91" w:rsidRDefault="00DA67E8" w:rsidP="00FE468E">
            <w:pPr>
              <w:rPr>
                <w:rFonts w:ascii="Arial" w:hAnsi="Arial" w:cs="Arial"/>
              </w:rPr>
            </w:pPr>
            <w:r w:rsidRPr="00452D91">
              <w:rPr>
                <w:rFonts w:ascii="Arial" w:hAnsi="Arial" w:cs="Arial"/>
                <w:sz w:val="22"/>
                <w:szCs w:val="22"/>
              </w:rPr>
              <w:t>Registration/Randomisation telephone number:</w:t>
            </w:r>
          </w:p>
        </w:tc>
        <w:tc>
          <w:tcPr>
            <w:tcW w:w="4678" w:type="dxa"/>
            <w:tcBorders>
              <w:top w:val="single" w:sz="12" w:space="0" w:color="FF0000"/>
            </w:tcBorders>
          </w:tcPr>
          <w:p w14:paraId="0D4C0418" w14:textId="77777777" w:rsidR="00DA67E8" w:rsidRPr="00751BCE" w:rsidRDefault="00C40D29" w:rsidP="00452D91">
            <w:pPr>
              <w:pStyle w:val="Header"/>
              <w:tabs>
                <w:tab w:val="clear" w:pos="4153"/>
                <w:tab w:val="clear" w:pos="8306"/>
              </w:tabs>
              <w:jc w:val="both"/>
              <w:rPr>
                <w:rFonts w:ascii="Arial" w:hAnsi="Arial" w:cs="Arial"/>
                <w:lang w:val="en-GB"/>
              </w:rPr>
            </w:pPr>
            <w:r w:rsidRPr="00751BCE">
              <w:rPr>
                <w:rFonts w:ascii="Arial" w:hAnsi="Arial" w:cs="Arial"/>
                <w:sz w:val="22"/>
                <w:szCs w:val="22"/>
                <w:lang w:val="en-GB"/>
              </w:rPr>
              <w:t>0</w:t>
            </w:r>
            <w:r w:rsidR="00DA67E8" w:rsidRPr="00751BCE">
              <w:rPr>
                <w:rFonts w:ascii="Arial" w:hAnsi="Arial" w:cs="Arial"/>
                <w:sz w:val="22"/>
                <w:szCs w:val="22"/>
                <w:lang w:val="en-GB"/>
              </w:rPr>
              <w:t>20 7679 9870</w:t>
            </w:r>
          </w:p>
          <w:p w14:paraId="3845D061" w14:textId="77777777" w:rsidR="000D6576" w:rsidRPr="00751BCE" w:rsidRDefault="000D6576" w:rsidP="00452D91">
            <w:pPr>
              <w:pStyle w:val="Header"/>
              <w:tabs>
                <w:tab w:val="clear" w:pos="4153"/>
                <w:tab w:val="clear" w:pos="8306"/>
              </w:tabs>
              <w:jc w:val="both"/>
              <w:rPr>
                <w:rFonts w:ascii="Arial" w:hAnsi="Arial" w:cs="Arial"/>
                <w:lang w:val="en-GB"/>
              </w:rPr>
            </w:pPr>
          </w:p>
        </w:tc>
      </w:tr>
      <w:tr w:rsidR="00DA67E8" w:rsidRPr="00A23D8C" w14:paraId="08900D3A" w14:textId="77777777" w:rsidTr="000D6576">
        <w:trPr>
          <w:trHeight w:val="433"/>
        </w:trPr>
        <w:tc>
          <w:tcPr>
            <w:tcW w:w="4820" w:type="dxa"/>
          </w:tcPr>
          <w:p w14:paraId="6E34B683" w14:textId="77777777" w:rsidR="00DA67E8" w:rsidRPr="00452D91" w:rsidRDefault="00DA67E8" w:rsidP="00FE468E">
            <w:pPr>
              <w:jc w:val="both"/>
              <w:rPr>
                <w:rFonts w:ascii="Arial" w:hAnsi="Arial" w:cs="Arial"/>
              </w:rPr>
            </w:pPr>
            <w:r w:rsidRPr="00452D91">
              <w:rPr>
                <w:rFonts w:ascii="Arial" w:hAnsi="Arial" w:cs="Arial"/>
                <w:sz w:val="22"/>
                <w:szCs w:val="22"/>
              </w:rPr>
              <w:t>UCL CTC Office hours:</w:t>
            </w:r>
          </w:p>
        </w:tc>
        <w:tc>
          <w:tcPr>
            <w:tcW w:w="4678" w:type="dxa"/>
          </w:tcPr>
          <w:p w14:paraId="774AB85F" w14:textId="77777777" w:rsidR="00DA67E8" w:rsidRPr="00452D91" w:rsidRDefault="00DA67E8" w:rsidP="000D6576">
            <w:pPr>
              <w:jc w:val="both"/>
              <w:rPr>
                <w:rFonts w:ascii="Arial" w:hAnsi="Arial" w:cs="Arial"/>
              </w:rPr>
            </w:pPr>
            <w:r w:rsidRPr="00452D91">
              <w:rPr>
                <w:rFonts w:ascii="Arial" w:hAnsi="Arial" w:cs="Arial"/>
                <w:sz w:val="22"/>
                <w:szCs w:val="22"/>
              </w:rPr>
              <w:t xml:space="preserve">09:00 to 17:00 Monday to Friday </w:t>
            </w:r>
          </w:p>
        </w:tc>
      </w:tr>
    </w:tbl>
    <w:p w14:paraId="19580F2A" w14:textId="77777777" w:rsidR="00DA67E8" w:rsidRPr="00792B31" w:rsidRDefault="00DA67E8" w:rsidP="00BF16F9">
      <w:pPr>
        <w:pStyle w:val="Heading2"/>
      </w:pPr>
      <w:bookmarkStart w:id="283" w:name="_Toc283031768"/>
      <w:bookmarkStart w:id="284" w:name="_Toc283376303"/>
      <w:bookmarkStart w:id="285" w:name="_Toc333484736"/>
      <w:bookmarkStart w:id="286" w:name="_Toc333484851"/>
      <w:bookmarkStart w:id="287" w:name="_Toc351624805"/>
      <w:bookmarkStart w:id="288" w:name="_Toc471826751"/>
      <w:bookmarkStart w:id="289" w:name="_Toc528323517"/>
      <w:r w:rsidRPr="00792B31">
        <w:t>Registration</w:t>
      </w:r>
      <w:bookmarkEnd w:id="283"/>
      <w:bookmarkEnd w:id="284"/>
      <w:r w:rsidRPr="00792B31">
        <w:t xml:space="preserve"> to the phase I trial</w:t>
      </w:r>
      <w:bookmarkEnd w:id="285"/>
      <w:bookmarkEnd w:id="286"/>
      <w:bookmarkEnd w:id="287"/>
      <w:bookmarkEnd w:id="288"/>
      <w:bookmarkEnd w:id="289"/>
    </w:p>
    <w:p w14:paraId="624A6E5C" w14:textId="77777777" w:rsidR="00DA67E8" w:rsidRPr="00AB0DC8" w:rsidRDefault="00DA67E8" w:rsidP="00283B0F">
      <w:pPr>
        <w:pStyle w:val="Normal1"/>
        <w:rPr>
          <w:rFonts w:cs="Arial"/>
          <w:sz w:val="22"/>
          <w:szCs w:val="22"/>
        </w:rPr>
      </w:pPr>
      <w:r w:rsidRPr="00AB0DC8">
        <w:rPr>
          <w:rFonts w:cs="Arial"/>
          <w:sz w:val="22"/>
          <w:szCs w:val="22"/>
        </w:rPr>
        <w:t xml:space="preserve">Sites with a potential patient for the phase I trial must telephone the UCL CTC before taking consent to ensure there is an available place in a cohort. Patients within a cohort will be registered consecutively on a first-come first-serve basis. </w:t>
      </w:r>
    </w:p>
    <w:p w14:paraId="5C78B0C9" w14:textId="77777777" w:rsidR="00DA67E8" w:rsidRPr="00AB0DC8" w:rsidRDefault="00DA67E8" w:rsidP="00283B0F">
      <w:pPr>
        <w:pStyle w:val="Normal1"/>
        <w:rPr>
          <w:rFonts w:ascii="Tahoma" w:hAnsi="Tahoma" w:cs="Tahoma"/>
          <w:sz w:val="22"/>
          <w:szCs w:val="22"/>
        </w:rPr>
      </w:pPr>
    </w:p>
    <w:p w14:paraId="1D230868" w14:textId="77777777" w:rsidR="00DA67E8" w:rsidRPr="00791070" w:rsidRDefault="00DA67E8" w:rsidP="00283B0F">
      <w:pPr>
        <w:pStyle w:val="Normal1"/>
        <w:rPr>
          <w:sz w:val="22"/>
          <w:szCs w:val="22"/>
        </w:rPr>
      </w:pPr>
      <w:r w:rsidRPr="00AB0DC8">
        <w:rPr>
          <w:sz w:val="22"/>
          <w:szCs w:val="22"/>
        </w:rPr>
        <w:t xml:space="preserve">Following pre-treatment evaluations (as detailed in </w:t>
      </w:r>
      <w:r w:rsidRPr="00791070">
        <w:rPr>
          <w:sz w:val="22"/>
          <w:szCs w:val="22"/>
        </w:rPr>
        <w:t xml:space="preserve">section </w:t>
      </w:r>
      <w:r w:rsidR="00791070" w:rsidRPr="00791070">
        <w:rPr>
          <w:sz w:val="22"/>
          <w:szCs w:val="22"/>
        </w:rPr>
        <w:t>8</w:t>
      </w:r>
      <w:r w:rsidRPr="00791070">
        <w:rPr>
          <w:sz w:val="22"/>
          <w:szCs w:val="22"/>
        </w:rPr>
        <w:t>.1), confirmation of eligibility and consent of a patient at a site, the registration form must be fully completed prior to telephoning UCL CTC to register the patient into the trial.  The eligibility criteria will be reviewed during the registration telephone call using the same form at UCL CTC.</w:t>
      </w:r>
    </w:p>
    <w:p w14:paraId="64063B25" w14:textId="77777777" w:rsidR="00DA67E8" w:rsidRPr="00791070" w:rsidRDefault="00DA67E8" w:rsidP="00283B0F">
      <w:pPr>
        <w:pStyle w:val="Normal1"/>
        <w:rPr>
          <w:sz w:val="22"/>
          <w:szCs w:val="22"/>
        </w:rPr>
      </w:pPr>
    </w:p>
    <w:p w14:paraId="5E17F193" w14:textId="77777777" w:rsidR="00DA67E8" w:rsidRPr="00791070" w:rsidRDefault="00DA67E8" w:rsidP="00283B0F">
      <w:pPr>
        <w:pStyle w:val="Normal1"/>
        <w:rPr>
          <w:sz w:val="22"/>
          <w:szCs w:val="22"/>
        </w:rPr>
      </w:pPr>
      <w:r w:rsidRPr="00791070">
        <w:rPr>
          <w:sz w:val="22"/>
          <w:szCs w:val="22"/>
        </w:rPr>
        <w:t>A trial number will be assigned for the patient during the call and must be recorded at site by the caller.</w:t>
      </w:r>
    </w:p>
    <w:p w14:paraId="579B8D43" w14:textId="77777777" w:rsidR="00DA67E8" w:rsidRPr="00791070" w:rsidRDefault="00DA67E8" w:rsidP="00F80B7B">
      <w:pPr>
        <w:pStyle w:val="ProtTempparagraph"/>
        <w:spacing w:before="240"/>
        <w:rPr>
          <w:sz w:val="22"/>
          <w:szCs w:val="22"/>
        </w:rPr>
      </w:pPr>
      <w:r w:rsidRPr="00791070">
        <w:rPr>
          <w:sz w:val="22"/>
          <w:szCs w:val="22"/>
        </w:rPr>
        <w:t xml:space="preserve">UCL CTC will </w:t>
      </w:r>
      <w:r w:rsidR="009564FF" w:rsidRPr="00791070">
        <w:rPr>
          <w:sz w:val="22"/>
          <w:szCs w:val="22"/>
        </w:rPr>
        <w:t xml:space="preserve">email </w:t>
      </w:r>
      <w:r w:rsidRPr="00791070">
        <w:rPr>
          <w:sz w:val="22"/>
          <w:szCs w:val="22"/>
        </w:rPr>
        <w:t>confirmation of the patient’s inclusion in the trial, their trial number to the main contact and pharmacy</w:t>
      </w:r>
      <w:r w:rsidRPr="00791070">
        <w:rPr>
          <w:b/>
          <w:bCs/>
          <w:i/>
          <w:iCs/>
          <w:sz w:val="22"/>
          <w:szCs w:val="22"/>
        </w:rPr>
        <w:t>.</w:t>
      </w:r>
      <w:r w:rsidRPr="00791070">
        <w:rPr>
          <w:sz w:val="22"/>
          <w:szCs w:val="22"/>
        </w:rPr>
        <w:t xml:space="preserve"> Case report forms will be sent via e-mail to the main contact at site</w:t>
      </w:r>
      <w:r w:rsidR="00783E0E">
        <w:rPr>
          <w:sz w:val="22"/>
          <w:szCs w:val="22"/>
        </w:rPr>
        <w:t xml:space="preserve"> if requested</w:t>
      </w:r>
      <w:r w:rsidRPr="00791070">
        <w:rPr>
          <w:sz w:val="22"/>
          <w:szCs w:val="22"/>
        </w:rPr>
        <w:t>. Once a patient has been registered onto the trial they must be provided with the following:</w:t>
      </w:r>
    </w:p>
    <w:p w14:paraId="05871CA9" w14:textId="77777777" w:rsidR="00DA67E8" w:rsidRPr="00791070" w:rsidRDefault="00DA67E8" w:rsidP="002F600D">
      <w:pPr>
        <w:numPr>
          <w:ilvl w:val="0"/>
          <w:numId w:val="4"/>
        </w:numPr>
        <w:ind w:left="714" w:hanging="357"/>
        <w:jc w:val="both"/>
        <w:rPr>
          <w:rFonts w:ascii="Arial" w:hAnsi="Arial" w:cs="Arial"/>
          <w:sz w:val="22"/>
          <w:szCs w:val="22"/>
        </w:rPr>
      </w:pPr>
      <w:r w:rsidRPr="00791070">
        <w:rPr>
          <w:rFonts w:ascii="Arial" w:hAnsi="Arial" w:cs="Arial"/>
          <w:sz w:val="22"/>
          <w:szCs w:val="22"/>
        </w:rPr>
        <w:t>A copy of their signed consent form and patient information sheet</w:t>
      </w:r>
    </w:p>
    <w:p w14:paraId="2B63204A" w14:textId="77777777" w:rsidR="00DA67E8" w:rsidRPr="00791070" w:rsidRDefault="00DA67E8" w:rsidP="002F600D">
      <w:pPr>
        <w:numPr>
          <w:ilvl w:val="0"/>
          <w:numId w:val="4"/>
        </w:numPr>
        <w:ind w:left="714" w:hanging="357"/>
        <w:jc w:val="both"/>
        <w:rPr>
          <w:rFonts w:ascii="Arial" w:hAnsi="Arial" w:cs="Arial"/>
          <w:sz w:val="22"/>
          <w:szCs w:val="22"/>
        </w:rPr>
      </w:pPr>
      <w:r w:rsidRPr="00791070">
        <w:rPr>
          <w:rFonts w:ascii="Arial" w:hAnsi="Arial" w:cs="Arial"/>
          <w:sz w:val="22"/>
          <w:szCs w:val="22"/>
        </w:rPr>
        <w:t>A patient contact card.  Site on-call contact details for 24 hour medical care must be added to this card and patients advised to carry this with them at all times while participating in the trial</w:t>
      </w:r>
    </w:p>
    <w:p w14:paraId="14DA86C2" w14:textId="77777777" w:rsidR="00DA67E8" w:rsidRPr="00791070" w:rsidRDefault="00DA67E8" w:rsidP="00BF16F9">
      <w:pPr>
        <w:pStyle w:val="Heading2"/>
      </w:pPr>
      <w:bookmarkStart w:id="290" w:name="_Toc333484737"/>
      <w:bookmarkStart w:id="291" w:name="_Toc333484852"/>
      <w:bookmarkStart w:id="292" w:name="_Toc351624806"/>
      <w:bookmarkStart w:id="293" w:name="_Toc471826752"/>
      <w:bookmarkStart w:id="294" w:name="_Toc528323518"/>
      <w:r w:rsidRPr="00791070">
        <w:t>Randomisation to the phase II trial</w:t>
      </w:r>
      <w:bookmarkEnd w:id="290"/>
      <w:bookmarkEnd w:id="291"/>
      <w:bookmarkEnd w:id="292"/>
      <w:bookmarkEnd w:id="293"/>
      <w:bookmarkEnd w:id="294"/>
    </w:p>
    <w:p w14:paraId="1E708C15" w14:textId="77777777" w:rsidR="00DA67E8" w:rsidRPr="00791070" w:rsidRDefault="00DA67E8" w:rsidP="00B96E85">
      <w:pPr>
        <w:jc w:val="both"/>
        <w:rPr>
          <w:rFonts w:ascii="Arial" w:hAnsi="Arial" w:cs="Arial"/>
          <w:b/>
          <w:bCs/>
          <w:sz w:val="22"/>
        </w:rPr>
      </w:pPr>
      <w:r w:rsidRPr="00791070">
        <w:rPr>
          <w:rFonts w:ascii="Arial" w:hAnsi="Arial" w:cs="Arial"/>
          <w:sz w:val="22"/>
        </w:rPr>
        <w:t>Minimi</w:t>
      </w:r>
      <w:r w:rsidR="009564FF" w:rsidRPr="00791070">
        <w:rPr>
          <w:rFonts w:ascii="Arial" w:hAnsi="Arial" w:cs="Arial"/>
          <w:sz w:val="22"/>
        </w:rPr>
        <w:t>s</w:t>
      </w:r>
      <w:r w:rsidRPr="00791070">
        <w:rPr>
          <w:rFonts w:ascii="Arial" w:hAnsi="Arial" w:cs="Arial"/>
          <w:sz w:val="22"/>
        </w:rPr>
        <w:t xml:space="preserve">ation will be used as the method of randomisation, stratified for recruiting centre, performance status (0 </w:t>
      </w:r>
      <w:r w:rsidR="00796CDF" w:rsidRPr="00791070">
        <w:rPr>
          <w:rFonts w:ascii="Arial" w:hAnsi="Arial" w:cs="Arial"/>
          <w:sz w:val="22"/>
        </w:rPr>
        <w:t>vs.</w:t>
      </w:r>
      <w:r w:rsidRPr="00791070">
        <w:rPr>
          <w:rFonts w:ascii="Arial" w:hAnsi="Arial" w:cs="Arial"/>
          <w:sz w:val="22"/>
        </w:rPr>
        <w:t xml:space="preserve"> 1) and histological subtype (epithelial versus non-epithelial). A randomisation programme will be developed by the UCL CTC specifically for the trial.</w:t>
      </w:r>
    </w:p>
    <w:p w14:paraId="5EBABFAB" w14:textId="77777777" w:rsidR="00DA67E8" w:rsidRPr="00791070" w:rsidRDefault="00DA67E8" w:rsidP="00B96E85">
      <w:pPr>
        <w:jc w:val="both"/>
        <w:rPr>
          <w:rFonts w:cs="Tahoma"/>
          <w:sz w:val="22"/>
        </w:rPr>
      </w:pPr>
    </w:p>
    <w:p w14:paraId="3D57EC3F" w14:textId="77777777" w:rsidR="00DA67E8" w:rsidRDefault="00DA67E8" w:rsidP="00B96E85">
      <w:pPr>
        <w:pStyle w:val="Normal1"/>
        <w:rPr>
          <w:sz w:val="22"/>
          <w:szCs w:val="22"/>
        </w:rPr>
      </w:pPr>
      <w:r w:rsidRPr="00791070">
        <w:rPr>
          <w:sz w:val="22"/>
          <w:szCs w:val="22"/>
        </w:rPr>
        <w:t xml:space="preserve">Following pre-treatment evaluations (as detailed in section </w:t>
      </w:r>
      <w:r w:rsidR="00791070" w:rsidRPr="00791070">
        <w:rPr>
          <w:sz w:val="22"/>
          <w:szCs w:val="22"/>
        </w:rPr>
        <w:t>8</w:t>
      </w:r>
      <w:r w:rsidRPr="00791070">
        <w:rPr>
          <w:sz w:val="22"/>
          <w:szCs w:val="22"/>
        </w:rPr>
        <w:t>.1), confirmation of eligibility and consent of a patient at a site, the randomisation form must be fully completed prior to telephoning UCL CTC to register the patient into the trial.  The eligibility criteria will be reviewed during the registration telephone call using the same form at UCL CTC.</w:t>
      </w:r>
    </w:p>
    <w:p w14:paraId="710F00A7" w14:textId="77777777" w:rsidR="00DA67E8" w:rsidRDefault="00DA67E8" w:rsidP="00B96E85">
      <w:pPr>
        <w:pStyle w:val="Normal1"/>
        <w:rPr>
          <w:sz w:val="22"/>
          <w:szCs w:val="22"/>
        </w:rPr>
      </w:pPr>
    </w:p>
    <w:p w14:paraId="679909B7" w14:textId="77777777" w:rsidR="00DA67E8" w:rsidRPr="00B96E85" w:rsidRDefault="00DA67E8" w:rsidP="00B96E85">
      <w:pPr>
        <w:pStyle w:val="Normal1"/>
        <w:jc w:val="left"/>
        <w:rPr>
          <w:sz w:val="22"/>
          <w:szCs w:val="22"/>
        </w:rPr>
      </w:pPr>
      <w:r w:rsidRPr="005E2C7F">
        <w:rPr>
          <w:rFonts w:cs="Tahoma"/>
          <w:color w:val="000000"/>
          <w:sz w:val="22"/>
          <w:szCs w:val="22"/>
        </w:rPr>
        <w:t xml:space="preserve">A trial </w:t>
      </w:r>
      <w:r w:rsidRPr="005E2C7F">
        <w:rPr>
          <w:rFonts w:cs="Tahoma"/>
          <w:sz w:val="22"/>
          <w:szCs w:val="22"/>
        </w:rPr>
        <w:t xml:space="preserve">number </w:t>
      </w:r>
      <w:r>
        <w:rPr>
          <w:rFonts w:cs="Tahoma"/>
          <w:sz w:val="22"/>
          <w:szCs w:val="22"/>
        </w:rPr>
        <w:t xml:space="preserve">and treatment allocation </w:t>
      </w:r>
      <w:r w:rsidRPr="005E2C7F">
        <w:rPr>
          <w:rFonts w:cs="Tahoma"/>
          <w:sz w:val="22"/>
          <w:szCs w:val="22"/>
        </w:rPr>
        <w:t>will be assigned during the call.</w:t>
      </w:r>
      <w:r w:rsidRPr="005E2C7F">
        <w:rPr>
          <w:rFonts w:cs="Tahoma"/>
          <w:sz w:val="22"/>
          <w:szCs w:val="22"/>
        </w:rPr>
        <w:br/>
      </w:r>
    </w:p>
    <w:p w14:paraId="7516A5D7" w14:textId="77777777" w:rsidR="009339A0" w:rsidRDefault="00DA67E8" w:rsidP="00CD54D5">
      <w:pPr>
        <w:rPr>
          <w:rFonts w:cs="Tahoma"/>
          <w:sz w:val="22"/>
          <w:szCs w:val="22"/>
        </w:rPr>
      </w:pPr>
      <w:r w:rsidRPr="009339A0">
        <w:rPr>
          <w:rFonts w:ascii="Arial" w:hAnsi="Arial" w:cs="Arial"/>
          <w:sz w:val="22"/>
          <w:szCs w:val="22"/>
        </w:rPr>
        <w:t xml:space="preserve">UCL CTC will </w:t>
      </w:r>
      <w:r w:rsidR="008522AD">
        <w:rPr>
          <w:rFonts w:ascii="Arial" w:hAnsi="Arial" w:cs="Arial"/>
          <w:sz w:val="22"/>
          <w:szCs w:val="22"/>
        </w:rPr>
        <w:t>email</w:t>
      </w:r>
      <w:r w:rsidR="008522AD" w:rsidRPr="009339A0">
        <w:rPr>
          <w:rFonts w:ascii="Arial" w:hAnsi="Arial" w:cs="Arial"/>
          <w:sz w:val="22"/>
          <w:szCs w:val="22"/>
        </w:rPr>
        <w:t xml:space="preserve"> </w:t>
      </w:r>
      <w:r w:rsidRPr="009339A0">
        <w:rPr>
          <w:rFonts w:ascii="Arial" w:hAnsi="Arial" w:cs="Arial"/>
          <w:sz w:val="22"/>
          <w:szCs w:val="22"/>
        </w:rPr>
        <w:t>confirmation of the patient’s inclusion in the trial, their trial number and trial treatment allocation to the main contact and pharmacy. Case report forms will be sent to the main contact at site</w:t>
      </w:r>
      <w:r w:rsidR="000D4EA9">
        <w:rPr>
          <w:rFonts w:ascii="Arial" w:hAnsi="Arial" w:cs="Arial"/>
          <w:sz w:val="22"/>
          <w:szCs w:val="22"/>
        </w:rPr>
        <w:t xml:space="preserve"> if requested</w:t>
      </w:r>
      <w:r w:rsidRPr="009339A0">
        <w:rPr>
          <w:rFonts w:ascii="Arial" w:hAnsi="Arial" w:cs="Arial"/>
          <w:sz w:val="22"/>
          <w:szCs w:val="22"/>
        </w:rPr>
        <w:t>.</w:t>
      </w:r>
      <w:r w:rsidRPr="005E2C7F">
        <w:rPr>
          <w:rFonts w:cs="Tahoma"/>
          <w:sz w:val="22"/>
          <w:szCs w:val="22"/>
        </w:rPr>
        <w:t xml:space="preserve"> </w:t>
      </w:r>
      <w:r>
        <w:rPr>
          <w:rFonts w:cs="Tahoma"/>
          <w:sz w:val="22"/>
          <w:szCs w:val="22"/>
        </w:rPr>
        <w:br/>
      </w:r>
      <w:r>
        <w:rPr>
          <w:rFonts w:cs="Tahoma"/>
          <w:sz w:val="22"/>
          <w:szCs w:val="22"/>
        </w:rPr>
        <w:br/>
      </w:r>
      <w:r w:rsidRPr="001B74AE">
        <w:rPr>
          <w:rFonts w:ascii="Arial" w:hAnsi="Arial" w:cs="Arial"/>
          <w:sz w:val="22"/>
          <w:szCs w:val="22"/>
        </w:rPr>
        <w:t>Once a patient has been randomised onto the trial they must be provided with the following:</w:t>
      </w:r>
    </w:p>
    <w:p w14:paraId="00E52CAF" w14:textId="77777777" w:rsidR="0040416B" w:rsidRPr="00696EF9" w:rsidRDefault="0040416B" w:rsidP="00CD54D5">
      <w:pPr>
        <w:rPr>
          <w:rFonts w:cs="Tahoma"/>
          <w:sz w:val="22"/>
          <w:szCs w:val="22"/>
        </w:rPr>
      </w:pPr>
    </w:p>
    <w:p w14:paraId="72EFE78C" w14:textId="77777777" w:rsidR="00DA67E8" w:rsidRPr="00543127" w:rsidRDefault="00DA67E8" w:rsidP="002F600D">
      <w:pPr>
        <w:numPr>
          <w:ilvl w:val="0"/>
          <w:numId w:val="4"/>
        </w:numPr>
        <w:ind w:left="714" w:hanging="357"/>
        <w:jc w:val="both"/>
        <w:rPr>
          <w:rFonts w:ascii="Arial" w:hAnsi="Arial" w:cs="Arial"/>
          <w:sz w:val="22"/>
          <w:szCs w:val="22"/>
        </w:rPr>
      </w:pPr>
      <w:r w:rsidRPr="00AB0DC8">
        <w:rPr>
          <w:rFonts w:ascii="Arial" w:hAnsi="Arial" w:cs="Arial"/>
          <w:sz w:val="22"/>
          <w:szCs w:val="22"/>
        </w:rPr>
        <w:t>A copy of their signed consent form and patient information sheet</w:t>
      </w:r>
    </w:p>
    <w:p w14:paraId="7892EBFB" w14:textId="77777777" w:rsidR="00DA67E8" w:rsidRPr="00AB0DC8" w:rsidRDefault="00DA67E8" w:rsidP="002F600D">
      <w:pPr>
        <w:numPr>
          <w:ilvl w:val="0"/>
          <w:numId w:val="4"/>
        </w:numPr>
        <w:ind w:left="714" w:hanging="357"/>
        <w:jc w:val="both"/>
        <w:rPr>
          <w:rFonts w:ascii="Arial" w:hAnsi="Arial" w:cs="Arial"/>
          <w:sz w:val="22"/>
          <w:szCs w:val="22"/>
        </w:rPr>
      </w:pPr>
      <w:r w:rsidRPr="00AB0DC8">
        <w:rPr>
          <w:rFonts w:ascii="Arial" w:hAnsi="Arial" w:cs="Arial"/>
          <w:sz w:val="22"/>
          <w:szCs w:val="22"/>
        </w:rPr>
        <w:t>A patient contact card.  Site on-call contact details for 24 hour medical care must be added to this card and patients advised to carry this with them at all times while participating in the trial</w:t>
      </w:r>
    </w:p>
    <w:p w14:paraId="3773E6CF" w14:textId="77777777" w:rsidR="00DA67E8" w:rsidRDefault="00DA67E8" w:rsidP="00B96E85">
      <w:pPr>
        <w:jc w:val="both"/>
        <w:rPr>
          <w:rFonts w:cs="Tahoma"/>
          <w:sz w:val="22"/>
        </w:rPr>
      </w:pPr>
    </w:p>
    <w:p w14:paraId="2EE38CF7" w14:textId="0534F5D4" w:rsidR="00670919" w:rsidRPr="005E2C7F" w:rsidRDefault="00495549" w:rsidP="00B96E85">
      <w:pPr>
        <w:jc w:val="both"/>
        <w:rPr>
          <w:rFonts w:cs="Tahoma"/>
          <w:sz w:val="22"/>
        </w:rPr>
      </w:pPr>
      <w:r w:rsidRPr="00495549">
        <w:rPr>
          <w:rFonts w:ascii="Arial" w:hAnsi="Arial" w:cs="Arial"/>
          <w:b/>
          <w:sz w:val="20"/>
          <w:szCs w:val="20"/>
        </w:rPr>
        <w:t>The trial will no longer proceed to phase II following the bus</w:t>
      </w:r>
      <w:r>
        <w:rPr>
          <w:rFonts w:ascii="Arial" w:hAnsi="Arial" w:cs="Arial"/>
          <w:b/>
          <w:sz w:val="20"/>
          <w:szCs w:val="20"/>
        </w:rPr>
        <w:t>iness decision by Madrigal Pharma</w:t>
      </w:r>
      <w:r w:rsidRPr="00495549">
        <w:rPr>
          <w:rFonts w:ascii="Arial" w:hAnsi="Arial" w:cs="Arial"/>
          <w:b/>
          <w:sz w:val="20"/>
          <w:szCs w:val="20"/>
        </w:rPr>
        <w:t>ceuticals Inc</w:t>
      </w:r>
      <w:r w:rsidR="005C21E6">
        <w:rPr>
          <w:rFonts w:ascii="Arial" w:hAnsi="Arial" w:cs="Arial"/>
          <w:b/>
          <w:sz w:val="20"/>
          <w:szCs w:val="20"/>
        </w:rPr>
        <w:t>.</w:t>
      </w:r>
      <w:r w:rsidRPr="00495549">
        <w:rPr>
          <w:rFonts w:ascii="Arial" w:hAnsi="Arial" w:cs="Arial"/>
          <w:b/>
          <w:sz w:val="20"/>
          <w:szCs w:val="20"/>
        </w:rPr>
        <w:t xml:space="preserve"> (formerly </w:t>
      </w:r>
      <w:proofErr w:type="spellStart"/>
      <w:r w:rsidRPr="00495549">
        <w:rPr>
          <w:rFonts w:ascii="Arial" w:hAnsi="Arial" w:cs="Arial"/>
          <w:b/>
          <w:sz w:val="20"/>
          <w:szCs w:val="20"/>
        </w:rPr>
        <w:t>Synta</w:t>
      </w:r>
      <w:proofErr w:type="spellEnd"/>
      <w:r w:rsidRPr="00495549">
        <w:rPr>
          <w:rFonts w:ascii="Arial" w:hAnsi="Arial" w:cs="Arial"/>
          <w:b/>
          <w:sz w:val="20"/>
          <w:szCs w:val="20"/>
        </w:rPr>
        <w:t xml:space="preserve"> Pharmaceuticals Corp</w:t>
      </w:r>
      <w:r w:rsidR="005C21E6">
        <w:rPr>
          <w:rFonts w:ascii="Arial" w:hAnsi="Arial" w:cs="Arial"/>
          <w:b/>
          <w:sz w:val="20"/>
          <w:szCs w:val="20"/>
        </w:rPr>
        <w:t>.</w:t>
      </w:r>
      <w:r w:rsidRPr="00495549">
        <w:rPr>
          <w:rFonts w:ascii="Arial" w:hAnsi="Arial" w:cs="Arial"/>
          <w:b/>
          <w:sz w:val="20"/>
          <w:szCs w:val="20"/>
        </w:rPr>
        <w:t>) to cease development of ganetespib in this population.</w:t>
      </w:r>
    </w:p>
    <w:p w14:paraId="6AA3B12D" w14:textId="77777777" w:rsidR="00DA67E8" w:rsidRPr="000B2346" w:rsidRDefault="00DA67E8" w:rsidP="00BF16F9">
      <w:pPr>
        <w:pStyle w:val="Heading2"/>
      </w:pPr>
      <w:bookmarkStart w:id="295" w:name="_Toc283031769"/>
      <w:bookmarkStart w:id="296" w:name="_Toc283376304"/>
      <w:bookmarkStart w:id="297" w:name="_Toc333484738"/>
      <w:bookmarkStart w:id="298" w:name="_Toc333484853"/>
      <w:bookmarkStart w:id="299" w:name="_Toc351624807"/>
      <w:bookmarkStart w:id="300" w:name="_Toc471826753"/>
      <w:bookmarkStart w:id="301" w:name="_Toc528323519"/>
      <w:r w:rsidRPr="000B2346">
        <w:t>Initial trial drug supply</w:t>
      </w:r>
      <w:bookmarkEnd w:id="295"/>
      <w:bookmarkEnd w:id="296"/>
      <w:bookmarkEnd w:id="297"/>
      <w:bookmarkEnd w:id="298"/>
      <w:bookmarkEnd w:id="299"/>
      <w:bookmarkEnd w:id="300"/>
      <w:bookmarkEnd w:id="301"/>
    </w:p>
    <w:p w14:paraId="24D0F633" w14:textId="77777777" w:rsidR="00DA67E8" w:rsidRPr="000B2346" w:rsidRDefault="00DA67E8" w:rsidP="000B2346">
      <w:pPr>
        <w:jc w:val="both"/>
        <w:rPr>
          <w:rFonts w:ascii="Arial" w:hAnsi="Arial" w:cs="Arial"/>
          <w:sz w:val="22"/>
          <w:szCs w:val="22"/>
        </w:rPr>
      </w:pPr>
      <w:r w:rsidRPr="000B2346">
        <w:rPr>
          <w:rFonts w:ascii="Arial" w:hAnsi="Arial" w:cs="Arial"/>
          <w:sz w:val="22"/>
          <w:szCs w:val="22"/>
        </w:rPr>
        <w:t>Refer to</w:t>
      </w:r>
      <w:r w:rsidR="00483A47">
        <w:rPr>
          <w:rFonts w:ascii="Arial" w:hAnsi="Arial" w:cs="Arial"/>
          <w:sz w:val="22"/>
          <w:szCs w:val="22"/>
        </w:rPr>
        <w:t xml:space="preserve"> </w:t>
      </w:r>
      <w:r w:rsidRPr="000B2346">
        <w:rPr>
          <w:rFonts w:ascii="Arial" w:hAnsi="Arial" w:cs="Arial"/>
          <w:sz w:val="22"/>
          <w:szCs w:val="22"/>
        </w:rPr>
        <w:t>Summary of Drug Arrangements (</w:t>
      </w:r>
      <w:proofErr w:type="spellStart"/>
      <w:r w:rsidRPr="000B2346">
        <w:rPr>
          <w:rFonts w:ascii="Arial" w:hAnsi="Arial" w:cs="Arial"/>
          <w:sz w:val="22"/>
          <w:szCs w:val="22"/>
        </w:rPr>
        <w:t>SoDA</w:t>
      </w:r>
      <w:proofErr w:type="spellEnd"/>
      <w:r w:rsidRPr="000B2346">
        <w:rPr>
          <w:rFonts w:ascii="Arial" w:hAnsi="Arial" w:cs="Arial"/>
          <w:sz w:val="22"/>
          <w:szCs w:val="22"/>
        </w:rPr>
        <w:t xml:space="preserve">) for details of initial supply of </w:t>
      </w:r>
      <w:r w:rsidR="000D6576" w:rsidRPr="000B2346">
        <w:rPr>
          <w:rFonts w:ascii="Arial" w:hAnsi="Arial" w:cs="Arial"/>
          <w:sz w:val="22"/>
          <w:szCs w:val="22"/>
        </w:rPr>
        <w:t>ganetespib for</w:t>
      </w:r>
      <w:r w:rsidRPr="000B2346">
        <w:rPr>
          <w:rFonts w:ascii="Arial" w:hAnsi="Arial" w:cs="Arial"/>
          <w:sz w:val="22"/>
          <w:szCs w:val="22"/>
        </w:rPr>
        <w:t xml:space="preserve"> the trial. </w:t>
      </w:r>
      <w:r>
        <w:rPr>
          <w:rFonts w:ascii="Arial" w:hAnsi="Arial" w:cs="Arial"/>
          <w:sz w:val="22"/>
          <w:szCs w:val="22"/>
        </w:rPr>
        <w:t>Pemetrexed</w:t>
      </w:r>
      <w:r w:rsidR="0005482E">
        <w:rPr>
          <w:rFonts w:ascii="Arial" w:hAnsi="Arial" w:cs="Arial"/>
          <w:sz w:val="22"/>
          <w:szCs w:val="22"/>
        </w:rPr>
        <w:t>,</w:t>
      </w:r>
      <w:r w:rsidRPr="000B2346">
        <w:rPr>
          <w:rFonts w:ascii="Arial" w:hAnsi="Arial" w:cs="Arial"/>
          <w:sz w:val="22"/>
          <w:szCs w:val="22"/>
        </w:rPr>
        <w:t xml:space="preserve"> </w:t>
      </w:r>
      <w:r>
        <w:rPr>
          <w:rFonts w:ascii="Arial" w:hAnsi="Arial" w:cs="Arial"/>
          <w:sz w:val="22"/>
          <w:szCs w:val="22"/>
        </w:rPr>
        <w:t>cisplatin</w:t>
      </w:r>
      <w:r w:rsidRPr="000B2346">
        <w:rPr>
          <w:rFonts w:ascii="Arial" w:hAnsi="Arial" w:cs="Arial"/>
          <w:sz w:val="22"/>
          <w:szCs w:val="22"/>
        </w:rPr>
        <w:t xml:space="preserve"> </w:t>
      </w:r>
      <w:r w:rsidR="0005482E">
        <w:rPr>
          <w:rFonts w:ascii="Arial" w:hAnsi="Arial" w:cs="Arial"/>
          <w:sz w:val="22"/>
          <w:szCs w:val="22"/>
        </w:rPr>
        <w:t xml:space="preserve">and carboplatin </w:t>
      </w:r>
      <w:r w:rsidRPr="000B2346">
        <w:rPr>
          <w:rFonts w:ascii="Arial" w:hAnsi="Arial" w:cs="Arial"/>
          <w:sz w:val="22"/>
          <w:szCs w:val="22"/>
        </w:rPr>
        <w:t>will be supplied from hospital stocks. Folic Acid</w:t>
      </w:r>
      <w:r w:rsidR="009564FF">
        <w:rPr>
          <w:rFonts w:ascii="Arial" w:hAnsi="Arial" w:cs="Arial"/>
          <w:sz w:val="22"/>
          <w:szCs w:val="22"/>
        </w:rPr>
        <w:t>,</w:t>
      </w:r>
      <w:r w:rsidRPr="000B2346">
        <w:rPr>
          <w:rFonts w:ascii="Arial" w:hAnsi="Arial" w:cs="Arial"/>
          <w:sz w:val="22"/>
          <w:szCs w:val="22"/>
        </w:rPr>
        <w:t xml:space="preserve"> </w:t>
      </w:r>
      <w:r w:rsidR="00FE3233">
        <w:rPr>
          <w:rFonts w:ascii="Arial" w:hAnsi="Arial" w:cs="Arial"/>
          <w:sz w:val="22"/>
          <w:szCs w:val="22"/>
        </w:rPr>
        <w:t>v</w:t>
      </w:r>
      <w:r w:rsidR="00FE3233" w:rsidRPr="000B2346">
        <w:rPr>
          <w:rFonts w:ascii="Arial" w:hAnsi="Arial" w:cs="Arial"/>
          <w:sz w:val="22"/>
          <w:szCs w:val="22"/>
        </w:rPr>
        <w:t xml:space="preserve">itamin </w:t>
      </w:r>
      <w:r w:rsidRPr="000B2346">
        <w:rPr>
          <w:rFonts w:ascii="Arial" w:hAnsi="Arial" w:cs="Arial"/>
          <w:sz w:val="22"/>
          <w:szCs w:val="22"/>
        </w:rPr>
        <w:t>B</w:t>
      </w:r>
      <w:r w:rsidRPr="000B2346">
        <w:rPr>
          <w:rFonts w:ascii="Arial" w:hAnsi="Arial" w:cs="Arial"/>
          <w:sz w:val="22"/>
          <w:szCs w:val="22"/>
          <w:vertAlign w:val="subscript"/>
          <w:lang w:val="en-US"/>
        </w:rPr>
        <w:t xml:space="preserve">12 </w:t>
      </w:r>
      <w:r w:rsidR="009564FF" w:rsidRPr="009564FF">
        <w:rPr>
          <w:rFonts w:ascii="Arial" w:hAnsi="Arial" w:cs="Arial"/>
          <w:sz w:val="22"/>
          <w:szCs w:val="22"/>
        </w:rPr>
        <w:t>and loperamide</w:t>
      </w:r>
      <w:r w:rsidR="009564FF">
        <w:rPr>
          <w:rFonts w:ascii="Arial" w:hAnsi="Arial" w:cs="Arial"/>
          <w:sz w:val="22"/>
          <w:szCs w:val="22"/>
          <w:vertAlign w:val="subscript"/>
          <w:lang w:val="en-US"/>
        </w:rPr>
        <w:t xml:space="preserve"> </w:t>
      </w:r>
      <w:r w:rsidRPr="000B2346">
        <w:rPr>
          <w:rFonts w:ascii="Arial" w:hAnsi="Arial" w:cs="Arial"/>
          <w:sz w:val="22"/>
          <w:szCs w:val="22"/>
        </w:rPr>
        <w:t>will also be supplied from hospital stock.</w:t>
      </w:r>
    </w:p>
    <w:p w14:paraId="7F81B6C0" w14:textId="77777777" w:rsidR="00DA67E8" w:rsidRPr="003E2759" w:rsidRDefault="00DA67E8" w:rsidP="00F80B7B">
      <w:pPr>
        <w:pStyle w:val="ProtTempparagraph"/>
        <w:spacing w:after="240"/>
        <w:rPr>
          <w:highlight w:val="yellow"/>
        </w:rPr>
      </w:pPr>
    </w:p>
    <w:p w14:paraId="2E4CD4BE" w14:textId="77777777" w:rsidR="00DA67E8" w:rsidRDefault="00DA67E8">
      <w:pPr>
        <w:rPr>
          <w:rFonts w:ascii="Arial" w:hAnsi="Arial" w:cs="Arial"/>
          <w:b/>
          <w:bCs/>
          <w:kern w:val="32"/>
          <w:sz w:val="32"/>
          <w:szCs w:val="32"/>
        </w:rPr>
      </w:pPr>
    </w:p>
    <w:p w14:paraId="548A5391" w14:textId="77777777" w:rsidR="00DA67E8" w:rsidRDefault="00DA67E8" w:rsidP="00D65DE2">
      <w:pPr>
        <w:pStyle w:val="Heading1"/>
        <w:numPr>
          <w:ilvl w:val="0"/>
          <w:numId w:val="38"/>
        </w:numPr>
      </w:pPr>
      <w:bookmarkStart w:id="302" w:name="_Toc283031770"/>
      <w:bookmarkStart w:id="303" w:name="_Toc283376305"/>
      <w:r>
        <w:br w:type="page"/>
      </w:r>
      <w:bookmarkEnd w:id="302"/>
      <w:bookmarkEnd w:id="303"/>
    </w:p>
    <w:p w14:paraId="59B4B3A5" w14:textId="77777777" w:rsidR="00BF16F9" w:rsidRPr="009400C8" w:rsidRDefault="00E63726" w:rsidP="009400C8">
      <w:pPr>
        <w:pStyle w:val="Heading1"/>
      </w:pPr>
      <w:bookmarkStart w:id="304" w:name="_Toc333484739"/>
      <w:bookmarkStart w:id="305" w:name="_Toc333484854"/>
      <w:bookmarkStart w:id="306" w:name="_Toc351624808"/>
      <w:bookmarkStart w:id="307" w:name="_Toc471826754"/>
      <w:bookmarkStart w:id="308" w:name="_Toc528323520"/>
      <w:bookmarkStart w:id="309" w:name="_Toc283031771"/>
      <w:bookmarkStart w:id="310" w:name="_Toc283376306"/>
      <w:bookmarkStart w:id="311" w:name="_Toc333484740"/>
      <w:bookmarkStart w:id="312" w:name="_Toc333484855"/>
      <w:bookmarkStart w:id="313" w:name="_Toc351624809"/>
      <w:r w:rsidRPr="009400C8">
        <w:lastRenderedPageBreak/>
        <w:t>Trial Treatment</w:t>
      </w:r>
      <w:bookmarkEnd w:id="304"/>
      <w:bookmarkEnd w:id="305"/>
      <w:bookmarkEnd w:id="306"/>
      <w:bookmarkEnd w:id="307"/>
      <w:bookmarkEnd w:id="308"/>
    </w:p>
    <w:p w14:paraId="045CB635" w14:textId="77777777" w:rsidR="00DA67E8" w:rsidRDefault="00DA67E8" w:rsidP="00BF16F9">
      <w:pPr>
        <w:pStyle w:val="Heading2"/>
      </w:pPr>
      <w:bookmarkStart w:id="314" w:name="_Toc471826755"/>
      <w:bookmarkStart w:id="315" w:name="_Toc528323521"/>
      <w:r w:rsidRPr="00A23D8C">
        <w:t>Treatment summary</w:t>
      </w:r>
      <w:bookmarkEnd w:id="309"/>
      <w:bookmarkEnd w:id="310"/>
      <w:bookmarkEnd w:id="311"/>
      <w:bookmarkEnd w:id="312"/>
      <w:bookmarkEnd w:id="313"/>
      <w:bookmarkEnd w:id="314"/>
      <w:bookmarkEnd w:id="315"/>
    </w:p>
    <w:p w14:paraId="73C6CCFE" w14:textId="77777777" w:rsidR="00DA67E8" w:rsidRPr="00FE468E" w:rsidRDefault="00DA67E8" w:rsidP="00F80B7B">
      <w:pPr>
        <w:pStyle w:val="ProtTempparagraph"/>
        <w:spacing w:after="240"/>
        <w:rPr>
          <w:sz w:val="22"/>
          <w:szCs w:val="22"/>
        </w:rPr>
      </w:pPr>
      <w:r w:rsidRPr="00FE468E">
        <w:rPr>
          <w:sz w:val="22"/>
          <w:szCs w:val="22"/>
        </w:rPr>
        <w:t xml:space="preserve">For the purpose of this protocol, the IMPs are ganetespib, </w:t>
      </w:r>
      <w:r>
        <w:rPr>
          <w:sz w:val="22"/>
          <w:szCs w:val="22"/>
        </w:rPr>
        <w:t>pemetrexed</w:t>
      </w:r>
      <w:r w:rsidR="0042197B">
        <w:rPr>
          <w:sz w:val="22"/>
          <w:szCs w:val="22"/>
        </w:rPr>
        <w:t>,</w:t>
      </w:r>
      <w:r w:rsidRPr="00FE468E">
        <w:rPr>
          <w:sz w:val="22"/>
          <w:szCs w:val="22"/>
        </w:rPr>
        <w:t xml:space="preserve"> </w:t>
      </w:r>
      <w:r>
        <w:rPr>
          <w:sz w:val="22"/>
          <w:szCs w:val="22"/>
        </w:rPr>
        <w:t xml:space="preserve">cisplatin </w:t>
      </w:r>
      <w:r w:rsidR="0042197B">
        <w:rPr>
          <w:sz w:val="22"/>
          <w:szCs w:val="22"/>
        </w:rPr>
        <w:t xml:space="preserve">and carboplatin </w:t>
      </w:r>
      <w:r w:rsidRPr="00FE468E">
        <w:rPr>
          <w:bCs/>
          <w:iCs/>
          <w:sz w:val="22"/>
          <w:szCs w:val="22"/>
        </w:rPr>
        <w:t xml:space="preserve">and the NIMPs are folic </w:t>
      </w:r>
      <w:r w:rsidR="002F113D" w:rsidRPr="00FE468E">
        <w:rPr>
          <w:bCs/>
          <w:iCs/>
          <w:sz w:val="22"/>
          <w:szCs w:val="22"/>
        </w:rPr>
        <w:t>acid</w:t>
      </w:r>
      <w:r w:rsidR="002F113D">
        <w:rPr>
          <w:bCs/>
          <w:iCs/>
          <w:sz w:val="22"/>
          <w:szCs w:val="22"/>
        </w:rPr>
        <w:t>,</w:t>
      </w:r>
      <w:r w:rsidR="002F113D" w:rsidRPr="00FE468E">
        <w:rPr>
          <w:bCs/>
          <w:iCs/>
          <w:sz w:val="22"/>
          <w:szCs w:val="22"/>
        </w:rPr>
        <w:t xml:space="preserve"> vitamin</w:t>
      </w:r>
      <w:r w:rsidRPr="00FE468E">
        <w:rPr>
          <w:bCs/>
          <w:iCs/>
          <w:sz w:val="22"/>
          <w:szCs w:val="22"/>
        </w:rPr>
        <w:t xml:space="preserve"> B</w:t>
      </w:r>
      <w:r w:rsidRPr="00FE468E">
        <w:rPr>
          <w:bCs/>
          <w:iCs/>
          <w:sz w:val="22"/>
          <w:szCs w:val="22"/>
          <w:vertAlign w:val="subscript"/>
        </w:rPr>
        <w:t>12</w:t>
      </w:r>
      <w:r w:rsidR="00C72852">
        <w:rPr>
          <w:bCs/>
          <w:iCs/>
          <w:sz w:val="22"/>
          <w:szCs w:val="22"/>
        </w:rPr>
        <w:t xml:space="preserve"> and loperamide.</w:t>
      </w:r>
    </w:p>
    <w:p w14:paraId="2CB31FE4" w14:textId="77777777" w:rsidR="00DA67E8" w:rsidRDefault="00DA67E8" w:rsidP="00BF16F9">
      <w:pPr>
        <w:pStyle w:val="Heading2"/>
      </w:pPr>
      <w:bookmarkStart w:id="316" w:name="_Toc283031772"/>
      <w:bookmarkStart w:id="317" w:name="_Toc283376307"/>
      <w:bookmarkStart w:id="318" w:name="_Toc333484741"/>
      <w:bookmarkStart w:id="319" w:name="_Toc333484856"/>
      <w:bookmarkStart w:id="320" w:name="_Toc351624810"/>
      <w:bookmarkStart w:id="321" w:name="_Toc471826756"/>
      <w:bookmarkStart w:id="322" w:name="_Toc528323522"/>
      <w:r w:rsidRPr="00A23D8C">
        <w:t>Summary Treatment Schedule</w:t>
      </w:r>
      <w:bookmarkEnd w:id="316"/>
      <w:bookmarkEnd w:id="317"/>
      <w:bookmarkEnd w:id="318"/>
      <w:bookmarkEnd w:id="319"/>
      <w:bookmarkEnd w:id="320"/>
      <w:bookmarkEnd w:id="321"/>
      <w:bookmarkEnd w:id="322"/>
    </w:p>
    <w:p w14:paraId="6EDB2BCB" w14:textId="77777777" w:rsidR="00DA67E8" w:rsidRPr="00367547" w:rsidRDefault="00DA67E8" w:rsidP="00BF16F9">
      <w:pPr>
        <w:pStyle w:val="Heading2"/>
      </w:pPr>
      <w:bookmarkStart w:id="323" w:name="_Toc333484742"/>
      <w:bookmarkStart w:id="324" w:name="_Toc333484857"/>
      <w:bookmarkStart w:id="325" w:name="_Toc351624811"/>
      <w:bookmarkStart w:id="326" w:name="_Toc471826757"/>
      <w:bookmarkStart w:id="327" w:name="_Toc528323523"/>
      <w:r w:rsidRPr="00367547">
        <w:t>Phase I trial</w:t>
      </w:r>
      <w:bookmarkEnd w:id="323"/>
      <w:bookmarkEnd w:id="324"/>
      <w:bookmarkEnd w:id="325"/>
      <w:bookmarkEnd w:id="326"/>
      <w:bookmarkEnd w:id="327"/>
    </w:p>
    <w:p w14:paraId="692BECE6" w14:textId="77777777" w:rsidR="00DA67E8" w:rsidRPr="00B53B51" w:rsidRDefault="00DA67E8" w:rsidP="00367547">
      <w:pPr>
        <w:jc w:val="both"/>
        <w:rPr>
          <w:rFonts w:ascii="Arial" w:hAnsi="Arial" w:cs="Arial"/>
          <w:sz w:val="22"/>
          <w:szCs w:val="22"/>
        </w:rPr>
      </w:pPr>
      <w:r w:rsidRPr="00B53B51">
        <w:rPr>
          <w:rFonts w:ascii="Arial" w:hAnsi="Arial" w:cs="Arial"/>
          <w:sz w:val="22"/>
          <w:szCs w:val="22"/>
        </w:rPr>
        <w:t>The phase I trial will have 3 cohorts:</w:t>
      </w:r>
    </w:p>
    <w:p w14:paraId="552C31F5" w14:textId="77777777" w:rsidR="00DA67E8" w:rsidRPr="00B53B51" w:rsidRDefault="00DA67E8" w:rsidP="00367547">
      <w:pPr>
        <w:jc w:val="both"/>
        <w:rPr>
          <w:rFonts w:ascii="Arial" w:hAnsi="Arial" w:cs="Arial"/>
          <w:sz w:val="22"/>
          <w:szCs w:val="22"/>
        </w:rPr>
      </w:pPr>
    </w:p>
    <w:p w14:paraId="1B856E41" w14:textId="77777777" w:rsidR="00DA67E8" w:rsidRPr="00B53B51" w:rsidRDefault="00DA67E8" w:rsidP="002F600D">
      <w:pPr>
        <w:numPr>
          <w:ilvl w:val="0"/>
          <w:numId w:val="4"/>
        </w:numPr>
        <w:ind w:left="714" w:hanging="357"/>
        <w:jc w:val="both"/>
        <w:rPr>
          <w:rFonts w:ascii="Arial" w:hAnsi="Arial" w:cs="Arial"/>
          <w:sz w:val="22"/>
          <w:szCs w:val="22"/>
        </w:rPr>
      </w:pPr>
      <w:r w:rsidRPr="00B53B51">
        <w:rPr>
          <w:rFonts w:ascii="Arial" w:hAnsi="Arial" w:cs="Arial"/>
          <w:sz w:val="22"/>
          <w:szCs w:val="22"/>
        </w:rPr>
        <w:t>Cohort 1: 100 mg/m</w:t>
      </w:r>
      <w:r w:rsidRPr="00B53B51">
        <w:rPr>
          <w:rFonts w:ascii="Arial" w:hAnsi="Arial" w:cs="Arial"/>
          <w:sz w:val="22"/>
          <w:szCs w:val="22"/>
          <w:vertAlign w:val="superscript"/>
        </w:rPr>
        <w:t>2</w:t>
      </w:r>
      <w:r w:rsidRPr="00B53B51">
        <w:rPr>
          <w:rFonts w:ascii="Arial" w:hAnsi="Arial" w:cs="Arial"/>
          <w:sz w:val="22"/>
          <w:szCs w:val="22"/>
        </w:rPr>
        <w:t xml:space="preserve"> IV ganetespib given on day 1 and </w:t>
      </w:r>
      <w:r w:rsidR="00782B5E">
        <w:rPr>
          <w:rFonts w:ascii="Arial" w:hAnsi="Arial" w:cs="Arial"/>
          <w:sz w:val="22"/>
          <w:szCs w:val="22"/>
        </w:rPr>
        <w:t>day 15</w:t>
      </w:r>
      <w:r w:rsidRPr="00B53B51">
        <w:rPr>
          <w:rFonts w:ascii="Arial" w:hAnsi="Arial" w:cs="Arial"/>
          <w:sz w:val="22"/>
          <w:szCs w:val="22"/>
        </w:rPr>
        <w:t xml:space="preserve"> of each cycle </w:t>
      </w:r>
    </w:p>
    <w:p w14:paraId="68E37CD1" w14:textId="77777777" w:rsidR="00DA67E8" w:rsidRPr="00B53B51" w:rsidRDefault="00DA67E8" w:rsidP="002F600D">
      <w:pPr>
        <w:numPr>
          <w:ilvl w:val="0"/>
          <w:numId w:val="4"/>
        </w:numPr>
        <w:ind w:left="714" w:hanging="357"/>
        <w:jc w:val="both"/>
        <w:rPr>
          <w:rFonts w:ascii="Arial" w:hAnsi="Arial" w:cs="Arial"/>
          <w:sz w:val="22"/>
          <w:szCs w:val="22"/>
        </w:rPr>
      </w:pPr>
      <w:r w:rsidRPr="00B53B51">
        <w:rPr>
          <w:rFonts w:ascii="Arial" w:hAnsi="Arial" w:cs="Arial"/>
          <w:sz w:val="22"/>
          <w:szCs w:val="22"/>
        </w:rPr>
        <w:t>Cohort 2: 150 mg/m</w:t>
      </w:r>
      <w:r w:rsidRPr="00543127">
        <w:rPr>
          <w:rFonts w:ascii="Arial" w:hAnsi="Arial" w:cs="Arial"/>
          <w:sz w:val="22"/>
          <w:szCs w:val="22"/>
          <w:vertAlign w:val="superscript"/>
        </w:rPr>
        <w:t>2</w:t>
      </w:r>
      <w:r w:rsidRPr="00B53B51">
        <w:rPr>
          <w:rFonts w:ascii="Arial" w:hAnsi="Arial" w:cs="Arial"/>
          <w:sz w:val="22"/>
          <w:szCs w:val="22"/>
        </w:rPr>
        <w:t xml:space="preserve"> IV ganetespib given on day 1 and </w:t>
      </w:r>
      <w:r w:rsidR="00782B5E">
        <w:rPr>
          <w:rFonts w:ascii="Arial" w:hAnsi="Arial" w:cs="Arial"/>
          <w:sz w:val="22"/>
          <w:szCs w:val="22"/>
        </w:rPr>
        <w:t>day 15</w:t>
      </w:r>
      <w:r w:rsidRPr="00B53B51">
        <w:rPr>
          <w:rFonts w:ascii="Arial" w:hAnsi="Arial" w:cs="Arial"/>
          <w:sz w:val="22"/>
          <w:szCs w:val="22"/>
        </w:rPr>
        <w:t xml:space="preserve"> of each cycle </w:t>
      </w:r>
    </w:p>
    <w:p w14:paraId="7A384985" w14:textId="77777777" w:rsidR="00DA67E8" w:rsidRPr="00B53B51" w:rsidRDefault="00DA67E8" w:rsidP="002F600D">
      <w:pPr>
        <w:numPr>
          <w:ilvl w:val="0"/>
          <w:numId w:val="4"/>
        </w:numPr>
        <w:ind w:left="714" w:hanging="357"/>
        <w:jc w:val="both"/>
        <w:rPr>
          <w:rFonts w:ascii="Arial" w:hAnsi="Arial" w:cs="Arial"/>
          <w:sz w:val="22"/>
          <w:szCs w:val="22"/>
        </w:rPr>
      </w:pPr>
      <w:r w:rsidRPr="00B53B51">
        <w:rPr>
          <w:rFonts w:ascii="Arial" w:hAnsi="Arial" w:cs="Arial"/>
          <w:sz w:val="22"/>
          <w:szCs w:val="22"/>
        </w:rPr>
        <w:t>Cohort 3: 200 mg/m</w:t>
      </w:r>
      <w:r w:rsidRPr="00543127">
        <w:rPr>
          <w:rFonts w:ascii="Arial" w:hAnsi="Arial" w:cs="Arial"/>
          <w:sz w:val="22"/>
          <w:szCs w:val="22"/>
          <w:vertAlign w:val="superscript"/>
        </w:rPr>
        <w:t>2</w:t>
      </w:r>
      <w:r w:rsidRPr="00B53B51">
        <w:rPr>
          <w:rFonts w:ascii="Arial" w:hAnsi="Arial" w:cs="Arial"/>
          <w:sz w:val="22"/>
          <w:szCs w:val="22"/>
        </w:rPr>
        <w:t xml:space="preserve"> IV ganetespib given on day 1 and </w:t>
      </w:r>
      <w:r w:rsidR="00782B5E">
        <w:rPr>
          <w:rFonts w:ascii="Arial" w:hAnsi="Arial" w:cs="Arial"/>
          <w:sz w:val="22"/>
          <w:szCs w:val="22"/>
        </w:rPr>
        <w:t>day 15</w:t>
      </w:r>
      <w:r w:rsidRPr="00B53B51">
        <w:rPr>
          <w:rFonts w:ascii="Arial" w:hAnsi="Arial" w:cs="Arial"/>
          <w:sz w:val="22"/>
          <w:szCs w:val="22"/>
        </w:rPr>
        <w:t xml:space="preserve"> of each cycle </w:t>
      </w:r>
    </w:p>
    <w:p w14:paraId="5C696D39" w14:textId="77777777" w:rsidR="00543127" w:rsidRDefault="00543127" w:rsidP="00E25E51">
      <w:pPr>
        <w:jc w:val="both"/>
        <w:rPr>
          <w:rFonts w:ascii="Arial" w:hAnsi="Arial" w:cs="Arial"/>
          <w:sz w:val="22"/>
          <w:szCs w:val="22"/>
        </w:rPr>
      </w:pPr>
    </w:p>
    <w:p w14:paraId="539011ED" w14:textId="77777777" w:rsidR="00E25E51" w:rsidRDefault="0003558A" w:rsidP="00E25E51">
      <w:pPr>
        <w:jc w:val="both"/>
        <w:rPr>
          <w:rFonts w:ascii="Arial" w:hAnsi="Arial" w:cs="Arial"/>
          <w:sz w:val="22"/>
          <w:szCs w:val="22"/>
        </w:rPr>
      </w:pPr>
      <w:r>
        <w:rPr>
          <w:rFonts w:ascii="Arial" w:hAnsi="Arial" w:cs="Arial"/>
          <w:sz w:val="22"/>
          <w:szCs w:val="22"/>
        </w:rPr>
        <w:t>P</w:t>
      </w:r>
      <w:r w:rsidR="00E25E51">
        <w:rPr>
          <w:rFonts w:ascii="Arial" w:hAnsi="Arial" w:cs="Arial"/>
          <w:sz w:val="22"/>
          <w:szCs w:val="22"/>
        </w:rPr>
        <w:t>atient</w:t>
      </w:r>
      <w:r>
        <w:rPr>
          <w:rFonts w:ascii="Arial" w:hAnsi="Arial" w:cs="Arial"/>
          <w:sz w:val="22"/>
          <w:szCs w:val="22"/>
        </w:rPr>
        <w:t>s</w:t>
      </w:r>
      <w:r w:rsidR="00E25E51">
        <w:rPr>
          <w:rFonts w:ascii="Arial" w:hAnsi="Arial" w:cs="Arial"/>
          <w:sz w:val="22"/>
          <w:szCs w:val="22"/>
        </w:rPr>
        <w:t xml:space="preserve"> will receive a maximum of 6 cycles of treatment, each cycle lasts 21 days:</w:t>
      </w:r>
    </w:p>
    <w:p w14:paraId="590C925A" w14:textId="77777777" w:rsidR="00BC3474" w:rsidRDefault="00BC3474" w:rsidP="00543127">
      <w:pPr>
        <w:snapToGrid w:val="0"/>
        <w:jc w:val="both"/>
        <w:rPr>
          <w:rFonts w:ascii="Arial" w:hAnsi="Arial" w:cs="Arial"/>
          <w:b/>
          <w:sz w:val="22"/>
        </w:rPr>
      </w:pPr>
    </w:p>
    <w:p w14:paraId="52577E0E" w14:textId="77777777" w:rsidR="00E25E51" w:rsidRPr="00543127" w:rsidRDefault="00E25E51" w:rsidP="00543127">
      <w:pPr>
        <w:snapToGrid w:val="0"/>
        <w:jc w:val="both"/>
        <w:rPr>
          <w:rFonts w:ascii="Arial" w:hAnsi="Arial" w:cs="Arial"/>
          <w:b/>
          <w:sz w:val="22"/>
        </w:rPr>
      </w:pPr>
      <w:r w:rsidRPr="00543127">
        <w:rPr>
          <w:rFonts w:ascii="Arial" w:hAnsi="Arial" w:cs="Arial"/>
          <w:b/>
          <w:sz w:val="22"/>
        </w:rPr>
        <w:t>Day 1</w:t>
      </w:r>
    </w:p>
    <w:p w14:paraId="018BC67E" w14:textId="77777777" w:rsidR="00E25E51" w:rsidRDefault="00E25E51" w:rsidP="00D65DE2">
      <w:pPr>
        <w:numPr>
          <w:ilvl w:val="0"/>
          <w:numId w:val="35"/>
        </w:numPr>
        <w:snapToGrid w:val="0"/>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Pr>
          <w:rFonts w:ascii="Arial" w:hAnsi="Arial" w:cs="Arial"/>
          <w:sz w:val="22"/>
        </w:rPr>
        <w:t>-</w:t>
      </w:r>
      <w:r w:rsidR="00C40D29">
        <w:rPr>
          <w:rFonts w:ascii="Arial" w:hAnsi="Arial" w:cs="Arial"/>
          <w:sz w:val="22"/>
        </w:rPr>
        <w:t xml:space="preserve"> </w:t>
      </w:r>
      <w:r>
        <w:rPr>
          <w:rFonts w:ascii="Arial" w:hAnsi="Arial" w:cs="Arial"/>
          <w:sz w:val="22"/>
        </w:rPr>
        <w:t>1 hour infusion at the current cohort dose</w:t>
      </w:r>
    </w:p>
    <w:p w14:paraId="6A4A765C" w14:textId="77777777" w:rsidR="00E25E51" w:rsidRDefault="00E25E51" w:rsidP="00D65DE2">
      <w:pPr>
        <w:numPr>
          <w:ilvl w:val="0"/>
          <w:numId w:val="35"/>
        </w:numPr>
        <w:snapToGrid w:val="0"/>
        <w:jc w:val="both"/>
        <w:rPr>
          <w:rFonts w:ascii="Arial" w:hAnsi="Arial" w:cs="Arial"/>
          <w:sz w:val="22"/>
        </w:rPr>
      </w:pPr>
      <w:r>
        <w:rPr>
          <w:rFonts w:ascii="Arial" w:hAnsi="Arial" w:cs="Arial"/>
          <w:sz w:val="22"/>
        </w:rPr>
        <w:t>P</w:t>
      </w:r>
      <w:r w:rsidRPr="00983832">
        <w:rPr>
          <w:rFonts w:ascii="Arial" w:hAnsi="Arial" w:cs="Arial"/>
          <w:sz w:val="22"/>
        </w:rPr>
        <w:t>emetrexed 500mg/m</w:t>
      </w:r>
      <w:r w:rsidRPr="00983832">
        <w:rPr>
          <w:rFonts w:ascii="Arial" w:hAnsi="Arial" w:cs="Arial"/>
          <w:sz w:val="22"/>
          <w:vertAlign w:val="superscript"/>
        </w:rPr>
        <w:t>2</w:t>
      </w:r>
      <w:r w:rsidRPr="00983832">
        <w:rPr>
          <w:rFonts w:ascii="Arial" w:hAnsi="Arial" w:cs="Arial"/>
          <w:sz w:val="22"/>
        </w:rPr>
        <w:t xml:space="preserve"> IV </w:t>
      </w:r>
      <w:r>
        <w:rPr>
          <w:rFonts w:ascii="Arial" w:hAnsi="Arial" w:cs="Arial"/>
          <w:sz w:val="22"/>
        </w:rPr>
        <w:t xml:space="preserve">- infused </w:t>
      </w:r>
      <w:r w:rsidRPr="00983832">
        <w:rPr>
          <w:rFonts w:ascii="Arial" w:hAnsi="Arial" w:cs="Arial"/>
          <w:sz w:val="22"/>
        </w:rPr>
        <w:t>over 10 minutes</w:t>
      </w:r>
      <w:r>
        <w:rPr>
          <w:rFonts w:ascii="Arial" w:hAnsi="Arial" w:cs="Arial"/>
          <w:sz w:val="22"/>
        </w:rPr>
        <w:t xml:space="preserve"> </w:t>
      </w:r>
      <w:r w:rsidRPr="00983832">
        <w:rPr>
          <w:rFonts w:ascii="Arial" w:hAnsi="Arial" w:cs="Arial"/>
          <w:sz w:val="22"/>
        </w:rPr>
        <w:t>with vitamin B</w:t>
      </w:r>
      <w:r w:rsidRPr="00E25E51">
        <w:rPr>
          <w:rFonts w:ascii="Arial" w:hAnsi="Arial" w:cs="Arial"/>
          <w:sz w:val="22"/>
          <w:vertAlign w:val="subscript"/>
        </w:rPr>
        <w:t>12</w:t>
      </w:r>
      <w:r w:rsidRPr="00983832">
        <w:rPr>
          <w:rFonts w:ascii="Arial" w:hAnsi="Arial" w:cs="Arial"/>
          <w:sz w:val="22"/>
        </w:rPr>
        <w:t xml:space="preserve"> and folate supplementation as standard</w:t>
      </w:r>
      <w:r>
        <w:rPr>
          <w:rFonts w:ascii="Arial" w:hAnsi="Arial" w:cs="Arial"/>
          <w:sz w:val="22"/>
        </w:rPr>
        <w:t xml:space="preserve">. </w:t>
      </w:r>
      <w:r w:rsidRPr="00DB349B">
        <w:rPr>
          <w:rFonts w:ascii="Arial" w:hAnsi="Arial" w:cs="Arial"/>
          <w:sz w:val="22"/>
        </w:rPr>
        <w:t xml:space="preserve"> </w:t>
      </w:r>
      <w:r>
        <w:rPr>
          <w:rFonts w:ascii="Arial" w:hAnsi="Arial" w:cs="Arial"/>
          <w:sz w:val="22"/>
        </w:rPr>
        <w:t>Pemetrexed should be administered immediately after completion of the ganetespib infusion.</w:t>
      </w:r>
    </w:p>
    <w:p w14:paraId="45AB962B" w14:textId="77777777" w:rsidR="00E25E51" w:rsidRDefault="00E25E51" w:rsidP="00D65DE2">
      <w:pPr>
        <w:numPr>
          <w:ilvl w:val="0"/>
          <w:numId w:val="35"/>
        </w:numPr>
        <w:snapToGrid w:val="0"/>
        <w:jc w:val="both"/>
        <w:rPr>
          <w:rFonts w:ascii="Arial" w:hAnsi="Arial" w:cs="Arial"/>
          <w:sz w:val="22"/>
        </w:rPr>
      </w:pPr>
      <w:r>
        <w:rPr>
          <w:rFonts w:ascii="Arial" w:hAnsi="Arial" w:cs="Arial"/>
          <w:sz w:val="22"/>
        </w:rPr>
        <w:t>C</w:t>
      </w:r>
      <w:r w:rsidRPr="00983832">
        <w:rPr>
          <w:rFonts w:ascii="Arial" w:hAnsi="Arial" w:cs="Arial"/>
          <w:sz w:val="22"/>
        </w:rPr>
        <w:t>isplatin 75mg/m</w:t>
      </w:r>
      <w:r w:rsidRPr="00983832">
        <w:rPr>
          <w:rFonts w:ascii="Arial" w:hAnsi="Arial" w:cs="Arial"/>
          <w:sz w:val="22"/>
          <w:vertAlign w:val="superscript"/>
        </w:rPr>
        <w:t>2</w:t>
      </w:r>
      <w:r>
        <w:rPr>
          <w:rFonts w:ascii="Arial" w:hAnsi="Arial" w:cs="Arial"/>
          <w:sz w:val="22"/>
        </w:rPr>
        <w:t xml:space="preserve"> </w:t>
      </w:r>
      <w:r w:rsidRPr="00983832">
        <w:rPr>
          <w:rFonts w:ascii="Arial" w:hAnsi="Arial" w:cs="Arial"/>
          <w:sz w:val="22"/>
        </w:rPr>
        <w:t>IV infused over 2 hours</w:t>
      </w:r>
      <w:r w:rsidRPr="00DB349B">
        <w:rPr>
          <w:rFonts w:ascii="Arial" w:hAnsi="Arial" w:cs="Arial"/>
          <w:sz w:val="22"/>
        </w:rPr>
        <w:t xml:space="preserve"> </w:t>
      </w:r>
      <w:r w:rsidRPr="00983832">
        <w:rPr>
          <w:rFonts w:ascii="Arial" w:hAnsi="Arial" w:cs="Arial"/>
          <w:sz w:val="22"/>
        </w:rPr>
        <w:t>Cisplatin should be administered approximately 30 minutes after completion of the pemetrexed infusion.</w:t>
      </w:r>
    </w:p>
    <w:p w14:paraId="62ACC064" w14:textId="77777777" w:rsidR="00E25E51" w:rsidRPr="00543127" w:rsidRDefault="00782B5E" w:rsidP="00543127">
      <w:pPr>
        <w:snapToGrid w:val="0"/>
        <w:jc w:val="both"/>
        <w:rPr>
          <w:rFonts w:ascii="Arial" w:hAnsi="Arial" w:cs="Arial"/>
          <w:b/>
          <w:sz w:val="22"/>
        </w:rPr>
      </w:pPr>
      <w:r>
        <w:rPr>
          <w:rFonts w:ascii="Arial" w:hAnsi="Arial" w:cs="Arial"/>
          <w:b/>
          <w:sz w:val="22"/>
        </w:rPr>
        <w:t>Day 15</w:t>
      </w:r>
      <w:r w:rsidR="00E25E51" w:rsidRPr="00543127">
        <w:rPr>
          <w:rFonts w:ascii="Arial" w:hAnsi="Arial" w:cs="Arial"/>
          <w:b/>
          <w:sz w:val="22"/>
        </w:rPr>
        <w:t xml:space="preserve"> </w:t>
      </w:r>
    </w:p>
    <w:p w14:paraId="185DB531" w14:textId="77777777" w:rsidR="00E25E51" w:rsidRDefault="00E25E51" w:rsidP="00D65DE2">
      <w:pPr>
        <w:numPr>
          <w:ilvl w:val="0"/>
          <w:numId w:val="35"/>
        </w:numPr>
        <w:snapToGrid w:val="0"/>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Pr>
          <w:rFonts w:ascii="Arial" w:hAnsi="Arial" w:cs="Arial"/>
          <w:sz w:val="22"/>
        </w:rPr>
        <w:t>- 1 hour infusion at the current cohort dose</w:t>
      </w:r>
    </w:p>
    <w:p w14:paraId="5DFCCBC0" w14:textId="77777777" w:rsidR="00543127" w:rsidRDefault="00543127" w:rsidP="00543127">
      <w:pPr>
        <w:snapToGrid w:val="0"/>
        <w:ind w:left="780"/>
        <w:jc w:val="both"/>
        <w:rPr>
          <w:rFonts w:ascii="Arial" w:hAnsi="Arial" w:cs="Arial"/>
          <w:sz w:val="22"/>
        </w:rPr>
      </w:pPr>
    </w:p>
    <w:p w14:paraId="4621725F" w14:textId="77777777" w:rsidR="00450F2B" w:rsidRDefault="00450F2B" w:rsidP="00450F2B">
      <w:pPr>
        <w:snapToGrid w:val="0"/>
        <w:jc w:val="both"/>
        <w:rPr>
          <w:rFonts w:ascii="Arial" w:hAnsi="Arial" w:cs="Arial"/>
          <w:sz w:val="18"/>
          <w:szCs w:val="18"/>
        </w:rPr>
      </w:pPr>
      <w:r w:rsidRPr="001B74AE">
        <w:rPr>
          <w:rFonts w:ascii="Arial" w:hAnsi="Arial" w:cs="Arial"/>
          <w:sz w:val="18"/>
          <w:szCs w:val="18"/>
        </w:rPr>
        <w:t>*</w:t>
      </w:r>
      <w:r w:rsidR="00AE2E60" w:rsidRPr="001B74AE">
        <w:rPr>
          <w:rFonts w:ascii="Arial" w:hAnsi="Arial" w:cs="Arial"/>
          <w:sz w:val="18"/>
          <w:szCs w:val="18"/>
        </w:rPr>
        <w:t xml:space="preserve"> DuBois and DuBois formula is the recommended method to </w:t>
      </w:r>
      <w:r w:rsidRPr="001B74AE">
        <w:rPr>
          <w:rFonts w:ascii="Arial" w:hAnsi="Arial" w:cs="Arial"/>
          <w:sz w:val="18"/>
          <w:szCs w:val="18"/>
        </w:rPr>
        <w:t>be used for calculation of BSA</w:t>
      </w:r>
    </w:p>
    <w:p w14:paraId="0C2D7664" w14:textId="77777777" w:rsidR="00B06349" w:rsidRDefault="00B06349" w:rsidP="00450F2B">
      <w:pPr>
        <w:snapToGrid w:val="0"/>
        <w:jc w:val="both"/>
        <w:rPr>
          <w:rFonts w:ascii="Arial" w:hAnsi="Arial" w:cs="Arial"/>
          <w:sz w:val="18"/>
          <w:szCs w:val="18"/>
        </w:rPr>
      </w:pPr>
    </w:p>
    <w:p w14:paraId="47237F91" w14:textId="77777777" w:rsidR="003B0C0B" w:rsidRDefault="007E1108" w:rsidP="003B0C0B">
      <w:pPr>
        <w:jc w:val="both"/>
        <w:rPr>
          <w:rFonts w:ascii="Arial" w:hAnsi="Arial" w:cs="Arial"/>
          <w:sz w:val="22"/>
        </w:rPr>
      </w:pPr>
      <w:r>
        <w:rPr>
          <w:rFonts w:ascii="Arial" w:hAnsi="Arial" w:cs="Arial"/>
          <w:sz w:val="22"/>
        </w:rPr>
        <w:t>After</w:t>
      </w:r>
      <w:r w:rsidR="003B0C0B">
        <w:rPr>
          <w:rFonts w:ascii="Arial" w:hAnsi="Arial" w:cs="Arial"/>
          <w:sz w:val="22"/>
        </w:rPr>
        <w:t xml:space="preserve"> </w:t>
      </w:r>
      <w:r>
        <w:rPr>
          <w:rFonts w:ascii="Arial" w:hAnsi="Arial" w:cs="Arial"/>
          <w:sz w:val="22"/>
        </w:rPr>
        <w:t>completing</w:t>
      </w:r>
      <w:r w:rsidR="003B0C0B">
        <w:rPr>
          <w:rFonts w:ascii="Arial" w:hAnsi="Arial" w:cs="Arial"/>
          <w:sz w:val="22"/>
        </w:rPr>
        <w:t xml:space="preserve"> </w:t>
      </w:r>
      <w:r>
        <w:rPr>
          <w:rFonts w:ascii="Arial" w:hAnsi="Arial" w:cs="Arial"/>
          <w:sz w:val="22"/>
        </w:rPr>
        <w:t>6</w:t>
      </w:r>
      <w:r w:rsidR="003B0C0B">
        <w:rPr>
          <w:rFonts w:ascii="Arial" w:hAnsi="Arial" w:cs="Arial"/>
          <w:sz w:val="22"/>
        </w:rPr>
        <w:t xml:space="preserve"> cycle</w:t>
      </w:r>
      <w:r>
        <w:rPr>
          <w:rFonts w:ascii="Arial" w:hAnsi="Arial" w:cs="Arial"/>
          <w:sz w:val="22"/>
        </w:rPr>
        <w:t>s</w:t>
      </w:r>
      <w:r w:rsidR="003B0C0B">
        <w:rPr>
          <w:rFonts w:ascii="Arial" w:hAnsi="Arial" w:cs="Arial"/>
          <w:sz w:val="22"/>
        </w:rPr>
        <w:t xml:space="preserve"> of </w:t>
      </w:r>
      <w:r>
        <w:rPr>
          <w:rFonts w:ascii="Arial" w:hAnsi="Arial" w:cs="Arial"/>
          <w:sz w:val="22"/>
        </w:rPr>
        <w:t>chemotherapy/ganetespib</w:t>
      </w:r>
      <w:r w:rsidR="003B0C0B">
        <w:rPr>
          <w:rFonts w:ascii="Arial" w:hAnsi="Arial" w:cs="Arial"/>
          <w:sz w:val="22"/>
        </w:rPr>
        <w:t xml:space="preserve"> patients </w:t>
      </w:r>
      <w:r>
        <w:rPr>
          <w:rFonts w:ascii="Arial" w:hAnsi="Arial" w:cs="Arial"/>
          <w:sz w:val="22"/>
        </w:rPr>
        <w:t>could</w:t>
      </w:r>
      <w:r w:rsidR="003B0C0B">
        <w:rPr>
          <w:rFonts w:ascii="Arial" w:hAnsi="Arial" w:cs="Arial"/>
          <w:sz w:val="22"/>
        </w:rPr>
        <w:t xml:space="preserve"> receive maintenance ganetespib if there are no signs of disease progression.  Patients who have only completed 4 cycles of treatment without disease progression may be treated with maintenance ganetespib </w:t>
      </w:r>
      <w:r w:rsidR="003B0C0B" w:rsidRPr="00D8736C">
        <w:rPr>
          <w:rFonts w:ascii="Arial" w:hAnsi="Arial" w:cs="Arial"/>
          <w:sz w:val="22"/>
        </w:rPr>
        <w:t>if their treating clinician agrees there is benefit</w:t>
      </w:r>
      <w:r w:rsidR="003B0C0B">
        <w:rPr>
          <w:rFonts w:ascii="Arial" w:hAnsi="Arial" w:cs="Arial"/>
          <w:sz w:val="22"/>
        </w:rPr>
        <w:t xml:space="preserve">. Please contact UCL CTC if a patient has received less than 4 cycles of treatment </w:t>
      </w:r>
      <w:r>
        <w:rPr>
          <w:rFonts w:ascii="Arial" w:hAnsi="Arial" w:cs="Arial"/>
          <w:sz w:val="22"/>
        </w:rPr>
        <w:t>but</w:t>
      </w:r>
      <w:r w:rsidR="003B0C0B">
        <w:rPr>
          <w:rFonts w:ascii="Arial" w:hAnsi="Arial" w:cs="Arial"/>
          <w:sz w:val="22"/>
        </w:rPr>
        <w:t xml:space="preserve"> maintenance ganetespib is deemed appropriate.</w:t>
      </w:r>
    </w:p>
    <w:p w14:paraId="37E1C215" w14:textId="77777777" w:rsidR="00F27136" w:rsidRDefault="00F27136" w:rsidP="00F27136">
      <w:pPr>
        <w:jc w:val="both"/>
        <w:rPr>
          <w:rFonts w:ascii="Arial" w:hAnsi="Arial" w:cs="Arial"/>
          <w:sz w:val="22"/>
        </w:rPr>
      </w:pPr>
    </w:p>
    <w:p w14:paraId="6ADF6263" w14:textId="77777777" w:rsidR="00F27136" w:rsidRDefault="00F27136" w:rsidP="00F27136">
      <w:pPr>
        <w:jc w:val="both"/>
        <w:rPr>
          <w:rFonts w:ascii="Arial" w:hAnsi="Arial" w:cs="Arial"/>
          <w:sz w:val="22"/>
        </w:rPr>
      </w:pPr>
      <w:r>
        <w:rPr>
          <w:rFonts w:ascii="Arial" w:hAnsi="Arial" w:cs="Arial"/>
          <w:sz w:val="22"/>
        </w:rPr>
        <w:t>Maintenance ganetespib should be given on Day 1 and 15 of each 21-day cycle.</w:t>
      </w:r>
    </w:p>
    <w:p w14:paraId="16CE6A1A" w14:textId="77777777" w:rsidR="003B0C0B" w:rsidRPr="00450F2B" w:rsidRDefault="003B0C0B" w:rsidP="00450F2B">
      <w:pPr>
        <w:snapToGrid w:val="0"/>
        <w:jc w:val="both"/>
        <w:rPr>
          <w:rFonts w:ascii="Arial" w:hAnsi="Arial" w:cs="Arial"/>
          <w:sz w:val="18"/>
          <w:szCs w:val="18"/>
        </w:rPr>
      </w:pPr>
    </w:p>
    <w:p w14:paraId="07C91DEC" w14:textId="77777777" w:rsidR="008A5A73" w:rsidRPr="00A737D2" w:rsidRDefault="00B06349" w:rsidP="00B06349">
      <w:pPr>
        <w:pStyle w:val="alltext"/>
        <w:spacing w:before="0" w:beforeAutospacing="0" w:after="0" w:afterAutospacing="0"/>
        <w:jc w:val="both"/>
        <w:rPr>
          <w:rFonts w:ascii="Arial" w:hAnsi="Arial" w:cs="Arial"/>
          <w:color w:val="000000"/>
          <w:sz w:val="22"/>
          <w:szCs w:val="22"/>
        </w:rPr>
      </w:pPr>
      <w:r w:rsidRPr="004C62B2">
        <w:rPr>
          <w:rFonts w:ascii="Arial" w:hAnsi="Arial" w:cs="Arial"/>
          <w:b/>
          <w:color w:val="000000"/>
          <w:sz w:val="22"/>
          <w:szCs w:val="22"/>
        </w:rPr>
        <w:t>Loperamide must be given prophylactically</w:t>
      </w:r>
      <w:r>
        <w:rPr>
          <w:rFonts w:ascii="Arial" w:hAnsi="Arial" w:cs="Arial"/>
          <w:color w:val="000000"/>
          <w:sz w:val="22"/>
          <w:szCs w:val="22"/>
        </w:rPr>
        <w:t xml:space="preserve"> at the start of each cycle of treatment</w:t>
      </w:r>
      <w:r w:rsidR="00254AA0">
        <w:rPr>
          <w:rFonts w:ascii="Arial" w:hAnsi="Arial" w:cs="Arial"/>
          <w:color w:val="000000"/>
          <w:sz w:val="22"/>
          <w:szCs w:val="22"/>
        </w:rPr>
        <w:t xml:space="preserve"> (i.e. prior to day 1 and 15 of ganetespib administration)</w:t>
      </w:r>
      <w:r>
        <w:rPr>
          <w:rFonts w:ascii="Arial" w:hAnsi="Arial" w:cs="Arial"/>
          <w:color w:val="000000"/>
          <w:sz w:val="22"/>
          <w:szCs w:val="22"/>
        </w:rPr>
        <w:t xml:space="preserve">. </w:t>
      </w:r>
      <w:r w:rsidRPr="00106E7F">
        <w:rPr>
          <w:rFonts w:ascii="Arial" w:hAnsi="Arial" w:cs="Arial"/>
          <w:color w:val="000000"/>
          <w:sz w:val="22"/>
          <w:szCs w:val="22"/>
        </w:rPr>
        <w:t xml:space="preserve">Loperamide </w:t>
      </w:r>
      <w:r>
        <w:rPr>
          <w:rFonts w:ascii="Arial" w:hAnsi="Arial" w:cs="Arial"/>
          <w:color w:val="000000"/>
          <w:sz w:val="22"/>
          <w:szCs w:val="22"/>
        </w:rPr>
        <w:t>2</w:t>
      </w:r>
      <w:r w:rsidRPr="00106E7F">
        <w:rPr>
          <w:rFonts w:ascii="Arial" w:hAnsi="Arial" w:cs="Arial"/>
          <w:color w:val="000000"/>
          <w:sz w:val="22"/>
          <w:szCs w:val="22"/>
        </w:rPr>
        <w:t xml:space="preserve">mg </w:t>
      </w:r>
      <w:r>
        <w:rPr>
          <w:rFonts w:ascii="Arial" w:hAnsi="Arial" w:cs="Arial"/>
          <w:color w:val="000000"/>
          <w:sz w:val="22"/>
          <w:szCs w:val="22"/>
        </w:rPr>
        <w:t>must be given (</w:t>
      </w:r>
      <w:r w:rsidRPr="00106E7F">
        <w:rPr>
          <w:rFonts w:ascii="Arial" w:hAnsi="Arial" w:cs="Arial"/>
          <w:color w:val="000000"/>
          <w:sz w:val="22"/>
          <w:szCs w:val="22"/>
        </w:rPr>
        <w:t>starting approximately 1-2 hours</w:t>
      </w:r>
      <w:r>
        <w:rPr>
          <w:rFonts w:ascii="Arial" w:hAnsi="Arial" w:cs="Arial"/>
          <w:color w:val="000000"/>
          <w:sz w:val="22"/>
          <w:szCs w:val="22"/>
        </w:rPr>
        <w:t>)</w:t>
      </w:r>
      <w:r w:rsidRPr="00106E7F">
        <w:rPr>
          <w:rFonts w:ascii="Arial" w:hAnsi="Arial" w:cs="Arial"/>
          <w:color w:val="000000"/>
          <w:sz w:val="22"/>
          <w:szCs w:val="22"/>
        </w:rPr>
        <w:t xml:space="preserve"> before ganetespib administration, </w:t>
      </w:r>
      <w:r>
        <w:rPr>
          <w:rFonts w:ascii="Arial" w:hAnsi="Arial" w:cs="Arial"/>
          <w:color w:val="000000"/>
          <w:sz w:val="22"/>
          <w:szCs w:val="22"/>
        </w:rPr>
        <w:t>and</w:t>
      </w:r>
      <w:r w:rsidRPr="00106E7F">
        <w:rPr>
          <w:rFonts w:ascii="Arial" w:hAnsi="Arial" w:cs="Arial"/>
          <w:color w:val="000000"/>
          <w:sz w:val="22"/>
          <w:szCs w:val="22"/>
        </w:rPr>
        <w:t xml:space="preserve"> repeated every 4 hours for the first 12 hours</w:t>
      </w:r>
      <w:r>
        <w:rPr>
          <w:rFonts w:ascii="Arial" w:hAnsi="Arial" w:cs="Arial"/>
          <w:color w:val="000000"/>
          <w:sz w:val="22"/>
          <w:szCs w:val="22"/>
        </w:rPr>
        <w:t>.</w:t>
      </w:r>
      <w:r w:rsidR="008A5A73" w:rsidRPr="00A737D2">
        <w:rPr>
          <w:rFonts w:ascii="Arial" w:hAnsi="Arial" w:cs="Arial"/>
          <w:color w:val="000000"/>
          <w:sz w:val="22"/>
          <w:szCs w:val="22"/>
        </w:rPr>
        <w:t xml:space="preserve"> </w:t>
      </w:r>
    </w:p>
    <w:p w14:paraId="498D9C3C" w14:textId="77777777" w:rsidR="00EE31CC" w:rsidRPr="00A737D2" w:rsidRDefault="00EE31CC" w:rsidP="00B06349">
      <w:pPr>
        <w:jc w:val="both"/>
        <w:rPr>
          <w:rFonts w:ascii="Arial" w:hAnsi="Arial" w:cs="Arial"/>
          <w:color w:val="000000"/>
          <w:sz w:val="22"/>
          <w:szCs w:val="22"/>
        </w:rPr>
      </w:pPr>
    </w:p>
    <w:p w14:paraId="58AF77CC" w14:textId="77777777" w:rsidR="00EE31CC" w:rsidRPr="00A737D2" w:rsidRDefault="00EE31CC" w:rsidP="00367547">
      <w:pPr>
        <w:jc w:val="both"/>
        <w:rPr>
          <w:rFonts w:ascii="Arial" w:hAnsi="Arial" w:cs="Arial"/>
          <w:color w:val="000000"/>
          <w:sz w:val="22"/>
          <w:szCs w:val="22"/>
        </w:rPr>
      </w:pPr>
      <w:r w:rsidRPr="00A737D2">
        <w:rPr>
          <w:rFonts w:ascii="Arial" w:hAnsi="Arial" w:cs="Arial"/>
          <w:sz w:val="22"/>
          <w:szCs w:val="22"/>
        </w:rPr>
        <w:t>Schedules for hydration and electrolytes can based on locally agreed pharmacy procedures and guidelines</w:t>
      </w:r>
      <w:r w:rsidR="00454E22" w:rsidRPr="00A737D2">
        <w:rPr>
          <w:rFonts w:ascii="Arial" w:hAnsi="Arial" w:cs="Arial"/>
          <w:sz w:val="22"/>
          <w:szCs w:val="22"/>
        </w:rPr>
        <w:t>.</w:t>
      </w:r>
      <w:r w:rsidRPr="00A737D2">
        <w:rPr>
          <w:rFonts w:ascii="Arial" w:hAnsi="Arial" w:cs="Arial"/>
          <w:color w:val="000000"/>
          <w:sz w:val="22"/>
          <w:szCs w:val="22"/>
        </w:rPr>
        <w:t xml:space="preserve"> </w:t>
      </w:r>
      <w:r w:rsidR="00454E22" w:rsidRPr="00A737D2">
        <w:rPr>
          <w:rFonts w:ascii="Arial" w:hAnsi="Arial" w:cs="Arial"/>
          <w:color w:val="000000"/>
          <w:sz w:val="22"/>
          <w:szCs w:val="22"/>
        </w:rPr>
        <w:t xml:space="preserve">Pre-hydration </w:t>
      </w:r>
      <w:r w:rsidRPr="00A737D2">
        <w:rPr>
          <w:rFonts w:ascii="Arial" w:hAnsi="Arial" w:cs="Arial"/>
          <w:color w:val="000000"/>
          <w:sz w:val="22"/>
          <w:szCs w:val="22"/>
        </w:rPr>
        <w:t>can be started prior to ganetespib administration</w:t>
      </w:r>
      <w:r w:rsidR="00454E22" w:rsidRPr="00A737D2">
        <w:rPr>
          <w:rFonts w:ascii="Arial" w:hAnsi="Arial" w:cs="Arial"/>
          <w:color w:val="000000"/>
          <w:sz w:val="22"/>
          <w:szCs w:val="22"/>
        </w:rPr>
        <w:t>.</w:t>
      </w:r>
    </w:p>
    <w:p w14:paraId="5E93AA52" w14:textId="77777777" w:rsidR="008A5A73" w:rsidRPr="00A737D2" w:rsidRDefault="008A5A73" w:rsidP="00367547">
      <w:pPr>
        <w:jc w:val="both"/>
        <w:rPr>
          <w:rFonts w:ascii="Arial" w:hAnsi="Arial" w:cs="Arial"/>
          <w:sz w:val="22"/>
          <w:szCs w:val="22"/>
        </w:rPr>
      </w:pPr>
    </w:p>
    <w:p w14:paraId="61F9E421" w14:textId="77777777" w:rsidR="002671DF" w:rsidRPr="00A737D2" w:rsidRDefault="002671DF" w:rsidP="002671DF">
      <w:pPr>
        <w:pStyle w:val="heading4text"/>
        <w:spacing w:before="0" w:beforeAutospacing="0" w:after="240" w:afterAutospacing="0"/>
        <w:jc w:val="both"/>
        <w:rPr>
          <w:rFonts w:ascii="Arial" w:hAnsi="Arial" w:cs="Arial"/>
          <w:sz w:val="22"/>
          <w:szCs w:val="22"/>
        </w:rPr>
      </w:pPr>
      <w:r w:rsidRPr="00A737D2">
        <w:rPr>
          <w:rFonts w:ascii="Arial" w:hAnsi="Arial" w:cs="Arial"/>
          <w:color w:val="000000"/>
          <w:sz w:val="22"/>
          <w:szCs w:val="22"/>
        </w:rPr>
        <w:t>Patients should be strongly encouraged to maintain liberal oral fluid intake during therapy, especially during the initial 14 days of each treatment cycle.</w:t>
      </w:r>
    </w:p>
    <w:p w14:paraId="4AB1A5BF" w14:textId="77777777" w:rsidR="00DA67E8" w:rsidRPr="00A737D2" w:rsidRDefault="00DA67E8" w:rsidP="00367547">
      <w:pPr>
        <w:jc w:val="both"/>
        <w:rPr>
          <w:rFonts w:ascii="Arial" w:hAnsi="Arial" w:cs="Arial"/>
          <w:sz w:val="22"/>
          <w:szCs w:val="22"/>
        </w:rPr>
      </w:pPr>
      <w:r w:rsidRPr="00A737D2">
        <w:rPr>
          <w:rFonts w:ascii="Arial" w:hAnsi="Arial" w:cs="Arial"/>
          <w:sz w:val="22"/>
          <w:szCs w:val="22"/>
        </w:rPr>
        <w:lastRenderedPageBreak/>
        <w:t xml:space="preserve">Chemotherapy will be continued to a maximum of 6 cycles or patient withdrawal due to unacceptable toxicity, patient refusal or progressive disease. </w:t>
      </w:r>
    </w:p>
    <w:p w14:paraId="1C306F79" w14:textId="77777777" w:rsidR="00F27136" w:rsidRDefault="00F27136" w:rsidP="00791070">
      <w:pPr>
        <w:pStyle w:val="Normal1"/>
        <w:rPr>
          <w:sz w:val="22"/>
          <w:szCs w:val="22"/>
          <w:u w:val="single"/>
        </w:rPr>
      </w:pPr>
    </w:p>
    <w:p w14:paraId="09313BB1" w14:textId="77777777" w:rsidR="00791070" w:rsidRDefault="00543127" w:rsidP="00791070">
      <w:pPr>
        <w:pStyle w:val="Normal1"/>
        <w:rPr>
          <w:sz w:val="22"/>
          <w:szCs w:val="22"/>
          <w:u w:val="single"/>
        </w:rPr>
      </w:pPr>
      <w:r w:rsidRPr="0012618B">
        <w:rPr>
          <w:sz w:val="22"/>
          <w:szCs w:val="22"/>
          <w:u w:val="single"/>
        </w:rPr>
        <w:t>Summary of drug administration per cycle</w:t>
      </w:r>
      <w:r>
        <w:rPr>
          <w:sz w:val="22"/>
          <w:szCs w:val="22"/>
          <w:u w:val="single"/>
        </w:rPr>
        <w:t xml:space="preserve"> (phase I)</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80"/>
        <w:gridCol w:w="381"/>
        <w:gridCol w:w="381"/>
        <w:gridCol w:w="381"/>
        <w:gridCol w:w="381"/>
        <w:gridCol w:w="381"/>
        <w:gridCol w:w="381"/>
        <w:gridCol w:w="381"/>
        <w:gridCol w:w="381"/>
        <w:gridCol w:w="381"/>
        <w:gridCol w:w="381"/>
        <w:gridCol w:w="381"/>
        <w:gridCol w:w="381"/>
        <w:gridCol w:w="381"/>
        <w:gridCol w:w="381"/>
        <w:gridCol w:w="381"/>
        <w:gridCol w:w="381"/>
        <w:gridCol w:w="381"/>
        <w:gridCol w:w="381"/>
        <w:gridCol w:w="381"/>
        <w:gridCol w:w="381"/>
      </w:tblGrid>
      <w:tr w:rsidR="00DA67E8" w:rsidRPr="00D67852" w14:paraId="52AB12B9" w14:textId="77777777" w:rsidTr="00AC7C14">
        <w:trPr>
          <w:cantSplit/>
        </w:trPr>
        <w:tc>
          <w:tcPr>
            <w:tcW w:w="1668" w:type="dxa"/>
            <w:shd w:val="clear" w:color="auto" w:fill="D9D9D9"/>
          </w:tcPr>
          <w:p w14:paraId="40CBBAC2" w14:textId="77777777" w:rsidR="00DA67E8" w:rsidRPr="00B53B51" w:rsidRDefault="00DA67E8" w:rsidP="001B5470">
            <w:pPr>
              <w:tabs>
                <w:tab w:val="left" w:pos="900"/>
              </w:tabs>
              <w:jc w:val="center"/>
              <w:rPr>
                <w:rFonts w:ascii="Arial" w:hAnsi="Arial" w:cs="Arial"/>
                <w:sz w:val="20"/>
              </w:rPr>
            </w:pPr>
          </w:p>
        </w:tc>
        <w:tc>
          <w:tcPr>
            <w:tcW w:w="2666" w:type="dxa"/>
            <w:gridSpan w:val="7"/>
            <w:shd w:val="clear" w:color="auto" w:fill="D9D9D9"/>
          </w:tcPr>
          <w:p w14:paraId="62C88CED" w14:textId="77777777" w:rsidR="00DA67E8" w:rsidRPr="00B53B51" w:rsidRDefault="00DA67E8" w:rsidP="008617D6">
            <w:pPr>
              <w:tabs>
                <w:tab w:val="left" w:pos="900"/>
              </w:tabs>
              <w:jc w:val="center"/>
              <w:rPr>
                <w:rFonts w:ascii="Arial" w:hAnsi="Arial" w:cs="Arial"/>
                <w:sz w:val="20"/>
              </w:rPr>
            </w:pPr>
            <w:r w:rsidRPr="00B53B51">
              <w:rPr>
                <w:rFonts w:ascii="Arial" w:hAnsi="Arial" w:cs="Arial"/>
                <w:sz w:val="20"/>
              </w:rPr>
              <w:t>Week 1</w:t>
            </w:r>
          </w:p>
        </w:tc>
        <w:tc>
          <w:tcPr>
            <w:tcW w:w="2667" w:type="dxa"/>
            <w:gridSpan w:val="7"/>
            <w:shd w:val="clear" w:color="auto" w:fill="D9D9D9"/>
          </w:tcPr>
          <w:p w14:paraId="42D341E1" w14:textId="77777777" w:rsidR="00DA67E8" w:rsidRPr="00B53B51" w:rsidRDefault="00DA67E8" w:rsidP="001B5470">
            <w:pPr>
              <w:tabs>
                <w:tab w:val="left" w:pos="900"/>
              </w:tabs>
              <w:jc w:val="center"/>
              <w:rPr>
                <w:rFonts w:ascii="Arial" w:hAnsi="Arial" w:cs="Arial"/>
                <w:sz w:val="20"/>
              </w:rPr>
            </w:pPr>
            <w:r w:rsidRPr="00B53B51">
              <w:rPr>
                <w:rFonts w:ascii="Arial" w:hAnsi="Arial" w:cs="Arial"/>
                <w:sz w:val="20"/>
              </w:rPr>
              <w:t>Week 2</w:t>
            </w:r>
          </w:p>
        </w:tc>
        <w:tc>
          <w:tcPr>
            <w:tcW w:w="2667" w:type="dxa"/>
            <w:gridSpan w:val="7"/>
            <w:shd w:val="clear" w:color="auto" w:fill="D9D9D9"/>
          </w:tcPr>
          <w:p w14:paraId="3D933027" w14:textId="77777777" w:rsidR="00DA67E8" w:rsidRPr="00B53B51" w:rsidRDefault="00DA67E8" w:rsidP="001B5470">
            <w:pPr>
              <w:tabs>
                <w:tab w:val="left" w:pos="900"/>
              </w:tabs>
              <w:jc w:val="center"/>
              <w:rPr>
                <w:rFonts w:ascii="Arial" w:hAnsi="Arial" w:cs="Arial"/>
                <w:sz w:val="20"/>
              </w:rPr>
            </w:pPr>
            <w:r w:rsidRPr="00B53B51">
              <w:rPr>
                <w:rFonts w:ascii="Arial" w:hAnsi="Arial" w:cs="Arial"/>
                <w:sz w:val="20"/>
              </w:rPr>
              <w:t>Week 3</w:t>
            </w:r>
          </w:p>
        </w:tc>
      </w:tr>
      <w:tr w:rsidR="00DA67E8" w:rsidRPr="00D67852" w14:paraId="382CEF8B" w14:textId="77777777" w:rsidTr="00AC7C14">
        <w:trPr>
          <w:cantSplit/>
        </w:trPr>
        <w:tc>
          <w:tcPr>
            <w:tcW w:w="1668" w:type="dxa"/>
            <w:shd w:val="clear" w:color="auto" w:fill="D9D9D9"/>
          </w:tcPr>
          <w:p w14:paraId="07FA12C9" w14:textId="77777777" w:rsidR="00DA67E8" w:rsidRPr="00B53B51" w:rsidRDefault="00DA67E8" w:rsidP="001B5470">
            <w:pPr>
              <w:tabs>
                <w:tab w:val="left" w:pos="900"/>
              </w:tabs>
              <w:rPr>
                <w:rFonts w:ascii="Arial" w:hAnsi="Arial" w:cs="Arial"/>
                <w:sz w:val="20"/>
                <w:szCs w:val="20"/>
              </w:rPr>
            </w:pPr>
            <w:r w:rsidRPr="00B53B51">
              <w:rPr>
                <w:rFonts w:ascii="Arial" w:hAnsi="Arial" w:cs="Arial"/>
                <w:sz w:val="20"/>
                <w:szCs w:val="20"/>
              </w:rPr>
              <w:t>Day</w:t>
            </w:r>
          </w:p>
        </w:tc>
        <w:tc>
          <w:tcPr>
            <w:tcW w:w="380" w:type="dxa"/>
            <w:shd w:val="clear" w:color="auto" w:fill="D9D9D9"/>
          </w:tcPr>
          <w:p w14:paraId="1FAF58C0" w14:textId="77777777" w:rsidR="00DA67E8" w:rsidRPr="00B53B51" w:rsidRDefault="00DA67E8" w:rsidP="001B5470">
            <w:pPr>
              <w:tabs>
                <w:tab w:val="left" w:pos="900"/>
              </w:tabs>
              <w:rPr>
                <w:rFonts w:ascii="Arial" w:hAnsi="Arial" w:cs="Arial"/>
                <w:sz w:val="14"/>
              </w:rPr>
            </w:pPr>
            <w:r w:rsidRPr="00B53B51">
              <w:rPr>
                <w:rFonts w:ascii="Arial" w:hAnsi="Arial" w:cs="Arial"/>
                <w:sz w:val="14"/>
              </w:rPr>
              <w:t>1</w:t>
            </w:r>
          </w:p>
        </w:tc>
        <w:tc>
          <w:tcPr>
            <w:tcW w:w="381" w:type="dxa"/>
            <w:shd w:val="clear" w:color="auto" w:fill="D9D9D9"/>
          </w:tcPr>
          <w:p w14:paraId="24EC8C47" w14:textId="77777777" w:rsidR="00DA67E8" w:rsidRPr="00B53B51" w:rsidRDefault="00DA67E8" w:rsidP="001B5470">
            <w:pPr>
              <w:tabs>
                <w:tab w:val="left" w:pos="900"/>
              </w:tabs>
              <w:rPr>
                <w:rFonts w:ascii="Arial" w:hAnsi="Arial" w:cs="Arial"/>
                <w:sz w:val="14"/>
              </w:rPr>
            </w:pPr>
            <w:r w:rsidRPr="00B53B51">
              <w:rPr>
                <w:rFonts w:ascii="Arial" w:hAnsi="Arial" w:cs="Arial"/>
                <w:sz w:val="14"/>
              </w:rPr>
              <w:t>2</w:t>
            </w:r>
          </w:p>
        </w:tc>
        <w:tc>
          <w:tcPr>
            <w:tcW w:w="381" w:type="dxa"/>
            <w:shd w:val="clear" w:color="auto" w:fill="D9D9D9"/>
          </w:tcPr>
          <w:p w14:paraId="21CE410F" w14:textId="77777777" w:rsidR="00DA67E8" w:rsidRPr="00B53B51" w:rsidRDefault="00DA67E8" w:rsidP="001B5470">
            <w:pPr>
              <w:tabs>
                <w:tab w:val="left" w:pos="900"/>
              </w:tabs>
              <w:rPr>
                <w:rFonts w:ascii="Arial" w:hAnsi="Arial" w:cs="Arial"/>
                <w:sz w:val="14"/>
              </w:rPr>
            </w:pPr>
            <w:r w:rsidRPr="00B53B51">
              <w:rPr>
                <w:rFonts w:ascii="Arial" w:hAnsi="Arial" w:cs="Arial"/>
                <w:sz w:val="14"/>
              </w:rPr>
              <w:t>3</w:t>
            </w:r>
          </w:p>
        </w:tc>
        <w:tc>
          <w:tcPr>
            <w:tcW w:w="381" w:type="dxa"/>
            <w:shd w:val="clear" w:color="auto" w:fill="D9D9D9"/>
          </w:tcPr>
          <w:p w14:paraId="00A297F2" w14:textId="77777777" w:rsidR="00DA67E8" w:rsidRPr="00B53B51" w:rsidRDefault="00DA67E8" w:rsidP="001B5470">
            <w:pPr>
              <w:tabs>
                <w:tab w:val="left" w:pos="900"/>
              </w:tabs>
              <w:rPr>
                <w:rFonts w:ascii="Arial" w:hAnsi="Arial" w:cs="Arial"/>
                <w:sz w:val="14"/>
              </w:rPr>
            </w:pPr>
            <w:r w:rsidRPr="00B53B51">
              <w:rPr>
                <w:rFonts w:ascii="Arial" w:hAnsi="Arial" w:cs="Arial"/>
                <w:sz w:val="14"/>
              </w:rPr>
              <w:t>4</w:t>
            </w:r>
          </w:p>
        </w:tc>
        <w:tc>
          <w:tcPr>
            <w:tcW w:w="381" w:type="dxa"/>
            <w:shd w:val="clear" w:color="auto" w:fill="D9D9D9"/>
          </w:tcPr>
          <w:p w14:paraId="78ABDAEE" w14:textId="77777777" w:rsidR="00DA67E8" w:rsidRPr="00B53B51" w:rsidRDefault="00DA67E8" w:rsidP="001B5470">
            <w:pPr>
              <w:tabs>
                <w:tab w:val="left" w:pos="900"/>
              </w:tabs>
              <w:rPr>
                <w:rFonts w:ascii="Arial" w:hAnsi="Arial" w:cs="Arial"/>
                <w:sz w:val="14"/>
              </w:rPr>
            </w:pPr>
            <w:r w:rsidRPr="00B53B51">
              <w:rPr>
                <w:rFonts w:ascii="Arial" w:hAnsi="Arial" w:cs="Arial"/>
                <w:sz w:val="14"/>
              </w:rPr>
              <w:t>5</w:t>
            </w:r>
          </w:p>
        </w:tc>
        <w:tc>
          <w:tcPr>
            <w:tcW w:w="381" w:type="dxa"/>
            <w:shd w:val="clear" w:color="auto" w:fill="D9D9D9"/>
          </w:tcPr>
          <w:p w14:paraId="73FAC941" w14:textId="77777777" w:rsidR="00DA67E8" w:rsidRPr="00B53B51" w:rsidRDefault="00DA67E8" w:rsidP="001B5470">
            <w:pPr>
              <w:tabs>
                <w:tab w:val="left" w:pos="900"/>
              </w:tabs>
              <w:rPr>
                <w:rFonts w:ascii="Arial" w:hAnsi="Arial" w:cs="Arial"/>
                <w:sz w:val="14"/>
              </w:rPr>
            </w:pPr>
            <w:r w:rsidRPr="00B53B51">
              <w:rPr>
                <w:rFonts w:ascii="Arial" w:hAnsi="Arial" w:cs="Arial"/>
                <w:sz w:val="14"/>
              </w:rPr>
              <w:t>6</w:t>
            </w:r>
          </w:p>
        </w:tc>
        <w:tc>
          <w:tcPr>
            <w:tcW w:w="381" w:type="dxa"/>
            <w:shd w:val="clear" w:color="auto" w:fill="D9D9D9"/>
          </w:tcPr>
          <w:p w14:paraId="7707C476" w14:textId="77777777" w:rsidR="00DA67E8" w:rsidRPr="00B53B51" w:rsidRDefault="00DA67E8" w:rsidP="001B5470">
            <w:pPr>
              <w:tabs>
                <w:tab w:val="left" w:pos="900"/>
              </w:tabs>
              <w:rPr>
                <w:rFonts w:ascii="Arial" w:hAnsi="Arial" w:cs="Arial"/>
                <w:sz w:val="14"/>
              </w:rPr>
            </w:pPr>
            <w:r w:rsidRPr="00B53B51">
              <w:rPr>
                <w:rFonts w:ascii="Arial" w:hAnsi="Arial" w:cs="Arial"/>
                <w:sz w:val="14"/>
              </w:rPr>
              <w:t>7</w:t>
            </w:r>
          </w:p>
        </w:tc>
        <w:tc>
          <w:tcPr>
            <w:tcW w:w="381" w:type="dxa"/>
            <w:shd w:val="clear" w:color="auto" w:fill="D9D9D9"/>
          </w:tcPr>
          <w:p w14:paraId="0008DAD5" w14:textId="77777777" w:rsidR="00DA67E8" w:rsidRPr="00B53B51" w:rsidRDefault="00DA67E8" w:rsidP="001B5470">
            <w:pPr>
              <w:tabs>
                <w:tab w:val="left" w:pos="900"/>
              </w:tabs>
              <w:rPr>
                <w:rFonts w:ascii="Arial" w:hAnsi="Arial" w:cs="Arial"/>
                <w:sz w:val="14"/>
              </w:rPr>
            </w:pPr>
            <w:r w:rsidRPr="00B53B51">
              <w:rPr>
                <w:rFonts w:ascii="Arial" w:hAnsi="Arial" w:cs="Arial"/>
                <w:sz w:val="14"/>
              </w:rPr>
              <w:t>8</w:t>
            </w:r>
          </w:p>
        </w:tc>
        <w:tc>
          <w:tcPr>
            <w:tcW w:w="381" w:type="dxa"/>
            <w:shd w:val="clear" w:color="auto" w:fill="D9D9D9"/>
          </w:tcPr>
          <w:p w14:paraId="6EBFC982" w14:textId="77777777" w:rsidR="00DA67E8" w:rsidRPr="00B53B51" w:rsidRDefault="00DA67E8" w:rsidP="001B5470">
            <w:pPr>
              <w:tabs>
                <w:tab w:val="left" w:pos="900"/>
              </w:tabs>
              <w:rPr>
                <w:rFonts w:ascii="Arial" w:hAnsi="Arial" w:cs="Arial"/>
                <w:sz w:val="14"/>
              </w:rPr>
            </w:pPr>
            <w:r w:rsidRPr="00B53B51">
              <w:rPr>
                <w:rFonts w:ascii="Arial" w:hAnsi="Arial" w:cs="Arial"/>
                <w:sz w:val="14"/>
              </w:rPr>
              <w:t>9</w:t>
            </w:r>
          </w:p>
        </w:tc>
        <w:tc>
          <w:tcPr>
            <w:tcW w:w="381" w:type="dxa"/>
            <w:shd w:val="clear" w:color="auto" w:fill="D9D9D9"/>
          </w:tcPr>
          <w:p w14:paraId="4EA27FE8" w14:textId="77777777" w:rsidR="00DA67E8" w:rsidRPr="00B53B51" w:rsidRDefault="00DA67E8" w:rsidP="001B5470">
            <w:pPr>
              <w:tabs>
                <w:tab w:val="left" w:pos="900"/>
              </w:tabs>
              <w:rPr>
                <w:rFonts w:ascii="Arial" w:hAnsi="Arial" w:cs="Arial"/>
                <w:sz w:val="14"/>
              </w:rPr>
            </w:pPr>
            <w:r w:rsidRPr="00B53B51">
              <w:rPr>
                <w:rFonts w:ascii="Arial" w:hAnsi="Arial" w:cs="Arial"/>
                <w:sz w:val="14"/>
              </w:rPr>
              <w:t>10</w:t>
            </w:r>
          </w:p>
        </w:tc>
        <w:tc>
          <w:tcPr>
            <w:tcW w:w="381" w:type="dxa"/>
            <w:shd w:val="clear" w:color="auto" w:fill="D9D9D9"/>
          </w:tcPr>
          <w:p w14:paraId="4B11BC53" w14:textId="77777777" w:rsidR="00DA67E8" w:rsidRPr="00B53B51" w:rsidRDefault="00DA67E8" w:rsidP="001B5470">
            <w:pPr>
              <w:tabs>
                <w:tab w:val="left" w:pos="900"/>
              </w:tabs>
              <w:rPr>
                <w:rFonts w:ascii="Arial" w:hAnsi="Arial" w:cs="Arial"/>
                <w:sz w:val="14"/>
              </w:rPr>
            </w:pPr>
            <w:r w:rsidRPr="00B53B51">
              <w:rPr>
                <w:rFonts w:ascii="Arial" w:hAnsi="Arial" w:cs="Arial"/>
                <w:sz w:val="14"/>
              </w:rPr>
              <w:t>11</w:t>
            </w:r>
          </w:p>
        </w:tc>
        <w:tc>
          <w:tcPr>
            <w:tcW w:w="381" w:type="dxa"/>
            <w:shd w:val="clear" w:color="auto" w:fill="D9D9D9"/>
          </w:tcPr>
          <w:p w14:paraId="02729C37" w14:textId="77777777" w:rsidR="00DA67E8" w:rsidRPr="00B53B51" w:rsidRDefault="00DA67E8" w:rsidP="001B5470">
            <w:pPr>
              <w:tabs>
                <w:tab w:val="left" w:pos="900"/>
              </w:tabs>
              <w:rPr>
                <w:rFonts w:ascii="Arial" w:hAnsi="Arial" w:cs="Arial"/>
                <w:sz w:val="14"/>
              </w:rPr>
            </w:pPr>
            <w:r w:rsidRPr="00B53B51">
              <w:rPr>
                <w:rFonts w:ascii="Arial" w:hAnsi="Arial" w:cs="Arial"/>
                <w:sz w:val="14"/>
              </w:rPr>
              <w:t>12</w:t>
            </w:r>
          </w:p>
        </w:tc>
        <w:tc>
          <w:tcPr>
            <w:tcW w:w="381" w:type="dxa"/>
            <w:shd w:val="clear" w:color="auto" w:fill="D9D9D9"/>
          </w:tcPr>
          <w:p w14:paraId="01DF9837" w14:textId="77777777" w:rsidR="00DA67E8" w:rsidRPr="00B53B51" w:rsidRDefault="00DA67E8" w:rsidP="001B5470">
            <w:pPr>
              <w:tabs>
                <w:tab w:val="left" w:pos="900"/>
              </w:tabs>
              <w:rPr>
                <w:rFonts w:ascii="Arial" w:hAnsi="Arial" w:cs="Arial"/>
                <w:sz w:val="14"/>
              </w:rPr>
            </w:pPr>
            <w:r w:rsidRPr="00B53B51">
              <w:rPr>
                <w:rFonts w:ascii="Arial" w:hAnsi="Arial" w:cs="Arial"/>
                <w:sz w:val="14"/>
              </w:rPr>
              <w:t>13</w:t>
            </w:r>
          </w:p>
        </w:tc>
        <w:tc>
          <w:tcPr>
            <w:tcW w:w="381" w:type="dxa"/>
            <w:shd w:val="clear" w:color="auto" w:fill="D9D9D9"/>
          </w:tcPr>
          <w:p w14:paraId="79DF2C3A" w14:textId="77777777" w:rsidR="00DA67E8" w:rsidRPr="00B53B51" w:rsidRDefault="00DA67E8" w:rsidP="001B5470">
            <w:pPr>
              <w:tabs>
                <w:tab w:val="left" w:pos="900"/>
              </w:tabs>
              <w:rPr>
                <w:rFonts w:ascii="Arial" w:hAnsi="Arial" w:cs="Arial"/>
                <w:sz w:val="14"/>
              </w:rPr>
            </w:pPr>
            <w:r w:rsidRPr="00B53B51">
              <w:rPr>
                <w:rFonts w:ascii="Arial" w:hAnsi="Arial" w:cs="Arial"/>
                <w:sz w:val="14"/>
              </w:rPr>
              <w:t>14</w:t>
            </w:r>
          </w:p>
        </w:tc>
        <w:tc>
          <w:tcPr>
            <w:tcW w:w="381" w:type="dxa"/>
            <w:shd w:val="clear" w:color="auto" w:fill="D9D9D9"/>
          </w:tcPr>
          <w:p w14:paraId="01B0B165" w14:textId="77777777" w:rsidR="00DA67E8" w:rsidRPr="00B53B51" w:rsidRDefault="00DA67E8" w:rsidP="001B5470">
            <w:pPr>
              <w:tabs>
                <w:tab w:val="left" w:pos="900"/>
              </w:tabs>
              <w:rPr>
                <w:rFonts w:ascii="Arial" w:hAnsi="Arial" w:cs="Arial"/>
                <w:sz w:val="14"/>
              </w:rPr>
            </w:pPr>
            <w:r w:rsidRPr="00B53B51">
              <w:rPr>
                <w:rFonts w:ascii="Arial" w:hAnsi="Arial" w:cs="Arial"/>
                <w:sz w:val="14"/>
              </w:rPr>
              <w:t>15</w:t>
            </w:r>
          </w:p>
        </w:tc>
        <w:tc>
          <w:tcPr>
            <w:tcW w:w="381" w:type="dxa"/>
            <w:shd w:val="clear" w:color="auto" w:fill="D9D9D9"/>
          </w:tcPr>
          <w:p w14:paraId="72921321" w14:textId="77777777" w:rsidR="00DA67E8" w:rsidRPr="00B53B51" w:rsidRDefault="00DA67E8" w:rsidP="001B5470">
            <w:pPr>
              <w:tabs>
                <w:tab w:val="left" w:pos="900"/>
              </w:tabs>
              <w:rPr>
                <w:rFonts w:ascii="Arial" w:hAnsi="Arial" w:cs="Arial"/>
                <w:sz w:val="14"/>
              </w:rPr>
            </w:pPr>
            <w:r w:rsidRPr="00B53B51">
              <w:rPr>
                <w:rFonts w:ascii="Arial" w:hAnsi="Arial" w:cs="Arial"/>
                <w:sz w:val="14"/>
              </w:rPr>
              <w:t>16</w:t>
            </w:r>
          </w:p>
        </w:tc>
        <w:tc>
          <w:tcPr>
            <w:tcW w:w="381" w:type="dxa"/>
            <w:shd w:val="clear" w:color="auto" w:fill="D9D9D9"/>
          </w:tcPr>
          <w:p w14:paraId="68F4D5F8" w14:textId="77777777" w:rsidR="00DA67E8" w:rsidRPr="00B53B51" w:rsidRDefault="00DA67E8" w:rsidP="001B5470">
            <w:pPr>
              <w:tabs>
                <w:tab w:val="left" w:pos="900"/>
              </w:tabs>
              <w:rPr>
                <w:rFonts w:ascii="Arial" w:hAnsi="Arial" w:cs="Arial"/>
                <w:sz w:val="14"/>
              </w:rPr>
            </w:pPr>
            <w:r w:rsidRPr="00B53B51">
              <w:rPr>
                <w:rFonts w:ascii="Arial" w:hAnsi="Arial" w:cs="Arial"/>
                <w:sz w:val="14"/>
              </w:rPr>
              <w:t>17</w:t>
            </w:r>
          </w:p>
        </w:tc>
        <w:tc>
          <w:tcPr>
            <w:tcW w:w="381" w:type="dxa"/>
            <w:shd w:val="clear" w:color="auto" w:fill="D9D9D9"/>
          </w:tcPr>
          <w:p w14:paraId="13C17B1D" w14:textId="77777777" w:rsidR="00DA67E8" w:rsidRPr="00B53B51" w:rsidRDefault="00DA67E8" w:rsidP="001B5470">
            <w:pPr>
              <w:tabs>
                <w:tab w:val="left" w:pos="900"/>
              </w:tabs>
              <w:rPr>
                <w:rFonts w:ascii="Arial" w:hAnsi="Arial" w:cs="Arial"/>
                <w:sz w:val="14"/>
              </w:rPr>
            </w:pPr>
            <w:r w:rsidRPr="00B53B51">
              <w:rPr>
                <w:rFonts w:ascii="Arial" w:hAnsi="Arial" w:cs="Arial"/>
                <w:sz w:val="14"/>
              </w:rPr>
              <w:t>18</w:t>
            </w:r>
          </w:p>
        </w:tc>
        <w:tc>
          <w:tcPr>
            <w:tcW w:w="381" w:type="dxa"/>
            <w:shd w:val="clear" w:color="auto" w:fill="D9D9D9"/>
          </w:tcPr>
          <w:p w14:paraId="009CD038" w14:textId="77777777" w:rsidR="00DA67E8" w:rsidRPr="00B53B51" w:rsidRDefault="00DA67E8" w:rsidP="001B5470">
            <w:pPr>
              <w:tabs>
                <w:tab w:val="left" w:pos="900"/>
              </w:tabs>
              <w:rPr>
                <w:rFonts w:ascii="Arial" w:hAnsi="Arial" w:cs="Arial"/>
                <w:sz w:val="14"/>
              </w:rPr>
            </w:pPr>
            <w:r w:rsidRPr="00B53B51">
              <w:rPr>
                <w:rFonts w:ascii="Arial" w:hAnsi="Arial" w:cs="Arial"/>
                <w:sz w:val="14"/>
              </w:rPr>
              <w:t>19</w:t>
            </w:r>
          </w:p>
        </w:tc>
        <w:tc>
          <w:tcPr>
            <w:tcW w:w="381" w:type="dxa"/>
            <w:shd w:val="clear" w:color="auto" w:fill="D9D9D9"/>
          </w:tcPr>
          <w:p w14:paraId="1AECAF2A" w14:textId="77777777" w:rsidR="00DA67E8" w:rsidRPr="00B53B51" w:rsidRDefault="00DA67E8" w:rsidP="001B5470">
            <w:pPr>
              <w:tabs>
                <w:tab w:val="left" w:pos="900"/>
              </w:tabs>
              <w:rPr>
                <w:rFonts w:ascii="Arial" w:hAnsi="Arial" w:cs="Arial"/>
                <w:sz w:val="14"/>
              </w:rPr>
            </w:pPr>
            <w:r w:rsidRPr="00B53B51">
              <w:rPr>
                <w:rFonts w:ascii="Arial" w:hAnsi="Arial" w:cs="Arial"/>
                <w:sz w:val="14"/>
              </w:rPr>
              <w:t>20</w:t>
            </w:r>
          </w:p>
        </w:tc>
        <w:tc>
          <w:tcPr>
            <w:tcW w:w="381" w:type="dxa"/>
            <w:shd w:val="clear" w:color="auto" w:fill="D9D9D9"/>
          </w:tcPr>
          <w:p w14:paraId="0508A84B" w14:textId="77777777" w:rsidR="00DA67E8" w:rsidRPr="00B53B51" w:rsidRDefault="00DA67E8" w:rsidP="001B5470">
            <w:pPr>
              <w:tabs>
                <w:tab w:val="left" w:pos="900"/>
              </w:tabs>
              <w:rPr>
                <w:rFonts w:ascii="Arial" w:hAnsi="Arial" w:cs="Arial"/>
                <w:sz w:val="14"/>
              </w:rPr>
            </w:pPr>
            <w:r w:rsidRPr="00B53B51">
              <w:rPr>
                <w:rFonts w:ascii="Arial" w:hAnsi="Arial" w:cs="Arial"/>
                <w:sz w:val="14"/>
              </w:rPr>
              <w:t>21</w:t>
            </w:r>
          </w:p>
        </w:tc>
      </w:tr>
      <w:tr w:rsidR="00DA67E8" w:rsidRPr="00D67852" w14:paraId="4AA17A8D" w14:textId="77777777" w:rsidTr="00AC7C14">
        <w:trPr>
          <w:cantSplit/>
        </w:trPr>
        <w:tc>
          <w:tcPr>
            <w:tcW w:w="1668" w:type="dxa"/>
          </w:tcPr>
          <w:p w14:paraId="2EEE82B9" w14:textId="77777777" w:rsidR="00DA67E8" w:rsidRPr="00B53B51" w:rsidRDefault="00DA67E8" w:rsidP="001B5470">
            <w:pPr>
              <w:tabs>
                <w:tab w:val="left" w:pos="900"/>
              </w:tabs>
              <w:rPr>
                <w:rFonts w:ascii="Arial" w:hAnsi="Arial" w:cs="Arial"/>
                <w:sz w:val="20"/>
              </w:rPr>
            </w:pPr>
            <w:r w:rsidRPr="00B53B51">
              <w:rPr>
                <w:rFonts w:ascii="Arial" w:hAnsi="Arial" w:cs="Arial"/>
                <w:sz w:val="20"/>
              </w:rPr>
              <w:t>Ganetespib</w:t>
            </w:r>
            <w:r>
              <w:rPr>
                <w:rFonts w:ascii="Arial" w:hAnsi="Arial" w:cs="Arial"/>
                <w:sz w:val="20"/>
              </w:rPr>
              <w:t>*</w:t>
            </w:r>
            <w:r w:rsidR="00AC7C14">
              <w:rPr>
                <w:rFonts w:ascii="Arial" w:hAnsi="Arial" w:cs="Arial"/>
                <w:sz w:val="20"/>
              </w:rPr>
              <w:t xml:space="preserve"> IV</w:t>
            </w:r>
          </w:p>
        </w:tc>
        <w:tc>
          <w:tcPr>
            <w:tcW w:w="380" w:type="dxa"/>
            <w:vAlign w:val="center"/>
          </w:tcPr>
          <w:p w14:paraId="0F19BF7D" w14:textId="77777777" w:rsidR="00DA67E8" w:rsidRPr="00B53B51" w:rsidRDefault="00DA67E8" w:rsidP="00AC7C14">
            <w:pPr>
              <w:tabs>
                <w:tab w:val="left" w:pos="900"/>
              </w:tabs>
              <w:jc w:val="center"/>
              <w:rPr>
                <w:rFonts w:ascii="Arial" w:hAnsi="Arial" w:cs="Arial"/>
                <w:sz w:val="20"/>
              </w:rPr>
            </w:pPr>
            <w:r w:rsidRPr="00B53B51">
              <w:rPr>
                <w:rFonts w:ascii="Arial" w:hAnsi="Arial" w:cs="Arial"/>
                <w:sz w:val="20"/>
              </w:rPr>
              <w:t>X</w:t>
            </w:r>
          </w:p>
        </w:tc>
        <w:tc>
          <w:tcPr>
            <w:tcW w:w="381" w:type="dxa"/>
            <w:vAlign w:val="center"/>
          </w:tcPr>
          <w:p w14:paraId="69D3CE70"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7DA38915"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05CEE823"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6DAC43C7"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04B12AEC"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1BC85C81"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70918040"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18F20AB8"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1891E4E0"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30062969"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776F7848"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0A666BE1"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164544D2"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7A6DFAF6" w14:textId="77777777" w:rsidR="00DA67E8" w:rsidRPr="00B53B51" w:rsidRDefault="00C00888" w:rsidP="00AC7C14">
            <w:pPr>
              <w:tabs>
                <w:tab w:val="left" w:pos="900"/>
              </w:tabs>
              <w:jc w:val="center"/>
              <w:rPr>
                <w:rFonts w:ascii="Arial" w:hAnsi="Arial" w:cs="Arial"/>
                <w:sz w:val="20"/>
              </w:rPr>
            </w:pPr>
            <w:r>
              <w:rPr>
                <w:rFonts w:ascii="Arial" w:hAnsi="Arial" w:cs="Arial"/>
                <w:sz w:val="20"/>
              </w:rPr>
              <w:t>X</w:t>
            </w:r>
          </w:p>
        </w:tc>
        <w:tc>
          <w:tcPr>
            <w:tcW w:w="381" w:type="dxa"/>
            <w:vAlign w:val="center"/>
          </w:tcPr>
          <w:p w14:paraId="6841A4ED"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39611827"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5CE853E7"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57E7A68C"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6CED3CB2"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643E71D2" w14:textId="77777777" w:rsidR="00DA67E8" w:rsidRPr="00B53B51" w:rsidRDefault="00DA67E8" w:rsidP="00AC7C14">
            <w:pPr>
              <w:tabs>
                <w:tab w:val="left" w:pos="900"/>
              </w:tabs>
              <w:jc w:val="center"/>
              <w:rPr>
                <w:rFonts w:ascii="Arial" w:hAnsi="Arial" w:cs="Arial"/>
                <w:sz w:val="20"/>
              </w:rPr>
            </w:pPr>
          </w:p>
        </w:tc>
      </w:tr>
      <w:tr w:rsidR="00DA67E8" w:rsidRPr="00D67852" w14:paraId="5EAAF842" w14:textId="77777777" w:rsidTr="00AC7C14">
        <w:trPr>
          <w:cantSplit/>
        </w:trPr>
        <w:tc>
          <w:tcPr>
            <w:tcW w:w="1668" w:type="dxa"/>
          </w:tcPr>
          <w:p w14:paraId="2FE75754" w14:textId="77777777" w:rsidR="00DA67E8" w:rsidRPr="00B53B51" w:rsidRDefault="00DA67E8" w:rsidP="001B5470">
            <w:pPr>
              <w:tabs>
                <w:tab w:val="left" w:pos="900"/>
              </w:tabs>
              <w:rPr>
                <w:rFonts w:ascii="Arial" w:hAnsi="Arial" w:cs="Arial"/>
                <w:sz w:val="20"/>
                <w:szCs w:val="20"/>
              </w:rPr>
            </w:pPr>
            <w:r w:rsidRPr="00B53B51">
              <w:rPr>
                <w:rFonts w:ascii="Arial" w:hAnsi="Arial" w:cs="Arial"/>
                <w:sz w:val="20"/>
                <w:szCs w:val="20"/>
              </w:rPr>
              <w:t>Pemetrexed</w:t>
            </w:r>
          </w:p>
          <w:p w14:paraId="590DFEC4" w14:textId="77777777" w:rsidR="00DA67E8" w:rsidRPr="00B53B51" w:rsidRDefault="00DA67E8" w:rsidP="001B5470">
            <w:pPr>
              <w:tabs>
                <w:tab w:val="left" w:pos="900"/>
              </w:tabs>
              <w:rPr>
                <w:rFonts w:ascii="Arial" w:hAnsi="Arial" w:cs="Arial"/>
                <w:sz w:val="20"/>
                <w:szCs w:val="20"/>
              </w:rPr>
            </w:pPr>
            <w:r w:rsidRPr="00B53B51">
              <w:rPr>
                <w:rFonts w:ascii="Arial" w:hAnsi="Arial" w:cs="Arial"/>
                <w:sz w:val="20"/>
                <w:szCs w:val="20"/>
              </w:rPr>
              <w:t>500mg/m</w:t>
            </w:r>
            <w:r w:rsidRPr="00B53B51">
              <w:rPr>
                <w:rFonts w:ascii="Arial" w:hAnsi="Arial" w:cs="Arial"/>
                <w:sz w:val="20"/>
                <w:szCs w:val="20"/>
                <w:vertAlign w:val="superscript"/>
              </w:rPr>
              <w:t>2</w:t>
            </w:r>
            <w:r w:rsidRPr="00B53B51">
              <w:rPr>
                <w:rFonts w:ascii="Arial" w:hAnsi="Arial" w:cs="Arial"/>
                <w:sz w:val="20"/>
                <w:szCs w:val="20"/>
              </w:rPr>
              <w:t xml:space="preserve"> IV</w:t>
            </w:r>
          </w:p>
        </w:tc>
        <w:tc>
          <w:tcPr>
            <w:tcW w:w="380" w:type="dxa"/>
            <w:vAlign w:val="center"/>
          </w:tcPr>
          <w:p w14:paraId="08F38976" w14:textId="77777777" w:rsidR="00DA67E8" w:rsidRPr="00B53B51" w:rsidRDefault="00DA67E8" w:rsidP="00AC7C14">
            <w:pPr>
              <w:tabs>
                <w:tab w:val="left" w:pos="900"/>
              </w:tabs>
              <w:jc w:val="center"/>
              <w:rPr>
                <w:rFonts w:ascii="Arial" w:hAnsi="Arial" w:cs="Arial"/>
                <w:sz w:val="20"/>
              </w:rPr>
            </w:pPr>
            <w:r w:rsidRPr="00B53B51">
              <w:rPr>
                <w:rFonts w:ascii="Arial" w:hAnsi="Arial" w:cs="Arial"/>
                <w:sz w:val="20"/>
              </w:rPr>
              <w:t>X</w:t>
            </w:r>
          </w:p>
        </w:tc>
        <w:tc>
          <w:tcPr>
            <w:tcW w:w="381" w:type="dxa"/>
            <w:vAlign w:val="center"/>
          </w:tcPr>
          <w:p w14:paraId="01ED28B2"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023EEA51"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42AFDB01"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6F717AF7"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6F874479"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335AC1C8"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3BC8D7D2"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230C55AD"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2B3FA524"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43AF2102"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309215C8"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6F5A5B24"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78676AD6"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327A9033"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22FAC321"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091C9139"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27FBEF15"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070FB506"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00A06A18" w14:textId="77777777" w:rsidR="00DA67E8" w:rsidRPr="00B53B51" w:rsidRDefault="00DA67E8" w:rsidP="00AC7C14">
            <w:pPr>
              <w:tabs>
                <w:tab w:val="left" w:pos="900"/>
              </w:tabs>
              <w:jc w:val="center"/>
              <w:rPr>
                <w:rFonts w:ascii="Arial" w:hAnsi="Arial" w:cs="Arial"/>
                <w:sz w:val="20"/>
              </w:rPr>
            </w:pPr>
          </w:p>
        </w:tc>
        <w:tc>
          <w:tcPr>
            <w:tcW w:w="381" w:type="dxa"/>
            <w:vAlign w:val="center"/>
          </w:tcPr>
          <w:p w14:paraId="2512D610" w14:textId="77777777" w:rsidR="00DA67E8" w:rsidRPr="00B53B51" w:rsidRDefault="00DA67E8" w:rsidP="00AC7C14">
            <w:pPr>
              <w:tabs>
                <w:tab w:val="left" w:pos="900"/>
              </w:tabs>
              <w:jc w:val="center"/>
              <w:rPr>
                <w:rFonts w:ascii="Arial" w:hAnsi="Arial" w:cs="Arial"/>
                <w:sz w:val="20"/>
              </w:rPr>
            </w:pPr>
          </w:p>
        </w:tc>
      </w:tr>
      <w:tr w:rsidR="00DA67E8" w:rsidRPr="00D67852" w14:paraId="4C1BDED5" w14:textId="77777777" w:rsidTr="00AC7C14">
        <w:trPr>
          <w:cantSplit/>
        </w:trPr>
        <w:tc>
          <w:tcPr>
            <w:tcW w:w="1668" w:type="dxa"/>
            <w:tcBorders>
              <w:bottom w:val="single" w:sz="4" w:space="0" w:color="auto"/>
            </w:tcBorders>
          </w:tcPr>
          <w:p w14:paraId="6002D627" w14:textId="77777777" w:rsidR="00DA67E8" w:rsidRPr="00B53B51" w:rsidRDefault="00DA67E8" w:rsidP="001B5470">
            <w:pPr>
              <w:tabs>
                <w:tab w:val="left" w:pos="900"/>
              </w:tabs>
              <w:rPr>
                <w:rFonts w:ascii="Arial" w:hAnsi="Arial" w:cs="Arial"/>
                <w:sz w:val="20"/>
                <w:szCs w:val="20"/>
              </w:rPr>
            </w:pPr>
            <w:r w:rsidRPr="00B53B51">
              <w:rPr>
                <w:rFonts w:ascii="Arial" w:hAnsi="Arial" w:cs="Arial"/>
                <w:sz w:val="20"/>
                <w:szCs w:val="20"/>
              </w:rPr>
              <w:t>Cisplatin</w:t>
            </w:r>
          </w:p>
          <w:p w14:paraId="67DE73FA" w14:textId="77777777" w:rsidR="00DA67E8" w:rsidRPr="00B53B51" w:rsidRDefault="00DA67E8" w:rsidP="001B5470">
            <w:pPr>
              <w:tabs>
                <w:tab w:val="left" w:pos="900"/>
              </w:tabs>
              <w:rPr>
                <w:rFonts w:ascii="Arial" w:hAnsi="Arial" w:cs="Arial"/>
                <w:sz w:val="20"/>
                <w:szCs w:val="20"/>
              </w:rPr>
            </w:pPr>
            <w:r w:rsidRPr="00B53B51">
              <w:rPr>
                <w:rFonts w:ascii="Arial" w:hAnsi="Arial" w:cs="Arial"/>
                <w:sz w:val="20"/>
                <w:szCs w:val="20"/>
              </w:rPr>
              <w:t>75mg/m</w:t>
            </w:r>
            <w:r w:rsidRPr="00B53B51">
              <w:rPr>
                <w:rFonts w:ascii="Arial" w:hAnsi="Arial" w:cs="Arial"/>
                <w:sz w:val="20"/>
                <w:szCs w:val="20"/>
                <w:vertAlign w:val="superscript"/>
              </w:rPr>
              <w:t>2</w:t>
            </w:r>
            <w:r w:rsidRPr="00B53B51">
              <w:rPr>
                <w:rFonts w:ascii="Arial" w:hAnsi="Arial" w:cs="Arial"/>
                <w:sz w:val="20"/>
                <w:szCs w:val="20"/>
              </w:rPr>
              <w:t xml:space="preserve"> IV</w:t>
            </w:r>
          </w:p>
        </w:tc>
        <w:tc>
          <w:tcPr>
            <w:tcW w:w="380" w:type="dxa"/>
            <w:tcBorders>
              <w:bottom w:val="single" w:sz="4" w:space="0" w:color="auto"/>
            </w:tcBorders>
            <w:vAlign w:val="center"/>
          </w:tcPr>
          <w:p w14:paraId="5C14278B" w14:textId="77777777" w:rsidR="00DA67E8" w:rsidRPr="00B53B51" w:rsidRDefault="00DA67E8" w:rsidP="00AC7C14">
            <w:pPr>
              <w:tabs>
                <w:tab w:val="left" w:pos="900"/>
              </w:tabs>
              <w:jc w:val="center"/>
              <w:rPr>
                <w:rFonts w:ascii="Arial" w:hAnsi="Arial" w:cs="Arial"/>
                <w:sz w:val="20"/>
              </w:rPr>
            </w:pPr>
            <w:r w:rsidRPr="00B53B51">
              <w:rPr>
                <w:rFonts w:ascii="Arial" w:hAnsi="Arial" w:cs="Arial"/>
                <w:sz w:val="20"/>
              </w:rPr>
              <w:t>X</w:t>
            </w:r>
          </w:p>
        </w:tc>
        <w:tc>
          <w:tcPr>
            <w:tcW w:w="381" w:type="dxa"/>
            <w:tcBorders>
              <w:bottom w:val="single" w:sz="4" w:space="0" w:color="auto"/>
            </w:tcBorders>
            <w:vAlign w:val="center"/>
          </w:tcPr>
          <w:p w14:paraId="0C3DE4A7"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3D799663"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7C8B24E2"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0112F8E7"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4FE360B4"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6101A85D"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17A4EE53"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2D57A744"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16B8AFA0"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46365162"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2CDD08A6"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36A19F4C"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7168FC06"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63997514"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112D66B2"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15C979C2"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6D50B8B4"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4CCAB831"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180911BC" w14:textId="77777777" w:rsidR="00DA67E8" w:rsidRPr="00B53B51" w:rsidRDefault="00DA67E8" w:rsidP="00AC7C14">
            <w:pPr>
              <w:tabs>
                <w:tab w:val="left" w:pos="900"/>
              </w:tabs>
              <w:jc w:val="center"/>
              <w:rPr>
                <w:rFonts w:ascii="Arial" w:hAnsi="Arial" w:cs="Arial"/>
                <w:sz w:val="20"/>
              </w:rPr>
            </w:pPr>
          </w:p>
        </w:tc>
        <w:tc>
          <w:tcPr>
            <w:tcW w:w="381" w:type="dxa"/>
            <w:tcBorders>
              <w:bottom w:val="single" w:sz="4" w:space="0" w:color="auto"/>
            </w:tcBorders>
            <w:vAlign w:val="center"/>
          </w:tcPr>
          <w:p w14:paraId="2EFA1C49" w14:textId="77777777" w:rsidR="00DA67E8" w:rsidRPr="00B53B51" w:rsidRDefault="00DA67E8" w:rsidP="00AC7C14">
            <w:pPr>
              <w:tabs>
                <w:tab w:val="left" w:pos="900"/>
              </w:tabs>
              <w:jc w:val="center"/>
              <w:rPr>
                <w:rFonts w:ascii="Arial" w:hAnsi="Arial" w:cs="Arial"/>
                <w:sz w:val="20"/>
              </w:rPr>
            </w:pPr>
          </w:p>
        </w:tc>
      </w:tr>
    </w:tbl>
    <w:p w14:paraId="644061B3" w14:textId="77777777" w:rsidR="00DA67E8" w:rsidRPr="00B53B51" w:rsidRDefault="00DA67E8" w:rsidP="00F66DCA">
      <w:pPr>
        <w:pStyle w:val="Normal1"/>
        <w:rPr>
          <w:sz w:val="20"/>
        </w:rPr>
      </w:pPr>
      <w:r w:rsidRPr="00B53B51">
        <w:rPr>
          <w:sz w:val="20"/>
        </w:rPr>
        <w:t>*Dose determined by which cohort the patient has been assigned to at registration</w:t>
      </w:r>
    </w:p>
    <w:p w14:paraId="14F10571" w14:textId="77777777" w:rsidR="00DA67E8" w:rsidRPr="00B53B51" w:rsidRDefault="00DA67E8" w:rsidP="00FC20CF">
      <w:pPr>
        <w:pStyle w:val="Heading3"/>
        <w:ind w:left="851" w:hanging="851"/>
      </w:pPr>
      <w:bookmarkStart w:id="328" w:name="_Toc471826758"/>
      <w:bookmarkStart w:id="329" w:name="_Toc528323524"/>
      <w:r w:rsidRPr="00B53B51">
        <w:t xml:space="preserve">Determining the </w:t>
      </w:r>
      <w:r>
        <w:t>ganetespib</w:t>
      </w:r>
      <w:r w:rsidRPr="00B53B51">
        <w:t xml:space="preserve"> dose from t</w:t>
      </w:r>
      <w:r>
        <w:t>he phase I trial to be used in p</w:t>
      </w:r>
      <w:r w:rsidRPr="00B53B51">
        <w:t>hase II (maximum tolerated dose, MTD)</w:t>
      </w:r>
      <w:bookmarkEnd w:id="328"/>
      <w:bookmarkEnd w:id="329"/>
    </w:p>
    <w:p w14:paraId="7D6A8BBA" w14:textId="77777777" w:rsidR="00DA67E8" w:rsidRPr="00B53B51" w:rsidRDefault="00DA67E8" w:rsidP="00B53B51">
      <w:pPr>
        <w:jc w:val="both"/>
        <w:rPr>
          <w:rFonts w:ascii="Arial" w:hAnsi="Arial" w:cs="Arial"/>
          <w:bCs/>
          <w:sz w:val="22"/>
          <w:szCs w:val="22"/>
        </w:rPr>
      </w:pPr>
      <w:r w:rsidRPr="00B53B51">
        <w:rPr>
          <w:rFonts w:ascii="Arial" w:hAnsi="Arial" w:cs="Arial"/>
          <w:bCs/>
          <w:sz w:val="22"/>
          <w:szCs w:val="22"/>
        </w:rPr>
        <w:t xml:space="preserve">DLTs used to determine dose-escalation or expanding the cohort size will be based on those seen in </w:t>
      </w:r>
      <w:r>
        <w:rPr>
          <w:rFonts w:ascii="Arial" w:hAnsi="Arial" w:cs="Arial"/>
          <w:bCs/>
          <w:sz w:val="22"/>
          <w:szCs w:val="22"/>
        </w:rPr>
        <w:t>treatment</w:t>
      </w:r>
      <w:r w:rsidRPr="00B53B51">
        <w:rPr>
          <w:rFonts w:ascii="Arial" w:hAnsi="Arial" w:cs="Arial"/>
          <w:bCs/>
          <w:sz w:val="22"/>
          <w:szCs w:val="22"/>
        </w:rPr>
        <w:t xml:space="preserve"> Cycles 1 and 2.</w:t>
      </w:r>
    </w:p>
    <w:p w14:paraId="7B7F49F0" w14:textId="77777777" w:rsidR="00DA67E8" w:rsidRPr="00B53B51" w:rsidRDefault="00DA67E8" w:rsidP="00B53B51">
      <w:pPr>
        <w:tabs>
          <w:tab w:val="left" w:pos="720"/>
        </w:tabs>
        <w:jc w:val="both"/>
        <w:rPr>
          <w:rFonts w:ascii="Arial" w:hAnsi="Arial" w:cs="Arial"/>
          <w:b/>
          <w:bCs/>
          <w:sz w:val="22"/>
        </w:rPr>
      </w:pPr>
    </w:p>
    <w:p w14:paraId="5D4487A1" w14:textId="77777777" w:rsidR="00DA67E8" w:rsidRPr="00217FA9" w:rsidRDefault="00DA67E8" w:rsidP="002F600D">
      <w:pPr>
        <w:numPr>
          <w:ilvl w:val="0"/>
          <w:numId w:val="4"/>
        </w:numPr>
        <w:ind w:left="714" w:hanging="357"/>
        <w:jc w:val="both"/>
        <w:rPr>
          <w:rFonts w:ascii="Arial" w:hAnsi="Arial" w:cs="Arial"/>
          <w:sz w:val="22"/>
          <w:szCs w:val="22"/>
        </w:rPr>
      </w:pPr>
      <w:r w:rsidRPr="00B53B51">
        <w:rPr>
          <w:rFonts w:ascii="Arial" w:hAnsi="Arial" w:cs="Arial"/>
          <w:bCs/>
          <w:sz w:val="22"/>
          <w:szCs w:val="22"/>
        </w:rPr>
        <w:t xml:space="preserve">In </w:t>
      </w:r>
      <w:r w:rsidRPr="00217FA9">
        <w:rPr>
          <w:rFonts w:ascii="Arial" w:hAnsi="Arial" w:cs="Arial"/>
          <w:sz w:val="22"/>
          <w:szCs w:val="22"/>
        </w:rPr>
        <w:t>each cohort, if there are no DLTs among the first 3 patients, then the next cohort will commence.</w:t>
      </w:r>
    </w:p>
    <w:p w14:paraId="291406AE" w14:textId="77777777" w:rsidR="00DA67E8" w:rsidRPr="00B53B51" w:rsidRDefault="00DA67E8" w:rsidP="002F600D">
      <w:pPr>
        <w:numPr>
          <w:ilvl w:val="0"/>
          <w:numId w:val="4"/>
        </w:numPr>
        <w:ind w:left="714" w:hanging="357"/>
        <w:jc w:val="both"/>
        <w:rPr>
          <w:rFonts w:ascii="Arial" w:hAnsi="Arial" w:cs="Arial"/>
          <w:bCs/>
          <w:sz w:val="22"/>
          <w:szCs w:val="22"/>
        </w:rPr>
      </w:pPr>
      <w:r w:rsidRPr="00217FA9">
        <w:rPr>
          <w:rFonts w:ascii="Arial" w:hAnsi="Arial" w:cs="Arial"/>
          <w:sz w:val="22"/>
          <w:szCs w:val="22"/>
        </w:rPr>
        <w:t>If there</w:t>
      </w:r>
      <w:r w:rsidRPr="00B53B51">
        <w:rPr>
          <w:rFonts w:ascii="Arial" w:hAnsi="Arial" w:cs="Arial"/>
          <w:bCs/>
          <w:sz w:val="22"/>
          <w:szCs w:val="22"/>
        </w:rPr>
        <w:t xml:space="preserve"> is 1 DLT, another 3 patients will be added to the current cohort. </w:t>
      </w:r>
    </w:p>
    <w:p w14:paraId="0050F6DD" w14:textId="77777777" w:rsidR="00DA67E8" w:rsidRPr="00B53B51" w:rsidRDefault="00DA67E8" w:rsidP="002F600D">
      <w:pPr>
        <w:numPr>
          <w:ilvl w:val="1"/>
          <w:numId w:val="17"/>
        </w:numPr>
        <w:ind w:left="1418" w:hanging="425"/>
        <w:jc w:val="both"/>
        <w:rPr>
          <w:rFonts w:ascii="Arial" w:hAnsi="Arial" w:cs="Arial"/>
          <w:bCs/>
          <w:sz w:val="22"/>
          <w:szCs w:val="22"/>
        </w:rPr>
      </w:pPr>
      <w:r w:rsidRPr="00B53B51">
        <w:rPr>
          <w:rFonts w:ascii="Arial" w:hAnsi="Arial" w:cs="Arial"/>
          <w:bCs/>
          <w:sz w:val="22"/>
          <w:szCs w:val="22"/>
        </w:rPr>
        <w:t>If there are no further DLTs (i.e. 1 DLT in 6 patients), the next cohort can commence.</w:t>
      </w:r>
    </w:p>
    <w:p w14:paraId="3D1B31DC" w14:textId="77777777" w:rsidR="00DA67E8" w:rsidRPr="00B53B51" w:rsidRDefault="00DA67E8" w:rsidP="002F600D">
      <w:pPr>
        <w:numPr>
          <w:ilvl w:val="1"/>
          <w:numId w:val="17"/>
        </w:numPr>
        <w:ind w:left="1418" w:hanging="425"/>
        <w:jc w:val="both"/>
        <w:rPr>
          <w:rFonts w:ascii="Arial" w:hAnsi="Arial" w:cs="Arial"/>
          <w:bCs/>
          <w:sz w:val="22"/>
          <w:szCs w:val="22"/>
        </w:rPr>
      </w:pPr>
      <w:r w:rsidRPr="00B53B51">
        <w:rPr>
          <w:rFonts w:ascii="Arial" w:hAnsi="Arial" w:cs="Arial"/>
          <w:bCs/>
          <w:sz w:val="22"/>
          <w:szCs w:val="22"/>
        </w:rPr>
        <w:t>If at least 2 out of the 6 patients have a DLT, the trial dose escalation stops and no higher dose is used.</w:t>
      </w:r>
    </w:p>
    <w:p w14:paraId="575499E4" w14:textId="77777777" w:rsidR="00791070" w:rsidRPr="00B53B51" w:rsidRDefault="00791070" w:rsidP="00791070">
      <w:pPr>
        <w:jc w:val="both"/>
        <w:rPr>
          <w:rFonts w:ascii="Arial" w:hAnsi="Arial" w:cs="Arial"/>
          <w:bCs/>
          <w:sz w:val="22"/>
          <w:szCs w:val="22"/>
        </w:rPr>
      </w:pPr>
    </w:p>
    <w:p w14:paraId="63A0A74D" w14:textId="77777777" w:rsidR="004609F8" w:rsidRDefault="00791070" w:rsidP="00791070">
      <w:pPr>
        <w:jc w:val="both"/>
        <w:rPr>
          <w:rFonts w:ascii="Arial" w:hAnsi="Arial" w:cs="Arial"/>
          <w:bCs/>
          <w:sz w:val="22"/>
          <w:szCs w:val="22"/>
        </w:rPr>
      </w:pPr>
      <w:r w:rsidRPr="00B53B51">
        <w:rPr>
          <w:rFonts w:ascii="Arial" w:hAnsi="Arial" w:cs="Arial"/>
          <w:bCs/>
          <w:sz w:val="22"/>
          <w:szCs w:val="22"/>
        </w:rPr>
        <w:t>Th</w:t>
      </w:r>
      <w:r>
        <w:rPr>
          <w:rFonts w:ascii="Arial" w:hAnsi="Arial" w:cs="Arial"/>
          <w:bCs/>
          <w:sz w:val="22"/>
          <w:szCs w:val="22"/>
        </w:rPr>
        <w:t>e dose to be used in Phase II will be</w:t>
      </w:r>
      <w:r w:rsidRPr="00B53B51">
        <w:rPr>
          <w:rFonts w:ascii="Arial" w:hAnsi="Arial" w:cs="Arial"/>
          <w:bCs/>
          <w:sz w:val="22"/>
          <w:szCs w:val="22"/>
        </w:rPr>
        <w:t xml:space="preserve"> the highest dose </w:t>
      </w:r>
      <w:r>
        <w:rPr>
          <w:rFonts w:ascii="Arial" w:hAnsi="Arial" w:cs="Arial"/>
          <w:bCs/>
          <w:sz w:val="22"/>
          <w:szCs w:val="22"/>
        </w:rPr>
        <w:t xml:space="preserve">in the phase I where there is an acceptable safety profile and where </w:t>
      </w:r>
      <w:r w:rsidR="002D27C4">
        <w:rPr>
          <w:rFonts w:ascii="Arial" w:hAnsi="Arial" w:cs="Arial"/>
          <w:bCs/>
          <w:sz w:val="22"/>
          <w:szCs w:val="22"/>
        </w:rPr>
        <w:t xml:space="preserve">either 0 DLTs were experienced in 3 patients or </w:t>
      </w:r>
      <w:r w:rsidRPr="00B53B51">
        <w:rPr>
          <w:rFonts w:ascii="Arial" w:hAnsi="Arial" w:cs="Arial"/>
          <w:bCs/>
          <w:sz w:val="22"/>
          <w:szCs w:val="22"/>
        </w:rPr>
        <w:t xml:space="preserve">only 1 DLT </w:t>
      </w:r>
      <w:r>
        <w:rPr>
          <w:rFonts w:ascii="Arial" w:hAnsi="Arial" w:cs="Arial"/>
          <w:bCs/>
          <w:sz w:val="22"/>
          <w:szCs w:val="22"/>
        </w:rPr>
        <w:t xml:space="preserve">was experienced </w:t>
      </w:r>
      <w:r w:rsidRPr="00B53B51">
        <w:rPr>
          <w:rFonts w:ascii="Arial" w:hAnsi="Arial" w:cs="Arial"/>
          <w:bCs/>
          <w:sz w:val="22"/>
          <w:szCs w:val="22"/>
        </w:rPr>
        <w:t xml:space="preserve">out of 6 </w:t>
      </w:r>
      <w:r w:rsidR="003220D2" w:rsidRPr="00B53B51">
        <w:rPr>
          <w:rFonts w:ascii="Arial" w:hAnsi="Arial" w:cs="Arial"/>
          <w:bCs/>
          <w:sz w:val="22"/>
          <w:szCs w:val="22"/>
        </w:rPr>
        <w:t>patients</w:t>
      </w:r>
      <w:r w:rsidR="003220D2">
        <w:rPr>
          <w:rFonts w:ascii="Arial" w:hAnsi="Arial" w:cs="Arial"/>
          <w:bCs/>
          <w:sz w:val="22"/>
          <w:szCs w:val="22"/>
        </w:rPr>
        <w:t>.</w:t>
      </w:r>
      <w:r w:rsidR="00DA67E8">
        <w:rPr>
          <w:rFonts w:ascii="Arial" w:hAnsi="Arial" w:cs="Arial"/>
          <w:bCs/>
          <w:sz w:val="22"/>
          <w:szCs w:val="22"/>
        </w:rPr>
        <w:t xml:space="preserve"> </w:t>
      </w:r>
      <w:r w:rsidR="00FF4B02">
        <w:rPr>
          <w:rFonts w:ascii="Arial" w:hAnsi="Arial" w:cs="Arial"/>
          <w:bCs/>
          <w:sz w:val="22"/>
          <w:szCs w:val="22"/>
        </w:rPr>
        <w:t xml:space="preserve">In order to confirm tolerability and safety and establish the MTD, </w:t>
      </w:r>
      <w:r w:rsidR="006162CD">
        <w:rPr>
          <w:rFonts w:ascii="Arial" w:hAnsi="Arial" w:cs="Arial"/>
          <w:bCs/>
          <w:sz w:val="22"/>
          <w:szCs w:val="22"/>
        </w:rPr>
        <w:t xml:space="preserve">a </w:t>
      </w:r>
      <w:r w:rsidR="00FF4B02">
        <w:rPr>
          <w:rFonts w:ascii="Arial" w:hAnsi="Arial" w:cs="Arial"/>
          <w:bCs/>
          <w:sz w:val="22"/>
          <w:szCs w:val="22"/>
        </w:rPr>
        <w:t>f</w:t>
      </w:r>
      <w:r w:rsidR="002D27C4">
        <w:rPr>
          <w:rFonts w:ascii="Arial" w:hAnsi="Arial" w:cs="Arial"/>
          <w:bCs/>
          <w:sz w:val="22"/>
          <w:szCs w:val="22"/>
        </w:rPr>
        <w:t>urther</w:t>
      </w:r>
      <w:r w:rsidR="00DA67E8">
        <w:rPr>
          <w:rFonts w:ascii="Arial" w:hAnsi="Arial" w:cs="Arial"/>
          <w:bCs/>
          <w:sz w:val="22"/>
          <w:szCs w:val="22"/>
        </w:rPr>
        <w:t xml:space="preserve"> </w:t>
      </w:r>
      <w:r w:rsidR="00783E0E">
        <w:rPr>
          <w:rFonts w:ascii="Arial" w:hAnsi="Arial" w:cs="Arial"/>
          <w:bCs/>
          <w:sz w:val="22"/>
          <w:szCs w:val="22"/>
        </w:rPr>
        <w:t>3/</w:t>
      </w:r>
      <w:r w:rsidR="006162CD">
        <w:rPr>
          <w:rFonts w:ascii="Arial" w:hAnsi="Arial" w:cs="Arial"/>
          <w:bCs/>
          <w:sz w:val="22"/>
          <w:szCs w:val="22"/>
        </w:rPr>
        <w:t xml:space="preserve">6 </w:t>
      </w:r>
      <w:r w:rsidR="00DA67E8">
        <w:rPr>
          <w:rFonts w:ascii="Arial" w:hAnsi="Arial" w:cs="Arial"/>
          <w:bCs/>
          <w:sz w:val="22"/>
          <w:szCs w:val="22"/>
        </w:rPr>
        <w:t xml:space="preserve">patients </w:t>
      </w:r>
      <w:r w:rsidR="00DA67E8" w:rsidRPr="00B53B51">
        <w:rPr>
          <w:rFonts w:ascii="Arial" w:hAnsi="Arial" w:cs="Arial"/>
          <w:bCs/>
          <w:sz w:val="22"/>
          <w:szCs w:val="22"/>
        </w:rPr>
        <w:t>will be rec</w:t>
      </w:r>
      <w:r w:rsidR="00DA67E8">
        <w:rPr>
          <w:rFonts w:ascii="Arial" w:hAnsi="Arial" w:cs="Arial"/>
          <w:bCs/>
          <w:sz w:val="22"/>
          <w:szCs w:val="22"/>
        </w:rPr>
        <w:t xml:space="preserve">ruited </w:t>
      </w:r>
      <w:r w:rsidR="009B7297">
        <w:rPr>
          <w:rFonts w:ascii="Arial" w:hAnsi="Arial" w:cs="Arial"/>
          <w:bCs/>
          <w:sz w:val="22"/>
          <w:szCs w:val="22"/>
        </w:rPr>
        <w:t>to receive this same dose of ganetespib</w:t>
      </w:r>
      <w:r w:rsidR="006162CD">
        <w:rPr>
          <w:rFonts w:ascii="Arial" w:hAnsi="Arial" w:cs="Arial"/>
          <w:bCs/>
          <w:sz w:val="22"/>
          <w:szCs w:val="22"/>
        </w:rPr>
        <w:t>,</w:t>
      </w:r>
      <w:r w:rsidR="009B7297">
        <w:rPr>
          <w:rFonts w:ascii="Arial" w:hAnsi="Arial" w:cs="Arial"/>
          <w:bCs/>
          <w:sz w:val="22"/>
          <w:szCs w:val="22"/>
        </w:rPr>
        <w:t xml:space="preserve"> </w:t>
      </w:r>
      <w:r w:rsidR="002D27C4">
        <w:rPr>
          <w:rFonts w:ascii="Arial" w:hAnsi="Arial" w:cs="Arial"/>
          <w:bCs/>
          <w:sz w:val="22"/>
          <w:szCs w:val="22"/>
        </w:rPr>
        <w:t xml:space="preserve">to give a total of 9 </w:t>
      </w:r>
      <w:r w:rsidR="006162CD">
        <w:rPr>
          <w:rFonts w:ascii="Arial" w:hAnsi="Arial" w:cs="Arial"/>
          <w:bCs/>
          <w:sz w:val="22"/>
          <w:szCs w:val="22"/>
        </w:rPr>
        <w:t xml:space="preserve">with that </w:t>
      </w:r>
      <w:r w:rsidR="00E4408C">
        <w:rPr>
          <w:rFonts w:ascii="Arial" w:hAnsi="Arial" w:cs="Arial"/>
          <w:bCs/>
          <w:sz w:val="22"/>
          <w:szCs w:val="22"/>
        </w:rPr>
        <w:t xml:space="preserve">dose. </w:t>
      </w:r>
    </w:p>
    <w:p w14:paraId="253F2F42" w14:textId="77777777" w:rsidR="00DE5FEC" w:rsidRDefault="00DE5FEC" w:rsidP="00791070">
      <w:pPr>
        <w:jc w:val="both"/>
        <w:rPr>
          <w:rFonts w:ascii="Arial" w:hAnsi="Arial" w:cs="Arial"/>
          <w:bCs/>
          <w:i/>
          <w:sz w:val="22"/>
          <w:szCs w:val="22"/>
        </w:rPr>
      </w:pPr>
    </w:p>
    <w:p w14:paraId="0404BB3D" w14:textId="77777777" w:rsidR="003A1984" w:rsidRPr="00857CAA" w:rsidRDefault="003A1984" w:rsidP="00791070">
      <w:pPr>
        <w:jc w:val="both"/>
        <w:rPr>
          <w:rFonts w:ascii="Arial" w:hAnsi="Arial" w:cs="Arial"/>
          <w:bCs/>
          <w:i/>
          <w:sz w:val="22"/>
          <w:szCs w:val="22"/>
        </w:rPr>
      </w:pPr>
      <w:r w:rsidRPr="00857CAA">
        <w:rPr>
          <w:rFonts w:ascii="Arial" w:hAnsi="Arial" w:cs="Arial"/>
          <w:bCs/>
          <w:i/>
          <w:sz w:val="22"/>
          <w:szCs w:val="22"/>
        </w:rPr>
        <w:t>Using carboplatin instead of cisplatin</w:t>
      </w:r>
    </w:p>
    <w:p w14:paraId="448FD8D8" w14:textId="77777777" w:rsidR="003A1984" w:rsidRDefault="007629E4" w:rsidP="00791070">
      <w:pPr>
        <w:jc w:val="both"/>
        <w:rPr>
          <w:rFonts w:ascii="Arial" w:hAnsi="Arial" w:cs="Arial"/>
          <w:bCs/>
          <w:sz w:val="22"/>
          <w:szCs w:val="22"/>
        </w:rPr>
      </w:pPr>
      <w:r>
        <w:rPr>
          <w:rFonts w:ascii="Arial" w:hAnsi="Arial" w:cs="Arial"/>
          <w:bCs/>
          <w:sz w:val="22"/>
          <w:szCs w:val="22"/>
        </w:rPr>
        <w:t xml:space="preserve">There will be </w:t>
      </w:r>
      <w:r w:rsidR="003A1984">
        <w:rPr>
          <w:rFonts w:ascii="Arial" w:hAnsi="Arial" w:cs="Arial"/>
          <w:bCs/>
          <w:sz w:val="22"/>
          <w:szCs w:val="22"/>
        </w:rPr>
        <w:t>additional patients to be treated with carboplatin (AUC5)</w:t>
      </w:r>
      <w:r>
        <w:rPr>
          <w:rFonts w:ascii="Arial" w:hAnsi="Arial" w:cs="Arial"/>
          <w:bCs/>
          <w:sz w:val="22"/>
          <w:szCs w:val="22"/>
        </w:rPr>
        <w:t xml:space="preserve"> instead of cisplatin</w:t>
      </w:r>
      <w:r w:rsidR="003A1984">
        <w:rPr>
          <w:rFonts w:ascii="Arial" w:hAnsi="Arial" w:cs="Arial"/>
          <w:bCs/>
          <w:sz w:val="22"/>
          <w:szCs w:val="22"/>
        </w:rPr>
        <w:t>. If treatment with carboplatin is confirmed to be safe and tolerable, the option of treating patients with either cisplatin or carboplatin during phase II will be taken</w:t>
      </w:r>
      <w:r w:rsidR="003A1984" w:rsidRPr="00B53B51">
        <w:rPr>
          <w:rFonts w:ascii="Arial" w:hAnsi="Arial" w:cs="Arial"/>
          <w:bCs/>
          <w:sz w:val="22"/>
          <w:szCs w:val="22"/>
        </w:rPr>
        <w:t>.</w:t>
      </w:r>
      <w:r w:rsidR="003A1984">
        <w:rPr>
          <w:rFonts w:ascii="Arial" w:hAnsi="Arial" w:cs="Arial"/>
          <w:bCs/>
          <w:sz w:val="22"/>
          <w:szCs w:val="22"/>
        </w:rPr>
        <w:t xml:space="preserve"> The evaluation will be done as follows (using an accelerated titrated phase I design):</w:t>
      </w:r>
    </w:p>
    <w:p w14:paraId="5D7EAD76" w14:textId="77777777" w:rsidR="003A1984" w:rsidRDefault="003A1984" w:rsidP="00791070">
      <w:pPr>
        <w:jc w:val="both"/>
        <w:rPr>
          <w:rFonts w:ascii="Arial" w:hAnsi="Arial" w:cs="Arial"/>
          <w:bCs/>
          <w:sz w:val="22"/>
          <w:szCs w:val="22"/>
        </w:rPr>
      </w:pPr>
    </w:p>
    <w:p w14:paraId="5FD15D49" w14:textId="77777777" w:rsidR="003A1984" w:rsidRPr="00857CAA" w:rsidRDefault="003A1984" w:rsidP="00D65DE2">
      <w:pPr>
        <w:pStyle w:val="ListParagraph"/>
        <w:numPr>
          <w:ilvl w:val="0"/>
          <w:numId w:val="35"/>
        </w:numPr>
        <w:jc w:val="both"/>
        <w:rPr>
          <w:rFonts w:ascii="Arial" w:hAnsi="Arial" w:cs="Arial"/>
          <w:sz w:val="22"/>
          <w:szCs w:val="22"/>
        </w:rPr>
      </w:pPr>
      <w:r w:rsidRPr="00857CAA">
        <w:rPr>
          <w:rFonts w:ascii="Arial" w:hAnsi="Arial" w:cs="Arial"/>
          <w:bCs/>
          <w:sz w:val="22"/>
          <w:szCs w:val="22"/>
        </w:rPr>
        <w:t xml:space="preserve">1 patient to be given carboplatin, with </w:t>
      </w:r>
      <w:r w:rsidRPr="00857CAA">
        <w:rPr>
          <w:rFonts w:ascii="Arial" w:hAnsi="Arial" w:cs="Arial"/>
          <w:sz w:val="22"/>
          <w:szCs w:val="22"/>
        </w:rPr>
        <w:t>100 mg/m</w:t>
      </w:r>
      <w:r w:rsidRPr="00857CAA">
        <w:rPr>
          <w:rFonts w:ascii="Arial" w:hAnsi="Arial" w:cs="Arial"/>
          <w:sz w:val="22"/>
          <w:szCs w:val="22"/>
          <w:vertAlign w:val="superscript"/>
        </w:rPr>
        <w:t>2</w:t>
      </w:r>
      <w:r w:rsidRPr="00857CAA">
        <w:rPr>
          <w:rFonts w:ascii="Arial" w:hAnsi="Arial" w:cs="Arial"/>
          <w:sz w:val="22"/>
          <w:szCs w:val="22"/>
        </w:rPr>
        <w:t xml:space="preserve"> IV ganetespib and pemetrexed,</w:t>
      </w:r>
    </w:p>
    <w:p w14:paraId="7DF4960D" w14:textId="77777777" w:rsidR="003A1984" w:rsidRPr="00857CAA" w:rsidRDefault="003A1984" w:rsidP="00D65DE2">
      <w:pPr>
        <w:pStyle w:val="ListParagraph"/>
        <w:numPr>
          <w:ilvl w:val="0"/>
          <w:numId w:val="35"/>
        </w:numPr>
        <w:jc w:val="both"/>
        <w:rPr>
          <w:rFonts w:ascii="Arial" w:hAnsi="Arial" w:cs="Arial"/>
          <w:sz w:val="22"/>
          <w:szCs w:val="22"/>
        </w:rPr>
      </w:pPr>
      <w:r w:rsidRPr="00857CAA">
        <w:rPr>
          <w:rFonts w:ascii="Arial" w:hAnsi="Arial" w:cs="Arial"/>
          <w:sz w:val="22"/>
          <w:szCs w:val="22"/>
        </w:rPr>
        <w:t>If there are no DLTs, the second patient is given 150 mg/m</w:t>
      </w:r>
      <w:r w:rsidRPr="00857CAA">
        <w:rPr>
          <w:rFonts w:ascii="Arial" w:hAnsi="Arial" w:cs="Arial"/>
          <w:sz w:val="22"/>
          <w:szCs w:val="22"/>
          <w:vertAlign w:val="superscript"/>
        </w:rPr>
        <w:t>2</w:t>
      </w:r>
      <w:r w:rsidRPr="00857CAA">
        <w:rPr>
          <w:rFonts w:ascii="Arial" w:hAnsi="Arial" w:cs="Arial"/>
          <w:sz w:val="22"/>
          <w:szCs w:val="22"/>
        </w:rPr>
        <w:t xml:space="preserve"> IV ganetespib.</w:t>
      </w:r>
    </w:p>
    <w:p w14:paraId="2B2D7D71" w14:textId="77777777" w:rsidR="003A1984" w:rsidRPr="00857CAA" w:rsidRDefault="003A1984" w:rsidP="00D65DE2">
      <w:pPr>
        <w:pStyle w:val="ListParagraph"/>
        <w:numPr>
          <w:ilvl w:val="0"/>
          <w:numId w:val="35"/>
        </w:numPr>
        <w:jc w:val="both"/>
        <w:rPr>
          <w:rFonts w:ascii="Arial" w:hAnsi="Arial" w:cs="Arial"/>
          <w:sz w:val="22"/>
          <w:szCs w:val="22"/>
        </w:rPr>
      </w:pPr>
      <w:r w:rsidRPr="00857CAA">
        <w:rPr>
          <w:rFonts w:ascii="Arial" w:hAnsi="Arial" w:cs="Arial"/>
          <w:sz w:val="22"/>
          <w:szCs w:val="22"/>
        </w:rPr>
        <w:t>If a DLT occurs at either ganetespib dose, a 3+3 dose escalation design will begin</w:t>
      </w:r>
      <w:r w:rsidR="007629E4">
        <w:rPr>
          <w:rFonts w:ascii="Arial" w:hAnsi="Arial" w:cs="Arial"/>
          <w:sz w:val="22"/>
          <w:szCs w:val="22"/>
        </w:rPr>
        <w:t xml:space="preserve"> (as with cisplatin)</w:t>
      </w:r>
      <w:r w:rsidRPr="00857CAA">
        <w:rPr>
          <w:rFonts w:ascii="Arial" w:hAnsi="Arial" w:cs="Arial"/>
          <w:sz w:val="22"/>
          <w:szCs w:val="22"/>
        </w:rPr>
        <w:t>.</w:t>
      </w:r>
    </w:p>
    <w:p w14:paraId="0B321053" w14:textId="77777777" w:rsidR="009B1D25" w:rsidRPr="009B1D25" w:rsidRDefault="003A1984" w:rsidP="009B1D25">
      <w:pPr>
        <w:pStyle w:val="ListParagraph"/>
        <w:numPr>
          <w:ilvl w:val="0"/>
          <w:numId w:val="35"/>
        </w:numPr>
        <w:jc w:val="both"/>
        <w:rPr>
          <w:rFonts w:ascii="Arial" w:hAnsi="Arial" w:cs="Arial"/>
          <w:bCs/>
          <w:sz w:val="22"/>
          <w:szCs w:val="22"/>
        </w:rPr>
      </w:pPr>
      <w:r w:rsidRPr="00857CAA">
        <w:rPr>
          <w:rFonts w:ascii="Arial" w:hAnsi="Arial" w:cs="Arial"/>
          <w:sz w:val="22"/>
          <w:szCs w:val="22"/>
        </w:rPr>
        <w:t>If there are no DLTs at the two low ganetespib doses, the next 3 patients are given 200 mg/m</w:t>
      </w:r>
      <w:r w:rsidRPr="00857CAA">
        <w:rPr>
          <w:rFonts w:ascii="Arial" w:hAnsi="Arial" w:cs="Arial"/>
          <w:sz w:val="22"/>
          <w:szCs w:val="22"/>
          <w:vertAlign w:val="superscript"/>
        </w:rPr>
        <w:t>2</w:t>
      </w:r>
      <w:r w:rsidRPr="00857CAA">
        <w:rPr>
          <w:rFonts w:ascii="Arial" w:hAnsi="Arial" w:cs="Arial"/>
          <w:sz w:val="22"/>
          <w:szCs w:val="22"/>
        </w:rPr>
        <w:t xml:space="preserve"> IV ganetespib</w:t>
      </w:r>
      <w:r w:rsidR="007629E4">
        <w:rPr>
          <w:rFonts w:ascii="Arial" w:hAnsi="Arial" w:cs="Arial"/>
          <w:sz w:val="22"/>
          <w:szCs w:val="22"/>
        </w:rPr>
        <w:t xml:space="preserve">, expanded to 6 if there are 0 or 1 DLTs among the first 3. If there are 2 or 3 DLTs among the first 3 patients the MTD would be the next lowest ganetespib dose. </w:t>
      </w:r>
    </w:p>
    <w:p w14:paraId="1AA90371" w14:textId="77777777" w:rsidR="009B1D25" w:rsidRDefault="009B1D25" w:rsidP="009B1D25">
      <w:pPr>
        <w:ind w:left="780"/>
        <w:jc w:val="both"/>
        <w:rPr>
          <w:rFonts w:ascii="Arial" w:hAnsi="Arial" w:cs="Arial"/>
          <w:bCs/>
          <w:sz w:val="22"/>
          <w:szCs w:val="22"/>
        </w:rPr>
      </w:pPr>
    </w:p>
    <w:p w14:paraId="60F5BDDF" w14:textId="77777777" w:rsidR="009B1D25" w:rsidRDefault="009B1D25" w:rsidP="009B1D25">
      <w:pPr>
        <w:jc w:val="both"/>
        <w:rPr>
          <w:rFonts w:ascii="Arial" w:hAnsi="Arial" w:cs="Arial"/>
          <w:bCs/>
          <w:sz w:val="22"/>
          <w:szCs w:val="22"/>
        </w:rPr>
      </w:pPr>
      <w:r w:rsidRPr="009B1D25">
        <w:rPr>
          <w:rFonts w:ascii="Arial" w:hAnsi="Arial" w:cs="Arial"/>
          <w:bCs/>
          <w:sz w:val="22"/>
          <w:szCs w:val="22"/>
        </w:rPr>
        <w:t>Only a DLT occurring on Days 1-21 of Cycle 1 (out of the maximum of 6 cycles) will be considered for dose-escalation.  If multiple toxicities are seen, the dose administered should be based on the most severe toxicity</w:t>
      </w:r>
    </w:p>
    <w:p w14:paraId="4E81FA37" w14:textId="77777777" w:rsidR="009B1D25" w:rsidRDefault="009B1D25" w:rsidP="009B1D25">
      <w:pPr>
        <w:ind w:left="420"/>
        <w:jc w:val="both"/>
        <w:rPr>
          <w:rFonts w:ascii="Arial" w:hAnsi="Arial" w:cs="Arial"/>
          <w:bCs/>
          <w:sz w:val="22"/>
          <w:szCs w:val="22"/>
        </w:rPr>
      </w:pPr>
    </w:p>
    <w:p w14:paraId="6B68E087" w14:textId="77777777" w:rsidR="009B1D25" w:rsidRPr="009B1D25" w:rsidRDefault="009B1D25" w:rsidP="009B1D25">
      <w:pPr>
        <w:ind w:left="420"/>
        <w:jc w:val="both"/>
        <w:rPr>
          <w:rFonts w:ascii="Arial" w:hAnsi="Arial" w:cs="Arial"/>
          <w:bCs/>
          <w:sz w:val="22"/>
          <w:szCs w:val="22"/>
        </w:rPr>
      </w:pPr>
    </w:p>
    <w:p w14:paraId="317A7F00" w14:textId="77777777" w:rsidR="00655867" w:rsidRDefault="00655867" w:rsidP="00791070">
      <w:pPr>
        <w:jc w:val="both"/>
        <w:rPr>
          <w:rFonts w:ascii="Arial" w:hAnsi="Arial" w:cs="Arial"/>
          <w:bCs/>
          <w:sz w:val="22"/>
          <w:szCs w:val="22"/>
        </w:rPr>
      </w:pPr>
    </w:p>
    <w:p w14:paraId="4366E277" w14:textId="77777777" w:rsidR="00DA67E8" w:rsidRDefault="00E36C99" w:rsidP="00B53B51">
      <w:pPr>
        <w:jc w:val="both"/>
        <w:rPr>
          <w:rFonts w:ascii="Arial" w:hAnsi="Arial" w:cs="Arial"/>
          <w:bCs/>
        </w:rPr>
      </w:pPr>
      <w:r>
        <w:rPr>
          <w:rFonts w:ascii="Arial" w:hAnsi="Arial" w:cs="Arial"/>
          <w:bCs/>
        </w:rPr>
        <w:t>Carboplatin schedule:</w:t>
      </w:r>
    </w:p>
    <w:p w14:paraId="5D0AC34C" w14:textId="77777777" w:rsidR="00E36C99" w:rsidRPr="00543127" w:rsidRDefault="00E36C99" w:rsidP="00E36C99">
      <w:pPr>
        <w:snapToGrid w:val="0"/>
        <w:jc w:val="both"/>
        <w:rPr>
          <w:rFonts w:ascii="Arial" w:hAnsi="Arial" w:cs="Arial"/>
          <w:b/>
          <w:sz w:val="22"/>
        </w:rPr>
      </w:pPr>
      <w:r w:rsidRPr="000D4EA9">
        <w:rPr>
          <w:rFonts w:ascii="Arial" w:hAnsi="Arial"/>
          <w:b/>
          <w:sz w:val="22"/>
        </w:rPr>
        <w:lastRenderedPageBreak/>
        <w:t>Day 1</w:t>
      </w:r>
    </w:p>
    <w:p w14:paraId="00F3332C" w14:textId="77777777" w:rsidR="00E36C99" w:rsidRDefault="00E36C99" w:rsidP="00D65DE2">
      <w:pPr>
        <w:numPr>
          <w:ilvl w:val="0"/>
          <w:numId w:val="35"/>
        </w:numPr>
        <w:snapToGrid w:val="0"/>
        <w:ind w:left="742"/>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Pr>
          <w:rFonts w:ascii="Arial" w:hAnsi="Arial" w:cs="Arial"/>
          <w:sz w:val="22"/>
        </w:rPr>
        <w:t>-1 hour infusion at the proposed MTD</w:t>
      </w:r>
    </w:p>
    <w:p w14:paraId="0CFEDC6E" w14:textId="77777777" w:rsidR="00E36C99" w:rsidRDefault="00E36C99" w:rsidP="00D65DE2">
      <w:pPr>
        <w:numPr>
          <w:ilvl w:val="0"/>
          <w:numId w:val="35"/>
        </w:numPr>
        <w:snapToGrid w:val="0"/>
        <w:ind w:left="742"/>
        <w:jc w:val="both"/>
        <w:rPr>
          <w:rFonts w:ascii="Arial" w:hAnsi="Arial" w:cs="Arial"/>
          <w:sz w:val="22"/>
        </w:rPr>
      </w:pPr>
      <w:r>
        <w:rPr>
          <w:rFonts w:ascii="Arial" w:hAnsi="Arial" w:cs="Arial"/>
          <w:sz w:val="22"/>
        </w:rPr>
        <w:t>P</w:t>
      </w:r>
      <w:r w:rsidRPr="00983832">
        <w:rPr>
          <w:rFonts w:ascii="Arial" w:hAnsi="Arial" w:cs="Arial"/>
          <w:sz w:val="22"/>
        </w:rPr>
        <w:t>emetrexed 500mg/m</w:t>
      </w:r>
      <w:r w:rsidRPr="00983832">
        <w:rPr>
          <w:rFonts w:ascii="Arial" w:hAnsi="Arial" w:cs="Arial"/>
          <w:sz w:val="22"/>
          <w:vertAlign w:val="superscript"/>
        </w:rPr>
        <w:t>2</w:t>
      </w:r>
      <w:r w:rsidRPr="00983832">
        <w:rPr>
          <w:rFonts w:ascii="Arial" w:hAnsi="Arial" w:cs="Arial"/>
          <w:sz w:val="22"/>
        </w:rPr>
        <w:t xml:space="preserve"> IV </w:t>
      </w:r>
      <w:r>
        <w:rPr>
          <w:rFonts w:ascii="Arial" w:hAnsi="Arial" w:cs="Arial"/>
          <w:sz w:val="22"/>
        </w:rPr>
        <w:t xml:space="preserve">– infused </w:t>
      </w:r>
      <w:r w:rsidRPr="00983832">
        <w:rPr>
          <w:rFonts w:ascii="Arial" w:hAnsi="Arial" w:cs="Arial"/>
          <w:sz w:val="22"/>
        </w:rPr>
        <w:t>over 10 minutes</w:t>
      </w:r>
      <w:r>
        <w:rPr>
          <w:rFonts w:ascii="Arial" w:hAnsi="Arial" w:cs="Arial"/>
          <w:sz w:val="22"/>
        </w:rPr>
        <w:t xml:space="preserve"> </w:t>
      </w:r>
      <w:r w:rsidRPr="00983832">
        <w:rPr>
          <w:rFonts w:ascii="Arial" w:hAnsi="Arial" w:cs="Arial"/>
          <w:sz w:val="22"/>
        </w:rPr>
        <w:t>with vitamin B</w:t>
      </w:r>
      <w:r w:rsidRPr="00E25E51">
        <w:rPr>
          <w:rFonts w:ascii="Arial" w:hAnsi="Arial" w:cs="Arial"/>
          <w:sz w:val="22"/>
          <w:vertAlign w:val="subscript"/>
        </w:rPr>
        <w:t>12</w:t>
      </w:r>
      <w:r w:rsidRPr="00983832">
        <w:rPr>
          <w:rFonts w:ascii="Arial" w:hAnsi="Arial" w:cs="Arial"/>
          <w:sz w:val="22"/>
        </w:rPr>
        <w:t xml:space="preserve"> and folate supplementation as standard</w:t>
      </w:r>
      <w:r>
        <w:rPr>
          <w:rFonts w:ascii="Arial" w:hAnsi="Arial" w:cs="Arial"/>
          <w:sz w:val="22"/>
        </w:rPr>
        <w:t xml:space="preserve">. </w:t>
      </w:r>
      <w:r w:rsidRPr="00DB349B">
        <w:rPr>
          <w:rFonts w:ascii="Arial" w:hAnsi="Arial" w:cs="Arial"/>
          <w:sz w:val="22"/>
        </w:rPr>
        <w:t xml:space="preserve"> </w:t>
      </w:r>
      <w:r>
        <w:rPr>
          <w:rFonts w:ascii="Arial" w:hAnsi="Arial" w:cs="Arial"/>
          <w:sz w:val="22"/>
        </w:rPr>
        <w:t>Pemetrexed should be administered immediately after completion of the ganetespib infusion.</w:t>
      </w:r>
    </w:p>
    <w:p w14:paraId="285B1957" w14:textId="77777777" w:rsidR="00E36C99" w:rsidRDefault="00E36C99" w:rsidP="00D65DE2">
      <w:pPr>
        <w:numPr>
          <w:ilvl w:val="0"/>
          <w:numId w:val="35"/>
        </w:numPr>
        <w:snapToGrid w:val="0"/>
        <w:ind w:left="742"/>
        <w:jc w:val="both"/>
        <w:rPr>
          <w:rFonts w:ascii="Arial" w:hAnsi="Arial" w:cs="Arial"/>
          <w:sz w:val="22"/>
        </w:rPr>
      </w:pPr>
      <w:r>
        <w:rPr>
          <w:rFonts w:ascii="Arial" w:hAnsi="Arial" w:cs="Arial"/>
          <w:sz w:val="22"/>
        </w:rPr>
        <w:t>Carboplatin AUC5 IV infused over 30 minutes.</w:t>
      </w:r>
      <w:r w:rsidRPr="00DB349B">
        <w:rPr>
          <w:rFonts w:ascii="Arial" w:hAnsi="Arial" w:cs="Arial"/>
          <w:sz w:val="22"/>
        </w:rPr>
        <w:t xml:space="preserve"> </w:t>
      </w:r>
      <w:r>
        <w:rPr>
          <w:rFonts w:ascii="Arial" w:hAnsi="Arial" w:cs="Arial"/>
          <w:sz w:val="22"/>
        </w:rPr>
        <w:t>Carboplatin</w:t>
      </w:r>
      <w:r w:rsidRPr="00983832">
        <w:rPr>
          <w:rFonts w:ascii="Arial" w:hAnsi="Arial" w:cs="Arial"/>
          <w:sz w:val="22"/>
        </w:rPr>
        <w:t xml:space="preserve"> should be administered approximately 30 minutes after completion of the pemetrexed infusion.</w:t>
      </w:r>
    </w:p>
    <w:p w14:paraId="49E7F87B" w14:textId="77777777" w:rsidR="00E36C99" w:rsidRPr="00543127" w:rsidRDefault="00E36C99" w:rsidP="00E36C99">
      <w:pPr>
        <w:snapToGrid w:val="0"/>
        <w:jc w:val="both"/>
        <w:rPr>
          <w:rFonts w:ascii="Arial" w:hAnsi="Arial" w:cs="Arial"/>
          <w:b/>
          <w:sz w:val="22"/>
        </w:rPr>
      </w:pPr>
      <w:r>
        <w:rPr>
          <w:rFonts w:ascii="Arial" w:hAnsi="Arial" w:cs="Arial"/>
          <w:b/>
          <w:sz w:val="22"/>
        </w:rPr>
        <w:t>Day 15</w:t>
      </w:r>
      <w:r w:rsidRPr="00543127">
        <w:rPr>
          <w:rFonts w:ascii="Arial" w:hAnsi="Arial" w:cs="Arial"/>
          <w:b/>
          <w:sz w:val="22"/>
        </w:rPr>
        <w:t xml:space="preserve"> </w:t>
      </w:r>
    </w:p>
    <w:p w14:paraId="63346F05" w14:textId="77777777" w:rsidR="00E36C99" w:rsidRDefault="00E36C99" w:rsidP="00D65DE2">
      <w:pPr>
        <w:numPr>
          <w:ilvl w:val="0"/>
          <w:numId w:val="35"/>
        </w:numPr>
        <w:snapToGrid w:val="0"/>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Pr>
          <w:rFonts w:ascii="Arial" w:hAnsi="Arial" w:cs="Arial"/>
          <w:sz w:val="22"/>
        </w:rPr>
        <w:t>– 1 hour infusion at the proposed MTD</w:t>
      </w:r>
    </w:p>
    <w:p w14:paraId="6D93FD5D" w14:textId="77777777" w:rsidR="00E36C99" w:rsidRDefault="00E36C99" w:rsidP="00E36C99">
      <w:pPr>
        <w:snapToGrid w:val="0"/>
        <w:ind w:left="780"/>
        <w:jc w:val="both"/>
        <w:rPr>
          <w:rFonts w:ascii="Arial" w:hAnsi="Arial" w:cs="Arial"/>
          <w:sz w:val="22"/>
        </w:rPr>
      </w:pPr>
    </w:p>
    <w:p w14:paraId="616BBDDD" w14:textId="77777777" w:rsidR="00E36C99" w:rsidRDefault="00E36C99" w:rsidP="00E36C99">
      <w:pPr>
        <w:snapToGrid w:val="0"/>
        <w:spacing w:before="60"/>
        <w:jc w:val="both"/>
        <w:rPr>
          <w:rFonts w:ascii="Arial" w:hAnsi="Arial" w:cs="Arial"/>
          <w:sz w:val="18"/>
          <w:szCs w:val="18"/>
        </w:rPr>
      </w:pPr>
      <w:r w:rsidRPr="00450F2B">
        <w:rPr>
          <w:rFonts w:ascii="Arial" w:hAnsi="Arial" w:cs="Arial"/>
          <w:sz w:val="18"/>
          <w:szCs w:val="18"/>
        </w:rPr>
        <w:t>*</w:t>
      </w:r>
      <w:r>
        <w:rPr>
          <w:rFonts w:ascii="Arial" w:hAnsi="Arial" w:cs="Arial"/>
          <w:sz w:val="18"/>
          <w:szCs w:val="18"/>
        </w:rPr>
        <w:t xml:space="preserve">DuBois and DuBois formula is the recommended method to </w:t>
      </w:r>
      <w:r w:rsidRPr="00450F2B">
        <w:rPr>
          <w:rFonts w:ascii="Arial" w:hAnsi="Arial" w:cs="Arial"/>
          <w:sz w:val="18"/>
          <w:szCs w:val="18"/>
        </w:rPr>
        <w:t>be used for calculation of BSA</w:t>
      </w:r>
    </w:p>
    <w:p w14:paraId="7D5FA278" w14:textId="77777777" w:rsidR="00E36C99" w:rsidRPr="00217FA9" w:rsidRDefault="00E36C99" w:rsidP="00B53B51">
      <w:pPr>
        <w:jc w:val="both"/>
        <w:rPr>
          <w:rFonts w:ascii="Arial" w:hAnsi="Arial" w:cs="Arial"/>
          <w:bCs/>
        </w:rPr>
      </w:pPr>
    </w:p>
    <w:p w14:paraId="58E8D7F8" w14:textId="77777777" w:rsidR="00DA67E8" w:rsidRPr="00217FA9" w:rsidRDefault="00DA67E8" w:rsidP="00B53B51">
      <w:pPr>
        <w:pStyle w:val="NonContentsHeading"/>
        <w:rPr>
          <w:rFonts w:ascii="Arial" w:hAnsi="Arial" w:cs="Arial"/>
        </w:rPr>
      </w:pPr>
      <w:r w:rsidRPr="00217FA9">
        <w:rPr>
          <w:rFonts w:ascii="Arial" w:hAnsi="Arial" w:cs="Arial"/>
        </w:rPr>
        <w:t>Dose Limiting Toxicities: Definition</w:t>
      </w:r>
    </w:p>
    <w:p w14:paraId="77B22107" w14:textId="77777777" w:rsidR="00DA67E8" w:rsidRDefault="00DA67E8" w:rsidP="00B53B51">
      <w:pPr>
        <w:jc w:val="both"/>
        <w:rPr>
          <w:rFonts w:ascii="Arial" w:hAnsi="Arial" w:cs="Arial"/>
          <w:sz w:val="22"/>
          <w:szCs w:val="22"/>
        </w:rPr>
      </w:pPr>
      <w:r w:rsidRPr="00B53B51">
        <w:rPr>
          <w:rFonts w:ascii="Arial" w:hAnsi="Arial" w:cs="Arial"/>
          <w:sz w:val="22"/>
          <w:szCs w:val="22"/>
        </w:rPr>
        <w:t xml:space="preserve">Toxicities will be graded in severity according to the guidelines outlined in the National Cancer Institute Common Terminology Criteria for Adverse Events (NCI CTCAE) version 4.0.  In order to be declared a dose-limiting toxicity, an adverse experience must be related (definitely, probably, or possibly) to </w:t>
      </w:r>
      <w:r w:rsidR="002A1DC5">
        <w:rPr>
          <w:rFonts w:ascii="Arial" w:hAnsi="Arial" w:cs="Arial"/>
          <w:sz w:val="22"/>
          <w:szCs w:val="22"/>
        </w:rPr>
        <w:t>ganetespib</w:t>
      </w:r>
      <w:r w:rsidRPr="00B53B51">
        <w:rPr>
          <w:rFonts w:ascii="Arial" w:hAnsi="Arial" w:cs="Arial"/>
          <w:sz w:val="22"/>
          <w:szCs w:val="22"/>
        </w:rPr>
        <w:t xml:space="preserve"> therapy.  </w:t>
      </w:r>
    </w:p>
    <w:p w14:paraId="07AA04E1" w14:textId="77777777" w:rsidR="00DA67E8" w:rsidRDefault="00DA67E8" w:rsidP="00B53B51">
      <w:pPr>
        <w:jc w:val="both"/>
        <w:rPr>
          <w:rFonts w:ascii="Arial" w:hAnsi="Arial" w:cs="Arial"/>
          <w:sz w:val="22"/>
          <w:szCs w:val="22"/>
        </w:rPr>
      </w:pPr>
    </w:p>
    <w:p w14:paraId="2089DE9E" w14:textId="77777777" w:rsidR="00DA67E8" w:rsidRPr="00B53B51" w:rsidRDefault="00DA67E8" w:rsidP="00B53B51">
      <w:pPr>
        <w:jc w:val="both"/>
        <w:rPr>
          <w:rFonts w:ascii="Arial" w:hAnsi="Arial" w:cs="Arial"/>
          <w:sz w:val="22"/>
          <w:szCs w:val="22"/>
        </w:rPr>
      </w:pPr>
      <w:r w:rsidRPr="00B53B51">
        <w:rPr>
          <w:rFonts w:ascii="Arial" w:hAnsi="Arial" w:cs="Arial"/>
          <w:sz w:val="22"/>
          <w:szCs w:val="22"/>
        </w:rPr>
        <w:t xml:space="preserve">Only a DLT occurring on Days 1-21 of Cycles 1 or 2 (out of the maximum of 6 cycles) will be considered for dose-escalation.  If multiple toxicities are seen, the dose administered should be based on the most severe toxicity.  </w:t>
      </w:r>
    </w:p>
    <w:p w14:paraId="642E13AF" w14:textId="77777777" w:rsidR="00DA67E8" w:rsidRDefault="00DA67E8" w:rsidP="00B53B51">
      <w:pPr>
        <w:jc w:val="both"/>
        <w:rPr>
          <w:rFonts w:ascii="Arial" w:hAnsi="Arial" w:cs="Arial"/>
          <w:bCs/>
          <w:sz w:val="22"/>
          <w:szCs w:val="22"/>
        </w:rPr>
      </w:pPr>
    </w:p>
    <w:p w14:paraId="56B61AEE" w14:textId="77777777" w:rsidR="00DA67E8" w:rsidRDefault="00DA67E8" w:rsidP="00543431">
      <w:pPr>
        <w:autoSpaceDE w:val="0"/>
        <w:autoSpaceDN w:val="0"/>
        <w:adjustRightInd w:val="0"/>
        <w:rPr>
          <w:rFonts w:ascii="Arial" w:hAnsi="Arial" w:cs="Arial"/>
          <w:sz w:val="22"/>
          <w:szCs w:val="22"/>
          <w:lang w:eastAsia="en-GB"/>
        </w:rPr>
      </w:pPr>
      <w:r w:rsidRPr="00543431">
        <w:rPr>
          <w:rFonts w:ascii="Arial" w:hAnsi="Arial" w:cs="Arial"/>
          <w:sz w:val="22"/>
          <w:szCs w:val="22"/>
          <w:lang w:eastAsia="en-GB"/>
        </w:rPr>
        <w:t xml:space="preserve">A DLT is defined as </w:t>
      </w:r>
      <w:r>
        <w:rPr>
          <w:rFonts w:ascii="Arial" w:hAnsi="Arial" w:cs="Arial"/>
          <w:sz w:val="22"/>
          <w:szCs w:val="22"/>
          <w:lang w:eastAsia="en-GB"/>
        </w:rPr>
        <w:t>any of the following:</w:t>
      </w:r>
    </w:p>
    <w:p w14:paraId="23340E0E" w14:textId="77777777" w:rsidR="00DA67E8" w:rsidRPr="00FE1BBD" w:rsidRDefault="002A1DC5" w:rsidP="002F600D">
      <w:pPr>
        <w:numPr>
          <w:ilvl w:val="0"/>
          <w:numId w:val="4"/>
        </w:numPr>
        <w:ind w:left="714" w:hanging="357"/>
        <w:jc w:val="both"/>
        <w:rPr>
          <w:rFonts w:ascii="Arial" w:hAnsi="Arial" w:cs="Arial"/>
          <w:sz w:val="22"/>
          <w:szCs w:val="22"/>
        </w:rPr>
      </w:pPr>
      <w:r>
        <w:rPr>
          <w:rFonts w:ascii="Arial" w:hAnsi="Arial" w:cs="Arial"/>
          <w:sz w:val="22"/>
          <w:szCs w:val="22"/>
          <w:lang w:eastAsia="en-GB"/>
        </w:rPr>
        <w:t>Ganetespib</w:t>
      </w:r>
      <w:r w:rsidR="00DA67E8" w:rsidRPr="00FE1BBD">
        <w:rPr>
          <w:rFonts w:ascii="Arial" w:hAnsi="Arial" w:cs="Arial"/>
          <w:sz w:val="22"/>
          <w:szCs w:val="22"/>
          <w:lang w:eastAsia="en-GB"/>
        </w:rPr>
        <w:t xml:space="preserve"> related </w:t>
      </w:r>
      <w:r w:rsidR="00DA67E8" w:rsidRPr="00FE1BBD">
        <w:rPr>
          <w:rFonts w:ascii="Arial" w:hAnsi="Arial" w:cs="Arial"/>
          <w:sz w:val="22"/>
          <w:szCs w:val="22"/>
        </w:rPr>
        <w:t xml:space="preserve">grade 3 or 4 non-hematologic events except </w:t>
      </w:r>
      <w:r w:rsidR="00C72852" w:rsidRPr="00FE1BBD">
        <w:rPr>
          <w:rFonts w:ascii="Arial" w:hAnsi="Arial" w:cs="Arial"/>
          <w:sz w:val="22"/>
          <w:szCs w:val="22"/>
        </w:rPr>
        <w:t>diarrhoea</w:t>
      </w:r>
      <w:r w:rsidR="00DA67E8" w:rsidRPr="00FE1BBD">
        <w:rPr>
          <w:rFonts w:ascii="Arial" w:hAnsi="Arial" w:cs="Arial"/>
          <w:sz w:val="22"/>
          <w:szCs w:val="22"/>
        </w:rPr>
        <w:t>, nausea and vomiting</w:t>
      </w:r>
    </w:p>
    <w:p w14:paraId="1F0BF0A7" w14:textId="77777777" w:rsidR="00DA67E8" w:rsidRPr="00FE1BBD" w:rsidRDefault="002A1DC5" w:rsidP="002F600D">
      <w:pPr>
        <w:numPr>
          <w:ilvl w:val="0"/>
          <w:numId w:val="4"/>
        </w:numPr>
        <w:ind w:left="714" w:hanging="357"/>
        <w:jc w:val="both"/>
        <w:rPr>
          <w:rFonts w:ascii="Arial" w:hAnsi="Arial" w:cs="Arial"/>
          <w:sz w:val="22"/>
          <w:szCs w:val="22"/>
        </w:rPr>
      </w:pPr>
      <w:r>
        <w:rPr>
          <w:rFonts w:ascii="Arial" w:hAnsi="Arial" w:cs="Arial"/>
          <w:sz w:val="22"/>
          <w:szCs w:val="22"/>
        </w:rPr>
        <w:t>Ganetespib related d</w:t>
      </w:r>
      <w:r w:rsidR="00E15609">
        <w:rPr>
          <w:rFonts w:ascii="Arial" w:hAnsi="Arial" w:cs="Arial"/>
          <w:sz w:val="22"/>
          <w:szCs w:val="22"/>
        </w:rPr>
        <w:t>iarrhoea</w:t>
      </w:r>
      <w:r w:rsidR="00DA67E8" w:rsidRPr="00FE1BBD">
        <w:rPr>
          <w:rFonts w:ascii="Arial" w:hAnsi="Arial" w:cs="Arial"/>
          <w:sz w:val="22"/>
          <w:szCs w:val="22"/>
        </w:rPr>
        <w:t>, nausea or vomiting ≥ Grade 3) that lasts longer than 48 hours despite maximal medical therapy</w:t>
      </w:r>
    </w:p>
    <w:p w14:paraId="281BE7AC" w14:textId="77777777" w:rsidR="00DA67E8" w:rsidRPr="00FE1BBD" w:rsidRDefault="002A1DC5" w:rsidP="002F600D">
      <w:pPr>
        <w:numPr>
          <w:ilvl w:val="0"/>
          <w:numId w:val="4"/>
        </w:numPr>
        <w:ind w:left="714" w:hanging="357"/>
        <w:jc w:val="both"/>
        <w:rPr>
          <w:rFonts w:ascii="Arial" w:hAnsi="Arial" w:cs="Arial"/>
          <w:sz w:val="22"/>
          <w:szCs w:val="22"/>
        </w:rPr>
      </w:pPr>
      <w:r>
        <w:rPr>
          <w:rFonts w:ascii="Arial" w:hAnsi="Arial" w:cs="Arial"/>
          <w:sz w:val="22"/>
          <w:szCs w:val="22"/>
        </w:rPr>
        <w:t>Ganetespib</w:t>
      </w:r>
      <w:r w:rsidR="00DA67E8" w:rsidRPr="00FE1BBD">
        <w:rPr>
          <w:rFonts w:ascii="Arial" w:hAnsi="Arial" w:cs="Arial"/>
          <w:sz w:val="22"/>
          <w:szCs w:val="22"/>
        </w:rPr>
        <w:t xml:space="preserve"> related grade 4 thrombocytopenia or neutropenia (&gt; 7 days)</w:t>
      </w:r>
    </w:p>
    <w:p w14:paraId="51938361" w14:textId="77777777" w:rsidR="00DA67E8" w:rsidRPr="00FE1BBD" w:rsidRDefault="002A1DC5" w:rsidP="002F600D">
      <w:pPr>
        <w:numPr>
          <w:ilvl w:val="0"/>
          <w:numId w:val="4"/>
        </w:numPr>
        <w:ind w:left="714" w:hanging="357"/>
        <w:jc w:val="both"/>
        <w:rPr>
          <w:rFonts w:ascii="Arial" w:hAnsi="Arial" w:cs="Arial"/>
          <w:sz w:val="22"/>
          <w:szCs w:val="22"/>
        </w:rPr>
      </w:pPr>
      <w:r>
        <w:rPr>
          <w:rFonts w:ascii="Arial" w:hAnsi="Arial" w:cs="Arial"/>
          <w:sz w:val="22"/>
          <w:szCs w:val="22"/>
        </w:rPr>
        <w:t>Ganetespib</w:t>
      </w:r>
      <w:r w:rsidR="00B847B0" w:rsidRPr="00FE1BBD">
        <w:rPr>
          <w:rFonts w:ascii="Arial" w:hAnsi="Arial" w:cs="Arial"/>
          <w:sz w:val="22"/>
          <w:szCs w:val="22"/>
        </w:rPr>
        <w:t xml:space="preserve"> related </w:t>
      </w:r>
      <w:r w:rsidR="00B847B0">
        <w:rPr>
          <w:rFonts w:ascii="Arial" w:hAnsi="Arial" w:cs="Arial"/>
          <w:sz w:val="22"/>
          <w:szCs w:val="22"/>
        </w:rPr>
        <w:t>f</w:t>
      </w:r>
      <w:r w:rsidR="00DA67E8" w:rsidRPr="00FE1BBD">
        <w:rPr>
          <w:rFonts w:ascii="Arial" w:hAnsi="Arial" w:cs="Arial"/>
          <w:sz w:val="22"/>
          <w:szCs w:val="22"/>
        </w:rPr>
        <w:t>ebrile neutropenia</w:t>
      </w:r>
    </w:p>
    <w:p w14:paraId="23240E89" w14:textId="77777777" w:rsidR="00DA67E8" w:rsidRPr="00FE1BBD" w:rsidRDefault="00DA67E8" w:rsidP="002F600D">
      <w:pPr>
        <w:numPr>
          <w:ilvl w:val="0"/>
          <w:numId w:val="4"/>
        </w:numPr>
        <w:ind w:left="714" w:hanging="357"/>
        <w:jc w:val="both"/>
        <w:rPr>
          <w:rFonts w:ascii="Arial" w:hAnsi="Arial" w:cs="Arial"/>
          <w:sz w:val="22"/>
          <w:szCs w:val="22"/>
        </w:rPr>
      </w:pPr>
      <w:r w:rsidRPr="00FE1BBD">
        <w:rPr>
          <w:rFonts w:ascii="Arial" w:hAnsi="Arial" w:cs="Arial"/>
          <w:sz w:val="22"/>
          <w:szCs w:val="22"/>
        </w:rPr>
        <w:t>Any drug related adverse experience, regardless of CTCAE grade, leading to an interruption of ganetespib for greater than 14 days</w:t>
      </w:r>
    </w:p>
    <w:p w14:paraId="394E5FA2" w14:textId="77777777" w:rsidR="00DA67E8" w:rsidRPr="00FE1BBD" w:rsidRDefault="00DA67E8" w:rsidP="002F600D">
      <w:pPr>
        <w:numPr>
          <w:ilvl w:val="0"/>
          <w:numId w:val="4"/>
        </w:numPr>
        <w:ind w:left="714" w:hanging="357"/>
        <w:jc w:val="both"/>
        <w:rPr>
          <w:rFonts w:ascii="Arial" w:hAnsi="Arial" w:cs="Arial"/>
          <w:sz w:val="22"/>
          <w:szCs w:val="22"/>
        </w:rPr>
      </w:pPr>
      <w:r w:rsidRPr="00FE1BBD">
        <w:rPr>
          <w:rFonts w:ascii="Arial" w:hAnsi="Arial" w:cs="Arial"/>
          <w:sz w:val="22"/>
          <w:szCs w:val="22"/>
        </w:rPr>
        <w:t>Any clinically significant toxicity leading to dose reduction for ganetespib</w:t>
      </w:r>
    </w:p>
    <w:p w14:paraId="0EB796BB" w14:textId="77777777" w:rsidR="00DA67E8" w:rsidRPr="00B53B51" w:rsidRDefault="00DA67E8" w:rsidP="00B53B51">
      <w:pPr>
        <w:pStyle w:val="ListParagraph"/>
        <w:ind w:left="0"/>
        <w:jc w:val="both"/>
        <w:rPr>
          <w:rFonts w:ascii="Arial" w:hAnsi="Arial" w:cs="Arial"/>
          <w:sz w:val="22"/>
          <w:szCs w:val="22"/>
          <w:highlight w:val="yellow"/>
        </w:rPr>
      </w:pPr>
    </w:p>
    <w:p w14:paraId="341E4559" w14:textId="77777777" w:rsidR="00DA67E8" w:rsidRDefault="00DA67E8" w:rsidP="00B53B51">
      <w:pPr>
        <w:pStyle w:val="ListParagraph"/>
        <w:ind w:left="0"/>
        <w:jc w:val="both"/>
        <w:rPr>
          <w:rFonts w:ascii="Arial" w:hAnsi="Arial" w:cs="Arial"/>
          <w:sz w:val="22"/>
          <w:szCs w:val="22"/>
        </w:rPr>
      </w:pPr>
      <w:r w:rsidRPr="003D3EA9">
        <w:rPr>
          <w:rFonts w:ascii="Arial" w:hAnsi="Arial" w:cs="Arial"/>
          <w:sz w:val="22"/>
          <w:szCs w:val="22"/>
        </w:rPr>
        <w:t>A dose reduction for pemetrexed</w:t>
      </w:r>
      <w:r w:rsidR="006D69BE">
        <w:rPr>
          <w:rFonts w:ascii="Arial" w:hAnsi="Arial" w:cs="Arial"/>
          <w:sz w:val="22"/>
          <w:szCs w:val="22"/>
        </w:rPr>
        <w:t xml:space="preserve"> or</w:t>
      </w:r>
      <w:r>
        <w:rPr>
          <w:rFonts w:ascii="Arial" w:hAnsi="Arial" w:cs="Arial"/>
          <w:sz w:val="22"/>
          <w:szCs w:val="22"/>
        </w:rPr>
        <w:t xml:space="preserve"> cisplatin</w:t>
      </w:r>
      <w:r w:rsidR="00B06349">
        <w:rPr>
          <w:rFonts w:ascii="Arial" w:hAnsi="Arial" w:cs="Arial"/>
          <w:sz w:val="22"/>
          <w:szCs w:val="22"/>
        </w:rPr>
        <w:t>,</w:t>
      </w:r>
      <w:r>
        <w:rPr>
          <w:rFonts w:ascii="Arial" w:hAnsi="Arial" w:cs="Arial"/>
          <w:sz w:val="22"/>
          <w:szCs w:val="22"/>
        </w:rPr>
        <w:t xml:space="preserve"> </w:t>
      </w:r>
      <w:r w:rsidR="001B0F8B">
        <w:rPr>
          <w:rFonts w:ascii="Arial" w:hAnsi="Arial" w:cs="Arial"/>
          <w:sz w:val="22"/>
          <w:szCs w:val="22"/>
        </w:rPr>
        <w:t>or a change to carboplatin for cisplatin</w:t>
      </w:r>
      <w:r>
        <w:rPr>
          <w:rFonts w:ascii="Arial" w:hAnsi="Arial" w:cs="Arial"/>
          <w:sz w:val="22"/>
          <w:szCs w:val="22"/>
        </w:rPr>
        <w:t xml:space="preserve"> </w:t>
      </w:r>
      <w:r w:rsidR="001B0F8B">
        <w:rPr>
          <w:rFonts w:ascii="Arial" w:hAnsi="Arial" w:cs="Arial"/>
          <w:sz w:val="22"/>
          <w:szCs w:val="22"/>
        </w:rPr>
        <w:t>toxicity</w:t>
      </w:r>
      <w:r w:rsidR="00B06349">
        <w:rPr>
          <w:rFonts w:ascii="Arial" w:hAnsi="Arial" w:cs="Arial"/>
          <w:sz w:val="22"/>
          <w:szCs w:val="22"/>
        </w:rPr>
        <w:t xml:space="preserve"> </w:t>
      </w:r>
      <w:r w:rsidRPr="003D3EA9">
        <w:rPr>
          <w:rFonts w:ascii="Arial" w:hAnsi="Arial" w:cs="Arial"/>
          <w:sz w:val="22"/>
          <w:szCs w:val="22"/>
        </w:rPr>
        <w:t>will be reviewed by members of the Trial Management Group on a case-by-case basis, to determine whether it should be classified as a DLT or not, since some patients normally have dose modifications for these two drugs.</w:t>
      </w:r>
    </w:p>
    <w:p w14:paraId="085730C4" w14:textId="77777777" w:rsidR="00101966" w:rsidRPr="00B53B51" w:rsidRDefault="00101966" w:rsidP="00B53B51">
      <w:pPr>
        <w:pStyle w:val="ListParagraph"/>
        <w:ind w:left="0"/>
        <w:jc w:val="both"/>
        <w:rPr>
          <w:rFonts w:ascii="Arial" w:hAnsi="Arial" w:cs="Arial"/>
          <w:sz w:val="22"/>
          <w:szCs w:val="22"/>
        </w:rPr>
      </w:pPr>
    </w:p>
    <w:p w14:paraId="13F682FB" w14:textId="77777777" w:rsidR="00DA67E8" w:rsidRPr="003D3EA9" w:rsidRDefault="00DA67E8" w:rsidP="00543431">
      <w:pPr>
        <w:pStyle w:val="ListParagraph"/>
        <w:ind w:left="0"/>
        <w:jc w:val="both"/>
        <w:rPr>
          <w:rFonts w:ascii="Arial" w:hAnsi="Arial" w:cs="Arial"/>
          <w:sz w:val="22"/>
          <w:szCs w:val="22"/>
          <w:u w:val="single"/>
        </w:rPr>
      </w:pPr>
      <w:r w:rsidRPr="003D3EA9">
        <w:rPr>
          <w:rFonts w:ascii="Arial" w:hAnsi="Arial" w:cs="Arial"/>
          <w:sz w:val="22"/>
          <w:szCs w:val="22"/>
          <w:u w:val="single"/>
        </w:rPr>
        <w:t>Supportive care measures for nausea, vomiting, diarrhoea, or dehydration:</w:t>
      </w:r>
    </w:p>
    <w:p w14:paraId="730B9E5D" w14:textId="77777777" w:rsidR="00DA67E8" w:rsidRDefault="00DA67E8" w:rsidP="00543431">
      <w:pPr>
        <w:pStyle w:val="alltext"/>
        <w:spacing w:before="0" w:beforeAutospacing="0" w:after="240" w:afterAutospacing="0"/>
        <w:jc w:val="both"/>
        <w:rPr>
          <w:rFonts w:ascii="Arial" w:hAnsi="Arial" w:cs="Arial"/>
          <w:color w:val="000000"/>
          <w:sz w:val="22"/>
          <w:szCs w:val="22"/>
        </w:rPr>
      </w:pPr>
      <w:r w:rsidRPr="003D3EA9">
        <w:rPr>
          <w:rFonts w:ascii="Arial" w:hAnsi="Arial" w:cs="Arial"/>
          <w:color w:val="000000"/>
          <w:sz w:val="22"/>
          <w:szCs w:val="22"/>
        </w:rPr>
        <w:t>Patients will be permitted to receive appropriate supportive care measures as deemed necessary by the treating clinician including but not limited to the items outlined below</w:t>
      </w:r>
      <w:r>
        <w:rPr>
          <w:rFonts w:ascii="Arial" w:hAnsi="Arial" w:cs="Arial"/>
          <w:color w:val="000000"/>
          <w:sz w:val="22"/>
          <w:szCs w:val="22"/>
        </w:rPr>
        <w:t>.</w:t>
      </w:r>
    </w:p>
    <w:p w14:paraId="1FC7450E" w14:textId="77777777" w:rsidR="00DB1388" w:rsidRDefault="00C72852" w:rsidP="00BC3474">
      <w:pPr>
        <w:pStyle w:val="alltext"/>
        <w:spacing w:after="0" w:afterAutospacing="0"/>
        <w:jc w:val="both"/>
        <w:rPr>
          <w:rFonts w:ascii="Arial" w:hAnsi="Arial" w:cs="Arial"/>
          <w:color w:val="000000"/>
          <w:sz w:val="22"/>
          <w:szCs w:val="22"/>
        </w:rPr>
      </w:pPr>
      <w:r w:rsidRPr="00486353">
        <w:rPr>
          <w:rFonts w:ascii="Arial" w:hAnsi="Arial" w:cs="Arial"/>
          <w:b/>
          <w:color w:val="000000"/>
          <w:sz w:val="22"/>
          <w:szCs w:val="22"/>
        </w:rPr>
        <w:t>Diarrhoea</w:t>
      </w:r>
      <w:r w:rsidR="00DA67E8" w:rsidRPr="00486353">
        <w:rPr>
          <w:rFonts w:ascii="Arial" w:hAnsi="Arial" w:cs="Arial"/>
          <w:b/>
          <w:color w:val="000000"/>
          <w:sz w:val="22"/>
          <w:szCs w:val="22"/>
        </w:rPr>
        <w:t>:</w:t>
      </w:r>
      <w:r w:rsidR="00DA67E8">
        <w:rPr>
          <w:rFonts w:ascii="Arial" w:hAnsi="Arial" w:cs="Arial"/>
          <w:color w:val="000000"/>
          <w:sz w:val="22"/>
          <w:szCs w:val="22"/>
        </w:rPr>
        <w:t xml:space="preserve"> </w:t>
      </w:r>
    </w:p>
    <w:p w14:paraId="3AB0F9E3" w14:textId="77777777" w:rsidR="00DB1388" w:rsidRPr="006836FD" w:rsidRDefault="00DB1388" w:rsidP="00BC3474">
      <w:pPr>
        <w:pStyle w:val="alltext"/>
        <w:spacing w:before="60" w:beforeAutospacing="0" w:after="0" w:afterAutospacing="0"/>
        <w:jc w:val="both"/>
        <w:rPr>
          <w:rFonts w:ascii="Arial" w:hAnsi="Arial" w:cs="Arial"/>
          <w:color w:val="000000"/>
          <w:sz w:val="22"/>
          <w:szCs w:val="22"/>
        </w:rPr>
      </w:pPr>
      <w:r w:rsidRPr="006836FD">
        <w:rPr>
          <w:rFonts w:ascii="Arial" w:hAnsi="Arial" w:cs="Arial"/>
          <w:sz w:val="22"/>
          <w:szCs w:val="22"/>
        </w:rPr>
        <w:t>In integrated data from Studies 9090-07 and 9090-08, 48% of patients treated with both ganetespib and docetaxel experienced at least 1 AE of diarrhoea compared to 15% of patients treated with docetaxel alone. In single-agent studies, approximately 78% of ganetespib patients experienced this event. The postulated mechanism of action is inhibition of EGFR in cells that line the GI tract, leading to a transient secretory diarrhoea, limited to 24 to 48 hours following ganetespib infusion. This AE is manageable with loperamide. Prophylactic use of loperamide can reduce the occurrence of diarrhoea from &gt;80% to approximately 40%.</w:t>
      </w:r>
    </w:p>
    <w:p w14:paraId="326F3E1A" w14:textId="77777777" w:rsidR="00DA67E8" w:rsidRPr="00106E7F" w:rsidRDefault="00DA67E8" w:rsidP="00106E7F">
      <w:pPr>
        <w:pStyle w:val="alltext"/>
        <w:spacing w:after="240"/>
        <w:jc w:val="both"/>
        <w:rPr>
          <w:rFonts w:ascii="Arial" w:hAnsi="Arial" w:cs="Arial"/>
          <w:color w:val="000000"/>
          <w:sz w:val="22"/>
          <w:szCs w:val="22"/>
        </w:rPr>
      </w:pPr>
      <w:r w:rsidRPr="00106E7F">
        <w:rPr>
          <w:rFonts w:ascii="Arial" w:hAnsi="Arial" w:cs="Arial"/>
          <w:color w:val="000000"/>
          <w:sz w:val="22"/>
          <w:szCs w:val="22"/>
        </w:rPr>
        <w:lastRenderedPageBreak/>
        <w:t xml:space="preserve">These broad, general management principles are necessary to proactively try and avoid more serious complications by active management of </w:t>
      </w:r>
      <w:r w:rsidR="00C72852" w:rsidRPr="00106E7F">
        <w:rPr>
          <w:rFonts w:ascii="Arial" w:hAnsi="Arial" w:cs="Arial"/>
          <w:color w:val="000000"/>
          <w:sz w:val="22"/>
          <w:szCs w:val="22"/>
        </w:rPr>
        <w:t>diarrhoea</w:t>
      </w:r>
      <w:r w:rsidRPr="00106E7F">
        <w:rPr>
          <w:rFonts w:ascii="Arial" w:hAnsi="Arial" w:cs="Arial"/>
          <w:color w:val="000000"/>
          <w:sz w:val="22"/>
          <w:szCs w:val="22"/>
        </w:rPr>
        <w:t xml:space="preserve">.  However, guidelines such as these should never replace sound clinical judgment. </w:t>
      </w:r>
    </w:p>
    <w:p w14:paraId="70AE2D9B" w14:textId="77777777" w:rsidR="00DA67E8" w:rsidRPr="00106E7F" w:rsidRDefault="00DA67E8" w:rsidP="00106E7F">
      <w:pPr>
        <w:pStyle w:val="alltext"/>
        <w:spacing w:after="240"/>
        <w:jc w:val="both"/>
        <w:rPr>
          <w:rFonts w:ascii="Arial" w:hAnsi="Arial" w:cs="Arial"/>
          <w:color w:val="000000"/>
          <w:sz w:val="22"/>
          <w:szCs w:val="22"/>
        </w:rPr>
      </w:pPr>
      <w:r w:rsidRPr="00106E7F">
        <w:rPr>
          <w:rFonts w:ascii="Arial" w:hAnsi="Arial" w:cs="Arial"/>
          <w:color w:val="000000"/>
          <w:sz w:val="22"/>
          <w:szCs w:val="22"/>
        </w:rPr>
        <w:t xml:space="preserve">Experience suggests that </w:t>
      </w:r>
      <w:r w:rsidR="00C72852" w:rsidRPr="00106E7F">
        <w:rPr>
          <w:rFonts w:ascii="Arial" w:hAnsi="Arial" w:cs="Arial"/>
          <w:color w:val="000000"/>
          <w:sz w:val="22"/>
          <w:szCs w:val="22"/>
        </w:rPr>
        <w:t>diarrhoea</w:t>
      </w:r>
      <w:r w:rsidRPr="00106E7F">
        <w:rPr>
          <w:rFonts w:ascii="Arial" w:hAnsi="Arial" w:cs="Arial"/>
          <w:color w:val="000000"/>
          <w:sz w:val="22"/>
          <w:szCs w:val="22"/>
        </w:rPr>
        <w:t xml:space="preserve"> is an expected drug class effect for Hsp90 inhibitors and it typically starts 2 to 3 hours following administration of ganetespib in most subjects.  However, when appropriately managed with anti-</w:t>
      </w:r>
      <w:r w:rsidR="00E15609">
        <w:rPr>
          <w:rFonts w:ascii="Arial" w:hAnsi="Arial" w:cs="Arial"/>
          <w:color w:val="000000"/>
          <w:sz w:val="22"/>
          <w:szCs w:val="22"/>
        </w:rPr>
        <w:t>diarrhoea</w:t>
      </w:r>
      <w:r w:rsidRPr="00106E7F">
        <w:rPr>
          <w:rFonts w:ascii="Arial" w:hAnsi="Arial" w:cs="Arial"/>
          <w:color w:val="000000"/>
          <w:sz w:val="22"/>
          <w:szCs w:val="22"/>
        </w:rPr>
        <w:t xml:space="preserve">l treatment, it is generally mild to moderate and its duration limited to 24 hours. </w:t>
      </w:r>
    </w:p>
    <w:p w14:paraId="65187C0E" w14:textId="77777777" w:rsidR="00DA67E8" w:rsidRDefault="00C72852" w:rsidP="00106E7F">
      <w:pPr>
        <w:pStyle w:val="alltext"/>
        <w:spacing w:after="240"/>
        <w:jc w:val="both"/>
        <w:rPr>
          <w:rFonts w:ascii="Arial" w:hAnsi="Arial" w:cs="Arial"/>
          <w:color w:val="000000"/>
          <w:sz w:val="22"/>
          <w:szCs w:val="22"/>
        </w:rPr>
      </w:pPr>
      <w:r w:rsidRPr="008A7A46">
        <w:rPr>
          <w:rFonts w:ascii="Arial" w:hAnsi="Arial" w:cs="Arial"/>
          <w:b/>
          <w:color w:val="000000"/>
          <w:sz w:val="22"/>
          <w:szCs w:val="22"/>
        </w:rPr>
        <w:t>Diarrhoea</w:t>
      </w:r>
      <w:r w:rsidR="00DA67E8" w:rsidRPr="008A7A46">
        <w:rPr>
          <w:rFonts w:ascii="Arial" w:hAnsi="Arial" w:cs="Arial"/>
          <w:b/>
          <w:color w:val="000000"/>
          <w:sz w:val="22"/>
          <w:szCs w:val="22"/>
        </w:rPr>
        <w:t xml:space="preserve"> must be proactively managed for all patients treated with ganetespib to avoid complications or worsening of the subject’s condition. Without appropriate prophylactic treatment, the </w:t>
      </w:r>
      <w:r w:rsidRPr="008A7A46">
        <w:rPr>
          <w:rFonts w:ascii="Arial" w:hAnsi="Arial" w:cs="Arial"/>
          <w:b/>
          <w:color w:val="000000"/>
          <w:sz w:val="22"/>
          <w:szCs w:val="22"/>
        </w:rPr>
        <w:t>diarrhoea</w:t>
      </w:r>
      <w:r w:rsidR="00DA67E8" w:rsidRPr="008A7A46">
        <w:rPr>
          <w:rFonts w:ascii="Arial" w:hAnsi="Arial" w:cs="Arial"/>
          <w:b/>
          <w:color w:val="000000"/>
          <w:sz w:val="22"/>
          <w:szCs w:val="22"/>
        </w:rPr>
        <w:t xml:space="preserve"> can be prolonged, severe and lead to severe dehydration and other complications.</w:t>
      </w:r>
      <w:r w:rsidR="00DA67E8" w:rsidRPr="00106E7F">
        <w:rPr>
          <w:rFonts w:ascii="Arial" w:hAnsi="Arial" w:cs="Arial"/>
          <w:color w:val="000000"/>
          <w:sz w:val="22"/>
          <w:szCs w:val="22"/>
        </w:rPr>
        <w:t xml:space="preserve"> </w:t>
      </w:r>
      <w:r w:rsidR="00FB59C2" w:rsidRPr="00106E7F">
        <w:rPr>
          <w:rFonts w:ascii="Arial" w:hAnsi="Arial" w:cs="Arial"/>
          <w:color w:val="000000"/>
          <w:sz w:val="22"/>
          <w:szCs w:val="22"/>
        </w:rPr>
        <w:t xml:space="preserve">Loperamide must be given </w:t>
      </w:r>
      <w:r w:rsidR="00FB59C2" w:rsidRPr="008A7A46">
        <w:rPr>
          <w:rFonts w:ascii="Arial" w:hAnsi="Arial" w:cs="Arial"/>
          <w:b/>
          <w:color w:val="000000"/>
          <w:sz w:val="22"/>
          <w:szCs w:val="22"/>
        </w:rPr>
        <w:t>prophylactically</w:t>
      </w:r>
      <w:r w:rsidR="00FB59C2">
        <w:rPr>
          <w:rFonts w:ascii="Arial" w:hAnsi="Arial" w:cs="Arial"/>
          <w:color w:val="000000"/>
          <w:sz w:val="22"/>
          <w:szCs w:val="22"/>
        </w:rPr>
        <w:t xml:space="preserve"> at the start of each cycle of treatment</w:t>
      </w:r>
      <w:r w:rsidR="00254AA0">
        <w:rPr>
          <w:rFonts w:ascii="Arial" w:hAnsi="Arial" w:cs="Arial"/>
          <w:color w:val="000000"/>
          <w:sz w:val="22"/>
          <w:szCs w:val="22"/>
        </w:rPr>
        <w:t xml:space="preserve"> (i.e. prior to day 1 and 15 of ganetespib administration)</w:t>
      </w:r>
      <w:r w:rsidR="00FB59C2">
        <w:rPr>
          <w:rFonts w:ascii="Arial" w:hAnsi="Arial" w:cs="Arial"/>
          <w:color w:val="000000"/>
          <w:sz w:val="22"/>
          <w:szCs w:val="22"/>
        </w:rPr>
        <w:t xml:space="preserve">. </w:t>
      </w:r>
      <w:r w:rsidR="00FB59C2" w:rsidRPr="00106E7F">
        <w:rPr>
          <w:rFonts w:ascii="Arial" w:hAnsi="Arial" w:cs="Arial"/>
          <w:color w:val="000000"/>
          <w:sz w:val="22"/>
          <w:szCs w:val="22"/>
        </w:rPr>
        <w:t xml:space="preserve">Loperamide </w:t>
      </w:r>
      <w:r w:rsidR="00FB59C2">
        <w:rPr>
          <w:rFonts w:ascii="Arial" w:hAnsi="Arial" w:cs="Arial"/>
          <w:color w:val="000000"/>
          <w:sz w:val="22"/>
          <w:szCs w:val="22"/>
        </w:rPr>
        <w:t>2</w:t>
      </w:r>
      <w:r w:rsidR="00FB59C2" w:rsidRPr="00106E7F">
        <w:rPr>
          <w:rFonts w:ascii="Arial" w:hAnsi="Arial" w:cs="Arial"/>
          <w:color w:val="000000"/>
          <w:sz w:val="22"/>
          <w:szCs w:val="22"/>
        </w:rPr>
        <w:t xml:space="preserve">mg </w:t>
      </w:r>
      <w:r w:rsidR="00FB59C2">
        <w:rPr>
          <w:rFonts w:ascii="Arial" w:hAnsi="Arial" w:cs="Arial"/>
          <w:color w:val="000000"/>
          <w:sz w:val="22"/>
          <w:szCs w:val="22"/>
        </w:rPr>
        <w:t>must be given (</w:t>
      </w:r>
      <w:r w:rsidR="00FB59C2" w:rsidRPr="00106E7F">
        <w:rPr>
          <w:rFonts w:ascii="Arial" w:hAnsi="Arial" w:cs="Arial"/>
          <w:color w:val="000000"/>
          <w:sz w:val="22"/>
          <w:szCs w:val="22"/>
        </w:rPr>
        <w:t>starting approximately 1-2 hours</w:t>
      </w:r>
      <w:r w:rsidR="00FB59C2">
        <w:rPr>
          <w:rFonts w:ascii="Arial" w:hAnsi="Arial" w:cs="Arial"/>
          <w:color w:val="000000"/>
          <w:sz w:val="22"/>
          <w:szCs w:val="22"/>
        </w:rPr>
        <w:t>)</w:t>
      </w:r>
      <w:r w:rsidR="00FB59C2" w:rsidRPr="00106E7F">
        <w:rPr>
          <w:rFonts w:ascii="Arial" w:hAnsi="Arial" w:cs="Arial"/>
          <w:color w:val="000000"/>
          <w:sz w:val="22"/>
          <w:szCs w:val="22"/>
        </w:rPr>
        <w:t xml:space="preserve"> before ganetespib administration, </w:t>
      </w:r>
      <w:r w:rsidR="00FB59C2">
        <w:rPr>
          <w:rFonts w:ascii="Arial" w:hAnsi="Arial" w:cs="Arial"/>
          <w:color w:val="000000"/>
          <w:sz w:val="22"/>
          <w:szCs w:val="22"/>
        </w:rPr>
        <w:t>and</w:t>
      </w:r>
      <w:r w:rsidR="00FB59C2" w:rsidRPr="00106E7F">
        <w:rPr>
          <w:rFonts w:ascii="Arial" w:hAnsi="Arial" w:cs="Arial"/>
          <w:color w:val="000000"/>
          <w:sz w:val="22"/>
          <w:szCs w:val="22"/>
        </w:rPr>
        <w:t xml:space="preserve"> repeated every 4 hours for the first 12 hours</w:t>
      </w:r>
      <w:r w:rsidR="00942D36">
        <w:rPr>
          <w:rFonts w:ascii="Arial" w:hAnsi="Arial" w:cs="Arial"/>
          <w:color w:val="000000"/>
          <w:sz w:val="22"/>
          <w:szCs w:val="22"/>
        </w:rPr>
        <w:t>.</w:t>
      </w:r>
      <w:r w:rsidR="00670919">
        <w:rPr>
          <w:rFonts w:ascii="Arial" w:hAnsi="Arial" w:cs="Arial"/>
          <w:color w:val="000000"/>
          <w:sz w:val="22"/>
          <w:szCs w:val="22"/>
        </w:rPr>
        <w:t xml:space="preserve"> </w:t>
      </w:r>
      <w:r w:rsidR="00A001BE" w:rsidRPr="00A001BE">
        <w:rPr>
          <w:rFonts w:ascii="Arial" w:hAnsi="Arial" w:cs="Arial"/>
          <w:color w:val="000000"/>
          <w:sz w:val="22"/>
          <w:szCs w:val="22"/>
        </w:rPr>
        <w:t xml:space="preserve">This treatment may be continued for up to 24 hours in the absence of symptoms of </w:t>
      </w:r>
      <w:r w:rsidR="00486353" w:rsidRPr="00A001BE">
        <w:rPr>
          <w:rFonts w:ascii="Arial" w:hAnsi="Arial" w:cs="Arial"/>
          <w:color w:val="000000"/>
          <w:sz w:val="22"/>
          <w:szCs w:val="22"/>
        </w:rPr>
        <w:t>diarrhoea</w:t>
      </w:r>
      <w:r w:rsidR="00A001BE" w:rsidRPr="00A001BE">
        <w:rPr>
          <w:rFonts w:ascii="Arial" w:hAnsi="Arial" w:cs="Arial"/>
          <w:color w:val="000000"/>
          <w:sz w:val="22"/>
          <w:szCs w:val="22"/>
        </w:rPr>
        <w:t>. Due to inter-patient variability, adjustment to this regimen should be made on a case-by-case basis.</w:t>
      </w:r>
    </w:p>
    <w:p w14:paraId="775C22E3" w14:textId="77777777" w:rsidR="00DA67E8" w:rsidRPr="00106E7F" w:rsidRDefault="00DA67E8" w:rsidP="00106E7F">
      <w:pPr>
        <w:pStyle w:val="alltext"/>
        <w:spacing w:after="240"/>
        <w:jc w:val="both"/>
        <w:rPr>
          <w:rFonts w:ascii="Arial" w:hAnsi="Arial" w:cs="Arial"/>
          <w:color w:val="000000"/>
          <w:sz w:val="22"/>
          <w:szCs w:val="22"/>
        </w:rPr>
      </w:pPr>
      <w:r w:rsidRPr="00106E7F">
        <w:rPr>
          <w:rFonts w:ascii="Arial" w:hAnsi="Arial" w:cs="Arial"/>
          <w:color w:val="000000"/>
          <w:sz w:val="22"/>
          <w:szCs w:val="22"/>
        </w:rPr>
        <w:t xml:space="preserve">In the event of </w:t>
      </w:r>
      <w:r w:rsidR="008A5A73" w:rsidRPr="00106E7F">
        <w:rPr>
          <w:rFonts w:ascii="Arial" w:hAnsi="Arial" w:cs="Arial"/>
          <w:color w:val="000000"/>
          <w:sz w:val="22"/>
          <w:szCs w:val="22"/>
        </w:rPr>
        <w:t>diarrhoea</w:t>
      </w:r>
      <w:r w:rsidRPr="00106E7F">
        <w:rPr>
          <w:rFonts w:ascii="Arial" w:hAnsi="Arial" w:cs="Arial"/>
          <w:color w:val="000000"/>
          <w:sz w:val="22"/>
          <w:szCs w:val="22"/>
        </w:rPr>
        <w:t>, patients should take loperamide at an initial 4 mg dose</w:t>
      </w:r>
      <w:r w:rsidR="002671DF">
        <w:rPr>
          <w:rFonts w:ascii="Arial" w:hAnsi="Arial" w:cs="Arial"/>
          <w:color w:val="000000"/>
          <w:sz w:val="22"/>
          <w:szCs w:val="22"/>
        </w:rPr>
        <w:t xml:space="preserve"> (irrespective of the timing of the last prophylactic dose)</w:t>
      </w:r>
      <w:r w:rsidRPr="00106E7F">
        <w:rPr>
          <w:rFonts w:ascii="Arial" w:hAnsi="Arial" w:cs="Arial"/>
          <w:color w:val="000000"/>
          <w:sz w:val="22"/>
          <w:szCs w:val="22"/>
        </w:rPr>
        <w:t xml:space="preserve">, followed by 2mg doses every 4 hours.  In the presence of uncomplicated grade 1 or 2 </w:t>
      </w:r>
      <w:r w:rsidR="00E15609">
        <w:rPr>
          <w:rFonts w:ascii="Arial" w:hAnsi="Arial" w:cs="Arial"/>
          <w:color w:val="000000"/>
          <w:sz w:val="22"/>
          <w:szCs w:val="22"/>
        </w:rPr>
        <w:t>diarrhoea</w:t>
      </w:r>
      <w:r w:rsidRPr="00106E7F">
        <w:rPr>
          <w:rFonts w:ascii="Arial" w:hAnsi="Arial" w:cs="Arial"/>
          <w:color w:val="000000"/>
          <w:sz w:val="22"/>
          <w:szCs w:val="22"/>
        </w:rPr>
        <w:t xml:space="preserve">, loperamide should be continued until the patient is free from </w:t>
      </w:r>
      <w:r w:rsidR="00E15609">
        <w:rPr>
          <w:rFonts w:ascii="Arial" w:hAnsi="Arial" w:cs="Arial"/>
          <w:color w:val="000000"/>
          <w:sz w:val="22"/>
          <w:szCs w:val="22"/>
        </w:rPr>
        <w:t>diarrhoea</w:t>
      </w:r>
      <w:r w:rsidRPr="00106E7F">
        <w:rPr>
          <w:rFonts w:ascii="Arial" w:hAnsi="Arial" w:cs="Arial"/>
          <w:color w:val="000000"/>
          <w:sz w:val="22"/>
          <w:szCs w:val="22"/>
        </w:rPr>
        <w:t xml:space="preserve"> for 12 hours. Total daily dose should not exceed 16mg (eight capsules). </w:t>
      </w:r>
    </w:p>
    <w:p w14:paraId="24B35DB2" w14:textId="77777777" w:rsidR="00B56ED4" w:rsidRDefault="00DB1388" w:rsidP="00C874F5">
      <w:pPr>
        <w:autoSpaceDE w:val="0"/>
        <w:autoSpaceDN w:val="0"/>
        <w:adjustRightInd w:val="0"/>
        <w:jc w:val="both"/>
        <w:rPr>
          <w:rFonts w:ascii="Arial" w:hAnsi="Arial" w:cs="Arial"/>
          <w:color w:val="000000"/>
          <w:sz w:val="22"/>
          <w:szCs w:val="22"/>
          <w:lang w:eastAsia="en-GB"/>
        </w:rPr>
      </w:pPr>
      <w:r w:rsidRPr="00CD6FD0">
        <w:rPr>
          <w:rFonts w:ascii="Arial" w:hAnsi="Arial" w:cs="Arial"/>
          <w:color w:val="000000"/>
          <w:sz w:val="22"/>
          <w:szCs w:val="22"/>
          <w:lang w:eastAsia="en-GB"/>
        </w:rPr>
        <w:t xml:space="preserve">If mild to moderate </w:t>
      </w:r>
      <w:r w:rsidR="005A5EC4" w:rsidRPr="00CD6FD0">
        <w:rPr>
          <w:rFonts w:ascii="Arial" w:hAnsi="Arial" w:cs="Arial"/>
          <w:color w:val="000000"/>
          <w:sz w:val="22"/>
          <w:szCs w:val="22"/>
          <w:lang w:eastAsia="en-GB"/>
        </w:rPr>
        <w:t>diarrhoea</w:t>
      </w:r>
      <w:r w:rsidRPr="00CD6FD0">
        <w:rPr>
          <w:rFonts w:ascii="Arial" w:hAnsi="Arial" w:cs="Arial"/>
          <w:color w:val="000000"/>
          <w:sz w:val="22"/>
          <w:szCs w:val="22"/>
          <w:lang w:eastAsia="en-GB"/>
        </w:rPr>
        <w:t xml:space="preserve"> persists after 24 hours despite treatment with loperamide, a cocktail of atropine-</w:t>
      </w:r>
      <w:r w:rsidR="008533D3" w:rsidRPr="00CD6FD0">
        <w:rPr>
          <w:rFonts w:ascii="Arial" w:hAnsi="Arial" w:cs="Arial"/>
          <w:color w:val="000000"/>
          <w:sz w:val="22"/>
          <w:szCs w:val="22"/>
          <w:lang w:eastAsia="en-GB"/>
        </w:rPr>
        <w:t>diphenoxylate or</w:t>
      </w:r>
      <w:r w:rsidRPr="00CD6FD0">
        <w:rPr>
          <w:rFonts w:ascii="Arial" w:hAnsi="Arial" w:cs="Arial"/>
          <w:color w:val="000000"/>
          <w:sz w:val="22"/>
          <w:szCs w:val="22"/>
          <w:lang w:eastAsia="en-GB"/>
        </w:rPr>
        <w:t xml:space="preserve"> equivalent and loperamide may be considered. Loperamide 2 mg may be alternated with one tablet of atropine-</w:t>
      </w:r>
      <w:r w:rsidR="008533D3" w:rsidRPr="00CD6FD0">
        <w:rPr>
          <w:rFonts w:ascii="Arial" w:hAnsi="Arial" w:cs="Arial"/>
          <w:color w:val="000000"/>
          <w:sz w:val="22"/>
          <w:szCs w:val="22"/>
          <w:lang w:eastAsia="en-GB"/>
        </w:rPr>
        <w:t>diphenoxylate every</w:t>
      </w:r>
      <w:r w:rsidRPr="00CD6FD0">
        <w:rPr>
          <w:rFonts w:ascii="Arial" w:hAnsi="Arial" w:cs="Arial"/>
          <w:color w:val="000000"/>
          <w:sz w:val="22"/>
          <w:szCs w:val="22"/>
          <w:lang w:eastAsia="en-GB"/>
        </w:rPr>
        <w:t xml:space="preserve"> 3 hours. </w:t>
      </w:r>
    </w:p>
    <w:p w14:paraId="101E39A1" w14:textId="77777777" w:rsidR="00CC799F" w:rsidRDefault="00CC799F" w:rsidP="00CC799F">
      <w:pPr>
        <w:autoSpaceDE w:val="0"/>
        <w:autoSpaceDN w:val="0"/>
        <w:adjustRightInd w:val="0"/>
        <w:rPr>
          <w:rFonts w:ascii="Arial" w:hAnsi="Arial" w:cs="Arial"/>
          <w:color w:val="000000"/>
          <w:sz w:val="22"/>
          <w:szCs w:val="22"/>
          <w:lang w:eastAsia="en-GB"/>
        </w:rPr>
      </w:pPr>
    </w:p>
    <w:p w14:paraId="72957F4C" w14:textId="77777777" w:rsidR="00881B14" w:rsidRPr="00881B14" w:rsidRDefault="00DA67E8" w:rsidP="00881B14">
      <w:pPr>
        <w:pStyle w:val="alltext"/>
        <w:spacing w:before="0" w:beforeAutospacing="0" w:after="240" w:afterAutospacing="0"/>
        <w:jc w:val="both"/>
        <w:rPr>
          <w:rFonts w:ascii="Arial" w:hAnsi="Arial" w:cs="Arial"/>
          <w:color w:val="000000"/>
          <w:sz w:val="22"/>
          <w:szCs w:val="22"/>
        </w:rPr>
      </w:pPr>
      <w:r w:rsidRPr="00106E7F">
        <w:rPr>
          <w:rFonts w:ascii="Arial" w:hAnsi="Arial" w:cs="Arial"/>
          <w:color w:val="000000"/>
          <w:sz w:val="22"/>
          <w:szCs w:val="22"/>
        </w:rPr>
        <w:t xml:space="preserve">For Grade 3 or 4 </w:t>
      </w:r>
      <w:r w:rsidR="008A5A73" w:rsidRPr="00106E7F">
        <w:rPr>
          <w:rFonts w:ascii="Arial" w:hAnsi="Arial" w:cs="Arial"/>
          <w:color w:val="000000"/>
          <w:sz w:val="22"/>
          <w:szCs w:val="22"/>
        </w:rPr>
        <w:t>diarrhoea</w:t>
      </w:r>
      <w:r w:rsidRPr="00106E7F">
        <w:rPr>
          <w:rFonts w:ascii="Arial" w:hAnsi="Arial" w:cs="Arial"/>
          <w:color w:val="000000"/>
          <w:sz w:val="22"/>
          <w:szCs w:val="22"/>
        </w:rPr>
        <w:t xml:space="preserve"> or complicated Grade 1 or 2 (severe cramping, severe nausea/vomiting, decreased performance status, fever, sepsis, Grade 3 or 4 neutropenia, frank bleeding, dehydration), </w:t>
      </w:r>
      <w:r w:rsidR="00881B14" w:rsidRPr="00881B14">
        <w:rPr>
          <w:rFonts w:ascii="Arial" w:hAnsi="Arial" w:cs="Arial"/>
          <w:sz w:val="22"/>
          <w:szCs w:val="22"/>
        </w:rPr>
        <w:t xml:space="preserve">IV fluids should be used as appropriate, as well as prophylactic antibiotics. </w:t>
      </w:r>
      <w:r w:rsidR="00DB1388">
        <w:rPr>
          <w:rFonts w:ascii="Arial" w:hAnsi="Arial" w:cs="Arial"/>
          <w:sz w:val="22"/>
          <w:szCs w:val="22"/>
        </w:rPr>
        <w:t>Hospitalisation is recommended</w:t>
      </w:r>
    </w:p>
    <w:p w14:paraId="6C416E15" w14:textId="77777777" w:rsidR="00512945" w:rsidRDefault="00512945" w:rsidP="00BC3474">
      <w:pPr>
        <w:autoSpaceDE w:val="0"/>
        <w:autoSpaceDN w:val="0"/>
        <w:adjustRightInd w:val="0"/>
        <w:rPr>
          <w:rFonts w:ascii="Arial" w:hAnsi="Arial" w:cs="Arial"/>
          <w:b/>
          <w:bCs/>
          <w:iCs/>
          <w:color w:val="000000"/>
          <w:sz w:val="22"/>
          <w:szCs w:val="22"/>
          <w:lang w:eastAsia="en-GB"/>
        </w:rPr>
      </w:pPr>
      <w:proofErr w:type="spellStart"/>
      <w:r>
        <w:rPr>
          <w:rFonts w:ascii="Arial" w:hAnsi="Arial" w:cs="Arial"/>
          <w:b/>
          <w:bCs/>
          <w:iCs/>
          <w:color w:val="000000"/>
          <w:sz w:val="22"/>
          <w:szCs w:val="22"/>
          <w:lang w:eastAsia="en-GB"/>
        </w:rPr>
        <w:t>Ganstrointestinal</w:t>
      </w:r>
      <w:proofErr w:type="spellEnd"/>
      <w:r>
        <w:rPr>
          <w:rFonts w:ascii="Arial" w:hAnsi="Arial" w:cs="Arial"/>
          <w:b/>
          <w:bCs/>
          <w:iCs/>
          <w:color w:val="000000"/>
          <w:sz w:val="22"/>
          <w:szCs w:val="22"/>
          <w:lang w:eastAsia="en-GB"/>
        </w:rPr>
        <w:t xml:space="preserve"> perforation (GIP):</w:t>
      </w:r>
    </w:p>
    <w:p w14:paraId="252915FD" w14:textId="77777777" w:rsidR="00512945" w:rsidRDefault="00512945" w:rsidP="00C874F5">
      <w:pPr>
        <w:autoSpaceDE w:val="0"/>
        <w:autoSpaceDN w:val="0"/>
        <w:adjustRightInd w:val="0"/>
        <w:jc w:val="both"/>
        <w:rPr>
          <w:rFonts w:ascii="Arial" w:hAnsi="Arial" w:cs="Arial"/>
          <w:bCs/>
          <w:iCs/>
          <w:color w:val="000000"/>
          <w:sz w:val="22"/>
          <w:szCs w:val="22"/>
          <w:lang w:eastAsia="en-GB"/>
        </w:rPr>
      </w:pPr>
      <w:r>
        <w:rPr>
          <w:rFonts w:ascii="Arial" w:hAnsi="Arial" w:cs="Arial"/>
          <w:bCs/>
          <w:iCs/>
          <w:color w:val="000000"/>
          <w:sz w:val="22"/>
          <w:szCs w:val="22"/>
          <w:lang w:eastAsia="en-GB"/>
        </w:rPr>
        <w:t>A safety review of ganetespib found 11 out of 1509 exposed to ganetespib with a reported SAE which included GI perforation in the narrative. 6 of the cases were unrelated or unlikely related and the remaining 5 were reported as having a least a possible attribution to ganetespib.</w:t>
      </w:r>
    </w:p>
    <w:p w14:paraId="343D5637" w14:textId="77777777" w:rsidR="00512945" w:rsidRDefault="00512945" w:rsidP="00C874F5">
      <w:pPr>
        <w:autoSpaceDE w:val="0"/>
        <w:autoSpaceDN w:val="0"/>
        <w:adjustRightInd w:val="0"/>
        <w:jc w:val="both"/>
        <w:rPr>
          <w:rFonts w:ascii="Arial" w:hAnsi="Arial" w:cs="Arial"/>
          <w:bCs/>
          <w:iCs/>
          <w:color w:val="000000"/>
          <w:sz w:val="22"/>
          <w:szCs w:val="22"/>
          <w:lang w:eastAsia="en-GB"/>
        </w:rPr>
      </w:pPr>
    </w:p>
    <w:p w14:paraId="30214483" w14:textId="77777777" w:rsidR="00512945" w:rsidRDefault="00512945" w:rsidP="00C874F5">
      <w:pPr>
        <w:autoSpaceDE w:val="0"/>
        <w:autoSpaceDN w:val="0"/>
        <w:adjustRightInd w:val="0"/>
        <w:jc w:val="both"/>
        <w:rPr>
          <w:rFonts w:ascii="Arial" w:hAnsi="Arial" w:cs="Arial"/>
          <w:bCs/>
          <w:iCs/>
          <w:color w:val="000000"/>
          <w:sz w:val="22"/>
          <w:szCs w:val="22"/>
          <w:lang w:eastAsia="en-GB"/>
        </w:rPr>
      </w:pPr>
      <w:r>
        <w:rPr>
          <w:rFonts w:ascii="Arial" w:hAnsi="Arial" w:cs="Arial"/>
          <w:bCs/>
          <w:iCs/>
          <w:color w:val="000000"/>
          <w:sz w:val="22"/>
          <w:szCs w:val="22"/>
          <w:lang w:eastAsia="en-GB"/>
        </w:rPr>
        <w:t>If there are underlying gastrointestinal comorbidities then serious or fatal gastrointestinal perforation events have been seen. It is recommended ganetespib should be used with care in patients exhibiting the following:</w:t>
      </w:r>
    </w:p>
    <w:p w14:paraId="074E28D7" w14:textId="77777777" w:rsidR="00512945" w:rsidRDefault="00512945" w:rsidP="00C874F5">
      <w:pPr>
        <w:pStyle w:val="ListParagraph"/>
        <w:numPr>
          <w:ilvl w:val="0"/>
          <w:numId w:val="35"/>
        </w:numPr>
        <w:autoSpaceDE w:val="0"/>
        <w:autoSpaceDN w:val="0"/>
        <w:adjustRightInd w:val="0"/>
        <w:jc w:val="both"/>
        <w:rPr>
          <w:rFonts w:ascii="Arial" w:hAnsi="Arial" w:cs="Arial"/>
          <w:bCs/>
          <w:iCs/>
          <w:color w:val="000000"/>
          <w:sz w:val="22"/>
          <w:szCs w:val="22"/>
          <w:lang w:eastAsia="en-GB"/>
        </w:rPr>
      </w:pPr>
      <w:r>
        <w:rPr>
          <w:rFonts w:ascii="Arial" w:hAnsi="Arial" w:cs="Arial"/>
          <w:bCs/>
          <w:iCs/>
          <w:color w:val="000000"/>
          <w:sz w:val="22"/>
          <w:szCs w:val="22"/>
          <w:lang w:eastAsia="en-GB"/>
        </w:rPr>
        <w:t>Intra-abdominal malignancies</w:t>
      </w:r>
    </w:p>
    <w:p w14:paraId="5C816C03" w14:textId="77777777" w:rsidR="00512945" w:rsidRDefault="00512945" w:rsidP="00C874F5">
      <w:pPr>
        <w:pStyle w:val="ListParagraph"/>
        <w:numPr>
          <w:ilvl w:val="0"/>
          <w:numId w:val="35"/>
        </w:numPr>
        <w:autoSpaceDE w:val="0"/>
        <w:autoSpaceDN w:val="0"/>
        <w:adjustRightInd w:val="0"/>
        <w:jc w:val="both"/>
        <w:rPr>
          <w:rFonts w:ascii="Arial" w:hAnsi="Arial" w:cs="Arial"/>
          <w:bCs/>
          <w:iCs/>
          <w:color w:val="000000"/>
          <w:sz w:val="22"/>
          <w:szCs w:val="22"/>
          <w:lang w:eastAsia="en-GB"/>
        </w:rPr>
      </w:pPr>
      <w:r>
        <w:rPr>
          <w:rFonts w:ascii="Arial" w:hAnsi="Arial" w:cs="Arial"/>
          <w:bCs/>
          <w:iCs/>
          <w:color w:val="000000"/>
          <w:sz w:val="22"/>
          <w:szCs w:val="22"/>
          <w:lang w:eastAsia="en-GB"/>
        </w:rPr>
        <w:t>Active gastrointestinal disorders or require concomitant procedures that predispose to GI perforation</w:t>
      </w:r>
    </w:p>
    <w:p w14:paraId="6C1999DC" w14:textId="77777777" w:rsidR="00512945" w:rsidRDefault="00512945" w:rsidP="00C874F5">
      <w:pPr>
        <w:pStyle w:val="ListParagraph"/>
        <w:numPr>
          <w:ilvl w:val="0"/>
          <w:numId w:val="35"/>
        </w:numPr>
        <w:autoSpaceDE w:val="0"/>
        <w:autoSpaceDN w:val="0"/>
        <w:adjustRightInd w:val="0"/>
        <w:jc w:val="both"/>
        <w:rPr>
          <w:rFonts w:ascii="Arial" w:hAnsi="Arial" w:cs="Arial"/>
          <w:bCs/>
          <w:iCs/>
          <w:color w:val="000000"/>
          <w:sz w:val="22"/>
          <w:szCs w:val="22"/>
          <w:lang w:eastAsia="en-GB"/>
        </w:rPr>
      </w:pPr>
      <w:r>
        <w:rPr>
          <w:rFonts w:ascii="Arial" w:hAnsi="Arial" w:cs="Arial"/>
          <w:bCs/>
          <w:iCs/>
          <w:color w:val="000000"/>
          <w:sz w:val="22"/>
          <w:szCs w:val="22"/>
          <w:lang w:eastAsia="en-GB"/>
        </w:rPr>
        <w:t xml:space="preserve">Recent transmural inflammatory conditions, GI ulcers, GI strictures, obstruction, fistulae and/or </w:t>
      </w:r>
      <w:proofErr w:type="spellStart"/>
      <w:r>
        <w:rPr>
          <w:rFonts w:ascii="Arial" w:hAnsi="Arial" w:cs="Arial"/>
          <w:bCs/>
          <w:iCs/>
          <w:color w:val="000000"/>
          <w:sz w:val="22"/>
          <w:szCs w:val="22"/>
          <w:lang w:eastAsia="en-GB"/>
        </w:rPr>
        <w:t>GIabscess</w:t>
      </w:r>
      <w:proofErr w:type="spellEnd"/>
      <w:r>
        <w:rPr>
          <w:rFonts w:ascii="Arial" w:hAnsi="Arial" w:cs="Arial"/>
          <w:bCs/>
          <w:iCs/>
          <w:color w:val="000000"/>
          <w:sz w:val="22"/>
          <w:szCs w:val="22"/>
          <w:lang w:eastAsia="en-GB"/>
        </w:rPr>
        <w:t xml:space="preserve"> formation. </w:t>
      </w:r>
    </w:p>
    <w:p w14:paraId="2D3086E8" w14:textId="77777777" w:rsidR="00512945" w:rsidRPr="00C874F5" w:rsidRDefault="00512945" w:rsidP="00C874F5">
      <w:pPr>
        <w:autoSpaceDE w:val="0"/>
        <w:autoSpaceDN w:val="0"/>
        <w:adjustRightInd w:val="0"/>
        <w:jc w:val="both"/>
        <w:rPr>
          <w:rFonts w:ascii="Arial" w:hAnsi="Arial" w:cs="Arial"/>
          <w:bCs/>
          <w:iCs/>
          <w:color w:val="000000"/>
          <w:sz w:val="22"/>
          <w:szCs w:val="22"/>
          <w:lang w:eastAsia="en-GB"/>
        </w:rPr>
      </w:pPr>
      <w:r>
        <w:rPr>
          <w:rFonts w:ascii="Arial" w:hAnsi="Arial" w:cs="Arial"/>
          <w:bCs/>
          <w:iCs/>
          <w:color w:val="000000"/>
          <w:sz w:val="22"/>
          <w:szCs w:val="22"/>
          <w:lang w:eastAsia="en-GB"/>
        </w:rPr>
        <w:t xml:space="preserve">If GIP is identified or suspected, study agents should be discontinued. </w:t>
      </w:r>
    </w:p>
    <w:p w14:paraId="39B44108" w14:textId="77777777" w:rsidR="00512945" w:rsidRDefault="00512945" w:rsidP="00BC3474">
      <w:pPr>
        <w:autoSpaceDE w:val="0"/>
        <w:autoSpaceDN w:val="0"/>
        <w:adjustRightInd w:val="0"/>
        <w:rPr>
          <w:rFonts w:ascii="Arial" w:hAnsi="Arial" w:cs="Arial"/>
          <w:b/>
          <w:bCs/>
          <w:iCs/>
          <w:color w:val="000000"/>
          <w:sz w:val="22"/>
          <w:szCs w:val="22"/>
          <w:lang w:eastAsia="en-GB"/>
        </w:rPr>
      </w:pPr>
    </w:p>
    <w:p w14:paraId="532FA613" w14:textId="77777777" w:rsidR="00512945" w:rsidRDefault="00512945" w:rsidP="00BC3474">
      <w:pPr>
        <w:autoSpaceDE w:val="0"/>
        <w:autoSpaceDN w:val="0"/>
        <w:adjustRightInd w:val="0"/>
        <w:rPr>
          <w:rFonts w:ascii="Arial" w:hAnsi="Arial" w:cs="Arial"/>
          <w:b/>
          <w:bCs/>
          <w:iCs/>
          <w:color w:val="000000"/>
          <w:sz w:val="22"/>
          <w:szCs w:val="22"/>
          <w:lang w:eastAsia="en-GB"/>
        </w:rPr>
      </w:pPr>
    </w:p>
    <w:p w14:paraId="6602FC65" w14:textId="77777777" w:rsidR="00BC3474" w:rsidRPr="00BC3474" w:rsidRDefault="00FF44A2" w:rsidP="00BC3474">
      <w:pPr>
        <w:autoSpaceDE w:val="0"/>
        <w:autoSpaceDN w:val="0"/>
        <w:adjustRightInd w:val="0"/>
        <w:rPr>
          <w:rFonts w:ascii="Arial" w:hAnsi="Arial" w:cs="Arial"/>
          <w:b/>
          <w:bCs/>
          <w:iCs/>
          <w:color w:val="000000"/>
          <w:sz w:val="22"/>
          <w:szCs w:val="22"/>
          <w:lang w:eastAsia="en-GB"/>
        </w:rPr>
      </w:pPr>
      <w:r w:rsidRPr="00486353">
        <w:rPr>
          <w:rFonts w:ascii="Arial" w:hAnsi="Arial" w:cs="Arial"/>
          <w:b/>
          <w:bCs/>
          <w:iCs/>
          <w:color w:val="000000"/>
          <w:sz w:val="22"/>
          <w:szCs w:val="22"/>
          <w:lang w:eastAsia="en-GB"/>
        </w:rPr>
        <w:t>Neutropenia:</w:t>
      </w:r>
      <w:r w:rsidRPr="00BC3474">
        <w:rPr>
          <w:rFonts w:ascii="Arial" w:hAnsi="Arial" w:cs="Arial"/>
          <w:b/>
          <w:bCs/>
          <w:iCs/>
          <w:color w:val="000000"/>
          <w:sz w:val="22"/>
          <w:szCs w:val="22"/>
          <w:lang w:eastAsia="en-GB"/>
        </w:rPr>
        <w:t xml:space="preserve"> </w:t>
      </w:r>
    </w:p>
    <w:p w14:paraId="1B999233" w14:textId="77777777" w:rsidR="00FF44A2" w:rsidRPr="008A515D" w:rsidRDefault="00CC799F" w:rsidP="00FF44A2">
      <w:pPr>
        <w:pStyle w:val="alltext"/>
        <w:spacing w:before="0" w:beforeAutospacing="0" w:after="240" w:afterAutospacing="0"/>
        <w:jc w:val="both"/>
        <w:rPr>
          <w:rFonts w:ascii="Arial" w:hAnsi="Arial" w:cs="Arial"/>
          <w:color w:val="000000"/>
          <w:sz w:val="22"/>
          <w:szCs w:val="22"/>
        </w:rPr>
      </w:pPr>
      <w:r w:rsidRPr="00BC3474">
        <w:rPr>
          <w:rFonts w:ascii="Arial" w:hAnsi="Arial" w:cs="Arial"/>
          <w:color w:val="000000"/>
          <w:sz w:val="22"/>
          <w:szCs w:val="22"/>
        </w:rPr>
        <w:t>If an Investigator determines a patient is at risk for severe neutropenia or febrile neutropenia, granulocyte</w:t>
      </w:r>
      <w:r w:rsidRPr="0061689A">
        <w:rPr>
          <w:rFonts w:ascii="Arial" w:hAnsi="Arial" w:cs="Arial"/>
          <w:sz w:val="22"/>
          <w:szCs w:val="22"/>
        </w:rPr>
        <w:t xml:space="preserve">-colony stimulating factor (G-CSF) may be used prophylactically beginning with </w:t>
      </w:r>
      <w:r w:rsidRPr="0061689A">
        <w:rPr>
          <w:rFonts w:ascii="Arial" w:hAnsi="Arial" w:cs="Arial"/>
          <w:sz w:val="22"/>
          <w:szCs w:val="22"/>
        </w:rPr>
        <w:lastRenderedPageBreak/>
        <w:t>the first cycle. Granulocyte colony stimulating factor (G-CSF) prophylactic use is recommended during subsequent treatment cycles in case of neutropenia lasting more than 7 days, febrile neutropenia, or documented infection with neutropenia.</w:t>
      </w:r>
      <w:r w:rsidR="008533D3">
        <w:rPr>
          <w:rFonts w:ascii="Arial" w:hAnsi="Arial" w:cs="Arial"/>
          <w:sz w:val="22"/>
          <w:szCs w:val="22"/>
        </w:rPr>
        <w:t xml:space="preserve"> </w:t>
      </w:r>
      <w:r w:rsidR="0034098F">
        <w:rPr>
          <w:rFonts w:ascii="Arial" w:hAnsi="Arial" w:cs="Arial"/>
          <w:color w:val="000000"/>
          <w:sz w:val="22"/>
          <w:szCs w:val="22"/>
        </w:rPr>
        <w:t>A</w:t>
      </w:r>
      <w:r w:rsidR="00FF44A2" w:rsidRPr="008A515D">
        <w:rPr>
          <w:rFonts w:ascii="Arial" w:hAnsi="Arial" w:cs="Arial"/>
          <w:color w:val="000000"/>
          <w:sz w:val="22"/>
          <w:szCs w:val="22"/>
        </w:rPr>
        <w:t xml:space="preserve">ssessments </w:t>
      </w:r>
      <w:r w:rsidR="0034098F">
        <w:rPr>
          <w:rFonts w:ascii="Arial" w:hAnsi="Arial" w:cs="Arial"/>
          <w:color w:val="000000"/>
          <w:sz w:val="22"/>
          <w:szCs w:val="22"/>
        </w:rPr>
        <w:t xml:space="preserve">during treatment cycles should </w:t>
      </w:r>
      <w:r w:rsidR="00FF44A2" w:rsidRPr="008A515D">
        <w:rPr>
          <w:rFonts w:ascii="Arial" w:hAnsi="Arial" w:cs="Arial"/>
          <w:color w:val="000000"/>
          <w:sz w:val="22"/>
          <w:szCs w:val="22"/>
        </w:rPr>
        <w:t>evaluate peripheral blood cell counts on Day 1 and Day 15 of each cycle. If severe neutropenia (Grade 3 or 4) is found on any of these days, it is very likely that neutropenia has lasted more than 7 days and, therefore, the use of prophylactic G-CSF in subsequent cycles is recommended.</w:t>
      </w:r>
      <w:r w:rsidR="00D95DEC">
        <w:rPr>
          <w:rFonts w:ascii="Arial" w:hAnsi="Arial" w:cs="Arial"/>
          <w:color w:val="000000"/>
          <w:sz w:val="22"/>
          <w:szCs w:val="22"/>
        </w:rPr>
        <w:t xml:space="preserve"> </w:t>
      </w:r>
    </w:p>
    <w:p w14:paraId="6D8A6A65" w14:textId="77777777" w:rsidR="00DB1388" w:rsidRPr="0061689A" w:rsidRDefault="00DB1388" w:rsidP="00DB1388">
      <w:pPr>
        <w:autoSpaceDE w:val="0"/>
        <w:autoSpaceDN w:val="0"/>
        <w:adjustRightInd w:val="0"/>
        <w:rPr>
          <w:rFonts w:ascii="Arial" w:hAnsi="Arial" w:cs="Arial"/>
          <w:color w:val="000000"/>
          <w:sz w:val="22"/>
          <w:szCs w:val="22"/>
          <w:lang w:eastAsia="en-GB"/>
        </w:rPr>
      </w:pPr>
      <w:r w:rsidRPr="0061689A">
        <w:rPr>
          <w:rFonts w:ascii="Arial" w:hAnsi="Arial" w:cs="Arial"/>
          <w:b/>
          <w:bCs/>
          <w:iCs/>
          <w:color w:val="000000"/>
          <w:sz w:val="22"/>
          <w:szCs w:val="22"/>
          <w:lang w:eastAsia="en-GB"/>
        </w:rPr>
        <w:t>Severe or Complicated Neutropeni</w:t>
      </w:r>
      <w:r>
        <w:rPr>
          <w:rFonts w:ascii="Arial" w:hAnsi="Arial" w:cs="Arial"/>
          <w:b/>
          <w:bCs/>
          <w:iCs/>
          <w:color w:val="000000"/>
          <w:sz w:val="22"/>
          <w:szCs w:val="22"/>
          <w:lang w:eastAsia="en-GB"/>
        </w:rPr>
        <w:t>a:</w:t>
      </w:r>
    </w:p>
    <w:p w14:paraId="7220838C" w14:textId="77777777" w:rsidR="00DB1388" w:rsidRDefault="00DB1388" w:rsidP="00DB1388">
      <w:p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For treatment of febrile neutropenia, guidance is provided below, or consider using widely used and accepted guidance such as: </w:t>
      </w:r>
    </w:p>
    <w:p w14:paraId="64639090" w14:textId="77777777" w:rsidR="00DB1388" w:rsidRDefault="00DB1388" w:rsidP="00DB1388">
      <w:pPr>
        <w:autoSpaceDE w:val="0"/>
        <w:autoSpaceDN w:val="0"/>
        <w:adjustRightInd w:val="0"/>
        <w:jc w:val="both"/>
        <w:rPr>
          <w:rFonts w:ascii="Arial" w:hAnsi="Arial" w:cs="Arial"/>
          <w:color w:val="000000"/>
          <w:sz w:val="22"/>
          <w:szCs w:val="22"/>
          <w:lang w:eastAsia="en-GB"/>
        </w:rPr>
      </w:pPr>
    </w:p>
    <w:p w14:paraId="5AADC425" w14:textId="77777777" w:rsidR="00DB1388" w:rsidRPr="0061689A" w:rsidRDefault="00DB1388" w:rsidP="00DB1388">
      <w:pPr>
        <w:autoSpaceDE w:val="0"/>
        <w:autoSpaceDN w:val="0"/>
        <w:adjustRightInd w:val="0"/>
        <w:jc w:val="both"/>
        <w:rPr>
          <w:rFonts w:ascii="Arial" w:hAnsi="Arial" w:cs="Arial"/>
          <w:i/>
          <w:color w:val="000000"/>
          <w:sz w:val="22"/>
          <w:szCs w:val="22"/>
          <w:lang w:eastAsia="en-GB"/>
        </w:rPr>
      </w:pPr>
      <w:r w:rsidRPr="0061689A">
        <w:rPr>
          <w:rFonts w:ascii="Arial" w:hAnsi="Arial" w:cs="Arial"/>
          <w:i/>
          <w:color w:val="000000"/>
          <w:sz w:val="22"/>
          <w:szCs w:val="22"/>
          <w:lang w:eastAsia="en-GB"/>
        </w:rPr>
        <w:t xml:space="preserve">Management of Febrile Neutropenia: ESMO Clinical Practice Guidelines. De </w:t>
      </w:r>
      <w:proofErr w:type="spellStart"/>
      <w:r w:rsidRPr="0061689A">
        <w:rPr>
          <w:rFonts w:ascii="Arial" w:hAnsi="Arial" w:cs="Arial"/>
          <w:i/>
          <w:color w:val="000000"/>
          <w:sz w:val="22"/>
          <w:szCs w:val="22"/>
          <w:lang w:eastAsia="en-GB"/>
        </w:rPr>
        <w:t>Naurois</w:t>
      </w:r>
      <w:proofErr w:type="spellEnd"/>
      <w:r w:rsidRPr="0061689A">
        <w:rPr>
          <w:rFonts w:ascii="Arial" w:hAnsi="Arial" w:cs="Arial"/>
          <w:i/>
          <w:color w:val="000000"/>
          <w:sz w:val="22"/>
          <w:szCs w:val="22"/>
          <w:lang w:eastAsia="en-GB"/>
        </w:rPr>
        <w:t xml:space="preserve"> J, </w:t>
      </w:r>
      <w:proofErr w:type="spellStart"/>
      <w:r w:rsidRPr="0061689A">
        <w:rPr>
          <w:rFonts w:ascii="Arial" w:hAnsi="Arial" w:cs="Arial"/>
          <w:i/>
          <w:color w:val="000000"/>
          <w:sz w:val="22"/>
          <w:szCs w:val="22"/>
          <w:lang w:eastAsia="en-GB"/>
        </w:rPr>
        <w:t>Novitzky</w:t>
      </w:r>
      <w:proofErr w:type="spellEnd"/>
      <w:r w:rsidRPr="0061689A">
        <w:rPr>
          <w:rFonts w:ascii="Arial" w:hAnsi="Arial" w:cs="Arial"/>
          <w:i/>
          <w:color w:val="000000"/>
          <w:sz w:val="22"/>
          <w:szCs w:val="22"/>
          <w:lang w:eastAsia="en-GB"/>
        </w:rPr>
        <w:t xml:space="preserve">-Basso I, Gill MJ, Marti </w:t>
      </w:r>
      <w:proofErr w:type="spellStart"/>
      <w:r w:rsidRPr="0061689A">
        <w:rPr>
          <w:rFonts w:ascii="Arial" w:hAnsi="Arial" w:cs="Arial"/>
          <w:i/>
          <w:color w:val="000000"/>
          <w:sz w:val="22"/>
          <w:szCs w:val="22"/>
          <w:lang w:eastAsia="en-GB"/>
        </w:rPr>
        <w:t>Marti</w:t>
      </w:r>
      <w:proofErr w:type="spellEnd"/>
      <w:r w:rsidRPr="0061689A">
        <w:rPr>
          <w:rFonts w:ascii="Arial" w:hAnsi="Arial" w:cs="Arial"/>
          <w:i/>
          <w:color w:val="000000"/>
          <w:sz w:val="22"/>
          <w:szCs w:val="22"/>
          <w:lang w:eastAsia="en-GB"/>
        </w:rPr>
        <w:t xml:space="preserve"> F, Cullen MH, and </w:t>
      </w:r>
      <w:proofErr w:type="spellStart"/>
      <w:r w:rsidRPr="0061689A">
        <w:rPr>
          <w:rFonts w:ascii="Arial" w:hAnsi="Arial" w:cs="Arial"/>
          <w:i/>
          <w:color w:val="000000"/>
          <w:sz w:val="22"/>
          <w:szCs w:val="22"/>
          <w:lang w:eastAsia="en-GB"/>
        </w:rPr>
        <w:t>Roila</w:t>
      </w:r>
      <w:proofErr w:type="spellEnd"/>
      <w:r w:rsidRPr="0061689A">
        <w:rPr>
          <w:rFonts w:ascii="Arial" w:hAnsi="Arial" w:cs="Arial"/>
          <w:i/>
          <w:color w:val="000000"/>
          <w:sz w:val="22"/>
          <w:szCs w:val="22"/>
          <w:lang w:eastAsia="en-GB"/>
        </w:rPr>
        <w:t xml:space="preserve"> F, on behalf of the ESMO Guidelines Working Group. Management of febrile neutropenia: ESMO Clinical Practice Guidelines. Annals of Oncology 21 (Supp 5): v252-256, 2010; NCCN Clinical Practice Guidelines in Oncology, Myeloid Growth Factors, Version 2.2013, </w:t>
      </w:r>
      <w:hyperlink r:id="rId19" w:history="1">
        <w:r w:rsidRPr="0061689A">
          <w:rPr>
            <w:rStyle w:val="Hyperlink"/>
            <w:rFonts w:ascii="Arial" w:hAnsi="Arial" w:cs="Arial"/>
            <w:i/>
            <w:sz w:val="22"/>
            <w:szCs w:val="22"/>
            <w:lang w:eastAsia="en-GB"/>
          </w:rPr>
          <w:t>www.nccn.org</w:t>
        </w:r>
      </w:hyperlink>
      <w:r w:rsidRPr="0061689A">
        <w:rPr>
          <w:rFonts w:ascii="Arial" w:hAnsi="Arial" w:cs="Arial"/>
          <w:i/>
          <w:color w:val="000000"/>
          <w:sz w:val="22"/>
          <w:szCs w:val="22"/>
          <w:lang w:eastAsia="en-GB"/>
        </w:rPr>
        <w:t xml:space="preserve">. </w:t>
      </w:r>
    </w:p>
    <w:p w14:paraId="574AA57E" w14:textId="77777777" w:rsidR="00DB1388" w:rsidRPr="0061689A" w:rsidRDefault="00DB1388" w:rsidP="00DB1388">
      <w:pPr>
        <w:autoSpaceDE w:val="0"/>
        <w:autoSpaceDN w:val="0"/>
        <w:adjustRightInd w:val="0"/>
        <w:jc w:val="both"/>
        <w:rPr>
          <w:rFonts w:ascii="Arial" w:hAnsi="Arial" w:cs="Arial"/>
          <w:color w:val="000000"/>
          <w:sz w:val="22"/>
          <w:szCs w:val="22"/>
          <w:lang w:eastAsia="en-GB"/>
        </w:rPr>
      </w:pPr>
    </w:p>
    <w:p w14:paraId="65BBBBBF" w14:textId="77777777" w:rsidR="00B56ED4" w:rsidRDefault="00DB1388" w:rsidP="00DB1388">
      <w:pPr>
        <w:autoSpaceDE w:val="0"/>
        <w:autoSpaceDN w:val="0"/>
        <w:adjustRightInd w:val="0"/>
        <w:spacing w:after="69"/>
        <w:jc w:val="both"/>
        <w:rPr>
          <w:rFonts w:ascii="Arial" w:hAnsi="Arial" w:cs="Arial"/>
          <w:b/>
          <w:bCs/>
          <w:color w:val="000000"/>
          <w:sz w:val="22"/>
          <w:szCs w:val="22"/>
          <w:lang w:eastAsia="en-GB"/>
        </w:rPr>
      </w:pPr>
      <w:r w:rsidRPr="0061689A">
        <w:rPr>
          <w:rFonts w:ascii="Arial" w:hAnsi="Arial" w:cs="Arial"/>
          <w:color w:val="000000"/>
          <w:sz w:val="22"/>
          <w:szCs w:val="22"/>
          <w:lang w:eastAsia="en-GB"/>
        </w:rPr>
        <w:t xml:space="preserve">Occurrence of Grade 2, Grade 3, or Grade 4 neutropenia (ANC ≤1500/mm³) on </w:t>
      </w:r>
      <w:r w:rsidR="00B56ED4">
        <w:rPr>
          <w:rFonts w:ascii="Arial" w:hAnsi="Arial" w:cs="Arial"/>
          <w:b/>
          <w:bCs/>
          <w:color w:val="000000"/>
          <w:sz w:val="22"/>
          <w:szCs w:val="22"/>
          <w:lang w:eastAsia="en-GB"/>
        </w:rPr>
        <w:t>Day 1 (any cycle)</w:t>
      </w:r>
    </w:p>
    <w:p w14:paraId="6E1E7A95" w14:textId="77777777" w:rsidR="00DB1388" w:rsidRPr="0061689A" w:rsidRDefault="00DB1388"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61689A">
        <w:rPr>
          <w:rFonts w:ascii="Arial" w:hAnsi="Arial" w:cs="Arial"/>
          <w:color w:val="000000"/>
          <w:sz w:val="22"/>
          <w:szCs w:val="22"/>
          <w:lang w:eastAsia="en-GB"/>
        </w:rPr>
        <w:t>Delay ganetespib dosing until neutrophil recovery to at least Grade 1. Use of G-CSF is recommended. Re</w:t>
      </w:r>
      <w:r>
        <w:rPr>
          <w:rFonts w:ascii="Arial" w:hAnsi="Arial" w:cs="Arial"/>
          <w:color w:val="000000"/>
          <w:sz w:val="22"/>
          <w:szCs w:val="22"/>
          <w:lang w:eastAsia="en-GB"/>
        </w:rPr>
        <w:t>-</w:t>
      </w:r>
      <w:r w:rsidRPr="0061689A">
        <w:rPr>
          <w:rFonts w:ascii="Arial" w:hAnsi="Arial" w:cs="Arial"/>
          <w:color w:val="000000"/>
          <w:sz w:val="22"/>
          <w:szCs w:val="22"/>
          <w:lang w:eastAsia="en-GB"/>
        </w:rPr>
        <w:t xml:space="preserve">evaluate in 1 week. </w:t>
      </w:r>
    </w:p>
    <w:p w14:paraId="22518B0F" w14:textId="77777777" w:rsidR="00DB1388" w:rsidRPr="0061689A" w:rsidRDefault="00DB1388" w:rsidP="00D65DE2">
      <w:pPr>
        <w:numPr>
          <w:ilvl w:val="0"/>
          <w:numId w:val="35"/>
        </w:num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Use of prophylactic G-CSF in subsequent cycles is recommended. </w:t>
      </w:r>
    </w:p>
    <w:p w14:paraId="2D508BB4" w14:textId="77777777" w:rsidR="00DB1388" w:rsidRPr="0061689A" w:rsidRDefault="00DB1388" w:rsidP="00DB1388">
      <w:pPr>
        <w:autoSpaceDE w:val="0"/>
        <w:autoSpaceDN w:val="0"/>
        <w:adjustRightInd w:val="0"/>
        <w:jc w:val="both"/>
        <w:rPr>
          <w:rFonts w:ascii="Arial" w:hAnsi="Arial" w:cs="Arial"/>
          <w:color w:val="000000"/>
          <w:sz w:val="22"/>
          <w:szCs w:val="22"/>
          <w:lang w:eastAsia="en-GB"/>
        </w:rPr>
      </w:pPr>
    </w:p>
    <w:p w14:paraId="060C3649" w14:textId="77777777" w:rsidR="00B56ED4" w:rsidRDefault="00DB1388" w:rsidP="00DB1388">
      <w:p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Grade 2 and Grade 3 neutropenia (ANC 500 -</w:t>
      </w:r>
      <w:r>
        <w:rPr>
          <w:rFonts w:ascii="Arial" w:hAnsi="Arial" w:cs="Arial"/>
          <w:color w:val="000000"/>
          <w:sz w:val="22"/>
          <w:szCs w:val="22"/>
          <w:lang w:eastAsia="en-GB"/>
        </w:rPr>
        <w:t xml:space="preserve"> </w:t>
      </w:r>
      <w:r w:rsidRPr="0061689A">
        <w:rPr>
          <w:rFonts w:ascii="Arial" w:hAnsi="Arial" w:cs="Arial"/>
          <w:color w:val="000000"/>
          <w:sz w:val="22"/>
          <w:szCs w:val="22"/>
          <w:lang w:eastAsia="en-GB"/>
        </w:rPr>
        <w:t xml:space="preserve">1500/mm³) on </w:t>
      </w:r>
      <w:r w:rsidR="00B56ED4">
        <w:rPr>
          <w:rFonts w:ascii="Arial" w:hAnsi="Arial" w:cs="Arial"/>
          <w:b/>
          <w:bCs/>
          <w:color w:val="000000"/>
          <w:sz w:val="22"/>
          <w:szCs w:val="22"/>
          <w:lang w:eastAsia="en-GB"/>
        </w:rPr>
        <w:t>Day 15 (any cycle)</w:t>
      </w:r>
      <w:r w:rsidRPr="0061689A">
        <w:rPr>
          <w:rFonts w:ascii="Arial" w:hAnsi="Arial" w:cs="Arial"/>
          <w:color w:val="000000"/>
          <w:sz w:val="22"/>
          <w:szCs w:val="22"/>
          <w:lang w:eastAsia="en-GB"/>
        </w:rPr>
        <w:t xml:space="preserve"> </w:t>
      </w:r>
    </w:p>
    <w:p w14:paraId="1D8B4359" w14:textId="77777777" w:rsidR="00DB1388" w:rsidRPr="0061689A" w:rsidRDefault="00DB1388" w:rsidP="00D65DE2">
      <w:pPr>
        <w:numPr>
          <w:ilvl w:val="0"/>
          <w:numId w:val="35"/>
        </w:num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Administer ganetespib without delay or dose modification </w:t>
      </w:r>
    </w:p>
    <w:p w14:paraId="02A362FC" w14:textId="77777777" w:rsidR="00DB1388" w:rsidRPr="0061689A" w:rsidRDefault="00DB1388" w:rsidP="00DB1388">
      <w:pPr>
        <w:autoSpaceDE w:val="0"/>
        <w:autoSpaceDN w:val="0"/>
        <w:adjustRightInd w:val="0"/>
        <w:jc w:val="both"/>
        <w:rPr>
          <w:rFonts w:ascii="Arial" w:hAnsi="Arial" w:cs="Arial"/>
          <w:color w:val="000000"/>
          <w:sz w:val="22"/>
          <w:szCs w:val="22"/>
          <w:lang w:eastAsia="en-GB"/>
        </w:rPr>
      </w:pPr>
    </w:p>
    <w:p w14:paraId="5119131F" w14:textId="77777777" w:rsidR="00B56ED4" w:rsidRDefault="00DB1388" w:rsidP="00DB1388">
      <w:p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Occurrence of Grade 4 neutropenia (ANC&lt;500/mm³) on </w:t>
      </w:r>
      <w:r w:rsidRPr="0061689A">
        <w:rPr>
          <w:rFonts w:ascii="Arial" w:hAnsi="Arial" w:cs="Arial"/>
          <w:b/>
          <w:bCs/>
          <w:color w:val="000000"/>
          <w:sz w:val="22"/>
          <w:szCs w:val="22"/>
          <w:lang w:eastAsia="en-GB"/>
        </w:rPr>
        <w:t xml:space="preserve">Day 15 (any cycle) </w:t>
      </w:r>
      <w:r w:rsidRPr="0061689A">
        <w:rPr>
          <w:rFonts w:ascii="Arial" w:hAnsi="Arial" w:cs="Arial"/>
          <w:color w:val="000000"/>
          <w:sz w:val="22"/>
          <w:szCs w:val="22"/>
          <w:lang w:eastAsia="en-GB"/>
        </w:rPr>
        <w:t>or febrile neutropenia defined as follows: neutropenia: ANC&lt;1000/mm3 with a single temperature of &gt;38.3°C (101°F) or a sustained temperature of ≥38°C (100.4°F) for more than 1 hour. Grade 4 febrile neutropenia: Life-threatening consequences; u</w:t>
      </w:r>
      <w:r w:rsidR="00B56ED4">
        <w:rPr>
          <w:rFonts w:ascii="Arial" w:hAnsi="Arial" w:cs="Arial"/>
          <w:color w:val="000000"/>
          <w:sz w:val="22"/>
          <w:szCs w:val="22"/>
          <w:lang w:eastAsia="en-GB"/>
        </w:rPr>
        <w:t xml:space="preserve">rgent intervention indicated. </w:t>
      </w:r>
    </w:p>
    <w:p w14:paraId="49FF613C" w14:textId="77777777" w:rsidR="005A2C67" w:rsidRDefault="00DB1388" w:rsidP="00D65DE2">
      <w:pPr>
        <w:numPr>
          <w:ilvl w:val="0"/>
          <w:numId w:val="49"/>
        </w:num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Delay ganetespib dosing until neutrophil recovery to at least Grade 3. Use of G-CSF on Day 15 is recommended, followed by re-evaluation in 2-3 days. If neutropenia improves to ≤Grade 3, administer ganetespib as delayed Day 15 dose. If neutropenia is still Grade 4, skip ganetespib Day 15 dose. </w:t>
      </w:r>
    </w:p>
    <w:p w14:paraId="30B47EB1" w14:textId="77777777" w:rsidR="00DB1388" w:rsidRPr="005A2C67" w:rsidRDefault="00DB1388" w:rsidP="00A001BE">
      <w:pPr>
        <w:numPr>
          <w:ilvl w:val="0"/>
          <w:numId w:val="49"/>
        </w:numPr>
        <w:autoSpaceDE w:val="0"/>
        <w:autoSpaceDN w:val="0"/>
        <w:adjustRightInd w:val="0"/>
        <w:jc w:val="both"/>
        <w:rPr>
          <w:rFonts w:ascii="Arial" w:hAnsi="Arial" w:cs="Arial"/>
          <w:color w:val="000000"/>
          <w:sz w:val="22"/>
          <w:szCs w:val="22"/>
          <w:lang w:eastAsia="en-GB"/>
        </w:rPr>
      </w:pPr>
      <w:r w:rsidRPr="005A2C67">
        <w:rPr>
          <w:rFonts w:ascii="Arial" w:hAnsi="Arial" w:cs="Arial"/>
          <w:color w:val="000000"/>
          <w:sz w:val="22"/>
          <w:szCs w:val="22"/>
          <w:lang w:eastAsia="en-GB"/>
        </w:rPr>
        <w:t xml:space="preserve">If necessary, delay the start of the next treatment cycle by up to 3 days </w:t>
      </w:r>
    </w:p>
    <w:p w14:paraId="176D295D" w14:textId="77777777" w:rsidR="00DB1388" w:rsidRPr="0061689A" w:rsidRDefault="00DB1388" w:rsidP="00A001BE">
      <w:pPr>
        <w:numPr>
          <w:ilvl w:val="0"/>
          <w:numId w:val="49"/>
        </w:num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Use of prophylactic G-CSF in subsequent cycles is recommended. </w:t>
      </w:r>
    </w:p>
    <w:p w14:paraId="51D89F30" w14:textId="77777777" w:rsidR="00DB1388" w:rsidRPr="005A2C67" w:rsidRDefault="00DB1388" w:rsidP="00942D36">
      <w:pPr>
        <w:autoSpaceDE w:val="0"/>
        <w:autoSpaceDN w:val="0"/>
        <w:adjustRightInd w:val="0"/>
        <w:jc w:val="both"/>
        <w:rPr>
          <w:rFonts w:ascii="Arial" w:hAnsi="Arial" w:cs="Arial"/>
          <w:color w:val="000000"/>
          <w:sz w:val="22"/>
          <w:szCs w:val="22"/>
          <w:lang w:eastAsia="en-GB"/>
        </w:rPr>
      </w:pPr>
    </w:p>
    <w:p w14:paraId="7E5FDC6F" w14:textId="77777777" w:rsidR="00BC3474" w:rsidRDefault="00DA67E8" w:rsidP="0057562C">
      <w:pPr>
        <w:autoSpaceDE w:val="0"/>
        <w:autoSpaceDN w:val="0"/>
        <w:adjustRightInd w:val="0"/>
        <w:jc w:val="both"/>
        <w:rPr>
          <w:rFonts w:ascii="Arial" w:hAnsi="Arial" w:cs="Arial"/>
          <w:color w:val="000000"/>
          <w:sz w:val="22"/>
          <w:szCs w:val="22"/>
        </w:rPr>
      </w:pPr>
      <w:r w:rsidRPr="00217FA9">
        <w:rPr>
          <w:rFonts w:ascii="Arial" w:hAnsi="Arial" w:cs="Arial"/>
          <w:b/>
          <w:color w:val="000000"/>
          <w:sz w:val="22"/>
          <w:szCs w:val="22"/>
        </w:rPr>
        <w:t>Nausea/vomiting:</w:t>
      </w:r>
      <w:r w:rsidRPr="003D3EA9">
        <w:rPr>
          <w:rFonts w:ascii="Arial" w:hAnsi="Arial" w:cs="Arial"/>
          <w:color w:val="000000"/>
          <w:sz w:val="22"/>
          <w:szCs w:val="22"/>
        </w:rPr>
        <w:t xml:space="preserve">  </w:t>
      </w:r>
    </w:p>
    <w:p w14:paraId="3E989306" w14:textId="77777777" w:rsidR="0057562C" w:rsidRDefault="00DA67E8" w:rsidP="0057562C">
      <w:pPr>
        <w:autoSpaceDE w:val="0"/>
        <w:autoSpaceDN w:val="0"/>
        <w:adjustRightInd w:val="0"/>
        <w:jc w:val="both"/>
        <w:rPr>
          <w:rFonts w:ascii="Arial" w:hAnsi="Arial" w:cs="Arial"/>
          <w:color w:val="000000"/>
          <w:sz w:val="22"/>
          <w:szCs w:val="22"/>
        </w:rPr>
      </w:pPr>
      <w:r w:rsidRPr="003D3EA9">
        <w:rPr>
          <w:rFonts w:ascii="Arial" w:hAnsi="Arial" w:cs="Arial"/>
          <w:color w:val="000000"/>
          <w:sz w:val="22"/>
          <w:szCs w:val="22"/>
        </w:rPr>
        <w:t xml:space="preserve">Nausea and vomiting should be treated aggressively, and strong consideration should be given to the administration of prophylactic antiemetic therapy according to standard institutional practice. In particular, the use of antiemetics including 5HT3 antagonists and/or </w:t>
      </w:r>
      <w:proofErr w:type="spellStart"/>
      <w:r w:rsidRPr="003D3EA9">
        <w:rPr>
          <w:rFonts w:ascii="Arial" w:hAnsi="Arial" w:cs="Arial"/>
          <w:color w:val="000000"/>
          <w:sz w:val="22"/>
          <w:szCs w:val="22"/>
        </w:rPr>
        <w:t>aprepitant</w:t>
      </w:r>
      <w:proofErr w:type="spellEnd"/>
      <w:r w:rsidRPr="003D3EA9">
        <w:rPr>
          <w:rFonts w:ascii="Arial" w:hAnsi="Arial" w:cs="Arial"/>
          <w:color w:val="000000"/>
          <w:sz w:val="22"/>
          <w:szCs w:val="22"/>
        </w:rPr>
        <w:t xml:space="preserve"> plus dexamethasone is encouraged.</w:t>
      </w:r>
      <w:r w:rsidR="00445C81" w:rsidRPr="00445C81">
        <w:rPr>
          <w:rFonts w:ascii="Arial" w:hAnsi="Arial" w:cs="Arial"/>
          <w:color w:val="000000"/>
          <w:sz w:val="22"/>
          <w:szCs w:val="22"/>
        </w:rPr>
        <w:t xml:space="preserve">). </w:t>
      </w:r>
      <w:r w:rsidRPr="003D3EA9">
        <w:rPr>
          <w:rFonts w:ascii="Arial" w:hAnsi="Arial" w:cs="Arial"/>
          <w:color w:val="000000"/>
          <w:sz w:val="22"/>
          <w:szCs w:val="22"/>
        </w:rPr>
        <w:t>Patients should be strongly encouraged to maintain liberal oral fluid intake during therapy, especially during the initial 14 days of each treatment cycle.</w:t>
      </w:r>
      <w:r w:rsidR="0057562C">
        <w:rPr>
          <w:rFonts w:ascii="Arial" w:hAnsi="Arial" w:cs="Arial"/>
          <w:color w:val="000000"/>
          <w:sz w:val="22"/>
          <w:szCs w:val="22"/>
        </w:rPr>
        <w:t xml:space="preserve"> </w:t>
      </w:r>
      <w:r w:rsidR="0057562C" w:rsidRPr="00D87855">
        <w:rPr>
          <w:rFonts w:ascii="Arial" w:hAnsi="Arial" w:cs="Arial"/>
          <w:color w:val="000000"/>
          <w:sz w:val="22"/>
          <w:szCs w:val="22"/>
          <w:lang w:eastAsia="en-GB"/>
        </w:rPr>
        <w:t xml:space="preserve">Investigators are advised to note that ondansetron has been linked to QTc prolongation and the occurrence of </w:t>
      </w:r>
      <w:proofErr w:type="spellStart"/>
      <w:r w:rsidR="0057562C" w:rsidRPr="00D87855">
        <w:rPr>
          <w:rFonts w:ascii="Arial" w:hAnsi="Arial" w:cs="Arial"/>
          <w:color w:val="000000"/>
          <w:sz w:val="22"/>
          <w:szCs w:val="22"/>
          <w:lang w:eastAsia="en-GB"/>
        </w:rPr>
        <w:t>torsades</w:t>
      </w:r>
      <w:proofErr w:type="spellEnd"/>
      <w:r w:rsidR="0057562C" w:rsidRPr="00D87855">
        <w:rPr>
          <w:rFonts w:ascii="Arial" w:hAnsi="Arial" w:cs="Arial"/>
          <w:color w:val="000000"/>
          <w:sz w:val="22"/>
          <w:szCs w:val="22"/>
          <w:lang w:eastAsia="en-GB"/>
        </w:rPr>
        <w:t xml:space="preserve"> de pointes. Therefore it should not be used in patients being treated with ganetespib. The use of all other serotonin 5 HT3 antagonists is acceptable (</w:t>
      </w:r>
      <w:r w:rsidR="008533D3" w:rsidRPr="00D87855">
        <w:rPr>
          <w:rFonts w:ascii="Arial" w:hAnsi="Arial" w:cs="Arial"/>
          <w:color w:val="000000"/>
          <w:sz w:val="22"/>
          <w:szCs w:val="22"/>
          <w:lang w:eastAsia="en-GB"/>
        </w:rPr>
        <w:t>e.g.</w:t>
      </w:r>
      <w:r w:rsidR="0057562C" w:rsidRPr="00D87855">
        <w:rPr>
          <w:rFonts w:ascii="Arial" w:hAnsi="Arial" w:cs="Arial"/>
          <w:color w:val="000000"/>
          <w:sz w:val="22"/>
          <w:szCs w:val="22"/>
          <w:lang w:eastAsia="en-GB"/>
        </w:rPr>
        <w:t xml:space="preserve">, palonosetron, </w:t>
      </w:r>
      <w:proofErr w:type="spellStart"/>
      <w:r w:rsidR="0057562C" w:rsidRPr="00D87855">
        <w:rPr>
          <w:rFonts w:ascii="Arial" w:hAnsi="Arial" w:cs="Arial"/>
          <w:color w:val="000000"/>
          <w:sz w:val="22"/>
          <w:szCs w:val="22"/>
          <w:lang w:eastAsia="en-GB"/>
        </w:rPr>
        <w:t>granisetron</w:t>
      </w:r>
      <w:proofErr w:type="spellEnd"/>
      <w:r w:rsidR="0057562C" w:rsidRPr="00D87855">
        <w:rPr>
          <w:rFonts w:ascii="Arial" w:hAnsi="Arial" w:cs="Arial"/>
          <w:color w:val="000000"/>
          <w:sz w:val="22"/>
          <w:szCs w:val="22"/>
          <w:lang w:eastAsia="en-GB"/>
        </w:rPr>
        <w:t xml:space="preserve">, </w:t>
      </w:r>
      <w:proofErr w:type="spellStart"/>
      <w:r w:rsidR="0057562C" w:rsidRPr="00D87855">
        <w:rPr>
          <w:rFonts w:ascii="Arial" w:hAnsi="Arial" w:cs="Arial"/>
          <w:color w:val="000000"/>
          <w:sz w:val="22"/>
          <w:szCs w:val="22"/>
          <w:lang w:eastAsia="en-GB"/>
        </w:rPr>
        <w:t>tropisetron</w:t>
      </w:r>
      <w:proofErr w:type="spellEnd"/>
      <w:r w:rsidR="0057562C" w:rsidRPr="00D87855">
        <w:rPr>
          <w:rFonts w:ascii="Arial" w:hAnsi="Arial" w:cs="Arial"/>
          <w:color w:val="000000"/>
          <w:sz w:val="22"/>
          <w:szCs w:val="22"/>
          <w:lang w:eastAsia="en-GB"/>
        </w:rPr>
        <w:t>).</w:t>
      </w:r>
      <w:r w:rsidR="0057562C">
        <w:rPr>
          <w:rFonts w:ascii="Arial" w:hAnsi="Arial" w:cs="Arial"/>
          <w:color w:val="000000"/>
          <w:sz w:val="22"/>
          <w:szCs w:val="22"/>
          <w:lang w:eastAsia="en-GB"/>
        </w:rPr>
        <w:t xml:space="preserve"> Please refer to appendix 5.</w:t>
      </w:r>
    </w:p>
    <w:p w14:paraId="7E4D1B07" w14:textId="77777777" w:rsidR="00DA67E8" w:rsidRDefault="00DA67E8" w:rsidP="00942D36">
      <w:pPr>
        <w:autoSpaceDE w:val="0"/>
        <w:autoSpaceDN w:val="0"/>
        <w:adjustRightInd w:val="0"/>
        <w:jc w:val="both"/>
        <w:rPr>
          <w:rFonts w:ascii="Arial" w:hAnsi="Arial" w:cs="Arial"/>
          <w:color w:val="000000"/>
          <w:sz w:val="22"/>
          <w:szCs w:val="22"/>
        </w:rPr>
      </w:pPr>
    </w:p>
    <w:p w14:paraId="6F12D12E" w14:textId="77777777" w:rsidR="00BC3474" w:rsidRDefault="0057562C" w:rsidP="0057562C">
      <w:pPr>
        <w:autoSpaceDE w:val="0"/>
        <w:autoSpaceDN w:val="0"/>
        <w:adjustRightInd w:val="0"/>
        <w:jc w:val="both"/>
        <w:rPr>
          <w:rFonts w:ascii="Arial" w:hAnsi="Arial" w:cs="Arial"/>
          <w:b/>
          <w:sz w:val="22"/>
          <w:szCs w:val="22"/>
        </w:rPr>
      </w:pPr>
      <w:r w:rsidRPr="00486353">
        <w:rPr>
          <w:rFonts w:ascii="Arial" w:hAnsi="Arial" w:cs="Arial"/>
          <w:b/>
          <w:sz w:val="22"/>
          <w:szCs w:val="22"/>
        </w:rPr>
        <w:t>Ocular toxicity:</w:t>
      </w:r>
      <w:r>
        <w:rPr>
          <w:rFonts w:ascii="Arial" w:hAnsi="Arial" w:cs="Arial"/>
          <w:b/>
          <w:sz w:val="22"/>
          <w:szCs w:val="22"/>
        </w:rPr>
        <w:t xml:space="preserve"> </w:t>
      </w:r>
    </w:p>
    <w:p w14:paraId="3FEFB272" w14:textId="77777777" w:rsidR="001E2AD7" w:rsidRPr="001E2AD7" w:rsidRDefault="008533D3" w:rsidP="001E2AD7">
      <w:pPr>
        <w:autoSpaceDE w:val="0"/>
        <w:autoSpaceDN w:val="0"/>
        <w:adjustRightInd w:val="0"/>
        <w:jc w:val="both"/>
        <w:rPr>
          <w:rFonts w:ascii="Arial" w:hAnsi="Arial" w:cs="Arial"/>
          <w:sz w:val="22"/>
          <w:szCs w:val="22"/>
        </w:rPr>
      </w:pPr>
      <w:r w:rsidRPr="0061689A">
        <w:rPr>
          <w:rFonts w:ascii="Arial" w:hAnsi="Arial" w:cs="Arial"/>
          <w:sz w:val="22"/>
          <w:szCs w:val="22"/>
        </w:rPr>
        <w:t>Ocular</w:t>
      </w:r>
      <w:r w:rsidR="0057562C" w:rsidRPr="0061689A">
        <w:rPr>
          <w:rFonts w:ascii="Arial" w:hAnsi="Arial" w:cs="Arial"/>
          <w:sz w:val="22"/>
          <w:szCs w:val="22"/>
        </w:rPr>
        <w:t xml:space="preserve"> toxicity manifested as visual disturbances, has been reported for several Hsp90 inhibitors. </w:t>
      </w:r>
      <w:r w:rsidR="001E2AD7" w:rsidRPr="001E2AD7">
        <w:rPr>
          <w:rFonts w:ascii="Arial" w:hAnsi="Arial" w:cs="Arial"/>
          <w:sz w:val="22"/>
          <w:szCs w:val="22"/>
        </w:rPr>
        <w:t>Based on safety data as of 22 September 2014, this was not the case</w:t>
      </w:r>
    </w:p>
    <w:p w14:paraId="699D8612" w14:textId="77777777" w:rsidR="0057562C" w:rsidRDefault="001E2AD7" w:rsidP="001E2AD7">
      <w:pPr>
        <w:autoSpaceDE w:val="0"/>
        <w:autoSpaceDN w:val="0"/>
        <w:adjustRightInd w:val="0"/>
        <w:jc w:val="both"/>
        <w:rPr>
          <w:rFonts w:ascii="Arial" w:hAnsi="Arial" w:cs="Arial"/>
          <w:sz w:val="22"/>
          <w:szCs w:val="22"/>
        </w:rPr>
      </w:pPr>
      <w:r w:rsidRPr="001E2AD7">
        <w:rPr>
          <w:rFonts w:ascii="Arial" w:hAnsi="Arial" w:cs="Arial"/>
          <w:sz w:val="22"/>
          <w:szCs w:val="22"/>
        </w:rPr>
        <w:t>with ganetespib administration</w:t>
      </w:r>
      <w:r>
        <w:rPr>
          <w:rFonts w:ascii="Arial" w:hAnsi="Arial" w:cs="Arial"/>
          <w:sz w:val="22"/>
          <w:szCs w:val="22"/>
        </w:rPr>
        <w:t xml:space="preserve">. </w:t>
      </w:r>
      <w:r w:rsidR="0057562C" w:rsidRPr="0061689A">
        <w:rPr>
          <w:rFonts w:ascii="Arial" w:hAnsi="Arial" w:cs="Arial"/>
          <w:sz w:val="22"/>
          <w:szCs w:val="22"/>
        </w:rPr>
        <w:t>Of the 6</w:t>
      </w:r>
      <w:r w:rsidR="00896BF6">
        <w:rPr>
          <w:rFonts w:ascii="Arial" w:hAnsi="Arial" w:cs="Arial"/>
          <w:sz w:val="22"/>
          <w:szCs w:val="22"/>
        </w:rPr>
        <w:t>24</w:t>
      </w:r>
      <w:r w:rsidR="0057562C" w:rsidRPr="0061689A">
        <w:rPr>
          <w:rFonts w:ascii="Arial" w:hAnsi="Arial" w:cs="Arial"/>
          <w:sz w:val="22"/>
          <w:szCs w:val="22"/>
        </w:rPr>
        <w:t xml:space="preserve">1 patients treated with ganetespib (single-agent and combination-treatment studies) as of 20 September 2013, </w:t>
      </w:r>
      <w:r w:rsidR="00896BF6">
        <w:rPr>
          <w:rFonts w:ascii="Arial" w:hAnsi="Arial" w:cs="Arial"/>
          <w:sz w:val="22"/>
          <w:szCs w:val="22"/>
        </w:rPr>
        <w:t>8</w:t>
      </w:r>
      <w:r w:rsidR="0057562C" w:rsidRPr="0061689A">
        <w:rPr>
          <w:rFonts w:ascii="Arial" w:hAnsi="Arial" w:cs="Arial"/>
          <w:sz w:val="22"/>
          <w:szCs w:val="22"/>
        </w:rPr>
        <w:t xml:space="preserve"> (1%) patients experienced </w:t>
      </w:r>
      <w:r w:rsidR="0057562C" w:rsidRPr="0061689A">
        <w:rPr>
          <w:rFonts w:ascii="Arial" w:hAnsi="Arial" w:cs="Arial"/>
          <w:sz w:val="22"/>
          <w:szCs w:val="22"/>
        </w:rPr>
        <w:lastRenderedPageBreak/>
        <w:t xml:space="preserve">an event of blurred vision and </w:t>
      </w:r>
      <w:r w:rsidR="00896BF6">
        <w:rPr>
          <w:rFonts w:ascii="Arial" w:hAnsi="Arial" w:cs="Arial"/>
          <w:sz w:val="22"/>
          <w:szCs w:val="22"/>
        </w:rPr>
        <w:t>5</w:t>
      </w:r>
      <w:r w:rsidR="0057562C" w:rsidRPr="0061689A">
        <w:rPr>
          <w:rFonts w:ascii="Arial" w:hAnsi="Arial" w:cs="Arial"/>
          <w:sz w:val="22"/>
          <w:szCs w:val="22"/>
        </w:rPr>
        <w:t xml:space="preserve"> (&lt;1%) experienced an event of visual impairment that was assessed as related. In patients treated with single-agent ganetespib (N=</w:t>
      </w:r>
      <w:r w:rsidR="00896BF6">
        <w:rPr>
          <w:rFonts w:ascii="Arial" w:hAnsi="Arial" w:cs="Arial"/>
          <w:sz w:val="22"/>
          <w:szCs w:val="22"/>
        </w:rPr>
        <w:t>402</w:t>
      </w:r>
      <w:r w:rsidR="0057562C" w:rsidRPr="0061689A">
        <w:rPr>
          <w:rFonts w:ascii="Arial" w:hAnsi="Arial" w:cs="Arial"/>
          <w:sz w:val="22"/>
          <w:szCs w:val="22"/>
        </w:rPr>
        <w:t xml:space="preserve">), </w:t>
      </w:r>
      <w:r w:rsidR="00896BF6">
        <w:rPr>
          <w:rFonts w:ascii="Arial" w:hAnsi="Arial" w:cs="Arial"/>
          <w:sz w:val="22"/>
          <w:szCs w:val="22"/>
        </w:rPr>
        <w:t>6</w:t>
      </w:r>
      <w:r w:rsidR="0057562C" w:rsidRPr="0061689A">
        <w:rPr>
          <w:rFonts w:ascii="Arial" w:hAnsi="Arial" w:cs="Arial"/>
          <w:sz w:val="22"/>
          <w:szCs w:val="22"/>
        </w:rPr>
        <w:t xml:space="preserve"> patients (</w:t>
      </w:r>
      <w:r w:rsidR="00896BF6">
        <w:rPr>
          <w:rFonts w:ascii="Arial" w:hAnsi="Arial" w:cs="Arial"/>
          <w:sz w:val="22"/>
          <w:szCs w:val="22"/>
        </w:rPr>
        <w:t>2</w:t>
      </w:r>
      <w:r w:rsidR="0057562C" w:rsidRPr="0061689A">
        <w:rPr>
          <w:rFonts w:ascii="Arial" w:hAnsi="Arial" w:cs="Arial"/>
          <w:sz w:val="22"/>
          <w:szCs w:val="22"/>
        </w:rPr>
        <w:t xml:space="preserve">%) experienced treatment-related blurred vision and </w:t>
      </w:r>
      <w:r w:rsidR="00896BF6">
        <w:rPr>
          <w:rFonts w:ascii="Arial" w:hAnsi="Arial" w:cs="Arial"/>
          <w:sz w:val="22"/>
          <w:szCs w:val="22"/>
        </w:rPr>
        <w:t>4</w:t>
      </w:r>
      <w:r w:rsidR="0057562C" w:rsidRPr="0061689A">
        <w:rPr>
          <w:rFonts w:ascii="Arial" w:hAnsi="Arial" w:cs="Arial"/>
          <w:sz w:val="22"/>
          <w:szCs w:val="22"/>
        </w:rPr>
        <w:t xml:space="preserve"> patients (&lt;1%) experienced treatment-related visual impairment.</w:t>
      </w:r>
    </w:p>
    <w:p w14:paraId="5B2D4564" w14:textId="77777777" w:rsidR="00896BF6" w:rsidRDefault="00896BF6" w:rsidP="0057562C">
      <w:pPr>
        <w:autoSpaceDE w:val="0"/>
        <w:autoSpaceDN w:val="0"/>
        <w:adjustRightInd w:val="0"/>
        <w:jc w:val="both"/>
        <w:rPr>
          <w:rFonts w:ascii="Arial" w:hAnsi="Arial" w:cs="Arial"/>
          <w:sz w:val="22"/>
          <w:szCs w:val="22"/>
        </w:rPr>
      </w:pPr>
    </w:p>
    <w:p w14:paraId="72CBF9E5" w14:textId="77777777" w:rsidR="00896BF6" w:rsidRPr="00896BF6" w:rsidRDefault="00896BF6" w:rsidP="00896BF6">
      <w:pPr>
        <w:autoSpaceDE w:val="0"/>
        <w:autoSpaceDN w:val="0"/>
        <w:adjustRightInd w:val="0"/>
        <w:jc w:val="both"/>
        <w:rPr>
          <w:rFonts w:ascii="Arial" w:hAnsi="Arial" w:cs="Arial"/>
          <w:sz w:val="22"/>
          <w:szCs w:val="22"/>
        </w:rPr>
      </w:pPr>
      <w:r w:rsidRPr="00896BF6">
        <w:rPr>
          <w:rFonts w:ascii="Arial" w:hAnsi="Arial" w:cs="Arial"/>
          <w:sz w:val="22"/>
          <w:szCs w:val="22"/>
        </w:rPr>
        <w:t>In studies using single-agent ganetespib, eye disorders including visual disturbances regardless</w:t>
      </w:r>
      <w:r>
        <w:rPr>
          <w:rFonts w:ascii="Arial" w:hAnsi="Arial" w:cs="Arial"/>
          <w:sz w:val="22"/>
          <w:szCs w:val="22"/>
        </w:rPr>
        <w:t xml:space="preserve"> </w:t>
      </w:r>
      <w:r w:rsidRPr="00896BF6">
        <w:rPr>
          <w:rFonts w:ascii="Arial" w:hAnsi="Arial" w:cs="Arial"/>
          <w:sz w:val="22"/>
          <w:szCs w:val="22"/>
        </w:rPr>
        <w:t>of relationship to treatment included: blurred vision (5%), visual impairment (2%), and</w:t>
      </w:r>
      <w:r>
        <w:rPr>
          <w:rFonts w:ascii="Arial" w:hAnsi="Arial" w:cs="Arial"/>
          <w:sz w:val="22"/>
          <w:szCs w:val="22"/>
        </w:rPr>
        <w:t xml:space="preserve"> </w:t>
      </w:r>
      <w:r w:rsidRPr="00896BF6">
        <w:rPr>
          <w:rFonts w:ascii="Arial" w:hAnsi="Arial" w:cs="Arial"/>
          <w:sz w:val="22"/>
          <w:szCs w:val="22"/>
        </w:rPr>
        <w:t>conjunctivitis, cataract, eye pain, visual acuity reduced, vitreous floaters, conjunctival</w:t>
      </w:r>
    </w:p>
    <w:p w14:paraId="163ECDF7" w14:textId="77777777" w:rsidR="00896BF6" w:rsidRPr="00896BF6" w:rsidRDefault="00896BF6" w:rsidP="00896BF6">
      <w:pPr>
        <w:autoSpaceDE w:val="0"/>
        <w:autoSpaceDN w:val="0"/>
        <w:adjustRightInd w:val="0"/>
        <w:jc w:val="both"/>
        <w:rPr>
          <w:rFonts w:ascii="Arial" w:hAnsi="Arial" w:cs="Arial"/>
          <w:sz w:val="22"/>
          <w:szCs w:val="22"/>
        </w:rPr>
      </w:pPr>
      <w:proofErr w:type="spellStart"/>
      <w:r w:rsidRPr="00896BF6">
        <w:rPr>
          <w:rFonts w:ascii="Arial" w:hAnsi="Arial" w:cs="Arial"/>
          <w:sz w:val="22"/>
          <w:szCs w:val="22"/>
        </w:rPr>
        <w:t>hemorrhage</w:t>
      </w:r>
      <w:proofErr w:type="spellEnd"/>
      <w:r w:rsidRPr="00896BF6">
        <w:rPr>
          <w:rFonts w:ascii="Arial" w:hAnsi="Arial" w:cs="Arial"/>
          <w:sz w:val="22"/>
          <w:szCs w:val="22"/>
        </w:rPr>
        <w:t xml:space="preserve">, dry eye, eyelid </w:t>
      </w:r>
      <w:proofErr w:type="spellStart"/>
      <w:r w:rsidRPr="00896BF6">
        <w:rPr>
          <w:rFonts w:ascii="Arial" w:hAnsi="Arial" w:cs="Arial"/>
          <w:sz w:val="22"/>
          <w:szCs w:val="22"/>
        </w:rPr>
        <w:t>edema</w:t>
      </w:r>
      <w:proofErr w:type="spellEnd"/>
      <w:r w:rsidRPr="00896BF6">
        <w:rPr>
          <w:rFonts w:ascii="Arial" w:hAnsi="Arial" w:cs="Arial"/>
          <w:sz w:val="22"/>
          <w:szCs w:val="22"/>
        </w:rPr>
        <w:t xml:space="preserve">, periorbital </w:t>
      </w:r>
      <w:proofErr w:type="spellStart"/>
      <w:r w:rsidRPr="00896BF6">
        <w:rPr>
          <w:rFonts w:ascii="Arial" w:hAnsi="Arial" w:cs="Arial"/>
          <w:sz w:val="22"/>
          <w:szCs w:val="22"/>
        </w:rPr>
        <w:t>edema</w:t>
      </w:r>
      <w:proofErr w:type="spellEnd"/>
      <w:r w:rsidRPr="00896BF6">
        <w:rPr>
          <w:rFonts w:ascii="Arial" w:hAnsi="Arial" w:cs="Arial"/>
          <w:sz w:val="22"/>
          <w:szCs w:val="22"/>
        </w:rPr>
        <w:t xml:space="preserve">, scotoma, blindness, </w:t>
      </w:r>
      <w:proofErr w:type="spellStart"/>
      <w:r w:rsidRPr="00896BF6">
        <w:rPr>
          <w:rFonts w:ascii="Arial" w:hAnsi="Arial" w:cs="Arial"/>
          <w:sz w:val="22"/>
          <w:szCs w:val="22"/>
        </w:rPr>
        <w:t>chromatopsia</w:t>
      </w:r>
      <w:proofErr w:type="spellEnd"/>
      <w:r w:rsidRPr="00896BF6">
        <w:rPr>
          <w:rFonts w:ascii="Arial" w:hAnsi="Arial" w:cs="Arial"/>
          <w:sz w:val="22"/>
          <w:szCs w:val="22"/>
        </w:rPr>
        <w:t>,</w:t>
      </w:r>
    </w:p>
    <w:p w14:paraId="0270354E" w14:textId="77777777" w:rsidR="00896BF6" w:rsidRDefault="00896BF6" w:rsidP="00896BF6">
      <w:pPr>
        <w:autoSpaceDE w:val="0"/>
        <w:autoSpaceDN w:val="0"/>
        <w:adjustRightInd w:val="0"/>
        <w:jc w:val="both"/>
        <w:rPr>
          <w:rFonts w:ascii="Arial" w:hAnsi="Arial" w:cs="Arial"/>
          <w:sz w:val="22"/>
          <w:szCs w:val="22"/>
        </w:rPr>
      </w:pPr>
      <w:r w:rsidRPr="00896BF6">
        <w:rPr>
          <w:rFonts w:ascii="Arial" w:hAnsi="Arial" w:cs="Arial"/>
          <w:sz w:val="22"/>
          <w:szCs w:val="22"/>
        </w:rPr>
        <w:t xml:space="preserve">conjunctival </w:t>
      </w:r>
      <w:proofErr w:type="spellStart"/>
      <w:r w:rsidRPr="00896BF6">
        <w:rPr>
          <w:rFonts w:ascii="Arial" w:hAnsi="Arial" w:cs="Arial"/>
          <w:sz w:val="22"/>
          <w:szCs w:val="22"/>
        </w:rPr>
        <w:t>hyperemia</w:t>
      </w:r>
      <w:proofErr w:type="spellEnd"/>
      <w:r w:rsidRPr="00896BF6">
        <w:rPr>
          <w:rFonts w:ascii="Arial" w:hAnsi="Arial" w:cs="Arial"/>
          <w:sz w:val="22"/>
          <w:szCs w:val="22"/>
        </w:rPr>
        <w:t>, diplopia, eye swelling, eyelid ptosis, glaucoma, night blindness, ocular</w:t>
      </w:r>
      <w:r>
        <w:rPr>
          <w:rFonts w:ascii="Arial" w:hAnsi="Arial" w:cs="Arial"/>
          <w:sz w:val="22"/>
          <w:szCs w:val="22"/>
        </w:rPr>
        <w:t xml:space="preserve"> </w:t>
      </w:r>
      <w:proofErr w:type="spellStart"/>
      <w:r w:rsidRPr="00896BF6">
        <w:rPr>
          <w:rFonts w:ascii="Arial" w:hAnsi="Arial" w:cs="Arial"/>
          <w:sz w:val="22"/>
          <w:szCs w:val="22"/>
        </w:rPr>
        <w:t>hyperemia</w:t>
      </w:r>
      <w:proofErr w:type="spellEnd"/>
      <w:r w:rsidRPr="00896BF6">
        <w:rPr>
          <w:rFonts w:ascii="Arial" w:hAnsi="Arial" w:cs="Arial"/>
          <w:sz w:val="22"/>
          <w:szCs w:val="22"/>
        </w:rPr>
        <w:t>, photopsia, and retinal degeneration (all &lt;1%).</w:t>
      </w:r>
    </w:p>
    <w:p w14:paraId="369A9C2D" w14:textId="77777777" w:rsidR="00B4232D" w:rsidRDefault="00B4232D" w:rsidP="00896BF6">
      <w:pPr>
        <w:autoSpaceDE w:val="0"/>
        <w:autoSpaceDN w:val="0"/>
        <w:adjustRightInd w:val="0"/>
        <w:jc w:val="both"/>
        <w:rPr>
          <w:rFonts w:ascii="Arial" w:hAnsi="Arial" w:cs="Arial"/>
          <w:sz w:val="22"/>
          <w:szCs w:val="22"/>
        </w:rPr>
      </w:pPr>
    </w:p>
    <w:p w14:paraId="52B83CD8" w14:textId="77777777" w:rsidR="00B4232D" w:rsidRDefault="00B4232D" w:rsidP="00B4232D">
      <w:pPr>
        <w:autoSpaceDE w:val="0"/>
        <w:autoSpaceDN w:val="0"/>
        <w:adjustRightInd w:val="0"/>
        <w:jc w:val="both"/>
        <w:rPr>
          <w:rFonts w:ascii="Arial" w:hAnsi="Arial" w:cs="Arial"/>
          <w:sz w:val="22"/>
          <w:szCs w:val="22"/>
        </w:rPr>
      </w:pPr>
      <w:r w:rsidRPr="0061689A">
        <w:rPr>
          <w:rFonts w:ascii="Arial" w:hAnsi="Arial" w:cs="Arial"/>
          <w:b/>
          <w:sz w:val="22"/>
          <w:szCs w:val="22"/>
        </w:rPr>
        <w:t>QTc prolongation</w:t>
      </w:r>
      <w:r>
        <w:rPr>
          <w:rFonts w:ascii="Arial" w:hAnsi="Arial" w:cs="Arial"/>
          <w:sz w:val="22"/>
          <w:szCs w:val="22"/>
        </w:rPr>
        <w:t xml:space="preserve">: </w:t>
      </w:r>
    </w:p>
    <w:p w14:paraId="580851E1" w14:textId="77777777" w:rsidR="00B4232D" w:rsidRPr="00B4232D" w:rsidRDefault="00B4232D" w:rsidP="00B4232D">
      <w:pPr>
        <w:autoSpaceDE w:val="0"/>
        <w:autoSpaceDN w:val="0"/>
        <w:adjustRightInd w:val="0"/>
        <w:jc w:val="both"/>
        <w:rPr>
          <w:rFonts w:ascii="Arial" w:hAnsi="Arial" w:cs="Arial"/>
          <w:sz w:val="22"/>
          <w:szCs w:val="22"/>
        </w:rPr>
      </w:pPr>
      <w:r w:rsidRPr="00B4232D">
        <w:rPr>
          <w:rFonts w:ascii="Arial" w:hAnsi="Arial" w:cs="Arial"/>
          <w:sz w:val="22"/>
          <w:szCs w:val="22"/>
        </w:rPr>
        <w:t xml:space="preserve">"If a patient has a reported Grade 3 QTc prolongation (QTc ≥501 </w:t>
      </w:r>
      <w:proofErr w:type="spellStart"/>
      <w:r w:rsidRPr="00B4232D">
        <w:rPr>
          <w:rFonts w:ascii="Arial" w:hAnsi="Arial" w:cs="Arial"/>
          <w:sz w:val="22"/>
          <w:szCs w:val="22"/>
        </w:rPr>
        <w:t>ms</w:t>
      </w:r>
      <w:proofErr w:type="spellEnd"/>
      <w:r w:rsidRPr="00B4232D">
        <w:rPr>
          <w:rFonts w:ascii="Arial" w:hAnsi="Arial" w:cs="Arial"/>
          <w:sz w:val="22"/>
          <w:szCs w:val="22"/>
        </w:rPr>
        <w:t xml:space="preserve">) of any ECG (an average of triplicate recordings), the patient may continue ganetespib treatment at a reduced dose of 80% after the QTc has decreased to at least &lt;470 </w:t>
      </w:r>
      <w:proofErr w:type="spellStart"/>
      <w:r w:rsidRPr="00B4232D">
        <w:rPr>
          <w:rFonts w:ascii="Arial" w:hAnsi="Arial" w:cs="Arial"/>
          <w:sz w:val="22"/>
          <w:szCs w:val="22"/>
        </w:rPr>
        <w:t>ms</w:t>
      </w:r>
      <w:proofErr w:type="spellEnd"/>
      <w:r w:rsidRPr="00B4232D">
        <w:rPr>
          <w:rFonts w:ascii="Arial" w:hAnsi="Arial" w:cs="Arial"/>
          <w:sz w:val="22"/>
          <w:szCs w:val="22"/>
        </w:rPr>
        <w:t>.</w:t>
      </w:r>
    </w:p>
    <w:p w14:paraId="5239FFC6" w14:textId="77777777" w:rsidR="00B4232D" w:rsidRPr="00B4232D" w:rsidRDefault="00B4232D" w:rsidP="00B4232D">
      <w:pPr>
        <w:autoSpaceDE w:val="0"/>
        <w:autoSpaceDN w:val="0"/>
        <w:adjustRightInd w:val="0"/>
        <w:jc w:val="both"/>
        <w:rPr>
          <w:rFonts w:ascii="Arial" w:hAnsi="Arial" w:cs="Arial"/>
          <w:sz w:val="22"/>
          <w:szCs w:val="22"/>
        </w:rPr>
      </w:pPr>
      <w:r w:rsidRPr="00B4232D">
        <w:rPr>
          <w:rFonts w:ascii="Arial" w:hAnsi="Arial" w:cs="Arial"/>
          <w:sz w:val="22"/>
          <w:szCs w:val="22"/>
        </w:rPr>
        <w:t xml:space="preserve"> </w:t>
      </w:r>
    </w:p>
    <w:p w14:paraId="1616435F" w14:textId="77777777" w:rsidR="00B4232D" w:rsidRPr="00B4232D" w:rsidRDefault="00B4232D" w:rsidP="00B4232D">
      <w:pPr>
        <w:autoSpaceDE w:val="0"/>
        <w:autoSpaceDN w:val="0"/>
        <w:adjustRightInd w:val="0"/>
        <w:jc w:val="both"/>
        <w:rPr>
          <w:rFonts w:ascii="Arial" w:hAnsi="Arial" w:cs="Arial"/>
          <w:sz w:val="22"/>
          <w:szCs w:val="22"/>
        </w:rPr>
      </w:pPr>
      <w:r w:rsidRPr="00B4232D">
        <w:rPr>
          <w:rFonts w:ascii="Arial" w:hAnsi="Arial" w:cs="Arial"/>
          <w:sz w:val="22"/>
          <w:szCs w:val="22"/>
        </w:rPr>
        <w:t xml:space="preserve">If a patient has a reported Grade 4 QTc prolongation (QTc ≥501 </w:t>
      </w:r>
      <w:proofErr w:type="spellStart"/>
      <w:r w:rsidRPr="00B4232D">
        <w:rPr>
          <w:rFonts w:ascii="Arial" w:hAnsi="Arial" w:cs="Arial"/>
          <w:sz w:val="22"/>
          <w:szCs w:val="22"/>
        </w:rPr>
        <w:t>ms</w:t>
      </w:r>
      <w:proofErr w:type="spellEnd"/>
      <w:r w:rsidRPr="00B4232D">
        <w:rPr>
          <w:rFonts w:ascii="Arial" w:hAnsi="Arial" w:cs="Arial"/>
          <w:sz w:val="22"/>
          <w:szCs w:val="22"/>
        </w:rPr>
        <w:t xml:space="preserve"> or &gt;60 </w:t>
      </w:r>
      <w:proofErr w:type="spellStart"/>
      <w:r w:rsidRPr="00B4232D">
        <w:rPr>
          <w:rFonts w:ascii="Arial" w:hAnsi="Arial" w:cs="Arial"/>
          <w:sz w:val="22"/>
          <w:szCs w:val="22"/>
        </w:rPr>
        <w:t>ms</w:t>
      </w:r>
      <w:proofErr w:type="spellEnd"/>
      <w:r w:rsidRPr="00B4232D">
        <w:rPr>
          <w:rFonts w:ascii="Arial" w:hAnsi="Arial" w:cs="Arial"/>
          <w:sz w:val="22"/>
          <w:szCs w:val="22"/>
        </w:rPr>
        <w:t xml:space="preserve"> change from baseline and </w:t>
      </w:r>
      <w:proofErr w:type="spellStart"/>
      <w:r w:rsidRPr="00B4232D">
        <w:rPr>
          <w:rFonts w:ascii="Arial" w:hAnsi="Arial" w:cs="Arial"/>
          <w:sz w:val="22"/>
          <w:szCs w:val="22"/>
        </w:rPr>
        <w:t>torsades</w:t>
      </w:r>
      <w:proofErr w:type="spellEnd"/>
      <w:r w:rsidRPr="00B4232D">
        <w:rPr>
          <w:rFonts w:ascii="Arial" w:hAnsi="Arial" w:cs="Arial"/>
          <w:sz w:val="22"/>
          <w:szCs w:val="22"/>
        </w:rPr>
        <w:t xml:space="preserve"> de pointes, or polymorphic ventricular tachycardia, or signs/symptoms of serious arrhythmia) or repeated Grade 3 or higher QTc prolongation, the patient must discontinue treatment with ganetespib.</w:t>
      </w:r>
    </w:p>
    <w:p w14:paraId="6F235153" w14:textId="77777777" w:rsidR="00B4232D" w:rsidRPr="00B4232D" w:rsidRDefault="00B4232D" w:rsidP="00B4232D">
      <w:pPr>
        <w:autoSpaceDE w:val="0"/>
        <w:autoSpaceDN w:val="0"/>
        <w:adjustRightInd w:val="0"/>
        <w:jc w:val="both"/>
        <w:rPr>
          <w:rFonts w:ascii="Arial" w:hAnsi="Arial" w:cs="Arial"/>
          <w:sz w:val="22"/>
          <w:szCs w:val="22"/>
        </w:rPr>
      </w:pPr>
      <w:r w:rsidRPr="00B4232D">
        <w:rPr>
          <w:rFonts w:ascii="Arial" w:hAnsi="Arial" w:cs="Arial"/>
          <w:sz w:val="22"/>
          <w:szCs w:val="22"/>
        </w:rPr>
        <w:t xml:space="preserve"> </w:t>
      </w:r>
    </w:p>
    <w:p w14:paraId="38F3D7BC" w14:textId="790B04DB" w:rsidR="00B4232D" w:rsidRPr="00B4232D" w:rsidRDefault="00B4232D" w:rsidP="00B4232D">
      <w:pPr>
        <w:autoSpaceDE w:val="0"/>
        <w:autoSpaceDN w:val="0"/>
        <w:adjustRightInd w:val="0"/>
        <w:jc w:val="both"/>
        <w:rPr>
          <w:rFonts w:ascii="Arial" w:hAnsi="Arial" w:cs="Arial"/>
          <w:sz w:val="22"/>
          <w:szCs w:val="22"/>
        </w:rPr>
      </w:pPr>
      <w:r w:rsidRPr="00B4232D">
        <w:rPr>
          <w:rFonts w:ascii="Arial" w:hAnsi="Arial" w:cs="Arial"/>
          <w:sz w:val="22"/>
          <w:szCs w:val="22"/>
        </w:rPr>
        <w:t>Patients with QTc prolongation of Grade 3 severity or higher should be closely monitored during the first 72 hours post ganetespib infusion (i.e</w:t>
      </w:r>
      <w:r w:rsidR="00DC7621">
        <w:rPr>
          <w:rFonts w:ascii="Arial" w:hAnsi="Arial" w:cs="Arial"/>
          <w:sz w:val="22"/>
          <w:szCs w:val="22"/>
        </w:rPr>
        <w:t>.</w:t>
      </w:r>
      <w:r w:rsidRPr="00B4232D">
        <w:rPr>
          <w:rFonts w:ascii="Arial" w:hAnsi="Arial" w:cs="Arial"/>
          <w:sz w:val="22"/>
          <w:szCs w:val="22"/>
        </w:rPr>
        <w:t>, electrolytes, concom</w:t>
      </w:r>
      <w:r>
        <w:rPr>
          <w:rFonts w:ascii="Arial" w:hAnsi="Arial" w:cs="Arial"/>
          <w:sz w:val="22"/>
          <w:szCs w:val="22"/>
        </w:rPr>
        <w:t>ita</w:t>
      </w:r>
      <w:r w:rsidRPr="00B4232D">
        <w:rPr>
          <w:rFonts w:ascii="Arial" w:hAnsi="Arial" w:cs="Arial"/>
          <w:sz w:val="22"/>
          <w:szCs w:val="22"/>
        </w:rPr>
        <w:t>nt medications) and at subsequent cycles of ganetespib treatment.</w:t>
      </w:r>
    </w:p>
    <w:p w14:paraId="7DA8276D" w14:textId="77777777" w:rsidR="00B4232D" w:rsidRPr="00B4232D" w:rsidRDefault="00B4232D" w:rsidP="00B4232D">
      <w:pPr>
        <w:autoSpaceDE w:val="0"/>
        <w:autoSpaceDN w:val="0"/>
        <w:adjustRightInd w:val="0"/>
        <w:jc w:val="both"/>
        <w:rPr>
          <w:rFonts w:ascii="Arial" w:hAnsi="Arial" w:cs="Arial"/>
          <w:sz w:val="22"/>
          <w:szCs w:val="22"/>
        </w:rPr>
      </w:pPr>
      <w:r w:rsidRPr="00B4232D">
        <w:rPr>
          <w:rFonts w:ascii="Arial" w:hAnsi="Arial" w:cs="Arial"/>
          <w:sz w:val="22"/>
          <w:szCs w:val="22"/>
        </w:rPr>
        <w:t xml:space="preserve"> </w:t>
      </w:r>
    </w:p>
    <w:p w14:paraId="36FD8286" w14:textId="77777777" w:rsidR="00B4232D" w:rsidRDefault="00B4232D" w:rsidP="00B4232D">
      <w:pPr>
        <w:autoSpaceDE w:val="0"/>
        <w:autoSpaceDN w:val="0"/>
        <w:adjustRightInd w:val="0"/>
        <w:jc w:val="both"/>
        <w:rPr>
          <w:rFonts w:ascii="Arial" w:hAnsi="Arial" w:cs="Arial"/>
          <w:sz w:val="22"/>
          <w:szCs w:val="22"/>
        </w:rPr>
      </w:pPr>
      <w:r w:rsidRPr="00B4232D">
        <w:rPr>
          <w:rFonts w:ascii="Arial" w:hAnsi="Arial" w:cs="Arial"/>
          <w:sz w:val="22"/>
          <w:szCs w:val="22"/>
        </w:rPr>
        <w:t>While the QTc prolongation is Grade 3 or higher, patients will have ECGs performed in triplicate until the QTc i</w:t>
      </w:r>
      <w:r>
        <w:rPr>
          <w:rFonts w:ascii="Arial" w:hAnsi="Arial" w:cs="Arial"/>
          <w:sz w:val="22"/>
          <w:szCs w:val="22"/>
        </w:rPr>
        <w:t xml:space="preserve">nterval returns to baseline or </w:t>
      </w:r>
      <w:r w:rsidRPr="00B4232D">
        <w:rPr>
          <w:rFonts w:ascii="Arial" w:hAnsi="Arial" w:cs="Arial"/>
          <w:sz w:val="22"/>
          <w:szCs w:val="22"/>
        </w:rPr>
        <w:t>≤ Grade 2</w:t>
      </w:r>
    </w:p>
    <w:p w14:paraId="23D4005B" w14:textId="46D574B5" w:rsidR="00B4232D" w:rsidRDefault="00B4232D" w:rsidP="00B4232D">
      <w:pPr>
        <w:autoSpaceDE w:val="0"/>
        <w:autoSpaceDN w:val="0"/>
        <w:adjustRightInd w:val="0"/>
        <w:jc w:val="both"/>
        <w:rPr>
          <w:rFonts w:ascii="Arial" w:hAnsi="Arial" w:cs="Arial"/>
          <w:b/>
          <w:sz w:val="22"/>
          <w:szCs w:val="22"/>
        </w:rPr>
      </w:pPr>
    </w:p>
    <w:p w14:paraId="4A477BD4" w14:textId="77777777" w:rsidR="0057562C" w:rsidRDefault="0057562C" w:rsidP="00942D36">
      <w:pPr>
        <w:autoSpaceDE w:val="0"/>
        <w:autoSpaceDN w:val="0"/>
        <w:adjustRightInd w:val="0"/>
        <w:jc w:val="both"/>
        <w:rPr>
          <w:rFonts w:ascii="Arial" w:hAnsi="Arial" w:cs="Arial"/>
          <w:color w:val="000000"/>
          <w:sz w:val="22"/>
          <w:szCs w:val="22"/>
        </w:rPr>
      </w:pPr>
    </w:p>
    <w:p w14:paraId="3366446A" w14:textId="77777777" w:rsidR="00BC3474" w:rsidRDefault="00D15ED1" w:rsidP="00D15ED1">
      <w:pPr>
        <w:autoSpaceDE w:val="0"/>
        <w:autoSpaceDN w:val="0"/>
        <w:adjustRightInd w:val="0"/>
        <w:jc w:val="both"/>
        <w:rPr>
          <w:rFonts w:ascii="Arial" w:hAnsi="Arial" w:cs="Arial"/>
          <w:b/>
          <w:bCs/>
          <w:color w:val="000000"/>
          <w:sz w:val="22"/>
          <w:szCs w:val="22"/>
          <w:lang w:val="en-US"/>
        </w:rPr>
      </w:pPr>
      <w:r w:rsidRPr="00D15ED1">
        <w:rPr>
          <w:rFonts w:ascii="Arial" w:hAnsi="Arial" w:cs="Arial"/>
          <w:b/>
          <w:bCs/>
          <w:color w:val="000000"/>
          <w:sz w:val="22"/>
          <w:szCs w:val="22"/>
          <w:lang w:val="en-US"/>
        </w:rPr>
        <w:t xml:space="preserve">Pancreatic events: </w:t>
      </w:r>
    </w:p>
    <w:p w14:paraId="755B6C86" w14:textId="77777777" w:rsidR="00BA5098" w:rsidRDefault="00D15ED1" w:rsidP="00BC3474">
      <w:pPr>
        <w:autoSpaceDE w:val="0"/>
        <w:autoSpaceDN w:val="0"/>
        <w:adjustRightInd w:val="0"/>
        <w:jc w:val="both"/>
        <w:rPr>
          <w:rFonts w:ascii="Arial" w:hAnsi="Arial" w:cs="Arial"/>
          <w:b/>
          <w:bCs/>
          <w:color w:val="000000"/>
          <w:sz w:val="22"/>
          <w:szCs w:val="22"/>
          <w:lang w:val="en-US"/>
        </w:rPr>
      </w:pPr>
      <w:r w:rsidRPr="00D15ED1">
        <w:rPr>
          <w:rFonts w:ascii="Arial" w:hAnsi="Arial" w:cs="Arial"/>
          <w:bCs/>
          <w:color w:val="000000"/>
          <w:sz w:val="22"/>
          <w:szCs w:val="22"/>
          <w:lang w:val="en-US"/>
        </w:rPr>
        <w:t>A low incidence of grade 3 amylase and lipase events have been reported in other studies. All abdominal events or symptoms must be monitored closely for pancreatic disorder (including amylase levels).</w:t>
      </w:r>
      <w:r w:rsidRPr="00D15ED1">
        <w:rPr>
          <w:rFonts w:ascii="Arial" w:hAnsi="Arial" w:cs="Arial"/>
          <w:b/>
          <w:bCs/>
          <w:color w:val="000000"/>
          <w:sz w:val="22"/>
          <w:szCs w:val="22"/>
          <w:lang w:val="en-US"/>
        </w:rPr>
        <w:t xml:space="preserve"> </w:t>
      </w:r>
    </w:p>
    <w:p w14:paraId="4F5F3E99" w14:textId="77777777" w:rsidR="00BA5098" w:rsidRDefault="00BA5098" w:rsidP="00BC3474">
      <w:pPr>
        <w:autoSpaceDE w:val="0"/>
        <w:autoSpaceDN w:val="0"/>
        <w:adjustRightInd w:val="0"/>
        <w:jc w:val="both"/>
        <w:rPr>
          <w:rFonts w:ascii="Arial" w:hAnsi="Arial" w:cs="Arial"/>
          <w:b/>
          <w:bCs/>
          <w:color w:val="000000"/>
          <w:sz w:val="22"/>
          <w:szCs w:val="22"/>
          <w:lang w:val="en-US"/>
        </w:rPr>
      </w:pPr>
    </w:p>
    <w:p w14:paraId="13F15F68" w14:textId="77777777" w:rsidR="00BA5098" w:rsidRPr="00486353" w:rsidRDefault="00BA5098" w:rsidP="00BA5098">
      <w:pPr>
        <w:autoSpaceDE w:val="0"/>
        <w:autoSpaceDN w:val="0"/>
        <w:adjustRightInd w:val="0"/>
        <w:jc w:val="both"/>
        <w:rPr>
          <w:rFonts w:ascii="Arial" w:hAnsi="Arial" w:cs="Arial"/>
          <w:b/>
          <w:color w:val="000000" w:themeColor="text1"/>
          <w:sz w:val="22"/>
          <w:szCs w:val="22"/>
        </w:rPr>
      </w:pPr>
      <w:r w:rsidRPr="00486353">
        <w:rPr>
          <w:rFonts w:ascii="Arial" w:hAnsi="Arial" w:cs="Arial"/>
          <w:b/>
          <w:color w:val="000000" w:themeColor="text1"/>
          <w:sz w:val="22"/>
          <w:szCs w:val="22"/>
        </w:rPr>
        <w:t>Liver:</w:t>
      </w:r>
    </w:p>
    <w:p w14:paraId="2DE5DADF" w14:textId="77777777" w:rsidR="00BA5098" w:rsidRPr="00486353" w:rsidRDefault="00BA5098" w:rsidP="00BA5098">
      <w:pPr>
        <w:autoSpaceDE w:val="0"/>
        <w:autoSpaceDN w:val="0"/>
        <w:adjustRightInd w:val="0"/>
        <w:jc w:val="both"/>
        <w:rPr>
          <w:rFonts w:ascii="Arial" w:hAnsi="Arial" w:cs="Arial"/>
          <w:bCs/>
          <w:color w:val="000000"/>
          <w:sz w:val="22"/>
          <w:szCs w:val="22"/>
          <w:lang w:val="en-US"/>
        </w:rPr>
      </w:pPr>
      <w:r w:rsidRPr="00486353">
        <w:rPr>
          <w:rFonts w:ascii="Arial" w:hAnsi="Arial" w:cs="Arial"/>
          <w:bCs/>
          <w:color w:val="000000"/>
          <w:sz w:val="22"/>
          <w:szCs w:val="22"/>
          <w:lang w:val="en-US"/>
        </w:rPr>
        <w:t xml:space="preserve">In the pooled data from 402 patients who received single-agent </w:t>
      </w:r>
      <w:proofErr w:type="spellStart"/>
      <w:r w:rsidRPr="00486353">
        <w:rPr>
          <w:rFonts w:ascii="Arial" w:hAnsi="Arial" w:cs="Arial"/>
          <w:bCs/>
          <w:color w:val="000000"/>
          <w:sz w:val="22"/>
          <w:szCs w:val="22"/>
          <w:lang w:val="en-US"/>
        </w:rPr>
        <w:t>ganetespib</w:t>
      </w:r>
      <w:proofErr w:type="spellEnd"/>
      <w:r w:rsidRPr="00486353">
        <w:rPr>
          <w:rFonts w:ascii="Arial" w:hAnsi="Arial" w:cs="Arial"/>
          <w:bCs/>
          <w:color w:val="000000"/>
          <w:sz w:val="22"/>
          <w:szCs w:val="22"/>
          <w:lang w:val="en-US"/>
        </w:rPr>
        <w:t xml:space="preserve">, AEs of elevated AST and ALT were reported in 16% and 15% of patients, respectively. An AE of elevated alkaline phosphatase was reported in 16% of these patients and an AE of elevated bilirubin was reported in 6%. Grade </w:t>
      </w:r>
      <w:r w:rsidRPr="00486353">
        <w:rPr>
          <w:rFonts w:ascii="Arial" w:hAnsi="Arial" w:cs="Arial" w:hint="eastAsia"/>
          <w:bCs/>
          <w:color w:val="000000"/>
          <w:sz w:val="22"/>
          <w:szCs w:val="22"/>
          <w:lang w:val="en-US"/>
        </w:rPr>
        <w:t>≥</w:t>
      </w:r>
      <w:r w:rsidRPr="00486353">
        <w:rPr>
          <w:rFonts w:ascii="Arial" w:hAnsi="Arial" w:cs="Arial"/>
          <w:bCs/>
          <w:color w:val="000000"/>
          <w:sz w:val="22"/>
          <w:szCs w:val="22"/>
          <w:lang w:val="en-US"/>
        </w:rPr>
        <w:t xml:space="preserve">3 elevations of AST were reported in 5% of patients, Grade </w:t>
      </w:r>
      <w:r w:rsidRPr="00486353">
        <w:rPr>
          <w:rFonts w:ascii="Arial" w:hAnsi="Arial" w:cs="Arial" w:hint="eastAsia"/>
          <w:bCs/>
          <w:color w:val="000000"/>
          <w:sz w:val="22"/>
          <w:szCs w:val="22"/>
          <w:lang w:val="en-US"/>
        </w:rPr>
        <w:t>≥</w:t>
      </w:r>
      <w:r w:rsidRPr="00486353">
        <w:rPr>
          <w:rFonts w:ascii="Arial" w:hAnsi="Arial" w:cs="Arial"/>
          <w:bCs/>
          <w:color w:val="000000"/>
          <w:sz w:val="22"/>
          <w:szCs w:val="22"/>
          <w:lang w:val="en-US"/>
        </w:rPr>
        <w:t xml:space="preserve">3 elevations of alkaline phosphatase were reported in 4% of patients, and Grade </w:t>
      </w:r>
      <w:r w:rsidRPr="00486353">
        <w:rPr>
          <w:rFonts w:ascii="Arial" w:hAnsi="Arial" w:cs="Arial" w:hint="eastAsia"/>
          <w:bCs/>
          <w:color w:val="000000"/>
          <w:sz w:val="22"/>
          <w:szCs w:val="22"/>
          <w:lang w:val="en-US"/>
        </w:rPr>
        <w:t>≥</w:t>
      </w:r>
      <w:r w:rsidRPr="00486353">
        <w:rPr>
          <w:rFonts w:ascii="Arial" w:hAnsi="Arial" w:cs="Arial"/>
          <w:bCs/>
          <w:color w:val="000000"/>
          <w:sz w:val="22"/>
          <w:szCs w:val="22"/>
          <w:lang w:val="en-US"/>
        </w:rPr>
        <w:t xml:space="preserve">3 elevations of ALT and bilirubin were reported in 2% of patients. Higher prevalence of transitory increase of liver enzymes in patients treated with single-agent </w:t>
      </w:r>
      <w:proofErr w:type="spellStart"/>
      <w:r w:rsidRPr="00486353">
        <w:rPr>
          <w:rFonts w:ascii="Arial" w:hAnsi="Arial" w:cs="Arial"/>
          <w:bCs/>
          <w:color w:val="000000"/>
          <w:sz w:val="22"/>
          <w:szCs w:val="22"/>
          <w:lang w:val="en-US"/>
        </w:rPr>
        <w:t>ganetespib</w:t>
      </w:r>
      <w:proofErr w:type="spellEnd"/>
      <w:r w:rsidRPr="00486353">
        <w:rPr>
          <w:rFonts w:ascii="Arial" w:hAnsi="Arial" w:cs="Arial"/>
          <w:bCs/>
          <w:color w:val="000000"/>
          <w:sz w:val="22"/>
          <w:szCs w:val="22"/>
          <w:lang w:val="en-US"/>
        </w:rPr>
        <w:t xml:space="preserve"> is likely due to baseline disease characteristics of this patient population. In general, these patients were treated in Phase 1 dose-escalation studies and Phase 2 studies of advanced disease (different malignancy types) with multiple lines of prior cancer treatment. Patients in the 9090-08 study were treated for </w:t>
      </w:r>
      <w:proofErr w:type="spellStart"/>
      <w:r w:rsidRPr="00486353">
        <w:rPr>
          <w:rFonts w:ascii="Arial" w:hAnsi="Arial" w:cs="Arial"/>
          <w:bCs/>
          <w:color w:val="000000"/>
          <w:sz w:val="22"/>
          <w:szCs w:val="22"/>
          <w:lang w:val="en-US"/>
        </w:rPr>
        <w:t>secondline</w:t>
      </w:r>
      <w:proofErr w:type="spellEnd"/>
      <w:r w:rsidRPr="00486353">
        <w:rPr>
          <w:rFonts w:ascii="Arial" w:hAnsi="Arial" w:cs="Arial"/>
          <w:bCs/>
          <w:color w:val="000000"/>
          <w:sz w:val="22"/>
          <w:szCs w:val="22"/>
          <w:lang w:val="en-US"/>
        </w:rPr>
        <w:t xml:space="preserve"> advanced NCSLC.</w:t>
      </w:r>
    </w:p>
    <w:p w14:paraId="660A586E" w14:textId="77777777" w:rsidR="00BA5098" w:rsidRPr="00486353" w:rsidRDefault="00BA5098" w:rsidP="00BA5098">
      <w:pPr>
        <w:autoSpaceDE w:val="0"/>
        <w:autoSpaceDN w:val="0"/>
        <w:adjustRightInd w:val="0"/>
        <w:jc w:val="both"/>
        <w:rPr>
          <w:rFonts w:ascii="Arial" w:hAnsi="Arial" w:cs="Arial"/>
          <w:bCs/>
          <w:color w:val="000000"/>
          <w:sz w:val="22"/>
          <w:szCs w:val="22"/>
          <w:lang w:val="en-US"/>
        </w:rPr>
      </w:pPr>
    </w:p>
    <w:p w14:paraId="35EF4F60" w14:textId="77777777" w:rsidR="006D7FFC" w:rsidRPr="00486353" w:rsidRDefault="006D7FFC" w:rsidP="006D7FFC">
      <w:pPr>
        <w:autoSpaceDE w:val="0"/>
        <w:autoSpaceDN w:val="0"/>
        <w:adjustRightInd w:val="0"/>
        <w:jc w:val="both"/>
        <w:rPr>
          <w:rFonts w:ascii="Arial" w:hAnsi="Arial" w:cs="Arial"/>
          <w:bCs/>
          <w:color w:val="000000"/>
          <w:sz w:val="22"/>
          <w:szCs w:val="22"/>
          <w:lang w:val="en-US"/>
        </w:rPr>
      </w:pPr>
      <w:r w:rsidRPr="00486353">
        <w:rPr>
          <w:rFonts w:ascii="Arial" w:hAnsi="Arial" w:cs="Arial"/>
          <w:bCs/>
          <w:color w:val="000000"/>
          <w:sz w:val="22"/>
          <w:szCs w:val="22"/>
          <w:lang w:val="en-US"/>
        </w:rPr>
        <w:t xml:space="preserve">None of the patients reported concomitant elevations of ATs </w:t>
      </w:r>
      <w:r w:rsidRPr="00486353">
        <w:rPr>
          <w:rFonts w:ascii="Arial" w:hAnsi="Arial" w:cs="Arial" w:hint="eastAsia"/>
          <w:bCs/>
          <w:color w:val="000000"/>
          <w:sz w:val="22"/>
          <w:szCs w:val="22"/>
          <w:lang w:val="en-US"/>
        </w:rPr>
        <w:t>≥</w:t>
      </w:r>
      <w:r w:rsidRPr="00486353">
        <w:rPr>
          <w:rFonts w:ascii="Arial" w:hAnsi="Arial" w:cs="Arial"/>
          <w:bCs/>
          <w:color w:val="000000"/>
          <w:sz w:val="22"/>
          <w:szCs w:val="22"/>
          <w:lang w:val="en-US"/>
        </w:rPr>
        <w:t>3</w:t>
      </w:r>
      <w:r w:rsidRPr="00486353">
        <w:rPr>
          <w:rFonts w:ascii="Arial" w:hAnsi="Arial" w:cs="Arial" w:hint="eastAsia"/>
          <w:bCs/>
          <w:color w:val="000000"/>
          <w:sz w:val="22"/>
          <w:szCs w:val="22"/>
          <w:lang w:val="en-US"/>
        </w:rPr>
        <w:t>×</w:t>
      </w:r>
      <w:r w:rsidRPr="00486353">
        <w:rPr>
          <w:rFonts w:ascii="Arial" w:hAnsi="Arial" w:cs="Arial"/>
          <w:bCs/>
          <w:color w:val="000000"/>
          <w:sz w:val="22"/>
          <w:szCs w:val="22"/>
          <w:lang w:val="en-US"/>
        </w:rPr>
        <w:t xml:space="preserve"> the upper limit of normal</w:t>
      </w:r>
    </w:p>
    <w:p w14:paraId="38C4E06E" w14:textId="77777777" w:rsidR="00BA5098" w:rsidRPr="00486353" w:rsidRDefault="006D7FFC" w:rsidP="006D7FFC">
      <w:pPr>
        <w:autoSpaceDE w:val="0"/>
        <w:autoSpaceDN w:val="0"/>
        <w:adjustRightInd w:val="0"/>
        <w:jc w:val="both"/>
        <w:rPr>
          <w:rFonts w:ascii="Arial" w:hAnsi="Arial" w:cs="Arial"/>
          <w:bCs/>
          <w:color w:val="000000"/>
          <w:sz w:val="22"/>
          <w:szCs w:val="22"/>
          <w:lang w:val="en-US"/>
        </w:rPr>
      </w:pPr>
      <w:r w:rsidRPr="00486353">
        <w:rPr>
          <w:rFonts w:ascii="Arial" w:hAnsi="Arial" w:cs="Arial"/>
          <w:bCs/>
          <w:color w:val="000000"/>
          <w:sz w:val="22"/>
          <w:szCs w:val="22"/>
          <w:lang w:val="en-US"/>
        </w:rPr>
        <w:t xml:space="preserve">(ULN) and bilirubin </w:t>
      </w:r>
      <w:r w:rsidRPr="00486353">
        <w:rPr>
          <w:rFonts w:ascii="Arial" w:hAnsi="Arial" w:cs="Arial" w:hint="eastAsia"/>
          <w:bCs/>
          <w:color w:val="000000"/>
          <w:sz w:val="22"/>
          <w:szCs w:val="22"/>
          <w:lang w:val="en-US"/>
        </w:rPr>
        <w:t>≥</w:t>
      </w:r>
      <w:r w:rsidRPr="00486353">
        <w:rPr>
          <w:rFonts w:ascii="Arial" w:hAnsi="Arial" w:cs="Arial"/>
          <w:bCs/>
          <w:color w:val="000000"/>
          <w:sz w:val="22"/>
          <w:szCs w:val="22"/>
          <w:lang w:val="en-US"/>
        </w:rPr>
        <w:t>2</w:t>
      </w:r>
      <w:r w:rsidRPr="00486353">
        <w:rPr>
          <w:rFonts w:ascii="Arial" w:hAnsi="Arial" w:cs="Arial" w:hint="eastAsia"/>
          <w:bCs/>
          <w:color w:val="000000"/>
          <w:sz w:val="22"/>
          <w:szCs w:val="22"/>
          <w:lang w:val="en-US"/>
        </w:rPr>
        <w:t>×</w:t>
      </w:r>
      <w:r w:rsidRPr="00486353">
        <w:rPr>
          <w:rFonts w:ascii="Arial" w:hAnsi="Arial" w:cs="Arial"/>
          <w:bCs/>
          <w:color w:val="000000"/>
          <w:sz w:val="22"/>
          <w:szCs w:val="22"/>
          <w:lang w:val="en-US"/>
        </w:rPr>
        <w:t xml:space="preserve"> ULN with alkaline phosphatase &lt;2× ULN (Hy’s Law).</w:t>
      </w:r>
    </w:p>
    <w:p w14:paraId="73E2AB88" w14:textId="77777777" w:rsidR="006D7FFC" w:rsidRPr="00486353" w:rsidRDefault="006D7FFC" w:rsidP="006D7FFC">
      <w:pPr>
        <w:autoSpaceDE w:val="0"/>
        <w:autoSpaceDN w:val="0"/>
        <w:adjustRightInd w:val="0"/>
        <w:jc w:val="both"/>
        <w:rPr>
          <w:rFonts w:ascii="Arial" w:hAnsi="Arial" w:cs="Arial"/>
          <w:bCs/>
          <w:color w:val="000000"/>
          <w:sz w:val="22"/>
          <w:szCs w:val="22"/>
          <w:lang w:val="en-US"/>
        </w:rPr>
      </w:pPr>
    </w:p>
    <w:p w14:paraId="59DB7CDC" w14:textId="77777777" w:rsidR="00BA5098" w:rsidRPr="00486353" w:rsidRDefault="00BA5098" w:rsidP="00BA5098">
      <w:pPr>
        <w:autoSpaceDE w:val="0"/>
        <w:autoSpaceDN w:val="0"/>
        <w:adjustRightInd w:val="0"/>
        <w:jc w:val="both"/>
        <w:rPr>
          <w:rFonts w:ascii="Arial" w:hAnsi="Arial" w:cs="Arial"/>
          <w:bCs/>
          <w:color w:val="000000"/>
          <w:sz w:val="22"/>
          <w:szCs w:val="22"/>
          <w:lang w:val="en-US"/>
        </w:rPr>
      </w:pPr>
      <w:r w:rsidRPr="00486353">
        <w:rPr>
          <w:rFonts w:ascii="Arial" w:hAnsi="Arial" w:cs="Arial"/>
          <w:bCs/>
          <w:color w:val="000000"/>
          <w:sz w:val="22"/>
          <w:szCs w:val="22"/>
          <w:lang w:val="en-US"/>
        </w:rPr>
        <w:t>Liver toxicity in the 1st-generation geldanamycin-derivative Hsp90 inhibitors is an off-target</w:t>
      </w:r>
    </w:p>
    <w:p w14:paraId="5451F8E2" w14:textId="77777777" w:rsidR="004467BA" w:rsidRPr="006B1CCE" w:rsidRDefault="00BA5098" w:rsidP="00BA5098">
      <w:pPr>
        <w:autoSpaceDE w:val="0"/>
        <w:autoSpaceDN w:val="0"/>
        <w:adjustRightInd w:val="0"/>
        <w:jc w:val="both"/>
        <w:rPr>
          <w:rFonts w:ascii="Arial" w:hAnsi="Arial" w:cs="Arial"/>
          <w:color w:val="0000FF"/>
          <w:sz w:val="22"/>
          <w:szCs w:val="22"/>
        </w:rPr>
      </w:pPr>
      <w:r w:rsidRPr="00486353">
        <w:rPr>
          <w:rFonts w:ascii="Arial" w:hAnsi="Arial" w:cs="Arial"/>
          <w:bCs/>
          <w:color w:val="000000"/>
          <w:sz w:val="22"/>
          <w:szCs w:val="22"/>
          <w:lang w:val="en-US"/>
        </w:rPr>
        <w:t xml:space="preserve">effect. According to a study by </w:t>
      </w:r>
      <w:proofErr w:type="spellStart"/>
      <w:r w:rsidRPr="00486353">
        <w:rPr>
          <w:rFonts w:ascii="Arial" w:hAnsi="Arial" w:cs="Arial"/>
          <w:bCs/>
          <w:color w:val="000000"/>
          <w:sz w:val="22"/>
          <w:szCs w:val="22"/>
          <w:lang w:val="en-US"/>
        </w:rPr>
        <w:t>Cysyk</w:t>
      </w:r>
      <w:proofErr w:type="spellEnd"/>
      <w:r w:rsidRPr="00486353">
        <w:rPr>
          <w:rFonts w:ascii="Arial" w:hAnsi="Arial" w:cs="Arial"/>
          <w:bCs/>
          <w:color w:val="000000"/>
          <w:sz w:val="22"/>
          <w:szCs w:val="22"/>
          <w:lang w:val="en-US"/>
        </w:rPr>
        <w:t>, the presence of benzoquinone moiety in the molecule is the suspected cause of liver toxicity [</w:t>
      </w:r>
      <w:proofErr w:type="spellStart"/>
      <w:r w:rsidRPr="00486353">
        <w:rPr>
          <w:rFonts w:ascii="Arial" w:hAnsi="Arial" w:cs="Arial"/>
          <w:bCs/>
          <w:color w:val="000000"/>
          <w:sz w:val="22"/>
          <w:szCs w:val="22"/>
          <w:lang w:val="en-US"/>
        </w:rPr>
        <w:t>Cysyk</w:t>
      </w:r>
      <w:proofErr w:type="spellEnd"/>
      <w:r w:rsidRPr="00486353">
        <w:rPr>
          <w:rFonts w:ascii="Arial" w:hAnsi="Arial" w:cs="Arial"/>
          <w:bCs/>
          <w:color w:val="000000"/>
          <w:sz w:val="22"/>
          <w:szCs w:val="22"/>
          <w:lang w:val="en-US"/>
        </w:rPr>
        <w:t xml:space="preserve">, Chem Res </w:t>
      </w:r>
      <w:proofErr w:type="spellStart"/>
      <w:r w:rsidRPr="00486353">
        <w:rPr>
          <w:rFonts w:ascii="Arial" w:hAnsi="Arial" w:cs="Arial"/>
          <w:bCs/>
          <w:color w:val="000000"/>
          <w:sz w:val="22"/>
          <w:szCs w:val="22"/>
          <w:lang w:val="en-US"/>
        </w:rPr>
        <w:t>Toxicol</w:t>
      </w:r>
      <w:proofErr w:type="spellEnd"/>
      <w:r w:rsidRPr="00486353">
        <w:rPr>
          <w:rFonts w:ascii="Arial" w:hAnsi="Arial" w:cs="Arial"/>
          <w:bCs/>
          <w:color w:val="000000"/>
          <w:sz w:val="22"/>
          <w:szCs w:val="22"/>
          <w:lang w:val="en-US"/>
        </w:rPr>
        <w:t xml:space="preserve">, 2006]. </w:t>
      </w:r>
      <w:proofErr w:type="spellStart"/>
      <w:r w:rsidRPr="00486353">
        <w:rPr>
          <w:rFonts w:ascii="Arial" w:hAnsi="Arial" w:cs="Arial"/>
          <w:bCs/>
          <w:color w:val="000000"/>
          <w:sz w:val="22"/>
          <w:szCs w:val="22"/>
          <w:lang w:val="en-US"/>
        </w:rPr>
        <w:t>Ganetespib</w:t>
      </w:r>
      <w:proofErr w:type="spellEnd"/>
      <w:r w:rsidRPr="00486353">
        <w:rPr>
          <w:rFonts w:ascii="Arial" w:hAnsi="Arial" w:cs="Arial"/>
          <w:bCs/>
          <w:color w:val="000000"/>
          <w:sz w:val="22"/>
          <w:szCs w:val="22"/>
          <w:lang w:val="en-US"/>
        </w:rPr>
        <w:t xml:space="preserve"> does </w:t>
      </w:r>
      <w:r w:rsidRPr="00486353">
        <w:rPr>
          <w:rFonts w:ascii="Arial" w:hAnsi="Arial" w:cs="Arial"/>
          <w:bCs/>
          <w:color w:val="000000"/>
          <w:sz w:val="22"/>
          <w:szCs w:val="22"/>
          <w:lang w:val="en-US"/>
        </w:rPr>
        <w:lastRenderedPageBreak/>
        <w:t xml:space="preserve">not contain the benzoquinone moiety and, therefore, liver toxicity is not expected. This correlates with the safety information collected to date. </w:t>
      </w:r>
      <w:r w:rsidR="00F27136">
        <w:rPr>
          <w:rFonts w:ascii="Arial" w:hAnsi="Arial" w:cs="Arial"/>
          <w:color w:val="0000FF"/>
          <w:sz w:val="22"/>
          <w:szCs w:val="22"/>
        </w:rPr>
        <w:br w:type="page"/>
      </w:r>
    </w:p>
    <w:p w14:paraId="67C5E4B2" w14:textId="77777777" w:rsidR="00DA67E8" w:rsidRPr="00FC20CF" w:rsidRDefault="00DA67E8" w:rsidP="00FC20CF">
      <w:pPr>
        <w:pStyle w:val="Heading3"/>
        <w:ind w:left="851" w:hanging="851"/>
      </w:pPr>
      <w:bookmarkStart w:id="330" w:name="_Toc471826759"/>
      <w:bookmarkStart w:id="331" w:name="_Toc528323525"/>
      <w:r w:rsidRPr="00FC20CF">
        <w:lastRenderedPageBreak/>
        <w:t>Randomised Phase II trial</w:t>
      </w:r>
      <w:bookmarkEnd w:id="330"/>
      <w:bookmarkEnd w:id="331"/>
    </w:p>
    <w:p w14:paraId="2DE35E67" w14:textId="77777777" w:rsidR="00791070" w:rsidRPr="00791070" w:rsidRDefault="00791070" w:rsidP="00791070">
      <w:pPr>
        <w:pStyle w:val="Normal1"/>
        <w:rPr>
          <w:sz w:val="22"/>
          <w:szCs w:val="22"/>
          <w:u w:val="single"/>
        </w:rPr>
      </w:pPr>
      <w:r w:rsidRPr="0012618B">
        <w:rPr>
          <w:sz w:val="22"/>
          <w:szCs w:val="22"/>
          <w:u w:val="single"/>
        </w:rPr>
        <w:t>Summary of drug administration per cycle</w:t>
      </w:r>
      <w:r>
        <w:rPr>
          <w:sz w:val="22"/>
          <w:szCs w:val="22"/>
          <w:u w:val="single"/>
        </w:rPr>
        <w:t xml:space="preserve"> (phase II)</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80"/>
        <w:gridCol w:w="381"/>
        <w:gridCol w:w="381"/>
        <w:gridCol w:w="381"/>
        <w:gridCol w:w="381"/>
        <w:gridCol w:w="381"/>
        <w:gridCol w:w="381"/>
        <w:gridCol w:w="381"/>
        <w:gridCol w:w="381"/>
        <w:gridCol w:w="381"/>
        <w:gridCol w:w="381"/>
        <w:gridCol w:w="381"/>
        <w:gridCol w:w="381"/>
        <w:gridCol w:w="381"/>
        <w:gridCol w:w="381"/>
        <w:gridCol w:w="381"/>
        <w:gridCol w:w="381"/>
        <w:gridCol w:w="381"/>
        <w:gridCol w:w="381"/>
        <w:gridCol w:w="381"/>
        <w:gridCol w:w="381"/>
      </w:tblGrid>
      <w:tr w:rsidR="00DA67E8" w:rsidRPr="00D67852" w14:paraId="48C11191" w14:textId="77777777" w:rsidTr="00AC7C14">
        <w:trPr>
          <w:cantSplit/>
        </w:trPr>
        <w:tc>
          <w:tcPr>
            <w:tcW w:w="1668" w:type="dxa"/>
            <w:shd w:val="clear" w:color="auto" w:fill="D9D9D9"/>
          </w:tcPr>
          <w:p w14:paraId="06A951D0" w14:textId="77777777" w:rsidR="00DA67E8" w:rsidRPr="00B53B51" w:rsidRDefault="00DA67E8" w:rsidP="008E3B41">
            <w:pPr>
              <w:tabs>
                <w:tab w:val="left" w:pos="900"/>
              </w:tabs>
              <w:jc w:val="center"/>
              <w:rPr>
                <w:rFonts w:ascii="Arial" w:hAnsi="Arial" w:cs="Arial"/>
                <w:sz w:val="20"/>
              </w:rPr>
            </w:pPr>
          </w:p>
        </w:tc>
        <w:tc>
          <w:tcPr>
            <w:tcW w:w="2666" w:type="dxa"/>
            <w:gridSpan w:val="7"/>
            <w:shd w:val="clear" w:color="auto" w:fill="D9D9D9"/>
          </w:tcPr>
          <w:p w14:paraId="28B45B7A" w14:textId="77777777" w:rsidR="00DA67E8" w:rsidRPr="00B53B51" w:rsidRDefault="00AC7C14" w:rsidP="00AC7C14">
            <w:pPr>
              <w:tabs>
                <w:tab w:val="left" w:pos="900"/>
              </w:tabs>
              <w:jc w:val="center"/>
              <w:rPr>
                <w:rFonts w:ascii="Arial" w:hAnsi="Arial" w:cs="Arial"/>
                <w:sz w:val="20"/>
              </w:rPr>
            </w:pPr>
            <w:r>
              <w:rPr>
                <w:rFonts w:ascii="Arial" w:hAnsi="Arial" w:cs="Arial"/>
                <w:sz w:val="20"/>
              </w:rPr>
              <w:t>Week 1</w:t>
            </w:r>
          </w:p>
        </w:tc>
        <w:tc>
          <w:tcPr>
            <w:tcW w:w="2667" w:type="dxa"/>
            <w:gridSpan w:val="7"/>
            <w:shd w:val="clear" w:color="auto" w:fill="D9D9D9"/>
          </w:tcPr>
          <w:p w14:paraId="2A2612AA" w14:textId="77777777" w:rsidR="00DA67E8" w:rsidRPr="00B53B51" w:rsidRDefault="00DA67E8" w:rsidP="008E3B41">
            <w:pPr>
              <w:tabs>
                <w:tab w:val="left" w:pos="900"/>
              </w:tabs>
              <w:jc w:val="center"/>
              <w:rPr>
                <w:rFonts w:ascii="Arial" w:hAnsi="Arial" w:cs="Arial"/>
                <w:sz w:val="20"/>
              </w:rPr>
            </w:pPr>
            <w:r w:rsidRPr="00B53B51">
              <w:rPr>
                <w:rFonts w:ascii="Arial" w:hAnsi="Arial" w:cs="Arial"/>
                <w:sz w:val="20"/>
              </w:rPr>
              <w:t>Week 2</w:t>
            </w:r>
          </w:p>
        </w:tc>
        <w:tc>
          <w:tcPr>
            <w:tcW w:w="2667" w:type="dxa"/>
            <w:gridSpan w:val="7"/>
            <w:shd w:val="clear" w:color="auto" w:fill="D9D9D9"/>
          </w:tcPr>
          <w:p w14:paraId="11A6D835" w14:textId="77777777" w:rsidR="00DA67E8" w:rsidRPr="00B53B51" w:rsidRDefault="00DA67E8" w:rsidP="008E3B41">
            <w:pPr>
              <w:tabs>
                <w:tab w:val="left" w:pos="900"/>
              </w:tabs>
              <w:jc w:val="center"/>
              <w:rPr>
                <w:rFonts w:ascii="Arial" w:hAnsi="Arial" w:cs="Arial"/>
                <w:sz w:val="20"/>
              </w:rPr>
            </w:pPr>
            <w:r w:rsidRPr="00B53B51">
              <w:rPr>
                <w:rFonts w:ascii="Arial" w:hAnsi="Arial" w:cs="Arial"/>
                <w:sz w:val="20"/>
              </w:rPr>
              <w:t>Week 3</w:t>
            </w:r>
          </w:p>
        </w:tc>
      </w:tr>
      <w:tr w:rsidR="00DA67E8" w:rsidRPr="00D67852" w14:paraId="7E148765" w14:textId="77777777" w:rsidTr="00AC7C14">
        <w:trPr>
          <w:cantSplit/>
        </w:trPr>
        <w:tc>
          <w:tcPr>
            <w:tcW w:w="1668" w:type="dxa"/>
            <w:shd w:val="clear" w:color="auto" w:fill="D9D9D9"/>
          </w:tcPr>
          <w:p w14:paraId="31CBB6E0" w14:textId="77777777" w:rsidR="00DA67E8" w:rsidRPr="00B53B51" w:rsidRDefault="00DA67E8" w:rsidP="008E3B41">
            <w:pPr>
              <w:tabs>
                <w:tab w:val="left" w:pos="900"/>
              </w:tabs>
              <w:rPr>
                <w:rFonts w:ascii="Arial" w:hAnsi="Arial" w:cs="Arial"/>
                <w:sz w:val="20"/>
                <w:szCs w:val="20"/>
              </w:rPr>
            </w:pPr>
            <w:r w:rsidRPr="00B53B51">
              <w:rPr>
                <w:rFonts w:ascii="Arial" w:hAnsi="Arial" w:cs="Arial"/>
                <w:sz w:val="20"/>
                <w:szCs w:val="20"/>
              </w:rPr>
              <w:t>Day</w:t>
            </w:r>
          </w:p>
        </w:tc>
        <w:tc>
          <w:tcPr>
            <w:tcW w:w="380" w:type="dxa"/>
            <w:shd w:val="clear" w:color="auto" w:fill="D9D9D9"/>
          </w:tcPr>
          <w:p w14:paraId="6F3388FD" w14:textId="77777777" w:rsidR="00DA67E8" w:rsidRPr="00B53B51" w:rsidRDefault="00DA67E8" w:rsidP="008E3B41">
            <w:pPr>
              <w:tabs>
                <w:tab w:val="left" w:pos="900"/>
              </w:tabs>
              <w:rPr>
                <w:rFonts w:ascii="Arial" w:hAnsi="Arial" w:cs="Arial"/>
                <w:sz w:val="14"/>
              </w:rPr>
            </w:pPr>
            <w:r w:rsidRPr="00B53B51">
              <w:rPr>
                <w:rFonts w:ascii="Arial" w:hAnsi="Arial" w:cs="Arial"/>
                <w:sz w:val="14"/>
              </w:rPr>
              <w:t>1</w:t>
            </w:r>
          </w:p>
        </w:tc>
        <w:tc>
          <w:tcPr>
            <w:tcW w:w="381" w:type="dxa"/>
            <w:shd w:val="clear" w:color="auto" w:fill="D9D9D9"/>
          </w:tcPr>
          <w:p w14:paraId="271B350B" w14:textId="77777777" w:rsidR="00DA67E8" w:rsidRPr="00B53B51" w:rsidRDefault="00DA67E8" w:rsidP="008E3B41">
            <w:pPr>
              <w:tabs>
                <w:tab w:val="left" w:pos="900"/>
              </w:tabs>
              <w:rPr>
                <w:rFonts w:ascii="Arial" w:hAnsi="Arial" w:cs="Arial"/>
                <w:sz w:val="14"/>
              </w:rPr>
            </w:pPr>
            <w:r w:rsidRPr="00B53B51">
              <w:rPr>
                <w:rFonts w:ascii="Arial" w:hAnsi="Arial" w:cs="Arial"/>
                <w:sz w:val="14"/>
              </w:rPr>
              <w:t>2</w:t>
            </w:r>
          </w:p>
        </w:tc>
        <w:tc>
          <w:tcPr>
            <w:tcW w:w="381" w:type="dxa"/>
            <w:shd w:val="clear" w:color="auto" w:fill="D9D9D9"/>
          </w:tcPr>
          <w:p w14:paraId="59CEA676" w14:textId="77777777" w:rsidR="00DA67E8" w:rsidRPr="00B53B51" w:rsidRDefault="00DA67E8" w:rsidP="008E3B41">
            <w:pPr>
              <w:tabs>
                <w:tab w:val="left" w:pos="900"/>
              </w:tabs>
              <w:rPr>
                <w:rFonts w:ascii="Arial" w:hAnsi="Arial" w:cs="Arial"/>
                <w:sz w:val="14"/>
              </w:rPr>
            </w:pPr>
            <w:r w:rsidRPr="00B53B51">
              <w:rPr>
                <w:rFonts w:ascii="Arial" w:hAnsi="Arial" w:cs="Arial"/>
                <w:sz w:val="14"/>
              </w:rPr>
              <w:t>3</w:t>
            </w:r>
          </w:p>
        </w:tc>
        <w:tc>
          <w:tcPr>
            <w:tcW w:w="381" w:type="dxa"/>
            <w:shd w:val="clear" w:color="auto" w:fill="D9D9D9"/>
          </w:tcPr>
          <w:p w14:paraId="67D4D0EF" w14:textId="77777777" w:rsidR="00DA67E8" w:rsidRPr="00B53B51" w:rsidRDefault="00DA67E8" w:rsidP="008E3B41">
            <w:pPr>
              <w:tabs>
                <w:tab w:val="left" w:pos="900"/>
              </w:tabs>
              <w:rPr>
                <w:rFonts w:ascii="Arial" w:hAnsi="Arial" w:cs="Arial"/>
                <w:sz w:val="14"/>
              </w:rPr>
            </w:pPr>
            <w:r w:rsidRPr="00B53B51">
              <w:rPr>
                <w:rFonts w:ascii="Arial" w:hAnsi="Arial" w:cs="Arial"/>
                <w:sz w:val="14"/>
              </w:rPr>
              <w:t>4</w:t>
            </w:r>
          </w:p>
        </w:tc>
        <w:tc>
          <w:tcPr>
            <w:tcW w:w="381" w:type="dxa"/>
            <w:shd w:val="clear" w:color="auto" w:fill="D9D9D9"/>
          </w:tcPr>
          <w:p w14:paraId="6A605962" w14:textId="77777777" w:rsidR="00DA67E8" w:rsidRPr="00B53B51" w:rsidRDefault="00DA67E8" w:rsidP="008E3B41">
            <w:pPr>
              <w:tabs>
                <w:tab w:val="left" w:pos="900"/>
              </w:tabs>
              <w:rPr>
                <w:rFonts w:ascii="Arial" w:hAnsi="Arial" w:cs="Arial"/>
                <w:sz w:val="14"/>
              </w:rPr>
            </w:pPr>
            <w:r w:rsidRPr="00B53B51">
              <w:rPr>
                <w:rFonts w:ascii="Arial" w:hAnsi="Arial" w:cs="Arial"/>
                <w:sz w:val="14"/>
              </w:rPr>
              <w:t>5</w:t>
            </w:r>
          </w:p>
        </w:tc>
        <w:tc>
          <w:tcPr>
            <w:tcW w:w="381" w:type="dxa"/>
            <w:shd w:val="clear" w:color="auto" w:fill="D9D9D9"/>
          </w:tcPr>
          <w:p w14:paraId="0D51E869" w14:textId="77777777" w:rsidR="00DA67E8" w:rsidRPr="00B53B51" w:rsidRDefault="00DA67E8" w:rsidP="008E3B41">
            <w:pPr>
              <w:tabs>
                <w:tab w:val="left" w:pos="900"/>
              </w:tabs>
              <w:rPr>
                <w:rFonts w:ascii="Arial" w:hAnsi="Arial" w:cs="Arial"/>
                <w:sz w:val="14"/>
              </w:rPr>
            </w:pPr>
            <w:r w:rsidRPr="00B53B51">
              <w:rPr>
                <w:rFonts w:ascii="Arial" w:hAnsi="Arial" w:cs="Arial"/>
                <w:sz w:val="14"/>
              </w:rPr>
              <w:t>6</w:t>
            </w:r>
          </w:p>
        </w:tc>
        <w:tc>
          <w:tcPr>
            <w:tcW w:w="381" w:type="dxa"/>
            <w:shd w:val="clear" w:color="auto" w:fill="D9D9D9"/>
          </w:tcPr>
          <w:p w14:paraId="1A4DB586" w14:textId="77777777" w:rsidR="00DA67E8" w:rsidRPr="00B53B51" w:rsidRDefault="00DA67E8" w:rsidP="008E3B41">
            <w:pPr>
              <w:tabs>
                <w:tab w:val="left" w:pos="900"/>
              </w:tabs>
              <w:rPr>
                <w:rFonts w:ascii="Arial" w:hAnsi="Arial" w:cs="Arial"/>
                <w:sz w:val="14"/>
              </w:rPr>
            </w:pPr>
            <w:r w:rsidRPr="00B53B51">
              <w:rPr>
                <w:rFonts w:ascii="Arial" w:hAnsi="Arial" w:cs="Arial"/>
                <w:sz w:val="14"/>
              </w:rPr>
              <w:t>7</w:t>
            </w:r>
          </w:p>
        </w:tc>
        <w:tc>
          <w:tcPr>
            <w:tcW w:w="381" w:type="dxa"/>
            <w:shd w:val="clear" w:color="auto" w:fill="D9D9D9"/>
          </w:tcPr>
          <w:p w14:paraId="3239A40E" w14:textId="77777777" w:rsidR="00DA67E8" w:rsidRPr="00B53B51" w:rsidRDefault="00DA67E8" w:rsidP="008E3B41">
            <w:pPr>
              <w:tabs>
                <w:tab w:val="left" w:pos="900"/>
              </w:tabs>
              <w:rPr>
                <w:rFonts w:ascii="Arial" w:hAnsi="Arial" w:cs="Arial"/>
                <w:sz w:val="14"/>
              </w:rPr>
            </w:pPr>
            <w:r w:rsidRPr="00B53B51">
              <w:rPr>
                <w:rFonts w:ascii="Arial" w:hAnsi="Arial" w:cs="Arial"/>
                <w:sz w:val="14"/>
              </w:rPr>
              <w:t>8</w:t>
            </w:r>
          </w:p>
        </w:tc>
        <w:tc>
          <w:tcPr>
            <w:tcW w:w="381" w:type="dxa"/>
            <w:shd w:val="clear" w:color="auto" w:fill="D9D9D9"/>
          </w:tcPr>
          <w:p w14:paraId="685786C6" w14:textId="77777777" w:rsidR="00DA67E8" w:rsidRPr="00B53B51" w:rsidRDefault="00DA67E8" w:rsidP="008E3B41">
            <w:pPr>
              <w:tabs>
                <w:tab w:val="left" w:pos="900"/>
              </w:tabs>
              <w:rPr>
                <w:rFonts w:ascii="Arial" w:hAnsi="Arial" w:cs="Arial"/>
                <w:sz w:val="14"/>
              </w:rPr>
            </w:pPr>
            <w:r w:rsidRPr="00B53B51">
              <w:rPr>
                <w:rFonts w:ascii="Arial" w:hAnsi="Arial" w:cs="Arial"/>
                <w:sz w:val="14"/>
              </w:rPr>
              <w:t>9</w:t>
            </w:r>
          </w:p>
        </w:tc>
        <w:tc>
          <w:tcPr>
            <w:tcW w:w="381" w:type="dxa"/>
            <w:shd w:val="clear" w:color="auto" w:fill="D9D9D9"/>
          </w:tcPr>
          <w:p w14:paraId="00DA4408" w14:textId="77777777" w:rsidR="00DA67E8" w:rsidRPr="00B53B51" w:rsidRDefault="00DA67E8" w:rsidP="008E3B41">
            <w:pPr>
              <w:tabs>
                <w:tab w:val="left" w:pos="900"/>
              </w:tabs>
              <w:rPr>
                <w:rFonts w:ascii="Arial" w:hAnsi="Arial" w:cs="Arial"/>
                <w:sz w:val="14"/>
              </w:rPr>
            </w:pPr>
            <w:r w:rsidRPr="00B53B51">
              <w:rPr>
                <w:rFonts w:ascii="Arial" w:hAnsi="Arial" w:cs="Arial"/>
                <w:sz w:val="14"/>
              </w:rPr>
              <w:t>10</w:t>
            </w:r>
          </w:p>
        </w:tc>
        <w:tc>
          <w:tcPr>
            <w:tcW w:w="381" w:type="dxa"/>
            <w:shd w:val="clear" w:color="auto" w:fill="D9D9D9"/>
          </w:tcPr>
          <w:p w14:paraId="5070A22D" w14:textId="77777777" w:rsidR="00DA67E8" w:rsidRPr="00B53B51" w:rsidRDefault="00DA67E8" w:rsidP="008E3B41">
            <w:pPr>
              <w:tabs>
                <w:tab w:val="left" w:pos="900"/>
              </w:tabs>
              <w:rPr>
                <w:rFonts w:ascii="Arial" w:hAnsi="Arial" w:cs="Arial"/>
                <w:sz w:val="14"/>
              </w:rPr>
            </w:pPr>
            <w:r w:rsidRPr="00B53B51">
              <w:rPr>
                <w:rFonts w:ascii="Arial" w:hAnsi="Arial" w:cs="Arial"/>
                <w:sz w:val="14"/>
              </w:rPr>
              <w:t>11</w:t>
            </w:r>
          </w:p>
        </w:tc>
        <w:tc>
          <w:tcPr>
            <w:tcW w:w="381" w:type="dxa"/>
            <w:shd w:val="clear" w:color="auto" w:fill="D9D9D9"/>
          </w:tcPr>
          <w:p w14:paraId="0C0A65D4" w14:textId="77777777" w:rsidR="00DA67E8" w:rsidRPr="00B53B51" w:rsidRDefault="00DA67E8" w:rsidP="008E3B41">
            <w:pPr>
              <w:tabs>
                <w:tab w:val="left" w:pos="900"/>
              </w:tabs>
              <w:rPr>
                <w:rFonts w:ascii="Arial" w:hAnsi="Arial" w:cs="Arial"/>
                <w:sz w:val="14"/>
              </w:rPr>
            </w:pPr>
            <w:r w:rsidRPr="00B53B51">
              <w:rPr>
                <w:rFonts w:ascii="Arial" w:hAnsi="Arial" w:cs="Arial"/>
                <w:sz w:val="14"/>
              </w:rPr>
              <w:t>12</w:t>
            </w:r>
          </w:p>
        </w:tc>
        <w:tc>
          <w:tcPr>
            <w:tcW w:w="381" w:type="dxa"/>
            <w:shd w:val="clear" w:color="auto" w:fill="D9D9D9"/>
          </w:tcPr>
          <w:p w14:paraId="05F12DEA" w14:textId="77777777" w:rsidR="00DA67E8" w:rsidRPr="00B53B51" w:rsidRDefault="00DA67E8" w:rsidP="008E3B41">
            <w:pPr>
              <w:tabs>
                <w:tab w:val="left" w:pos="900"/>
              </w:tabs>
              <w:rPr>
                <w:rFonts w:ascii="Arial" w:hAnsi="Arial" w:cs="Arial"/>
                <w:sz w:val="14"/>
              </w:rPr>
            </w:pPr>
            <w:r w:rsidRPr="00B53B51">
              <w:rPr>
                <w:rFonts w:ascii="Arial" w:hAnsi="Arial" w:cs="Arial"/>
                <w:sz w:val="14"/>
              </w:rPr>
              <w:t>13</w:t>
            </w:r>
          </w:p>
        </w:tc>
        <w:tc>
          <w:tcPr>
            <w:tcW w:w="381" w:type="dxa"/>
            <w:shd w:val="clear" w:color="auto" w:fill="D9D9D9"/>
          </w:tcPr>
          <w:p w14:paraId="107B30D1" w14:textId="77777777" w:rsidR="00DA67E8" w:rsidRPr="00B53B51" w:rsidRDefault="00DA67E8" w:rsidP="008E3B41">
            <w:pPr>
              <w:tabs>
                <w:tab w:val="left" w:pos="900"/>
              </w:tabs>
              <w:rPr>
                <w:rFonts w:ascii="Arial" w:hAnsi="Arial" w:cs="Arial"/>
                <w:sz w:val="14"/>
              </w:rPr>
            </w:pPr>
            <w:r w:rsidRPr="00B53B51">
              <w:rPr>
                <w:rFonts w:ascii="Arial" w:hAnsi="Arial" w:cs="Arial"/>
                <w:sz w:val="14"/>
              </w:rPr>
              <w:t>14</w:t>
            </w:r>
          </w:p>
        </w:tc>
        <w:tc>
          <w:tcPr>
            <w:tcW w:w="381" w:type="dxa"/>
            <w:shd w:val="clear" w:color="auto" w:fill="D9D9D9"/>
          </w:tcPr>
          <w:p w14:paraId="610C8E5A" w14:textId="77777777" w:rsidR="00DA67E8" w:rsidRPr="00B53B51" w:rsidRDefault="00DA67E8" w:rsidP="008E3B41">
            <w:pPr>
              <w:tabs>
                <w:tab w:val="left" w:pos="900"/>
              </w:tabs>
              <w:rPr>
                <w:rFonts w:ascii="Arial" w:hAnsi="Arial" w:cs="Arial"/>
                <w:sz w:val="14"/>
              </w:rPr>
            </w:pPr>
            <w:r w:rsidRPr="00B53B51">
              <w:rPr>
                <w:rFonts w:ascii="Arial" w:hAnsi="Arial" w:cs="Arial"/>
                <w:sz w:val="14"/>
              </w:rPr>
              <w:t>15</w:t>
            </w:r>
          </w:p>
        </w:tc>
        <w:tc>
          <w:tcPr>
            <w:tcW w:w="381" w:type="dxa"/>
            <w:shd w:val="clear" w:color="auto" w:fill="D9D9D9"/>
          </w:tcPr>
          <w:p w14:paraId="39BDF706" w14:textId="77777777" w:rsidR="00DA67E8" w:rsidRPr="00B53B51" w:rsidRDefault="00DA67E8" w:rsidP="008E3B41">
            <w:pPr>
              <w:tabs>
                <w:tab w:val="left" w:pos="900"/>
              </w:tabs>
              <w:rPr>
                <w:rFonts w:ascii="Arial" w:hAnsi="Arial" w:cs="Arial"/>
                <w:sz w:val="14"/>
              </w:rPr>
            </w:pPr>
            <w:r w:rsidRPr="00B53B51">
              <w:rPr>
                <w:rFonts w:ascii="Arial" w:hAnsi="Arial" w:cs="Arial"/>
                <w:sz w:val="14"/>
              </w:rPr>
              <w:t>16</w:t>
            </w:r>
          </w:p>
        </w:tc>
        <w:tc>
          <w:tcPr>
            <w:tcW w:w="381" w:type="dxa"/>
            <w:shd w:val="clear" w:color="auto" w:fill="D9D9D9"/>
          </w:tcPr>
          <w:p w14:paraId="47BA8356" w14:textId="77777777" w:rsidR="00DA67E8" w:rsidRPr="00B53B51" w:rsidRDefault="00DA67E8" w:rsidP="008E3B41">
            <w:pPr>
              <w:tabs>
                <w:tab w:val="left" w:pos="900"/>
              </w:tabs>
              <w:rPr>
                <w:rFonts w:ascii="Arial" w:hAnsi="Arial" w:cs="Arial"/>
                <w:sz w:val="14"/>
              </w:rPr>
            </w:pPr>
            <w:r w:rsidRPr="00B53B51">
              <w:rPr>
                <w:rFonts w:ascii="Arial" w:hAnsi="Arial" w:cs="Arial"/>
                <w:sz w:val="14"/>
              </w:rPr>
              <w:t>17</w:t>
            </w:r>
          </w:p>
        </w:tc>
        <w:tc>
          <w:tcPr>
            <w:tcW w:w="381" w:type="dxa"/>
            <w:shd w:val="clear" w:color="auto" w:fill="D9D9D9"/>
          </w:tcPr>
          <w:p w14:paraId="594D5222" w14:textId="77777777" w:rsidR="00DA67E8" w:rsidRPr="00B53B51" w:rsidRDefault="00DA67E8" w:rsidP="008E3B41">
            <w:pPr>
              <w:tabs>
                <w:tab w:val="left" w:pos="900"/>
              </w:tabs>
              <w:rPr>
                <w:rFonts w:ascii="Arial" w:hAnsi="Arial" w:cs="Arial"/>
                <w:sz w:val="14"/>
              </w:rPr>
            </w:pPr>
            <w:r w:rsidRPr="00B53B51">
              <w:rPr>
                <w:rFonts w:ascii="Arial" w:hAnsi="Arial" w:cs="Arial"/>
                <w:sz w:val="14"/>
              </w:rPr>
              <w:t>18</w:t>
            </w:r>
          </w:p>
        </w:tc>
        <w:tc>
          <w:tcPr>
            <w:tcW w:w="381" w:type="dxa"/>
            <w:shd w:val="clear" w:color="auto" w:fill="D9D9D9"/>
          </w:tcPr>
          <w:p w14:paraId="0654BEAB" w14:textId="77777777" w:rsidR="00DA67E8" w:rsidRPr="00B53B51" w:rsidRDefault="00DA67E8" w:rsidP="008E3B41">
            <w:pPr>
              <w:tabs>
                <w:tab w:val="left" w:pos="900"/>
              </w:tabs>
              <w:rPr>
                <w:rFonts w:ascii="Arial" w:hAnsi="Arial" w:cs="Arial"/>
                <w:sz w:val="14"/>
              </w:rPr>
            </w:pPr>
            <w:r w:rsidRPr="00B53B51">
              <w:rPr>
                <w:rFonts w:ascii="Arial" w:hAnsi="Arial" w:cs="Arial"/>
                <w:sz w:val="14"/>
              </w:rPr>
              <w:t>19</w:t>
            </w:r>
          </w:p>
        </w:tc>
        <w:tc>
          <w:tcPr>
            <w:tcW w:w="381" w:type="dxa"/>
            <w:shd w:val="clear" w:color="auto" w:fill="D9D9D9"/>
          </w:tcPr>
          <w:p w14:paraId="7C235134" w14:textId="77777777" w:rsidR="00DA67E8" w:rsidRPr="00B53B51" w:rsidRDefault="00DA67E8" w:rsidP="008E3B41">
            <w:pPr>
              <w:tabs>
                <w:tab w:val="left" w:pos="900"/>
              </w:tabs>
              <w:rPr>
                <w:rFonts w:ascii="Arial" w:hAnsi="Arial" w:cs="Arial"/>
                <w:sz w:val="14"/>
              </w:rPr>
            </w:pPr>
            <w:r w:rsidRPr="00B53B51">
              <w:rPr>
                <w:rFonts w:ascii="Arial" w:hAnsi="Arial" w:cs="Arial"/>
                <w:sz w:val="14"/>
              </w:rPr>
              <w:t>20</w:t>
            </w:r>
          </w:p>
        </w:tc>
        <w:tc>
          <w:tcPr>
            <w:tcW w:w="381" w:type="dxa"/>
            <w:shd w:val="clear" w:color="auto" w:fill="D9D9D9"/>
          </w:tcPr>
          <w:p w14:paraId="71EF22BC" w14:textId="77777777" w:rsidR="00DA67E8" w:rsidRPr="00B53B51" w:rsidRDefault="00DA67E8" w:rsidP="008E3B41">
            <w:pPr>
              <w:tabs>
                <w:tab w:val="left" w:pos="900"/>
              </w:tabs>
              <w:rPr>
                <w:rFonts w:ascii="Arial" w:hAnsi="Arial" w:cs="Arial"/>
                <w:sz w:val="14"/>
              </w:rPr>
            </w:pPr>
            <w:r w:rsidRPr="00B53B51">
              <w:rPr>
                <w:rFonts w:ascii="Arial" w:hAnsi="Arial" w:cs="Arial"/>
                <w:sz w:val="14"/>
              </w:rPr>
              <w:t>21</w:t>
            </w:r>
          </w:p>
        </w:tc>
      </w:tr>
      <w:tr w:rsidR="00791070" w:rsidRPr="00D67852" w14:paraId="221CD50E" w14:textId="77777777" w:rsidTr="00AC7C14">
        <w:trPr>
          <w:cantSplit/>
        </w:trPr>
        <w:tc>
          <w:tcPr>
            <w:tcW w:w="1668" w:type="dxa"/>
          </w:tcPr>
          <w:p w14:paraId="749B2CB1" w14:textId="77777777" w:rsidR="00791070" w:rsidRDefault="00791070" w:rsidP="00791070">
            <w:pPr>
              <w:tabs>
                <w:tab w:val="left" w:pos="900"/>
              </w:tabs>
              <w:rPr>
                <w:rFonts w:ascii="Arial" w:hAnsi="Arial" w:cs="Arial"/>
                <w:sz w:val="20"/>
              </w:rPr>
            </w:pPr>
            <w:r w:rsidRPr="00B53B51">
              <w:rPr>
                <w:rFonts w:ascii="Arial" w:hAnsi="Arial" w:cs="Arial"/>
                <w:sz w:val="20"/>
              </w:rPr>
              <w:t>Ganetespib</w:t>
            </w:r>
            <w:r>
              <w:rPr>
                <w:rFonts w:ascii="Arial" w:hAnsi="Arial" w:cs="Arial"/>
                <w:sz w:val="20"/>
              </w:rPr>
              <w:t>*</w:t>
            </w:r>
            <w:r w:rsidR="00AC7C14">
              <w:rPr>
                <w:rFonts w:ascii="Arial" w:hAnsi="Arial" w:cs="Arial"/>
                <w:sz w:val="20"/>
              </w:rPr>
              <w:t xml:space="preserve"> IV</w:t>
            </w:r>
          </w:p>
          <w:p w14:paraId="000E7E03" w14:textId="77777777" w:rsidR="006B1CCE" w:rsidRPr="00B53B51" w:rsidRDefault="006B1CCE" w:rsidP="006B1CCE">
            <w:pPr>
              <w:tabs>
                <w:tab w:val="left" w:pos="900"/>
              </w:tabs>
              <w:rPr>
                <w:rFonts w:ascii="Arial" w:hAnsi="Arial" w:cs="Arial"/>
                <w:sz w:val="20"/>
                <w:szCs w:val="20"/>
              </w:rPr>
            </w:pPr>
            <w:r>
              <w:rPr>
                <w:rFonts w:ascii="Arial" w:hAnsi="Arial" w:cs="Arial"/>
                <w:sz w:val="16"/>
                <w:szCs w:val="16"/>
              </w:rPr>
              <w:t>(Arm A only</w:t>
            </w:r>
            <w:r w:rsidRPr="006B1CCE">
              <w:rPr>
                <w:rFonts w:ascii="Arial" w:hAnsi="Arial" w:cs="Arial"/>
                <w:sz w:val="16"/>
                <w:szCs w:val="16"/>
              </w:rPr>
              <w:t>)</w:t>
            </w:r>
          </w:p>
        </w:tc>
        <w:tc>
          <w:tcPr>
            <w:tcW w:w="380" w:type="dxa"/>
            <w:vAlign w:val="center"/>
          </w:tcPr>
          <w:p w14:paraId="4704E85F" w14:textId="77777777" w:rsidR="00791070" w:rsidRPr="00B53B51" w:rsidRDefault="00791070" w:rsidP="00AC7C14">
            <w:pPr>
              <w:tabs>
                <w:tab w:val="left" w:pos="900"/>
              </w:tabs>
              <w:jc w:val="center"/>
              <w:rPr>
                <w:rFonts w:ascii="Arial" w:hAnsi="Arial" w:cs="Arial"/>
                <w:sz w:val="20"/>
              </w:rPr>
            </w:pPr>
            <w:r w:rsidRPr="00B53B51">
              <w:rPr>
                <w:rFonts w:ascii="Arial" w:hAnsi="Arial" w:cs="Arial"/>
                <w:sz w:val="20"/>
              </w:rPr>
              <w:t>X</w:t>
            </w:r>
          </w:p>
        </w:tc>
        <w:tc>
          <w:tcPr>
            <w:tcW w:w="381" w:type="dxa"/>
            <w:vAlign w:val="center"/>
          </w:tcPr>
          <w:p w14:paraId="22534F98"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71213B7B"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22F3BF8B"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7C07F3A9"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581B9520"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534DAD8"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47BC71BA"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2363BD92"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446C4B14"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09890B38"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69802BB9"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751A43E0"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0BAAE941"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6C32646" w14:textId="77777777" w:rsidR="00791070" w:rsidRPr="00B53B51" w:rsidRDefault="00C42DA2" w:rsidP="00AC7C14">
            <w:pPr>
              <w:tabs>
                <w:tab w:val="left" w:pos="900"/>
              </w:tabs>
              <w:jc w:val="center"/>
              <w:rPr>
                <w:rFonts w:ascii="Arial" w:hAnsi="Arial" w:cs="Arial"/>
                <w:sz w:val="20"/>
              </w:rPr>
            </w:pPr>
            <w:r>
              <w:rPr>
                <w:rFonts w:ascii="Arial" w:hAnsi="Arial" w:cs="Arial"/>
                <w:sz w:val="20"/>
              </w:rPr>
              <w:t>X</w:t>
            </w:r>
          </w:p>
        </w:tc>
        <w:tc>
          <w:tcPr>
            <w:tcW w:w="381" w:type="dxa"/>
            <w:vAlign w:val="center"/>
          </w:tcPr>
          <w:p w14:paraId="77A02617"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55E23851"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62974DEC"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6195300C"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36129FB"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194520F" w14:textId="77777777" w:rsidR="00791070" w:rsidRPr="00B53B51" w:rsidRDefault="00791070" w:rsidP="00AC7C14">
            <w:pPr>
              <w:tabs>
                <w:tab w:val="left" w:pos="900"/>
              </w:tabs>
              <w:jc w:val="center"/>
              <w:rPr>
                <w:rFonts w:ascii="Arial" w:hAnsi="Arial" w:cs="Arial"/>
                <w:sz w:val="20"/>
              </w:rPr>
            </w:pPr>
          </w:p>
        </w:tc>
      </w:tr>
      <w:tr w:rsidR="00791070" w:rsidRPr="00D67852" w14:paraId="64138FF6" w14:textId="77777777" w:rsidTr="00AC7C14">
        <w:trPr>
          <w:cantSplit/>
        </w:trPr>
        <w:tc>
          <w:tcPr>
            <w:tcW w:w="1668" w:type="dxa"/>
          </w:tcPr>
          <w:p w14:paraId="47263820" w14:textId="77777777" w:rsidR="00791070" w:rsidRPr="00B53B51" w:rsidRDefault="00791070" w:rsidP="008E3B41">
            <w:pPr>
              <w:tabs>
                <w:tab w:val="left" w:pos="900"/>
              </w:tabs>
              <w:rPr>
                <w:rFonts w:ascii="Arial" w:hAnsi="Arial" w:cs="Arial"/>
                <w:sz w:val="20"/>
                <w:szCs w:val="20"/>
              </w:rPr>
            </w:pPr>
            <w:r w:rsidRPr="00B53B51">
              <w:rPr>
                <w:rFonts w:ascii="Arial" w:hAnsi="Arial" w:cs="Arial"/>
                <w:sz w:val="20"/>
                <w:szCs w:val="20"/>
              </w:rPr>
              <w:t>Pemetrexed</w:t>
            </w:r>
          </w:p>
          <w:p w14:paraId="20440CC0" w14:textId="77777777" w:rsidR="00791070" w:rsidRDefault="00791070" w:rsidP="008E3B41">
            <w:pPr>
              <w:tabs>
                <w:tab w:val="left" w:pos="900"/>
              </w:tabs>
              <w:rPr>
                <w:rFonts w:ascii="Arial" w:hAnsi="Arial" w:cs="Arial"/>
                <w:sz w:val="20"/>
                <w:szCs w:val="20"/>
              </w:rPr>
            </w:pPr>
            <w:r w:rsidRPr="00B53B51">
              <w:rPr>
                <w:rFonts w:ascii="Arial" w:hAnsi="Arial" w:cs="Arial"/>
                <w:sz w:val="20"/>
                <w:szCs w:val="20"/>
              </w:rPr>
              <w:t>500mg/m</w:t>
            </w:r>
            <w:r w:rsidRPr="00B53B51">
              <w:rPr>
                <w:rFonts w:ascii="Arial" w:hAnsi="Arial" w:cs="Arial"/>
                <w:sz w:val="20"/>
                <w:szCs w:val="20"/>
                <w:vertAlign w:val="superscript"/>
              </w:rPr>
              <w:t>2</w:t>
            </w:r>
            <w:r w:rsidRPr="00B53B51">
              <w:rPr>
                <w:rFonts w:ascii="Arial" w:hAnsi="Arial" w:cs="Arial"/>
                <w:sz w:val="20"/>
                <w:szCs w:val="20"/>
              </w:rPr>
              <w:t xml:space="preserve"> IV</w:t>
            </w:r>
          </w:p>
          <w:p w14:paraId="6DA9F584" w14:textId="77777777" w:rsidR="006B1CCE" w:rsidRPr="00B53B51" w:rsidRDefault="006B1CCE" w:rsidP="008E3B41">
            <w:pPr>
              <w:tabs>
                <w:tab w:val="left" w:pos="900"/>
              </w:tabs>
              <w:rPr>
                <w:rFonts w:ascii="Arial" w:hAnsi="Arial" w:cs="Arial"/>
                <w:sz w:val="20"/>
                <w:szCs w:val="20"/>
              </w:rPr>
            </w:pPr>
            <w:r w:rsidRPr="006B1CCE">
              <w:rPr>
                <w:rFonts w:ascii="Arial" w:hAnsi="Arial" w:cs="Arial"/>
                <w:sz w:val="16"/>
                <w:szCs w:val="16"/>
              </w:rPr>
              <w:t>(Arm A and B)</w:t>
            </w:r>
          </w:p>
        </w:tc>
        <w:tc>
          <w:tcPr>
            <w:tcW w:w="380" w:type="dxa"/>
            <w:vAlign w:val="center"/>
          </w:tcPr>
          <w:p w14:paraId="2C3CCC01" w14:textId="77777777" w:rsidR="00791070" w:rsidRPr="00B53B51" w:rsidRDefault="00791070" w:rsidP="00AC7C14">
            <w:pPr>
              <w:tabs>
                <w:tab w:val="left" w:pos="900"/>
              </w:tabs>
              <w:jc w:val="center"/>
              <w:rPr>
                <w:rFonts w:ascii="Arial" w:hAnsi="Arial" w:cs="Arial"/>
                <w:sz w:val="20"/>
              </w:rPr>
            </w:pPr>
            <w:r w:rsidRPr="00B53B51">
              <w:rPr>
                <w:rFonts w:ascii="Arial" w:hAnsi="Arial" w:cs="Arial"/>
                <w:sz w:val="20"/>
              </w:rPr>
              <w:t>X</w:t>
            </w:r>
          </w:p>
        </w:tc>
        <w:tc>
          <w:tcPr>
            <w:tcW w:w="381" w:type="dxa"/>
            <w:vAlign w:val="center"/>
          </w:tcPr>
          <w:p w14:paraId="336B105D"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2D5F9CFF"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4816BAFA"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2B0FE895"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1C5A54DA"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5075F5ED"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586870EB"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9C0CFD2"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4F18D12"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1BDC6F4"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58864931"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2B2D2BD"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114B72C2"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167E24A4"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005068D8"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27D2E1F7"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60337CBF"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245A692"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3513FA31" w14:textId="77777777" w:rsidR="00791070" w:rsidRPr="00B53B51" w:rsidRDefault="00791070" w:rsidP="00AC7C14">
            <w:pPr>
              <w:tabs>
                <w:tab w:val="left" w:pos="900"/>
              </w:tabs>
              <w:jc w:val="center"/>
              <w:rPr>
                <w:rFonts w:ascii="Arial" w:hAnsi="Arial" w:cs="Arial"/>
                <w:sz w:val="20"/>
              </w:rPr>
            </w:pPr>
          </w:p>
        </w:tc>
        <w:tc>
          <w:tcPr>
            <w:tcW w:w="381" w:type="dxa"/>
            <w:vAlign w:val="center"/>
          </w:tcPr>
          <w:p w14:paraId="5A720AC2" w14:textId="77777777" w:rsidR="00791070" w:rsidRPr="00B53B51" w:rsidRDefault="00791070" w:rsidP="00AC7C14">
            <w:pPr>
              <w:tabs>
                <w:tab w:val="left" w:pos="900"/>
              </w:tabs>
              <w:jc w:val="center"/>
              <w:rPr>
                <w:rFonts w:ascii="Arial" w:hAnsi="Arial" w:cs="Arial"/>
                <w:sz w:val="20"/>
              </w:rPr>
            </w:pPr>
          </w:p>
        </w:tc>
      </w:tr>
      <w:tr w:rsidR="00791070" w:rsidRPr="00D67852" w14:paraId="7A1F4AF5" w14:textId="77777777" w:rsidTr="00AC7C14">
        <w:trPr>
          <w:cantSplit/>
        </w:trPr>
        <w:tc>
          <w:tcPr>
            <w:tcW w:w="1668" w:type="dxa"/>
            <w:tcBorders>
              <w:bottom w:val="single" w:sz="4" w:space="0" w:color="auto"/>
            </w:tcBorders>
          </w:tcPr>
          <w:p w14:paraId="5D86C840" w14:textId="77777777" w:rsidR="00791070" w:rsidRPr="00B53B51" w:rsidRDefault="00791070" w:rsidP="008E3B41">
            <w:pPr>
              <w:tabs>
                <w:tab w:val="left" w:pos="900"/>
              </w:tabs>
              <w:rPr>
                <w:rFonts w:ascii="Arial" w:hAnsi="Arial" w:cs="Arial"/>
                <w:sz w:val="20"/>
                <w:szCs w:val="20"/>
              </w:rPr>
            </w:pPr>
            <w:r w:rsidRPr="00B53B51">
              <w:rPr>
                <w:rFonts w:ascii="Arial" w:hAnsi="Arial" w:cs="Arial"/>
                <w:sz w:val="20"/>
                <w:szCs w:val="20"/>
              </w:rPr>
              <w:t>Cisplatin</w:t>
            </w:r>
          </w:p>
          <w:p w14:paraId="16BD3112" w14:textId="77777777" w:rsidR="00791070" w:rsidRDefault="00791070" w:rsidP="008E3B41">
            <w:pPr>
              <w:tabs>
                <w:tab w:val="left" w:pos="900"/>
              </w:tabs>
              <w:rPr>
                <w:rFonts w:ascii="Arial" w:hAnsi="Arial" w:cs="Arial"/>
                <w:sz w:val="20"/>
                <w:szCs w:val="20"/>
              </w:rPr>
            </w:pPr>
            <w:r w:rsidRPr="00B53B51">
              <w:rPr>
                <w:rFonts w:ascii="Arial" w:hAnsi="Arial" w:cs="Arial"/>
                <w:sz w:val="20"/>
                <w:szCs w:val="20"/>
              </w:rPr>
              <w:t>75mg/m</w:t>
            </w:r>
            <w:r w:rsidRPr="00B53B51">
              <w:rPr>
                <w:rFonts w:ascii="Arial" w:hAnsi="Arial" w:cs="Arial"/>
                <w:sz w:val="20"/>
                <w:szCs w:val="20"/>
                <w:vertAlign w:val="superscript"/>
              </w:rPr>
              <w:t>2</w:t>
            </w:r>
            <w:r w:rsidRPr="00B53B51">
              <w:rPr>
                <w:rFonts w:ascii="Arial" w:hAnsi="Arial" w:cs="Arial"/>
                <w:sz w:val="20"/>
                <w:szCs w:val="20"/>
              </w:rPr>
              <w:t xml:space="preserve"> IV</w:t>
            </w:r>
          </w:p>
          <w:p w14:paraId="73102FA4" w14:textId="77777777" w:rsidR="00EB0C74" w:rsidRPr="00EB0C74" w:rsidRDefault="00EB0C74" w:rsidP="008E3B41">
            <w:pPr>
              <w:tabs>
                <w:tab w:val="left" w:pos="900"/>
              </w:tabs>
              <w:rPr>
                <w:rFonts w:ascii="Arial" w:hAnsi="Arial" w:cs="Arial"/>
                <w:b/>
                <w:sz w:val="20"/>
                <w:szCs w:val="20"/>
              </w:rPr>
            </w:pPr>
            <w:r w:rsidRPr="00EB0C74">
              <w:rPr>
                <w:rFonts w:ascii="Arial" w:hAnsi="Arial" w:cs="Arial"/>
                <w:b/>
                <w:sz w:val="20"/>
                <w:szCs w:val="20"/>
              </w:rPr>
              <w:t>or</w:t>
            </w:r>
          </w:p>
          <w:p w14:paraId="4F0097F2" w14:textId="77777777" w:rsidR="00EB0C74" w:rsidRDefault="00EB0C74" w:rsidP="00EB0C74">
            <w:pPr>
              <w:tabs>
                <w:tab w:val="left" w:pos="900"/>
              </w:tabs>
              <w:rPr>
                <w:rFonts w:ascii="Arial" w:hAnsi="Arial" w:cs="Arial"/>
                <w:sz w:val="20"/>
                <w:szCs w:val="20"/>
              </w:rPr>
            </w:pPr>
            <w:r>
              <w:rPr>
                <w:rFonts w:ascii="Arial" w:hAnsi="Arial" w:cs="Arial"/>
                <w:sz w:val="20"/>
                <w:szCs w:val="20"/>
              </w:rPr>
              <w:t>carboplatin</w:t>
            </w:r>
          </w:p>
          <w:p w14:paraId="64D1F202" w14:textId="77777777" w:rsidR="00EB0C74" w:rsidRPr="00B53B51" w:rsidRDefault="00EB0C74" w:rsidP="00EB0C74">
            <w:pPr>
              <w:tabs>
                <w:tab w:val="left" w:pos="900"/>
              </w:tabs>
              <w:rPr>
                <w:rFonts w:ascii="Arial" w:hAnsi="Arial" w:cs="Arial"/>
                <w:sz w:val="20"/>
                <w:szCs w:val="20"/>
              </w:rPr>
            </w:pPr>
            <w:r>
              <w:rPr>
                <w:rFonts w:ascii="Arial" w:hAnsi="Arial" w:cs="Arial"/>
                <w:sz w:val="20"/>
                <w:szCs w:val="20"/>
              </w:rPr>
              <w:t>AUC5 IV</w:t>
            </w:r>
          </w:p>
          <w:p w14:paraId="653E216C" w14:textId="77777777" w:rsidR="006B1CCE" w:rsidRPr="00B53B51" w:rsidRDefault="006B1CCE" w:rsidP="008E3B41">
            <w:pPr>
              <w:tabs>
                <w:tab w:val="left" w:pos="900"/>
              </w:tabs>
              <w:rPr>
                <w:rFonts w:ascii="Arial" w:hAnsi="Arial" w:cs="Arial"/>
                <w:sz w:val="20"/>
                <w:szCs w:val="20"/>
              </w:rPr>
            </w:pPr>
            <w:r w:rsidRPr="006B1CCE">
              <w:rPr>
                <w:rFonts w:ascii="Arial" w:hAnsi="Arial" w:cs="Arial"/>
                <w:sz w:val="16"/>
                <w:szCs w:val="16"/>
              </w:rPr>
              <w:t>(Arm A and B)</w:t>
            </w:r>
          </w:p>
        </w:tc>
        <w:tc>
          <w:tcPr>
            <w:tcW w:w="380" w:type="dxa"/>
            <w:tcBorders>
              <w:bottom w:val="single" w:sz="4" w:space="0" w:color="auto"/>
            </w:tcBorders>
            <w:vAlign w:val="center"/>
          </w:tcPr>
          <w:p w14:paraId="1B951F40" w14:textId="77777777" w:rsidR="00791070" w:rsidRPr="00B53B51" w:rsidRDefault="00791070" w:rsidP="00AC7C14">
            <w:pPr>
              <w:tabs>
                <w:tab w:val="left" w:pos="900"/>
              </w:tabs>
              <w:jc w:val="center"/>
              <w:rPr>
                <w:rFonts w:ascii="Arial" w:hAnsi="Arial" w:cs="Arial"/>
                <w:sz w:val="20"/>
              </w:rPr>
            </w:pPr>
            <w:r w:rsidRPr="00B53B51">
              <w:rPr>
                <w:rFonts w:ascii="Arial" w:hAnsi="Arial" w:cs="Arial"/>
                <w:sz w:val="20"/>
              </w:rPr>
              <w:t>X</w:t>
            </w:r>
          </w:p>
        </w:tc>
        <w:tc>
          <w:tcPr>
            <w:tcW w:w="381" w:type="dxa"/>
            <w:tcBorders>
              <w:bottom w:val="single" w:sz="4" w:space="0" w:color="auto"/>
            </w:tcBorders>
            <w:vAlign w:val="center"/>
          </w:tcPr>
          <w:p w14:paraId="42DCAD1F"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26EA540E"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06A7761B"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616A9531"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50EA5928"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496B4400"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331C8021"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676C3A71"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3E0AF3B1"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4533A3B1"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691BA7B2"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64FD552B"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65B935F9"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0D588C1E"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19041BA4"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4DA513A8"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50EFECE5"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1F5FF75E"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3FA19363" w14:textId="77777777" w:rsidR="00791070" w:rsidRPr="00B53B51" w:rsidRDefault="00791070" w:rsidP="00AC7C14">
            <w:pPr>
              <w:tabs>
                <w:tab w:val="left" w:pos="900"/>
              </w:tabs>
              <w:jc w:val="center"/>
              <w:rPr>
                <w:rFonts w:ascii="Arial" w:hAnsi="Arial" w:cs="Arial"/>
                <w:sz w:val="20"/>
              </w:rPr>
            </w:pPr>
          </w:p>
        </w:tc>
        <w:tc>
          <w:tcPr>
            <w:tcW w:w="381" w:type="dxa"/>
            <w:tcBorders>
              <w:bottom w:val="single" w:sz="4" w:space="0" w:color="auto"/>
            </w:tcBorders>
            <w:vAlign w:val="center"/>
          </w:tcPr>
          <w:p w14:paraId="34A00652" w14:textId="77777777" w:rsidR="00791070" w:rsidRPr="00B53B51" w:rsidRDefault="00791070" w:rsidP="00AC7C14">
            <w:pPr>
              <w:tabs>
                <w:tab w:val="left" w:pos="900"/>
              </w:tabs>
              <w:jc w:val="center"/>
              <w:rPr>
                <w:rFonts w:ascii="Arial" w:hAnsi="Arial" w:cs="Arial"/>
                <w:sz w:val="20"/>
              </w:rPr>
            </w:pPr>
          </w:p>
        </w:tc>
      </w:tr>
    </w:tbl>
    <w:p w14:paraId="1D8B8AAC" w14:textId="77777777" w:rsidR="00DA67E8" w:rsidRPr="006B1CCE" w:rsidRDefault="00DA67E8" w:rsidP="00B53B51">
      <w:pPr>
        <w:tabs>
          <w:tab w:val="left" w:pos="720"/>
        </w:tabs>
        <w:jc w:val="both"/>
        <w:rPr>
          <w:rFonts w:ascii="Arial" w:hAnsi="Arial" w:cs="Arial"/>
          <w:bCs/>
          <w:sz w:val="20"/>
          <w:szCs w:val="20"/>
        </w:rPr>
      </w:pPr>
      <w:r w:rsidRPr="00E07044">
        <w:rPr>
          <w:rFonts w:ascii="Arial" w:hAnsi="Arial" w:cs="Arial"/>
          <w:bCs/>
          <w:sz w:val="20"/>
          <w:szCs w:val="20"/>
        </w:rPr>
        <w:t xml:space="preserve">*The ganetespib IV dose </w:t>
      </w:r>
      <w:r w:rsidR="003A7641" w:rsidRPr="00E07044">
        <w:rPr>
          <w:rFonts w:ascii="Arial" w:hAnsi="Arial" w:cs="Arial"/>
          <w:bCs/>
          <w:sz w:val="20"/>
          <w:szCs w:val="20"/>
        </w:rPr>
        <w:t xml:space="preserve">to be </w:t>
      </w:r>
      <w:r w:rsidRPr="00E07044">
        <w:rPr>
          <w:rFonts w:ascii="Arial" w:hAnsi="Arial" w:cs="Arial"/>
          <w:bCs/>
          <w:sz w:val="20"/>
          <w:szCs w:val="20"/>
        </w:rPr>
        <w:t>used in the phase II trial will be determined only after patients in phase I have had at least 2 cycles of therapy</w:t>
      </w:r>
      <w:r w:rsidR="003A7641" w:rsidRPr="00E07044">
        <w:rPr>
          <w:rFonts w:ascii="Arial" w:hAnsi="Arial" w:cs="Arial"/>
          <w:bCs/>
          <w:sz w:val="20"/>
          <w:szCs w:val="20"/>
        </w:rPr>
        <w:t xml:space="preserve"> and the</w:t>
      </w:r>
      <w:r w:rsidRPr="00E07044">
        <w:rPr>
          <w:rFonts w:ascii="Arial" w:hAnsi="Arial" w:cs="Arial"/>
          <w:bCs/>
          <w:sz w:val="20"/>
          <w:szCs w:val="20"/>
        </w:rPr>
        <w:t xml:space="preserve"> data </w:t>
      </w:r>
      <w:r w:rsidR="003A7641" w:rsidRPr="00E07044">
        <w:rPr>
          <w:rFonts w:ascii="Arial" w:hAnsi="Arial" w:cs="Arial"/>
          <w:bCs/>
          <w:sz w:val="20"/>
          <w:szCs w:val="20"/>
        </w:rPr>
        <w:t>ha</w:t>
      </w:r>
      <w:r w:rsidR="00E07044">
        <w:rPr>
          <w:rFonts w:ascii="Arial" w:hAnsi="Arial" w:cs="Arial"/>
          <w:bCs/>
          <w:sz w:val="20"/>
          <w:szCs w:val="20"/>
        </w:rPr>
        <w:t xml:space="preserve">s </w:t>
      </w:r>
      <w:r w:rsidRPr="00E07044">
        <w:rPr>
          <w:rFonts w:ascii="Arial" w:hAnsi="Arial" w:cs="Arial"/>
          <w:bCs/>
          <w:sz w:val="20"/>
          <w:szCs w:val="20"/>
        </w:rPr>
        <w:t>be</w:t>
      </w:r>
      <w:r w:rsidR="003A7641" w:rsidRPr="00E07044">
        <w:rPr>
          <w:rFonts w:ascii="Arial" w:hAnsi="Arial" w:cs="Arial"/>
          <w:bCs/>
          <w:sz w:val="20"/>
          <w:szCs w:val="20"/>
        </w:rPr>
        <w:t>en</w:t>
      </w:r>
      <w:r w:rsidRPr="00E07044">
        <w:rPr>
          <w:rFonts w:ascii="Arial" w:hAnsi="Arial" w:cs="Arial"/>
          <w:bCs/>
          <w:sz w:val="20"/>
          <w:szCs w:val="20"/>
        </w:rPr>
        <w:t xml:space="preserve"> reviewed by the Independent Data Monitoring Committee.</w:t>
      </w:r>
      <w:r w:rsidR="006B1CCE">
        <w:rPr>
          <w:rFonts w:ascii="Arial" w:hAnsi="Arial" w:cs="Arial"/>
          <w:bCs/>
          <w:sz w:val="20"/>
          <w:szCs w:val="20"/>
        </w:rPr>
        <w:t xml:space="preserve"> </w:t>
      </w:r>
    </w:p>
    <w:p w14:paraId="0D53B118" w14:textId="77777777" w:rsidR="00DA67E8" w:rsidRPr="00A86EB1" w:rsidRDefault="00DA67E8" w:rsidP="00B53B51">
      <w:pPr>
        <w:tabs>
          <w:tab w:val="left" w:pos="720"/>
        </w:tabs>
        <w:jc w:val="both"/>
        <w:rPr>
          <w:rFonts w:ascii="Arial" w:hAnsi="Arial" w:cs="Arial"/>
          <w:b/>
          <w:bCs/>
          <w:sz w:val="22"/>
        </w:rPr>
      </w:pPr>
    </w:p>
    <w:p w14:paraId="5EBD9991" w14:textId="77777777" w:rsidR="0003558A" w:rsidRDefault="0003558A" w:rsidP="0003558A">
      <w:pPr>
        <w:jc w:val="both"/>
        <w:rPr>
          <w:rFonts w:ascii="Arial" w:hAnsi="Arial" w:cs="Arial"/>
          <w:sz w:val="22"/>
          <w:szCs w:val="22"/>
        </w:rPr>
      </w:pPr>
      <w:r>
        <w:rPr>
          <w:rFonts w:ascii="Arial" w:hAnsi="Arial" w:cs="Arial"/>
          <w:sz w:val="22"/>
          <w:szCs w:val="22"/>
        </w:rPr>
        <w:t>Patients will receive a maximum of 6 cycles of treatment, each cycle lasts 21 days:</w:t>
      </w:r>
    </w:p>
    <w:p w14:paraId="2AB94431" w14:textId="77777777" w:rsidR="0003558A" w:rsidRPr="00BF3FC9" w:rsidRDefault="0003558A" w:rsidP="0003558A">
      <w:pPr>
        <w:jc w:val="both"/>
        <w:rPr>
          <w:rFonts w:ascii="Arial" w:hAnsi="Arial" w:cs="Arial"/>
          <w:sz w:val="22"/>
          <w:szCs w:val="22"/>
        </w:rPr>
      </w:pPr>
    </w:p>
    <w:p w14:paraId="2079D096" w14:textId="77777777" w:rsidR="0003558A" w:rsidRPr="00A86EB1" w:rsidRDefault="0003558A" w:rsidP="0003558A">
      <w:pPr>
        <w:jc w:val="both"/>
        <w:rPr>
          <w:rFonts w:ascii="Arial" w:hAnsi="Arial" w:cs="Arial"/>
          <w:sz w:val="22"/>
        </w:rPr>
      </w:pPr>
      <w:r w:rsidRPr="00A86EB1">
        <w:rPr>
          <w:rFonts w:ascii="Arial" w:hAnsi="Arial" w:cs="Arial"/>
          <w:b/>
          <w:sz w:val="22"/>
        </w:rPr>
        <w:t>Arm A:</w:t>
      </w:r>
      <w:r w:rsidRPr="00A86EB1">
        <w:rPr>
          <w:rFonts w:ascii="Arial" w:hAnsi="Arial" w:cs="Arial"/>
          <w:sz w:val="22"/>
        </w:rPr>
        <w:t xml:space="preserve"> </w:t>
      </w:r>
    </w:p>
    <w:p w14:paraId="7C43DA96" w14:textId="77777777" w:rsidR="0003558A" w:rsidRDefault="0003558A" w:rsidP="0003558A">
      <w:pPr>
        <w:snapToGrid w:val="0"/>
        <w:jc w:val="both"/>
        <w:rPr>
          <w:rFonts w:ascii="Arial" w:hAnsi="Arial" w:cs="Arial"/>
          <w:sz w:val="22"/>
        </w:rPr>
      </w:pPr>
      <w:r>
        <w:rPr>
          <w:rFonts w:ascii="Arial" w:hAnsi="Arial" w:cs="Arial"/>
          <w:sz w:val="22"/>
        </w:rPr>
        <w:t>Day 1</w:t>
      </w:r>
    </w:p>
    <w:p w14:paraId="5225B35D" w14:textId="77777777" w:rsidR="0003558A" w:rsidRDefault="0003558A" w:rsidP="00D65DE2">
      <w:pPr>
        <w:numPr>
          <w:ilvl w:val="0"/>
          <w:numId w:val="35"/>
        </w:numPr>
        <w:snapToGrid w:val="0"/>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Pr>
          <w:rFonts w:ascii="Arial" w:hAnsi="Arial" w:cs="Arial"/>
          <w:sz w:val="22"/>
        </w:rPr>
        <w:t>-</w:t>
      </w:r>
      <w:r w:rsidR="006B1CCE">
        <w:rPr>
          <w:rFonts w:ascii="Arial" w:hAnsi="Arial" w:cs="Arial"/>
          <w:sz w:val="22"/>
        </w:rPr>
        <w:t xml:space="preserve"> </w:t>
      </w:r>
      <w:r>
        <w:rPr>
          <w:rFonts w:ascii="Arial" w:hAnsi="Arial" w:cs="Arial"/>
          <w:sz w:val="22"/>
        </w:rPr>
        <w:t>1 hour infusion at the dose determined by the phase I</w:t>
      </w:r>
    </w:p>
    <w:p w14:paraId="0B5ECED4" w14:textId="77777777" w:rsidR="0003558A" w:rsidRDefault="0003558A" w:rsidP="00D65DE2">
      <w:pPr>
        <w:numPr>
          <w:ilvl w:val="0"/>
          <w:numId w:val="35"/>
        </w:numPr>
        <w:snapToGrid w:val="0"/>
        <w:jc w:val="both"/>
        <w:rPr>
          <w:rFonts w:ascii="Arial" w:hAnsi="Arial" w:cs="Arial"/>
          <w:sz w:val="22"/>
        </w:rPr>
      </w:pPr>
      <w:r>
        <w:rPr>
          <w:rFonts w:ascii="Arial" w:hAnsi="Arial" w:cs="Arial"/>
          <w:sz w:val="22"/>
        </w:rPr>
        <w:t>P</w:t>
      </w:r>
      <w:r w:rsidRPr="00983832">
        <w:rPr>
          <w:rFonts w:ascii="Arial" w:hAnsi="Arial" w:cs="Arial"/>
          <w:sz w:val="22"/>
        </w:rPr>
        <w:t>emetrexed 500mg/m</w:t>
      </w:r>
      <w:r w:rsidRPr="00983832">
        <w:rPr>
          <w:rFonts w:ascii="Arial" w:hAnsi="Arial" w:cs="Arial"/>
          <w:sz w:val="22"/>
          <w:vertAlign w:val="superscript"/>
        </w:rPr>
        <w:t>2</w:t>
      </w:r>
      <w:r w:rsidRPr="00983832">
        <w:rPr>
          <w:rFonts w:ascii="Arial" w:hAnsi="Arial" w:cs="Arial"/>
          <w:sz w:val="22"/>
        </w:rPr>
        <w:t xml:space="preserve"> IV </w:t>
      </w:r>
      <w:r>
        <w:rPr>
          <w:rFonts w:ascii="Arial" w:hAnsi="Arial" w:cs="Arial"/>
          <w:sz w:val="22"/>
        </w:rPr>
        <w:t xml:space="preserve">- infused </w:t>
      </w:r>
      <w:r w:rsidRPr="00983832">
        <w:rPr>
          <w:rFonts w:ascii="Arial" w:hAnsi="Arial" w:cs="Arial"/>
          <w:sz w:val="22"/>
        </w:rPr>
        <w:t>over 10 minutes</w:t>
      </w:r>
      <w:r>
        <w:rPr>
          <w:rFonts w:ascii="Arial" w:hAnsi="Arial" w:cs="Arial"/>
          <w:sz w:val="22"/>
        </w:rPr>
        <w:t xml:space="preserve"> </w:t>
      </w:r>
      <w:r w:rsidRPr="00983832">
        <w:rPr>
          <w:rFonts w:ascii="Arial" w:hAnsi="Arial" w:cs="Arial"/>
          <w:sz w:val="22"/>
        </w:rPr>
        <w:t>with vitamin B</w:t>
      </w:r>
      <w:r w:rsidRPr="00E25E51">
        <w:rPr>
          <w:rFonts w:ascii="Arial" w:hAnsi="Arial" w:cs="Arial"/>
          <w:sz w:val="22"/>
          <w:vertAlign w:val="subscript"/>
        </w:rPr>
        <w:t>12</w:t>
      </w:r>
      <w:r w:rsidRPr="00983832">
        <w:rPr>
          <w:rFonts w:ascii="Arial" w:hAnsi="Arial" w:cs="Arial"/>
          <w:sz w:val="22"/>
        </w:rPr>
        <w:t xml:space="preserve"> and folate supplementation as standard</w:t>
      </w:r>
      <w:r>
        <w:rPr>
          <w:rFonts w:ascii="Arial" w:hAnsi="Arial" w:cs="Arial"/>
          <w:sz w:val="22"/>
        </w:rPr>
        <w:t xml:space="preserve">. </w:t>
      </w:r>
      <w:r w:rsidRPr="00DB349B">
        <w:rPr>
          <w:rFonts w:ascii="Arial" w:hAnsi="Arial" w:cs="Arial"/>
          <w:sz w:val="22"/>
        </w:rPr>
        <w:t xml:space="preserve"> </w:t>
      </w:r>
      <w:r>
        <w:rPr>
          <w:rFonts w:ascii="Arial" w:hAnsi="Arial" w:cs="Arial"/>
          <w:sz w:val="22"/>
        </w:rPr>
        <w:t>Pemetrexed should be administered immediately after completion of the ganetespib infusion.</w:t>
      </w:r>
    </w:p>
    <w:p w14:paraId="4F315EE6" w14:textId="77777777" w:rsidR="00783E0E" w:rsidRPr="00D44DB4" w:rsidRDefault="0003558A" w:rsidP="00D65DE2">
      <w:pPr>
        <w:numPr>
          <w:ilvl w:val="0"/>
          <w:numId w:val="35"/>
        </w:numPr>
        <w:snapToGrid w:val="0"/>
        <w:jc w:val="both"/>
        <w:rPr>
          <w:rFonts w:ascii="Arial" w:hAnsi="Arial" w:cs="Arial"/>
          <w:sz w:val="22"/>
        </w:rPr>
      </w:pPr>
      <w:r w:rsidRPr="00783E0E">
        <w:rPr>
          <w:rFonts w:ascii="Arial" w:hAnsi="Arial" w:cs="Arial"/>
          <w:sz w:val="22"/>
        </w:rPr>
        <w:t>Cisplatin 75mg/m</w:t>
      </w:r>
      <w:r w:rsidRPr="00783E0E">
        <w:rPr>
          <w:rFonts w:ascii="Arial" w:hAnsi="Arial" w:cs="Arial"/>
          <w:sz w:val="22"/>
          <w:vertAlign w:val="superscript"/>
        </w:rPr>
        <w:t>2</w:t>
      </w:r>
      <w:r w:rsidRPr="00783E0E">
        <w:rPr>
          <w:rFonts w:ascii="Arial" w:hAnsi="Arial" w:cs="Arial"/>
          <w:sz w:val="22"/>
        </w:rPr>
        <w:t xml:space="preserve"> IV infused over 2 hours</w:t>
      </w:r>
      <w:r w:rsidR="00D44DB4" w:rsidRPr="00783E0E">
        <w:rPr>
          <w:rFonts w:ascii="Arial" w:hAnsi="Arial" w:cs="Arial"/>
          <w:sz w:val="22"/>
        </w:rPr>
        <w:t>.</w:t>
      </w:r>
      <w:r w:rsidRPr="00783E0E">
        <w:rPr>
          <w:rFonts w:ascii="Arial" w:hAnsi="Arial" w:cs="Arial"/>
          <w:sz w:val="22"/>
        </w:rPr>
        <w:t xml:space="preserve"> Cisplatin should be administered approximately 30 minutes after completion of the pemetrexed infusion</w:t>
      </w:r>
      <w:r w:rsidR="00D44DB4" w:rsidRPr="00783E0E">
        <w:rPr>
          <w:rFonts w:ascii="Arial" w:hAnsi="Arial" w:cs="Arial"/>
          <w:sz w:val="22"/>
        </w:rPr>
        <w:t xml:space="preserve"> </w:t>
      </w:r>
      <w:r w:rsidR="00783E0E" w:rsidRPr="00D44DB4">
        <w:rPr>
          <w:rFonts w:ascii="Arial" w:hAnsi="Arial" w:cs="Arial"/>
          <w:b/>
          <w:i/>
          <w:sz w:val="22"/>
        </w:rPr>
        <w:t>OR</w:t>
      </w:r>
      <w:r w:rsidR="00783E0E">
        <w:rPr>
          <w:rFonts w:ascii="Arial" w:hAnsi="Arial" w:cs="Arial"/>
          <w:sz w:val="22"/>
        </w:rPr>
        <w:t xml:space="preserve"> </w:t>
      </w:r>
      <w:r w:rsidR="00783E0E" w:rsidRPr="00D44DB4">
        <w:rPr>
          <w:rFonts w:ascii="Arial" w:hAnsi="Arial" w:cs="Arial"/>
          <w:sz w:val="22"/>
        </w:rPr>
        <w:t>Carboplatin AUC5 IV infused over 30 minutes. Carboplatin should be administered approximately 30 minutes after completion of the pemetrexed infusion.</w:t>
      </w:r>
    </w:p>
    <w:p w14:paraId="34128D20" w14:textId="77777777" w:rsidR="00D44DB4" w:rsidRPr="00783E0E" w:rsidRDefault="00D44DB4" w:rsidP="00783E0E">
      <w:pPr>
        <w:snapToGrid w:val="0"/>
        <w:ind w:left="780"/>
        <w:jc w:val="both"/>
        <w:rPr>
          <w:rFonts w:ascii="Arial" w:hAnsi="Arial" w:cs="Arial"/>
          <w:sz w:val="22"/>
        </w:rPr>
      </w:pPr>
    </w:p>
    <w:p w14:paraId="46BCC9DC" w14:textId="77777777" w:rsidR="0003558A" w:rsidRDefault="00782B5E" w:rsidP="0003558A">
      <w:pPr>
        <w:snapToGrid w:val="0"/>
        <w:jc w:val="both"/>
        <w:rPr>
          <w:rFonts w:ascii="Arial" w:hAnsi="Arial" w:cs="Arial"/>
          <w:sz w:val="22"/>
        </w:rPr>
      </w:pPr>
      <w:r>
        <w:rPr>
          <w:rFonts w:ascii="Arial" w:hAnsi="Arial" w:cs="Arial"/>
          <w:sz w:val="22"/>
        </w:rPr>
        <w:t>Day 15</w:t>
      </w:r>
      <w:r w:rsidR="0003558A">
        <w:rPr>
          <w:rFonts w:ascii="Arial" w:hAnsi="Arial" w:cs="Arial"/>
          <w:sz w:val="22"/>
        </w:rPr>
        <w:t xml:space="preserve"> </w:t>
      </w:r>
    </w:p>
    <w:p w14:paraId="5398D077" w14:textId="77777777" w:rsidR="0003558A" w:rsidRDefault="0003558A" w:rsidP="00D65DE2">
      <w:pPr>
        <w:numPr>
          <w:ilvl w:val="0"/>
          <w:numId w:val="35"/>
        </w:numPr>
        <w:snapToGrid w:val="0"/>
        <w:jc w:val="both"/>
        <w:rPr>
          <w:rFonts w:ascii="Arial" w:hAnsi="Arial" w:cs="Arial"/>
          <w:sz w:val="22"/>
        </w:rPr>
      </w:pPr>
      <w:r>
        <w:rPr>
          <w:rFonts w:ascii="Arial" w:hAnsi="Arial" w:cs="Arial"/>
          <w:sz w:val="22"/>
        </w:rPr>
        <w:t xml:space="preserve">IV </w:t>
      </w:r>
      <w:r w:rsidRPr="00B53B51">
        <w:rPr>
          <w:rFonts w:ascii="Arial" w:hAnsi="Arial" w:cs="Arial"/>
          <w:sz w:val="22"/>
          <w:szCs w:val="22"/>
        </w:rPr>
        <w:t>ganetespib</w:t>
      </w:r>
      <w:r>
        <w:rPr>
          <w:rFonts w:ascii="Arial" w:hAnsi="Arial" w:cs="Arial"/>
          <w:sz w:val="22"/>
          <w:szCs w:val="22"/>
        </w:rPr>
        <w:t xml:space="preserve"> </w:t>
      </w:r>
      <w:r>
        <w:rPr>
          <w:rFonts w:ascii="Arial" w:hAnsi="Arial" w:cs="Arial"/>
          <w:sz w:val="22"/>
        </w:rPr>
        <w:t>- 1 hour infusion at the dose determined by the phase I</w:t>
      </w:r>
    </w:p>
    <w:p w14:paraId="28825360" w14:textId="77777777" w:rsidR="00DA67E8" w:rsidRDefault="00DA67E8" w:rsidP="00B53B51">
      <w:pPr>
        <w:jc w:val="both"/>
        <w:rPr>
          <w:rFonts w:ascii="Arial" w:hAnsi="Arial" w:cs="Arial"/>
          <w:sz w:val="22"/>
        </w:rPr>
      </w:pPr>
    </w:p>
    <w:p w14:paraId="2AC5642A" w14:textId="77777777" w:rsidR="007E1108" w:rsidRDefault="007E1108" w:rsidP="007E1108">
      <w:pPr>
        <w:jc w:val="both"/>
        <w:rPr>
          <w:rFonts w:ascii="Arial" w:hAnsi="Arial" w:cs="Arial"/>
          <w:sz w:val="22"/>
        </w:rPr>
      </w:pPr>
      <w:r>
        <w:rPr>
          <w:rFonts w:ascii="Arial" w:hAnsi="Arial" w:cs="Arial"/>
          <w:sz w:val="22"/>
        </w:rPr>
        <w:t xml:space="preserve">After completing 6 cycles of chemotherapy/ganetespib patients could receive maintenance ganetespib if there are no signs of disease progression.  Patients who have only completed 4 cycles of treatment without disease progression may be treated with maintenance ganetespib </w:t>
      </w:r>
      <w:r w:rsidRPr="00D8736C">
        <w:rPr>
          <w:rFonts w:ascii="Arial" w:hAnsi="Arial" w:cs="Arial"/>
          <w:sz w:val="22"/>
        </w:rPr>
        <w:t>if their treating clinician agrees there is benefit</w:t>
      </w:r>
      <w:r>
        <w:rPr>
          <w:rFonts w:ascii="Arial" w:hAnsi="Arial" w:cs="Arial"/>
          <w:sz w:val="22"/>
        </w:rPr>
        <w:t>. Please contact UCL CTC if a patient has received less than 4 cycles of treatment but maintenance ganetespib is deemed appropriate.</w:t>
      </w:r>
    </w:p>
    <w:p w14:paraId="71A07460" w14:textId="77777777" w:rsidR="00F27136" w:rsidRDefault="00F27136" w:rsidP="003B0C0B">
      <w:pPr>
        <w:jc w:val="both"/>
        <w:rPr>
          <w:rFonts w:ascii="Arial" w:hAnsi="Arial" w:cs="Arial"/>
          <w:sz w:val="22"/>
        </w:rPr>
      </w:pPr>
    </w:p>
    <w:p w14:paraId="339D6DE7" w14:textId="77777777" w:rsidR="00F27136" w:rsidRDefault="00F27136" w:rsidP="003B0C0B">
      <w:pPr>
        <w:jc w:val="both"/>
        <w:rPr>
          <w:rFonts w:ascii="Arial" w:hAnsi="Arial" w:cs="Arial"/>
          <w:sz w:val="22"/>
        </w:rPr>
      </w:pPr>
      <w:r>
        <w:rPr>
          <w:rFonts w:ascii="Arial" w:hAnsi="Arial" w:cs="Arial"/>
          <w:sz w:val="22"/>
        </w:rPr>
        <w:t>Maintenance ganetespib should be given on Day 1 and 15 of each 21-day cycle.</w:t>
      </w:r>
    </w:p>
    <w:p w14:paraId="398E0777" w14:textId="77777777" w:rsidR="003B0C0B" w:rsidRPr="00A86EB1" w:rsidRDefault="003B0C0B" w:rsidP="00B53B51">
      <w:pPr>
        <w:jc w:val="both"/>
        <w:rPr>
          <w:rFonts w:ascii="Arial" w:hAnsi="Arial" w:cs="Arial"/>
          <w:sz w:val="22"/>
        </w:rPr>
      </w:pPr>
    </w:p>
    <w:p w14:paraId="18C14430" w14:textId="77777777" w:rsidR="00DA67E8" w:rsidRPr="00A86EB1" w:rsidRDefault="00DA67E8" w:rsidP="00B53B51">
      <w:pPr>
        <w:jc w:val="both"/>
        <w:rPr>
          <w:rFonts w:ascii="Arial" w:hAnsi="Arial" w:cs="Arial"/>
          <w:sz w:val="22"/>
        </w:rPr>
      </w:pPr>
      <w:r w:rsidRPr="00A86EB1">
        <w:rPr>
          <w:rFonts w:ascii="Arial" w:hAnsi="Arial" w:cs="Arial"/>
          <w:b/>
          <w:sz w:val="22"/>
        </w:rPr>
        <w:t>Arm B:</w:t>
      </w:r>
      <w:r w:rsidRPr="00A86EB1">
        <w:rPr>
          <w:rFonts w:ascii="Arial" w:hAnsi="Arial" w:cs="Arial"/>
          <w:sz w:val="22"/>
        </w:rPr>
        <w:t xml:space="preserve"> </w:t>
      </w:r>
    </w:p>
    <w:p w14:paraId="4961A4C0" w14:textId="77777777" w:rsidR="0003558A" w:rsidRDefault="0003558A" w:rsidP="0003558A">
      <w:pPr>
        <w:snapToGrid w:val="0"/>
        <w:jc w:val="both"/>
        <w:rPr>
          <w:rFonts w:ascii="Arial" w:hAnsi="Arial" w:cs="Arial"/>
          <w:sz w:val="22"/>
        </w:rPr>
      </w:pPr>
      <w:r>
        <w:rPr>
          <w:rFonts w:ascii="Arial" w:hAnsi="Arial" w:cs="Arial"/>
          <w:sz w:val="22"/>
        </w:rPr>
        <w:t>Day 1</w:t>
      </w:r>
    </w:p>
    <w:p w14:paraId="41FA463F" w14:textId="77777777" w:rsidR="0003558A" w:rsidRDefault="0003558A" w:rsidP="00D65DE2">
      <w:pPr>
        <w:numPr>
          <w:ilvl w:val="0"/>
          <w:numId w:val="35"/>
        </w:numPr>
        <w:snapToGrid w:val="0"/>
        <w:jc w:val="both"/>
        <w:rPr>
          <w:rFonts w:ascii="Arial" w:hAnsi="Arial" w:cs="Arial"/>
          <w:sz w:val="22"/>
        </w:rPr>
      </w:pPr>
      <w:r>
        <w:rPr>
          <w:rFonts w:ascii="Arial" w:hAnsi="Arial" w:cs="Arial"/>
          <w:sz w:val="22"/>
        </w:rPr>
        <w:t>P</w:t>
      </w:r>
      <w:r w:rsidRPr="00983832">
        <w:rPr>
          <w:rFonts w:ascii="Arial" w:hAnsi="Arial" w:cs="Arial"/>
          <w:sz w:val="22"/>
        </w:rPr>
        <w:t>emetrexed 500mg/m</w:t>
      </w:r>
      <w:r w:rsidRPr="00983832">
        <w:rPr>
          <w:rFonts w:ascii="Arial" w:hAnsi="Arial" w:cs="Arial"/>
          <w:sz w:val="22"/>
          <w:vertAlign w:val="superscript"/>
        </w:rPr>
        <w:t>2</w:t>
      </w:r>
      <w:r w:rsidRPr="00983832">
        <w:rPr>
          <w:rFonts w:ascii="Arial" w:hAnsi="Arial" w:cs="Arial"/>
          <w:sz w:val="22"/>
        </w:rPr>
        <w:t xml:space="preserve"> IV </w:t>
      </w:r>
      <w:r>
        <w:rPr>
          <w:rFonts w:ascii="Arial" w:hAnsi="Arial" w:cs="Arial"/>
          <w:sz w:val="22"/>
        </w:rPr>
        <w:t xml:space="preserve">- infused </w:t>
      </w:r>
      <w:r w:rsidRPr="00983832">
        <w:rPr>
          <w:rFonts w:ascii="Arial" w:hAnsi="Arial" w:cs="Arial"/>
          <w:sz w:val="22"/>
        </w:rPr>
        <w:t>over 10 minutes</w:t>
      </w:r>
      <w:r>
        <w:rPr>
          <w:rFonts w:ascii="Arial" w:hAnsi="Arial" w:cs="Arial"/>
          <w:sz w:val="22"/>
        </w:rPr>
        <w:t xml:space="preserve"> </w:t>
      </w:r>
      <w:r w:rsidRPr="00983832">
        <w:rPr>
          <w:rFonts w:ascii="Arial" w:hAnsi="Arial" w:cs="Arial"/>
          <w:sz w:val="22"/>
        </w:rPr>
        <w:t>with vitamin B</w:t>
      </w:r>
      <w:r w:rsidRPr="00E25E51">
        <w:rPr>
          <w:rFonts w:ascii="Arial" w:hAnsi="Arial" w:cs="Arial"/>
          <w:sz w:val="22"/>
          <w:vertAlign w:val="subscript"/>
        </w:rPr>
        <w:t>12</w:t>
      </w:r>
      <w:r w:rsidRPr="00983832">
        <w:rPr>
          <w:rFonts w:ascii="Arial" w:hAnsi="Arial" w:cs="Arial"/>
          <w:sz w:val="22"/>
        </w:rPr>
        <w:t xml:space="preserve"> and folate supplementation as standard</w:t>
      </w:r>
      <w:r>
        <w:rPr>
          <w:rFonts w:ascii="Arial" w:hAnsi="Arial" w:cs="Arial"/>
          <w:sz w:val="22"/>
        </w:rPr>
        <w:t xml:space="preserve">. </w:t>
      </w:r>
      <w:r w:rsidRPr="00DB349B">
        <w:rPr>
          <w:rFonts w:ascii="Arial" w:hAnsi="Arial" w:cs="Arial"/>
          <w:sz w:val="22"/>
        </w:rPr>
        <w:t xml:space="preserve"> </w:t>
      </w:r>
    </w:p>
    <w:p w14:paraId="3965B953" w14:textId="77777777" w:rsidR="00783E0E" w:rsidRPr="00D44DB4" w:rsidRDefault="0003558A" w:rsidP="00D65DE2">
      <w:pPr>
        <w:numPr>
          <w:ilvl w:val="0"/>
          <w:numId w:val="35"/>
        </w:numPr>
        <w:snapToGrid w:val="0"/>
        <w:jc w:val="both"/>
        <w:rPr>
          <w:rFonts w:ascii="Arial" w:hAnsi="Arial" w:cs="Arial"/>
          <w:sz w:val="22"/>
        </w:rPr>
      </w:pPr>
      <w:r w:rsidRPr="00783E0E">
        <w:rPr>
          <w:rFonts w:ascii="Arial" w:hAnsi="Arial" w:cs="Arial"/>
          <w:sz w:val="22"/>
        </w:rPr>
        <w:t>Cisplatin 75mg/m</w:t>
      </w:r>
      <w:r w:rsidRPr="00783E0E">
        <w:rPr>
          <w:rFonts w:ascii="Arial" w:hAnsi="Arial" w:cs="Arial"/>
          <w:sz w:val="22"/>
          <w:vertAlign w:val="superscript"/>
        </w:rPr>
        <w:t>2</w:t>
      </w:r>
      <w:r w:rsidRPr="00783E0E">
        <w:rPr>
          <w:rFonts w:ascii="Arial" w:hAnsi="Arial" w:cs="Arial"/>
          <w:sz w:val="22"/>
        </w:rPr>
        <w:t xml:space="preserve"> IV infused over 2 hours Cisplatin should be administered approximately 30 minutes after completion of the pemetrexed infusion</w:t>
      </w:r>
      <w:r w:rsidR="00D44DB4" w:rsidRPr="00783E0E">
        <w:rPr>
          <w:rFonts w:ascii="Arial" w:hAnsi="Arial" w:cs="Arial"/>
          <w:sz w:val="22"/>
        </w:rPr>
        <w:t xml:space="preserve"> </w:t>
      </w:r>
      <w:r w:rsidR="00783E0E" w:rsidRPr="00D44DB4">
        <w:rPr>
          <w:rFonts w:ascii="Arial" w:hAnsi="Arial" w:cs="Arial"/>
          <w:b/>
          <w:i/>
          <w:sz w:val="22"/>
        </w:rPr>
        <w:t>OR</w:t>
      </w:r>
      <w:r w:rsidR="00783E0E">
        <w:rPr>
          <w:rFonts w:ascii="Arial" w:hAnsi="Arial" w:cs="Arial"/>
          <w:sz w:val="22"/>
        </w:rPr>
        <w:t xml:space="preserve"> </w:t>
      </w:r>
      <w:r w:rsidR="00783E0E" w:rsidRPr="00D44DB4">
        <w:rPr>
          <w:rFonts w:ascii="Arial" w:hAnsi="Arial" w:cs="Arial"/>
          <w:sz w:val="22"/>
        </w:rPr>
        <w:t>Carboplatin AUC5 IV infused over 30 minutes. Carboplatin should be administered approximately 30 minutes after completion of the pemetrexed infusion.</w:t>
      </w:r>
    </w:p>
    <w:p w14:paraId="0E838836" w14:textId="77777777" w:rsidR="00450F2B" w:rsidRPr="00783E0E" w:rsidRDefault="00450F2B" w:rsidP="00783E0E">
      <w:pPr>
        <w:snapToGrid w:val="0"/>
        <w:ind w:left="780"/>
        <w:jc w:val="both"/>
        <w:rPr>
          <w:rFonts w:ascii="Arial" w:hAnsi="Arial" w:cs="Arial"/>
          <w:sz w:val="22"/>
        </w:rPr>
      </w:pPr>
    </w:p>
    <w:p w14:paraId="670D3809" w14:textId="77777777" w:rsidR="00450F2B" w:rsidRPr="00450F2B" w:rsidRDefault="00450F2B" w:rsidP="00450F2B">
      <w:pPr>
        <w:snapToGrid w:val="0"/>
        <w:jc w:val="both"/>
        <w:rPr>
          <w:rFonts w:ascii="Arial" w:hAnsi="Arial" w:cs="Arial"/>
          <w:sz w:val="18"/>
          <w:szCs w:val="18"/>
        </w:rPr>
      </w:pPr>
      <w:r w:rsidRPr="00450F2B">
        <w:rPr>
          <w:rFonts w:ascii="Arial" w:hAnsi="Arial" w:cs="Arial"/>
          <w:sz w:val="18"/>
          <w:szCs w:val="18"/>
        </w:rPr>
        <w:t>*</w:t>
      </w:r>
      <w:r w:rsidR="00EC441F" w:rsidRPr="00EC441F">
        <w:rPr>
          <w:rFonts w:ascii="Arial" w:hAnsi="Arial" w:cs="Arial"/>
          <w:sz w:val="18"/>
          <w:szCs w:val="18"/>
        </w:rPr>
        <w:t xml:space="preserve"> </w:t>
      </w:r>
      <w:r w:rsidR="00EC441F">
        <w:rPr>
          <w:rFonts w:ascii="Arial" w:hAnsi="Arial" w:cs="Arial"/>
          <w:sz w:val="18"/>
          <w:szCs w:val="18"/>
        </w:rPr>
        <w:t xml:space="preserve">DuBois and DuBois formula is the recommended method to </w:t>
      </w:r>
      <w:r w:rsidRPr="00450F2B">
        <w:rPr>
          <w:rFonts w:ascii="Arial" w:hAnsi="Arial" w:cs="Arial"/>
          <w:sz w:val="18"/>
          <w:szCs w:val="18"/>
        </w:rPr>
        <w:t>be used for calculation of BSA</w:t>
      </w:r>
    </w:p>
    <w:p w14:paraId="012BA8DC" w14:textId="77777777" w:rsidR="00DA67E8" w:rsidRDefault="00DA67E8" w:rsidP="00BF16F9">
      <w:pPr>
        <w:pStyle w:val="Heading2"/>
      </w:pPr>
      <w:bookmarkStart w:id="332" w:name="_Toc283031774"/>
      <w:bookmarkStart w:id="333" w:name="_Toc283376309"/>
      <w:bookmarkStart w:id="334" w:name="_Toc333484744"/>
      <w:bookmarkStart w:id="335" w:name="_Toc333484859"/>
      <w:bookmarkStart w:id="336" w:name="_Toc351624812"/>
      <w:bookmarkStart w:id="337" w:name="_Toc471826760"/>
      <w:bookmarkStart w:id="338" w:name="_Toc528323526"/>
      <w:r w:rsidRPr="00A23D8C">
        <w:lastRenderedPageBreak/>
        <w:t>Pharmacy responsibilities</w:t>
      </w:r>
      <w:bookmarkEnd w:id="332"/>
      <w:bookmarkEnd w:id="333"/>
      <w:bookmarkEnd w:id="334"/>
      <w:bookmarkEnd w:id="335"/>
      <w:bookmarkEnd w:id="336"/>
      <w:bookmarkEnd w:id="337"/>
      <w:bookmarkEnd w:id="338"/>
    </w:p>
    <w:p w14:paraId="02F9AF81" w14:textId="77777777" w:rsidR="00DA67E8" w:rsidRPr="00B83756" w:rsidRDefault="00DA67E8" w:rsidP="00F80B7B">
      <w:pPr>
        <w:pStyle w:val="Normal1"/>
        <w:spacing w:after="240"/>
        <w:rPr>
          <w:rFonts w:cs="Arial"/>
          <w:b/>
          <w:bCs/>
          <w:i/>
          <w:iCs/>
          <w:color w:val="0000FF"/>
          <w:sz w:val="22"/>
          <w:szCs w:val="22"/>
          <w:lang w:val="en-GB"/>
        </w:rPr>
      </w:pPr>
      <w:r w:rsidRPr="00B83756">
        <w:rPr>
          <w:sz w:val="22"/>
          <w:szCs w:val="22"/>
        </w:rPr>
        <w:t>All pharmacy aspects of the trial at participating sites are the responsibility of the PI, who may delegate this responsibility to the local pharmacist or other appropriately qualified personnel, who will be the Pharmacy Lead.  The delegation of duties must be recorded on the site staff delegation log.</w:t>
      </w:r>
    </w:p>
    <w:p w14:paraId="3FCEA874" w14:textId="77777777" w:rsidR="00DA67E8" w:rsidRPr="00613AB5" w:rsidRDefault="00DA67E8" w:rsidP="00F80B7B">
      <w:pPr>
        <w:pStyle w:val="ProtTempparagraph"/>
        <w:spacing w:after="240"/>
        <w:rPr>
          <w:sz w:val="22"/>
          <w:szCs w:val="22"/>
        </w:rPr>
      </w:pPr>
      <w:r w:rsidRPr="00613AB5">
        <w:rPr>
          <w:bCs/>
          <w:iCs/>
          <w:sz w:val="22"/>
          <w:szCs w:val="22"/>
        </w:rPr>
        <w:t>Ganetespib</w:t>
      </w:r>
      <w:r w:rsidRPr="00613AB5">
        <w:rPr>
          <w:sz w:val="22"/>
          <w:szCs w:val="22"/>
        </w:rPr>
        <w:t xml:space="preserve"> supplied for the </w:t>
      </w:r>
      <w:r w:rsidRPr="00613AB5">
        <w:rPr>
          <w:bCs/>
          <w:iCs/>
          <w:sz w:val="22"/>
          <w:szCs w:val="22"/>
        </w:rPr>
        <w:t>MESO-02</w:t>
      </w:r>
      <w:r w:rsidRPr="00613AB5">
        <w:rPr>
          <w:sz w:val="22"/>
          <w:szCs w:val="22"/>
        </w:rPr>
        <w:t xml:space="preserve"> trial </w:t>
      </w:r>
      <w:r w:rsidR="002F113D">
        <w:rPr>
          <w:sz w:val="22"/>
          <w:szCs w:val="22"/>
        </w:rPr>
        <w:t>is</w:t>
      </w:r>
      <w:r w:rsidR="002F113D" w:rsidRPr="00613AB5">
        <w:rPr>
          <w:sz w:val="22"/>
          <w:szCs w:val="22"/>
        </w:rPr>
        <w:t xml:space="preserve"> for</w:t>
      </w:r>
      <w:r w:rsidRPr="00613AB5">
        <w:rPr>
          <w:sz w:val="22"/>
          <w:szCs w:val="22"/>
        </w:rPr>
        <w:t xml:space="preserve"> </w:t>
      </w:r>
      <w:r w:rsidRPr="00613AB5">
        <w:rPr>
          <w:bCs/>
          <w:iCs/>
          <w:sz w:val="22"/>
          <w:szCs w:val="22"/>
        </w:rPr>
        <w:t>MESO-02</w:t>
      </w:r>
      <w:r w:rsidRPr="00613AB5">
        <w:rPr>
          <w:sz w:val="22"/>
          <w:szCs w:val="22"/>
        </w:rPr>
        <w:t xml:space="preserve"> patients only and must not be used outside the context of this protocol.</w:t>
      </w:r>
    </w:p>
    <w:p w14:paraId="76213F24" w14:textId="77777777" w:rsidR="00942D36" w:rsidRPr="00FC20CF" w:rsidRDefault="00DA67E8" w:rsidP="00FC20CF">
      <w:pPr>
        <w:pStyle w:val="Heading3"/>
        <w:ind w:left="851" w:hanging="851"/>
      </w:pPr>
      <w:bookmarkStart w:id="339" w:name="_Toc471826761"/>
      <w:bookmarkStart w:id="340" w:name="_Toc528323527"/>
      <w:r w:rsidRPr="00217FA9">
        <w:t>Temperature Excursions</w:t>
      </w:r>
      <w:bookmarkEnd w:id="339"/>
      <w:bookmarkEnd w:id="340"/>
      <w:r w:rsidRPr="00217FA9">
        <w:t xml:space="preserve"> </w:t>
      </w:r>
    </w:p>
    <w:p w14:paraId="7480473B" w14:textId="77777777" w:rsidR="00DA67E8" w:rsidRDefault="00DA67E8" w:rsidP="007E12B2">
      <w:pPr>
        <w:pStyle w:val="ProtTempparagraph"/>
        <w:spacing w:after="0"/>
        <w:rPr>
          <w:sz w:val="22"/>
          <w:szCs w:val="22"/>
        </w:rPr>
      </w:pPr>
      <w:r w:rsidRPr="001333A9">
        <w:rPr>
          <w:sz w:val="22"/>
          <w:szCs w:val="22"/>
        </w:rPr>
        <w:t xml:space="preserve">All temperature excursions outside the storage conditions specified in the IB for ganetespib (also refer to the latest version of the </w:t>
      </w:r>
      <w:proofErr w:type="spellStart"/>
      <w:r w:rsidRPr="001333A9">
        <w:rPr>
          <w:sz w:val="22"/>
          <w:szCs w:val="22"/>
        </w:rPr>
        <w:t>SoDA</w:t>
      </w:r>
      <w:proofErr w:type="spellEnd"/>
      <w:r w:rsidRPr="001333A9">
        <w:rPr>
          <w:sz w:val="22"/>
          <w:szCs w:val="22"/>
        </w:rPr>
        <w:t>) must be reported to UCL CTC as per the ‘Pharmacy Procedure for Reporting Temperature Excursions’ (see Pharmacy Site File).</w:t>
      </w:r>
    </w:p>
    <w:p w14:paraId="783985B6" w14:textId="77777777" w:rsidR="00DA67E8" w:rsidRPr="001333A9" w:rsidRDefault="00DA67E8" w:rsidP="007E12B2">
      <w:pPr>
        <w:pStyle w:val="ProtTempparagraph"/>
        <w:spacing w:after="0"/>
        <w:rPr>
          <w:sz w:val="22"/>
          <w:szCs w:val="22"/>
        </w:rPr>
      </w:pPr>
    </w:p>
    <w:p w14:paraId="51CB8AE1" w14:textId="77777777" w:rsidR="00DA67E8" w:rsidRPr="001333A9" w:rsidRDefault="00DA67E8" w:rsidP="00F80B7B">
      <w:pPr>
        <w:pStyle w:val="ProtTempparagraph"/>
        <w:rPr>
          <w:sz w:val="22"/>
          <w:szCs w:val="22"/>
        </w:rPr>
      </w:pPr>
      <w:r w:rsidRPr="001333A9">
        <w:rPr>
          <w:sz w:val="22"/>
          <w:szCs w:val="22"/>
        </w:rPr>
        <w:t>Upon identifying an excursion:</w:t>
      </w:r>
    </w:p>
    <w:p w14:paraId="089BCC02" w14:textId="77777777" w:rsidR="00DA67E8" w:rsidRPr="001333A9" w:rsidRDefault="00DA67E8" w:rsidP="002F600D">
      <w:pPr>
        <w:pStyle w:val="ProtTempparagraph"/>
        <w:numPr>
          <w:ilvl w:val="0"/>
          <w:numId w:val="11"/>
        </w:numPr>
        <w:rPr>
          <w:sz w:val="22"/>
          <w:szCs w:val="22"/>
        </w:rPr>
      </w:pPr>
      <w:r w:rsidRPr="001333A9">
        <w:rPr>
          <w:sz w:val="22"/>
          <w:szCs w:val="22"/>
        </w:rPr>
        <w:t xml:space="preserve">all affected trial stock must be quarantined IMMEDIATELY </w:t>
      </w:r>
    </w:p>
    <w:p w14:paraId="5BEE1C47" w14:textId="77777777" w:rsidR="00DA67E8" w:rsidRPr="001333A9" w:rsidRDefault="00DA67E8" w:rsidP="002F600D">
      <w:pPr>
        <w:pStyle w:val="ProtTempparagraph"/>
        <w:numPr>
          <w:ilvl w:val="0"/>
          <w:numId w:val="11"/>
        </w:numPr>
        <w:spacing w:after="240"/>
        <w:ind w:left="714" w:hanging="357"/>
        <w:rPr>
          <w:sz w:val="22"/>
          <w:szCs w:val="22"/>
        </w:rPr>
      </w:pPr>
      <w:r w:rsidRPr="001333A9">
        <w:rPr>
          <w:sz w:val="22"/>
          <w:szCs w:val="22"/>
        </w:rPr>
        <w:t xml:space="preserve">the ‘Notification of Temperature Excursion’ form must be completed and e-mailed to </w:t>
      </w:r>
      <w:hyperlink r:id="rId20" w:history="1">
        <w:r w:rsidR="001B74AE" w:rsidRPr="000F3689">
          <w:rPr>
            <w:rStyle w:val="Hyperlink"/>
            <w:rFonts w:cs="Arial"/>
            <w:sz w:val="22"/>
            <w:szCs w:val="22"/>
          </w:rPr>
          <w:t>ctc.excursions@ucl.ac.uk</w:t>
        </w:r>
      </w:hyperlink>
      <w:r w:rsidR="001B74AE">
        <w:rPr>
          <w:sz w:val="22"/>
          <w:szCs w:val="22"/>
        </w:rPr>
        <w:t xml:space="preserve"> </w:t>
      </w:r>
      <w:r w:rsidRPr="001333A9">
        <w:rPr>
          <w:sz w:val="22"/>
          <w:szCs w:val="22"/>
        </w:rPr>
        <w:t>or faxed to +44 (0)20 7679 9871.</w:t>
      </w:r>
    </w:p>
    <w:p w14:paraId="58BFA86F" w14:textId="77777777" w:rsidR="00DA67E8" w:rsidRPr="001333A9" w:rsidRDefault="00DA67E8" w:rsidP="00F80B7B">
      <w:pPr>
        <w:pStyle w:val="ProtTempparagraph"/>
        <w:spacing w:after="240"/>
        <w:rPr>
          <w:b/>
          <w:sz w:val="22"/>
          <w:szCs w:val="22"/>
        </w:rPr>
      </w:pPr>
      <w:r w:rsidRPr="001333A9">
        <w:rPr>
          <w:b/>
          <w:sz w:val="22"/>
          <w:szCs w:val="22"/>
        </w:rPr>
        <w:t>Please note that UCL CTC must be informed immediately if a patient has been administered drug affected by a temperature excursion.</w:t>
      </w:r>
    </w:p>
    <w:p w14:paraId="4BAD7F98" w14:textId="77777777" w:rsidR="00DA67E8" w:rsidRDefault="00DA67E8" w:rsidP="00FC20CF">
      <w:pPr>
        <w:pStyle w:val="Heading3"/>
        <w:ind w:left="851" w:hanging="851"/>
      </w:pPr>
      <w:bookmarkStart w:id="341" w:name="_Toc152478828"/>
      <w:bookmarkStart w:id="342" w:name="_Toc283031775"/>
      <w:bookmarkStart w:id="343" w:name="_Toc283376310"/>
      <w:bookmarkStart w:id="344" w:name="_Toc333484745"/>
      <w:bookmarkStart w:id="345" w:name="_Toc333484860"/>
      <w:bookmarkStart w:id="346" w:name="_Toc351624813"/>
      <w:bookmarkStart w:id="347" w:name="_Toc471826762"/>
      <w:bookmarkStart w:id="348" w:name="_Toc528323528"/>
      <w:r w:rsidRPr="00A23D8C">
        <w:t>Drug accountability</w:t>
      </w:r>
      <w:bookmarkEnd w:id="341"/>
      <w:bookmarkEnd w:id="342"/>
      <w:bookmarkEnd w:id="343"/>
      <w:bookmarkEnd w:id="344"/>
      <w:bookmarkEnd w:id="345"/>
      <w:bookmarkEnd w:id="346"/>
      <w:bookmarkEnd w:id="347"/>
      <w:bookmarkEnd w:id="348"/>
    </w:p>
    <w:p w14:paraId="5A04B8D1" w14:textId="77777777" w:rsidR="00DA67E8" w:rsidRPr="0096680A" w:rsidRDefault="00DA67E8" w:rsidP="00F80B7B">
      <w:pPr>
        <w:pStyle w:val="ProtTempparagraph"/>
        <w:spacing w:after="240"/>
        <w:rPr>
          <w:b/>
          <w:bCs/>
          <w:i/>
          <w:iCs/>
          <w:color w:val="0000FF"/>
          <w:sz w:val="22"/>
          <w:szCs w:val="22"/>
        </w:rPr>
      </w:pPr>
      <w:r w:rsidRPr="0096680A">
        <w:rPr>
          <w:sz w:val="22"/>
          <w:szCs w:val="22"/>
        </w:rPr>
        <w:t>The Pharmacy Lead</w:t>
      </w:r>
      <w:r w:rsidR="003C6073">
        <w:rPr>
          <w:sz w:val="22"/>
          <w:szCs w:val="22"/>
        </w:rPr>
        <w:t xml:space="preserve"> </w:t>
      </w:r>
      <w:r w:rsidRPr="0096680A">
        <w:rPr>
          <w:sz w:val="22"/>
          <w:szCs w:val="22"/>
        </w:rPr>
        <w:t>must ensure that appropriate records are maintained.</w:t>
      </w:r>
    </w:p>
    <w:p w14:paraId="02331886" w14:textId="77777777" w:rsidR="00DA67E8" w:rsidRPr="0004389D" w:rsidRDefault="00DA67E8" w:rsidP="00F80B7B">
      <w:pPr>
        <w:pStyle w:val="ProtTempparagraph"/>
        <w:spacing w:after="240"/>
        <w:rPr>
          <w:bCs/>
          <w:iCs/>
          <w:sz w:val="22"/>
          <w:szCs w:val="22"/>
        </w:rPr>
      </w:pPr>
      <w:r w:rsidRPr="0004389D">
        <w:rPr>
          <w:sz w:val="22"/>
          <w:szCs w:val="22"/>
        </w:rPr>
        <w:t>These</w:t>
      </w:r>
      <w:r w:rsidR="003C6073">
        <w:rPr>
          <w:sz w:val="22"/>
          <w:szCs w:val="22"/>
        </w:rPr>
        <w:t xml:space="preserve"> </w:t>
      </w:r>
      <w:r w:rsidRPr="0004389D">
        <w:rPr>
          <w:sz w:val="22"/>
          <w:szCs w:val="22"/>
        </w:rPr>
        <w:t>records must include accountability for each drug including receipt</w:t>
      </w:r>
      <w:r w:rsidR="00652BD7">
        <w:rPr>
          <w:sz w:val="22"/>
          <w:szCs w:val="22"/>
        </w:rPr>
        <w:t xml:space="preserve"> </w:t>
      </w:r>
      <w:r w:rsidRPr="0004389D">
        <w:rPr>
          <w:bCs/>
          <w:iCs/>
          <w:sz w:val="22"/>
          <w:szCs w:val="22"/>
        </w:rPr>
        <w:t>(for ganetespib</w:t>
      </w:r>
      <w:r>
        <w:rPr>
          <w:bCs/>
          <w:iCs/>
          <w:sz w:val="22"/>
          <w:szCs w:val="22"/>
        </w:rPr>
        <w:t xml:space="preserve"> only</w:t>
      </w:r>
      <w:r w:rsidRPr="0004389D">
        <w:rPr>
          <w:bCs/>
          <w:iCs/>
          <w:sz w:val="22"/>
          <w:szCs w:val="22"/>
        </w:rPr>
        <w:t>)</w:t>
      </w:r>
      <w:r w:rsidR="00652BD7">
        <w:rPr>
          <w:bCs/>
          <w:iCs/>
          <w:sz w:val="22"/>
          <w:szCs w:val="22"/>
        </w:rPr>
        <w:t>,</w:t>
      </w:r>
      <w:r w:rsidRPr="0004389D">
        <w:rPr>
          <w:sz w:val="22"/>
          <w:szCs w:val="22"/>
        </w:rPr>
        <w:t xml:space="preserve"> </w:t>
      </w:r>
      <w:r w:rsidRPr="00E71AEB">
        <w:rPr>
          <w:sz w:val="22"/>
          <w:szCs w:val="22"/>
        </w:rPr>
        <w:t>dispensing, returned medication and destruction of returned/unused medication</w:t>
      </w:r>
      <w:r w:rsidR="004C02C9" w:rsidRPr="00E71AEB">
        <w:rPr>
          <w:sz w:val="22"/>
          <w:szCs w:val="22"/>
        </w:rPr>
        <w:t xml:space="preserve"> as per </w:t>
      </w:r>
      <w:r w:rsidR="003220D2" w:rsidRPr="00E71AEB">
        <w:rPr>
          <w:sz w:val="22"/>
          <w:szCs w:val="22"/>
        </w:rPr>
        <w:t xml:space="preserve">the </w:t>
      </w:r>
      <w:r w:rsidR="003220D2" w:rsidRPr="00E71AEB">
        <w:rPr>
          <w:bCs/>
          <w:iCs/>
          <w:sz w:val="22"/>
          <w:szCs w:val="22"/>
        </w:rPr>
        <w:t>Summary</w:t>
      </w:r>
      <w:r w:rsidRPr="00E71AEB">
        <w:rPr>
          <w:bCs/>
          <w:iCs/>
          <w:sz w:val="22"/>
          <w:szCs w:val="22"/>
        </w:rPr>
        <w:t xml:space="preserve"> of Drug Arrangements</w:t>
      </w:r>
      <w:r w:rsidR="004C02C9" w:rsidRPr="00E71AEB">
        <w:rPr>
          <w:bCs/>
          <w:iCs/>
          <w:sz w:val="22"/>
          <w:szCs w:val="22"/>
        </w:rPr>
        <w:t xml:space="preserve"> </w:t>
      </w:r>
      <w:r w:rsidR="004C02C9" w:rsidRPr="00F333BA">
        <w:rPr>
          <w:bCs/>
          <w:iCs/>
          <w:sz w:val="22"/>
          <w:szCs w:val="22"/>
        </w:rPr>
        <w:t>document</w:t>
      </w:r>
      <w:r w:rsidRPr="00F333BA">
        <w:rPr>
          <w:sz w:val="22"/>
          <w:szCs w:val="22"/>
        </w:rPr>
        <w:t>.</w:t>
      </w:r>
      <w:r w:rsidR="00F333BA">
        <w:rPr>
          <w:sz w:val="22"/>
          <w:szCs w:val="22"/>
        </w:rPr>
        <w:t xml:space="preserve"> </w:t>
      </w:r>
      <w:r w:rsidRPr="0004389D">
        <w:rPr>
          <w:sz w:val="22"/>
          <w:szCs w:val="22"/>
        </w:rPr>
        <w:t>Template accountability forms will be supplied, however, sites may be permitted to use their own drug accountability records providing the same information is captured, as a minimum.  Such in-house records must be submitted to UCL CTC for review and authorisation for use prior to patient enrolment.</w:t>
      </w:r>
    </w:p>
    <w:p w14:paraId="7D40840C" w14:textId="77777777" w:rsidR="00DA67E8" w:rsidRPr="00125DEE" w:rsidRDefault="00DA67E8" w:rsidP="00BC0D74">
      <w:pPr>
        <w:pStyle w:val="Normal1"/>
        <w:rPr>
          <w:sz w:val="22"/>
          <w:szCs w:val="22"/>
        </w:rPr>
      </w:pPr>
      <w:r w:rsidRPr="0004389D">
        <w:rPr>
          <w:sz w:val="22"/>
          <w:szCs w:val="22"/>
        </w:rPr>
        <w:t xml:space="preserve">Copies of completed drug </w:t>
      </w:r>
      <w:r w:rsidRPr="00125DEE">
        <w:rPr>
          <w:sz w:val="22"/>
          <w:szCs w:val="22"/>
        </w:rPr>
        <w:t xml:space="preserve">accountability logs must be </w:t>
      </w:r>
      <w:r w:rsidR="002F113D" w:rsidRPr="00125DEE">
        <w:rPr>
          <w:sz w:val="22"/>
          <w:szCs w:val="22"/>
        </w:rPr>
        <w:t>submitted to</w:t>
      </w:r>
      <w:r w:rsidRPr="00125DEE">
        <w:rPr>
          <w:sz w:val="22"/>
          <w:szCs w:val="22"/>
        </w:rPr>
        <w:t xml:space="preserve"> UCL CTC for all trial patients upon request.  Also refer to section 12.2 (Central Monitoring).</w:t>
      </w:r>
      <w:bookmarkStart w:id="349" w:name="_Toc283031776"/>
      <w:bookmarkStart w:id="350" w:name="_Toc283376311"/>
    </w:p>
    <w:p w14:paraId="2F16C97B" w14:textId="77777777" w:rsidR="00DA67E8" w:rsidRPr="00125DEE" w:rsidRDefault="00DA67E8" w:rsidP="00BF16F9">
      <w:pPr>
        <w:pStyle w:val="Heading2"/>
      </w:pPr>
      <w:bookmarkStart w:id="351" w:name="_Toc333484746"/>
      <w:bookmarkStart w:id="352" w:name="_Toc333484861"/>
      <w:bookmarkStart w:id="353" w:name="_Toc351624814"/>
      <w:bookmarkStart w:id="354" w:name="_Toc471826763"/>
      <w:bookmarkStart w:id="355" w:name="_Toc528323529"/>
      <w:r w:rsidRPr="00125DEE">
        <w:t>Ganetespib</w:t>
      </w:r>
      <w:bookmarkEnd w:id="351"/>
      <w:bookmarkEnd w:id="352"/>
      <w:bookmarkEnd w:id="353"/>
      <w:bookmarkEnd w:id="354"/>
      <w:bookmarkEnd w:id="355"/>
    </w:p>
    <w:p w14:paraId="183C4DAD" w14:textId="3CADC234" w:rsidR="00DA67E8" w:rsidRDefault="00DA67E8" w:rsidP="008A008B">
      <w:pPr>
        <w:autoSpaceDE w:val="0"/>
        <w:autoSpaceDN w:val="0"/>
        <w:adjustRightInd w:val="0"/>
        <w:jc w:val="both"/>
        <w:rPr>
          <w:rFonts w:ascii="Arial" w:hAnsi="Arial" w:cs="Arial"/>
          <w:sz w:val="22"/>
          <w:szCs w:val="22"/>
          <w:lang w:eastAsia="en-GB"/>
        </w:rPr>
      </w:pPr>
      <w:r w:rsidRPr="008A008B">
        <w:rPr>
          <w:rFonts w:ascii="Arial" w:hAnsi="Arial" w:cs="Arial"/>
          <w:sz w:val="22"/>
          <w:szCs w:val="22"/>
          <w:lang w:eastAsia="en-GB"/>
        </w:rPr>
        <w:t xml:space="preserve">Ganetespib (formerly called STA-9090) is a novel, injectable, synthetic small molecule </w:t>
      </w:r>
      <w:r w:rsidR="002F113D" w:rsidRPr="008A008B">
        <w:rPr>
          <w:rFonts w:ascii="Arial" w:hAnsi="Arial" w:cs="Arial"/>
          <w:sz w:val="22"/>
          <w:szCs w:val="22"/>
          <w:lang w:eastAsia="en-GB"/>
        </w:rPr>
        <w:t>being developed</w:t>
      </w:r>
      <w:r w:rsidRPr="008A008B">
        <w:rPr>
          <w:rFonts w:ascii="Arial" w:hAnsi="Arial" w:cs="Arial"/>
          <w:sz w:val="22"/>
          <w:szCs w:val="22"/>
          <w:lang w:eastAsia="en-GB"/>
        </w:rPr>
        <w:t xml:space="preserve"> by </w:t>
      </w:r>
      <w:r w:rsidR="00855641" w:rsidRPr="00855641">
        <w:rPr>
          <w:rFonts w:ascii="Arial" w:hAnsi="Arial" w:cs="Arial"/>
          <w:sz w:val="22"/>
          <w:szCs w:val="22"/>
          <w:lang w:eastAsia="en-GB"/>
        </w:rPr>
        <w:t>Madrigal Pharmaceuticals Inc</w:t>
      </w:r>
      <w:r w:rsidR="003257B9">
        <w:rPr>
          <w:rFonts w:ascii="Arial" w:hAnsi="Arial" w:cs="Arial"/>
          <w:sz w:val="22"/>
          <w:szCs w:val="22"/>
          <w:lang w:eastAsia="en-GB"/>
        </w:rPr>
        <w:t>.</w:t>
      </w:r>
      <w:r w:rsidR="00855641" w:rsidRPr="00855641">
        <w:rPr>
          <w:rFonts w:ascii="Arial" w:hAnsi="Arial" w:cs="Arial"/>
          <w:sz w:val="22"/>
          <w:szCs w:val="22"/>
          <w:lang w:eastAsia="en-GB"/>
        </w:rPr>
        <w:t xml:space="preserve"> (formerly </w:t>
      </w:r>
      <w:proofErr w:type="spellStart"/>
      <w:r w:rsidR="00855641" w:rsidRPr="00855641">
        <w:rPr>
          <w:rFonts w:ascii="Arial" w:hAnsi="Arial" w:cs="Arial"/>
          <w:sz w:val="22"/>
          <w:szCs w:val="22"/>
          <w:lang w:eastAsia="en-GB"/>
        </w:rPr>
        <w:t>Synta</w:t>
      </w:r>
      <w:proofErr w:type="spellEnd"/>
      <w:r w:rsidR="00855641" w:rsidRPr="00855641">
        <w:rPr>
          <w:rFonts w:ascii="Arial" w:hAnsi="Arial" w:cs="Arial"/>
          <w:sz w:val="22"/>
          <w:szCs w:val="22"/>
          <w:lang w:eastAsia="en-GB"/>
        </w:rPr>
        <w:t xml:space="preserve"> Pharmaceuticals Corp</w:t>
      </w:r>
      <w:r w:rsidR="003257B9">
        <w:rPr>
          <w:rFonts w:ascii="Arial" w:hAnsi="Arial" w:cs="Arial"/>
          <w:sz w:val="22"/>
          <w:szCs w:val="22"/>
          <w:lang w:eastAsia="en-GB"/>
        </w:rPr>
        <w:t>.</w:t>
      </w:r>
      <w:r w:rsidR="00855641" w:rsidRPr="00855641">
        <w:rPr>
          <w:rFonts w:ascii="Arial" w:hAnsi="Arial" w:cs="Arial"/>
          <w:sz w:val="22"/>
          <w:szCs w:val="22"/>
          <w:lang w:eastAsia="en-GB"/>
        </w:rPr>
        <w:t>)</w:t>
      </w:r>
      <w:r w:rsidRPr="008A008B">
        <w:rPr>
          <w:rFonts w:ascii="Arial" w:hAnsi="Arial" w:cs="Arial"/>
          <w:sz w:val="22"/>
          <w:szCs w:val="22"/>
          <w:lang w:eastAsia="en-GB"/>
        </w:rPr>
        <w:t xml:space="preserve">. Ganetespib inhibits heat shock protein 90 (Hsp90), a molecular chaperone protein that modulates cellular homeostasis and responses to environmental stress by regulating the post-translational folding of its protein substrates (referred to as Hsp90 client proteins). Because many of these client proteins function in signal transduction pathways implicated in the development of cancer, Hsp90 is considered an attractive target for cancer </w:t>
      </w:r>
      <w:r w:rsidRPr="00125DEE">
        <w:rPr>
          <w:rFonts w:ascii="Arial" w:hAnsi="Arial" w:cs="Arial"/>
          <w:sz w:val="22"/>
          <w:szCs w:val="22"/>
          <w:lang w:eastAsia="en-GB"/>
        </w:rPr>
        <w:t xml:space="preserve">therapy </w:t>
      </w:r>
    </w:p>
    <w:p w14:paraId="5C7C9F17" w14:textId="77777777" w:rsidR="00DA67E8" w:rsidRDefault="00DA67E8" w:rsidP="008A008B">
      <w:pPr>
        <w:autoSpaceDE w:val="0"/>
        <w:autoSpaceDN w:val="0"/>
        <w:adjustRightInd w:val="0"/>
        <w:jc w:val="both"/>
        <w:rPr>
          <w:rFonts w:ascii="Arial" w:hAnsi="Arial" w:cs="Arial"/>
          <w:sz w:val="22"/>
          <w:szCs w:val="22"/>
          <w:lang w:eastAsia="en-GB"/>
        </w:rPr>
      </w:pPr>
    </w:p>
    <w:p w14:paraId="33F02CDE" w14:textId="77777777" w:rsidR="00103C47" w:rsidRDefault="00DA67E8" w:rsidP="00F62DC2">
      <w:pPr>
        <w:pStyle w:val="BodyText"/>
        <w:jc w:val="both"/>
        <w:rPr>
          <w:rFonts w:ascii="Arial" w:hAnsi="Arial" w:cs="Arial"/>
          <w:sz w:val="22"/>
          <w:szCs w:val="22"/>
        </w:rPr>
      </w:pPr>
      <w:proofErr w:type="spellStart"/>
      <w:r w:rsidRPr="001B74AE">
        <w:rPr>
          <w:rFonts w:ascii="Arial" w:hAnsi="Arial" w:cs="Arial"/>
          <w:sz w:val="22"/>
          <w:szCs w:val="22"/>
        </w:rPr>
        <w:t>Ganetespib</w:t>
      </w:r>
      <w:proofErr w:type="spellEnd"/>
      <w:r w:rsidRPr="001B74AE">
        <w:rPr>
          <w:rFonts w:ascii="Arial" w:hAnsi="Arial" w:cs="Arial"/>
          <w:sz w:val="22"/>
          <w:szCs w:val="22"/>
        </w:rPr>
        <w:t xml:space="preserve"> is provided as the </w:t>
      </w:r>
      <w:proofErr w:type="spellStart"/>
      <w:r w:rsidRPr="001B74AE">
        <w:rPr>
          <w:rFonts w:ascii="Arial" w:hAnsi="Arial" w:cs="Arial"/>
          <w:sz w:val="22"/>
          <w:szCs w:val="22"/>
        </w:rPr>
        <w:t>Ganetespib</w:t>
      </w:r>
      <w:proofErr w:type="spellEnd"/>
      <w:r w:rsidRPr="001B74AE">
        <w:rPr>
          <w:rFonts w:ascii="Arial" w:hAnsi="Arial" w:cs="Arial"/>
          <w:sz w:val="22"/>
          <w:szCs w:val="22"/>
        </w:rPr>
        <w:t xml:space="preserve"> Drug Product, 25 mg/mL for dilution and infusion</w:t>
      </w:r>
      <w:r w:rsidR="00103C47" w:rsidRPr="001B74AE">
        <w:rPr>
          <w:rFonts w:ascii="Arial" w:hAnsi="Arial" w:cs="Arial"/>
          <w:sz w:val="22"/>
          <w:szCs w:val="22"/>
        </w:rPr>
        <w:t xml:space="preserve"> in 2 different vials sizes; 300mg and 400mg.</w:t>
      </w:r>
    </w:p>
    <w:p w14:paraId="1FF60FA0" w14:textId="77777777" w:rsidR="00103C47" w:rsidRDefault="00103C47" w:rsidP="00F62DC2">
      <w:pPr>
        <w:pStyle w:val="BodyText"/>
        <w:jc w:val="both"/>
        <w:rPr>
          <w:rFonts w:ascii="Arial" w:hAnsi="Arial" w:cs="Arial"/>
          <w:sz w:val="22"/>
          <w:szCs w:val="22"/>
        </w:rPr>
      </w:pPr>
    </w:p>
    <w:p w14:paraId="3DC231D6" w14:textId="77777777" w:rsidR="00DA67E8" w:rsidRDefault="00103C47" w:rsidP="00F62DC2">
      <w:pPr>
        <w:pStyle w:val="BodyText"/>
        <w:jc w:val="both"/>
        <w:rPr>
          <w:rFonts w:ascii="Arial" w:hAnsi="Arial" w:cs="Arial"/>
          <w:sz w:val="22"/>
          <w:szCs w:val="22"/>
        </w:rPr>
      </w:pPr>
      <w:r>
        <w:rPr>
          <w:rFonts w:ascii="Arial" w:hAnsi="Arial" w:cs="Arial"/>
          <w:sz w:val="22"/>
          <w:szCs w:val="22"/>
        </w:rPr>
        <w:t>300mg vials contain 12mL of deliverable volume (12.84 mL total including an overage per USP requirements) and 400mg vials</w:t>
      </w:r>
      <w:r w:rsidR="00DA67E8" w:rsidRPr="00F62DC2">
        <w:rPr>
          <w:rFonts w:ascii="Arial" w:hAnsi="Arial" w:cs="Arial"/>
          <w:sz w:val="22"/>
          <w:szCs w:val="22"/>
        </w:rPr>
        <w:t xml:space="preserve"> contain 16mL of deliverable volume (17.12 mL total </w:t>
      </w:r>
      <w:r w:rsidR="00DA67E8" w:rsidRPr="00F62DC2">
        <w:rPr>
          <w:rFonts w:ascii="Arial" w:hAnsi="Arial" w:cs="Arial"/>
          <w:sz w:val="22"/>
          <w:szCs w:val="22"/>
        </w:rPr>
        <w:lastRenderedPageBreak/>
        <w:t>including an overage per USP requirements)</w:t>
      </w:r>
      <w:r>
        <w:rPr>
          <w:rFonts w:ascii="Arial" w:hAnsi="Arial" w:cs="Arial"/>
          <w:sz w:val="22"/>
          <w:szCs w:val="22"/>
        </w:rPr>
        <w:t>. Both are</w:t>
      </w:r>
      <w:r w:rsidR="00DA67E8" w:rsidRPr="00F62DC2">
        <w:rPr>
          <w:rFonts w:ascii="Arial" w:hAnsi="Arial" w:cs="Arial"/>
          <w:sz w:val="22"/>
          <w:szCs w:val="22"/>
        </w:rPr>
        <w:t xml:space="preserve"> equivalent to a concentration of 25 mg/mL in a PEG 300, polysorbate 80 and dehydrated alcohol non</w:t>
      </w:r>
      <w:r w:rsidR="00DA67E8" w:rsidRPr="00F62DC2">
        <w:rPr>
          <w:rFonts w:ascii="Arial" w:hAnsi="Arial" w:cs="Arial"/>
          <w:sz w:val="22"/>
          <w:szCs w:val="22"/>
        </w:rPr>
        <w:noBreakHyphen/>
        <w:t xml:space="preserve">aqueous solvent system.  The drug product is a colorless to slightly yellow, clear solution, essentially free of visible particles.  </w:t>
      </w:r>
    </w:p>
    <w:p w14:paraId="5DFEA7DF" w14:textId="77777777" w:rsidR="00103C47" w:rsidRDefault="00103C47" w:rsidP="00F62DC2">
      <w:pPr>
        <w:pStyle w:val="BodyText"/>
        <w:jc w:val="both"/>
        <w:rPr>
          <w:rFonts w:ascii="Arial" w:hAnsi="Arial" w:cs="Arial"/>
          <w:sz w:val="22"/>
          <w:szCs w:val="22"/>
        </w:rPr>
      </w:pPr>
    </w:p>
    <w:p w14:paraId="0D7AFAA5" w14:textId="77777777" w:rsidR="00BC3474" w:rsidRDefault="00BC3474" w:rsidP="00F62DC2">
      <w:pPr>
        <w:pStyle w:val="BodyText"/>
        <w:jc w:val="both"/>
        <w:rPr>
          <w:rFonts w:ascii="Arial" w:hAnsi="Arial" w:cs="Arial"/>
          <w:sz w:val="22"/>
          <w:szCs w:val="22"/>
        </w:rPr>
      </w:pPr>
    </w:p>
    <w:p w14:paraId="41EE3D3F" w14:textId="77777777" w:rsidR="00DA67E8" w:rsidRPr="006C1356" w:rsidRDefault="00DA67E8" w:rsidP="006C1356">
      <w:pPr>
        <w:pStyle w:val="C-BodyText"/>
        <w:spacing w:before="0" w:after="0" w:line="240" w:lineRule="auto"/>
        <w:rPr>
          <w:rFonts w:ascii="Arial" w:hAnsi="Arial" w:cs="Arial"/>
          <w:szCs w:val="24"/>
        </w:rPr>
      </w:pPr>
    </w:p>
    <w:p w14:paraId="6BB0614B" w14:textId="77777777" w:rsidR="00DA67E8" w:rsidRDefault="00DA67E8" w:rsidP="00494840">
      <w:pPr>
        <w:autoSpaceDE w:val="0"/>
        <w:autoSpaceDN w:val="0"/>
        <w:adjustRightInd w:val="0"/>
        <w:ind w:left="2880" w:hanging="2880"/>
        <w:rPr>
          <w:rFonts w:ascii="Arial" w:hAnsi="Arial" w:cs="Arial"/>
          <w:sz w:val="22"/>
          <w:szCs w:val="22"/>
          <w:lang w:eastAsia="en-GB"/>
        </w:rPr>
      </w:pPr>
      <w:r>
        <w:rPr>
          <w:rFonts w:ascii="Arial" w:hAnsi="Arial" w:cs="Arial"/>
          <w:sz w:val="22"/>
          <w:szCs w:val="22"/>
          <w:lang w:val="en-US" w:bidi="bn-IN"/>
        </w:rPr>
        <w:t>C</w:t>
      </w:r>
      <w:r w:rsidRPr="00494840">
        <w:rPr>
          <w:rFonts w:ascii="Arial" w:hAnsi="Arial" w:cs="Arial"/>
          <w:sz w:val="22"/>
          <w:szCs w:val="22"/>
          <w:lang w:val="en-US" w:bidi="bn-IN"/>
        </w:rPr>
        <w:t>hemical name:</w:t>
      </w:r>
      <w:r>
        <w:rPr>
          <w:rFonts w:ascii="Arial" w:hAnsi="Arial" w:cs="Arial"/>
          <w:sz w:val="22"/>
          <w:szCs w:val="22"/>
          <w:lang w:val="en-US" w:bidi="bn-IN"/>
        </w:rPr>
        <w:tab/>
      </w:r>
      <w:r w:rsidRPr="00494840">
        <w:rPr>
          <w:rFonts w:ascii="Arial" w:hAnsi="Arial" w:cs="Arial"/>
          <w:sz w:val="22"/>
          <w:szCs w:val="22"/>
          <w:lang w:eastAsia="en-GB"/>
        </w:rPr>
        <w:t>5-[2,4-dihy</w:t>
      </w:r>
      <w:r>
        <w:rPr>
          <w:rFonts w:ascii="Arial" w:hAnsi="Arial" w:cs="Arial"/>
          <w:sz w:val="22"/>
          <w:szCs w:val="22"/>
          <w:lang w:eastAsia="en-GB"/>
        </w:rPr>
        <w:t>droxy-5-(1-</w:t>
      </w:r>
      <w:proofErr w:type="gramStart"/>
      <w:r>
        <w:rPr>
          <w:rFonts w:ascii="Arial" w:hAnsi="Arial" w:cs="Arial"/>
          <w:sz w:val="22"/>
          <w:szCs w:val="22"/>
          <w:lang w:eastAsia="en-GB"/>
        </w:rPr>
        <w:t>methylethyl)phenyl</w:t>
      </w:r>
      <w:proofErr w:type="gramEnd"/>
      <w:r>
        <w:rPr>
          <w:rFonts w:ascii="Arial" w:hAnsi="Arial" w:cs="Arial"/>
          <w:sz w:val="22"/>
          <w:szCs w:val="22"/>
          <w:lang w:eastAsia="en-GB"/>
        </w:rPr>
        <w:t>]-</w:t>
      </w:r>
      <w:r w:rsidRPr="00494840">
        <w:rPr>
          <w:rFonts w:ascii="Arial" w:hAnsi="Arial" w:cs="Arial"/>
          <w:sz w:val="22"/>
          <w:szCs w:val="22"/>
          <w:lang w:eastAsia="en-GB"/>
        </w:rPr>
        <w:t>2,4-dihydro-4-(1-methyl-1</w:t>
      </w:r>
      <w:r w:rsidRPr="00494840">
        <w:rPr>
          <w:rFonts w:ascii="Arial" w:hAnsi="Arial" w:cs="Arial"/>
          <w:i/>
          <w:iCs/>
          <w:sz w:val="22"/>
          <w:szCs w:val="22"/>
          <w:lang w:eastAsia="en-GB"/>
        </w:rPr>
        <w:t>H</w:t>
      </w:r>
      <w:r w:rsidRPr="00494840">
        <w:rPr>
          <w:rFonts w:ascii="Arial" w:hAnsi="Arial" w:cs="Arial"/>
          <w:sz w:val="22"/>
          <w:szCs w:val="22"/>
          <w:lang w:eastAsia="en-GB"/>
        </w:rPr>
        <w:t>-indol-5-yl)-3</w:t>
      </w:r>
      <w:r w:rsidRPr="00494840">
        <w:rPr>
          <w:rFonts w:ascii="Arial" w:hAnsi="Arial" w:cs="Arial"/>
          <w:i/>
          <w:iCs/>
          <w:sz w:val="22"/>
          <w:szCs w:val="22"/>
          <w:lang w:eastAsia="en-GB"/>
        </w:rPr>
        <w:t>H</w:t>
      </w:r>
      <w:r w:rsidRPr="00494840">
        <w:rPr>
          <w:rFonts w:ascii="Arial" w:hAnsi="Arial" w:cs="Arial"/>
          <w:sz w:val="22"/>
          <w:szCs w:val="22"/>
          <w:lang w:eastAsia="en-GB"/>
        </w:rPr>
        <w:t>-1,2,4-triazole-3-one</w:t>
      </w:r>
    </w:p>
    <w:p w14:paraId="6891580E" w14:textId="77777777" w:rsidR="00DA67E8" w:rsidRPr="00494840" w:rsidRDefault="00DA67E8" w:rsidP="00494840">
      <w:pPr>
        <w:autoSpaceDE w:val="0"/>
        <w:autoSpaceDN w:val="0"/>
        <w:adjustRightInd w:val="0"/>
        <w:ind w:left="2880" w:hanging="2880"/>
        <w:rPr>
          <w:rFonts w:ascii="Arial" w:hAnsi="Arial" w:cs="Arial"/>
          <w:sz w:val="22"/>
          <w:szCs w:val="22"/>
          <w:lang w:eastAsia="en-GB"/>
        </w:rPr>
      </w:pPr>
    </w:p>
    <w:p w14:paraId="2AEBFAD0" w14:textId="77777777" w:rsidR="00DA67E8" w:rsidRPr="00DA67E8" w:rsidRDefault="00E4354A" w:rsidP="00A86EB1">
      <w:pPr>
        <w:spacing w:after="240"/>
        <w:rPr>
          <w:rFonts w:ascii="Arial" w:hAnsi="Arial" w:cs="Arial"/>
          <w:sz w:val="22"/>
          <w:szCs w:val="22"/>
          <w:lang w:val="pt-BR" w:bidi="bn-IN"/>
        </w:rPr>
      </w:pPr>
      <w:r w:rsidRPr="00E4354A">
        <w:rPr>
          <w:rFonts w:ascii="Arial" w:hAnsi="Arial" w:cs="Arial"/>
          <w:sz w:val="22"/>
          <w:szCs w:val="22"/>
          <w:lang w:val="pt-BR" w:bidi="bn-IN"/>
        </w:rPr>
        <w:t xml:space="preserve">Molecular formula / weight: </w:t>
      </w:r>
      <w:r w:rsidR="00DA67E8">
        <w:rPr>
          <w:rFonts w:ascii="Arial" w:hAnsi="Arial" w:cs="Arial"/>
          <w:sz w:val="22"/>
          <w:szCs w:val="22"/>
          <w:lang w:val="pt-BR" w:bidi="bn-IN"/>
        </w:rPr>
        <w:tab/>
      </w:r>
      <w:r w:rsidRPr="00E4354A">
        <w:rPr>
          <w:rFonts w:ascii="Arial" w:hAnsi="Arial" w:cs="Arial"/>
          <w:sz w:val="22"/>
          <w:szCs w:val="22"/>
          <w:lang w:val="pt-BR" w:eastAsia="en-GB"/>
        </w:rPr>
        <w:t>C</w:t>
      </w:r>
      <w:r w:rsidRPr="00E4354A">
        <w:rPr>
          <w:rFonts w:ascii="Arial" w:hAnsi="Arial" w:cs="Arial"/>
          <w:sz w:val="22"/>
          <w:szCs w:val="22"/>
          <w:vertAlign w:val="subscript"/>
          <w:lang w:val="pt-BR" w:eastAsia="en-GB"/>
        </w:rPr>
        <w:t>20</w:t>
      </w:r>
      <w:r w:rsidRPr="00E4354A">
        <w:rPr>
          <w:rFonts w:ascii="Arial" w:hAnsi="Arial" w:cs="Arial"/>
          <w:sz w:val="22"/>
          <w:szCs w:val="22"/>
          <w:lang w:val="pt-BR" w:eastAsia="en-GB"/>
        </w:rPr>
        <w:t>H</w:t>
      </w:r>
      <w:r w:rsidRPr="00E4354A">
        <w:rPr>
          <w:rFonts w:ascii="Arial" w:hAnsi="Arial" w:cs="Arial"/>
          <w:sz w:val="22"/>
          <w:szCs w:val="22"/>
          <w:vertAlign w:val="subscript"/>
          <w:lang w:val="pt-BR" w:eastAsia="en-GB"/>
        </w:rPr>
        <w:t>20</w:t>
      </w:r>
      <w:r w:rsidRPr="00E4354A">
        <w:rPr>
          <w:rFonts w:ascii="Arial" w:hAnsi="Arial" w:cs="Arial"/>
          <w:sz w:val="22"/>
          <w:szCs w:val="22"/>
          <w:lang w:val="pt-BR" w:eastAsia="en-GB"/>
        </w:rPr>
        <w:t>N</w:t>
      </w:r>
      <w:r w:rsidRPr="00E4354A">
        <w:rPr>
          <w:rFonts w:ascii="Arial" w:hAnsi="Arial" w:cs="Arial"/>
          <w:sz w:val="22"/>
          <w:szCs w:val="22"/>
          <w:vertAlign w:val="subscript"/>
          <w:lang w:val="pt-BR" w:eastAsia="en-GB"/>
        </w:rPr>
        <w:t>4</w:t>
      </w:r>
      <w:r w:rsidRPr="00E4354A">
        <w:rPr>
          <w:rFonts w:ascii="Arial" w:hAnsi="Arial" w:cs="Arial"/>
          <w:sz w:val="22"/>
          <w:szCs w:val="22"/>
          <w:lang w:val="pt-BR" w:eastAsia="en-GB"/>
        </w:rPr>
        <w:t>O</w:t>
      </w:r>
      <w:r w:rsidRPr="00E4354A">
        <w:rPr>
          <w:rFonts w:ascii="Arial" w:hAnsi="Arial" w:cs="Arial"/>
          <w:sz w:val="22"/>
          <w:szCs w:val="22"/>
          <w:vertAlign w:val="subscript"/>
          <w:lang w:val="pt-BR" w:eastAsia="en-GB"/>
        </w:rPr>
        <w:t>3</w:t>
      </w:r>
      <w:r w:rsidRPr="00E4354A">
        <w:rPr>
          <w:rFonts w:ascii="Arial" w:hAnsi="Arial" w:cs="Arial"/>
          <w:sz w:val="22"/>
          <w:szCs w:val="22"/>
          <w:lang w:val="pt-BR" w:eastAsia="en-GB"/>
        </w:rPr>
        <w:t>/ 364.40 g/mol</w:t>
      </w:r>
    </w:p>
    <w:p w14:paraId="3A01BC5A" w14:textId="77777777" w:rsidR="00DA67E8" w:rsidRPr="00855641" w:rsidRDefault="00DA67E8" w:rsidP="00494840">
      <w:pPr>
        <w:autoSpaceDE w:val="0"/>
        <w:autoSpaceDN w:val="0"/>
        <w:adjustRightInd w:val="0"/>
        <w:rPr>
          <w:rFonts w:ascii="Arial" w:hAnsi="Arial" w:cs="Arial"/>
          <w:sz w:val="22"/>
          <w:szCs w:val="22"/>
          <w:lang w:eastAsia="en-GB"/>
        </w:rPr>
      </w:pPr>
      <w:r w:rsidRPr="00494840">
        <w:rPr>
          <w:rFonts w:ascii="Arial" w:hAnsi="Arial" w:cs="Arial"/>
          <w:sz w:val="22"/>
          <w:szCs w:val="22"/>
          <w:lang w:val="en-US" w:bidi="bn-IN"/>
        </w:rPr>
        <w:t xml:space="preserve">Pharmaceutical form: </w:t>
      </w:r>
      <w:r w:rsidRPr="00494840">
        <w:rPr>
          <w:rFonts w:ascii="Arial" w:hAnsi="Arial" w:cs="Arial"/>
          <w:sz w:val="22"/>
          <w:szCs w:val="22"/>
          <w:lang w:val="en-US" w:bidi="bn-IN"/>
        </w:rPr>
        <w:tab/>
      </w:r>
      <w:r w:rsidRPr="00494840">
        <w:rPr>
          <w:rFonts w:ascii="Arial" w:hAnsi="Arial" w:cs="Arial"/>
          <w:sz w:val="22"/>
          <w:szCs w:val="22"/>
          <w:lang w:val="en-US" w:bidi="bn-IN"/>
        </w:rPr>
        <w:tab/>
      </w:r>
      <w:r w:rsidR="000D6576" w:rsidRPr="00855641">
        <w:rPr>
          <w:rFonts w:ascii="Arial" w:hAnsi="Arial" w:cs="Arial"/>
          <w:sz w:val="22"/>
          <w:szCs w:val="22"/>
          <w:lang w:val="en-US" w:bidi="bn-IN"/>
        </w:rPr>
        <w:t xml:space="preserve">25mg/ml </w:t>
      </w:r>
    </w:p>
    <w:p w14:paraId="6FA3AAC6" w14:textId="77777777" w:rsidR="00DA67E8" w:rsidRPr="00855641" w:rsidRDefault="00DA67E8" w:rsidP="00494840">
      <w:pPr>
        <w:autoSpaceDE w:val="0"/>
        <w:autoSpaceDN w:val="0"/>
        <w:adjustRightInd w:val="0"/>
        <w:rPr>
          <w:rFonts w:ascii="Arial" w:hAnsi="Arial" w:cs="Arial"/>
          <w:sz w:val="22"/>
          <w:szCs w:val="22"/>
          <w:lang w:eastAsia="en-GB"/>
        </w:rPr>
      </w:pPr>
    </w:p>
    <w:p w14:paraId="74DB6536" w14:textId="2CC53FE7" w:rsidR="00DA67E8" w:rsidRPr="00855641" w:rsidRDefault="00DA67E8" w:rsidP="00855641">
      <w:pPr>
        <w:tabs>
          <w:tab w:val="left" w:pos="2835"/>
        </w:tabs>
        <w:spacing w:after="240"/>
        <w:ind w:left="2835" w:hanging="2835"/>
        <w:rPr>
          <w:rFonts w:ascii="Arial" w:hAnsi="Arial" w:cs="Arial"/>
          <w:sz w:val="22"/>
          <w:szCs w:val="22"/>
          <w:lang w:val="en-US" w:bidi="bn-IN"/>
        </w:rPr>
      </w:pPr>
      <w:r w:rsidRPr="00855641">
        <w:rPr>
          <w:rFonts w:ascii="Arial" w:hAnsi="Arial" w:cs="Arial"/>
          <w:sz w:val="22"/>
          <w:szCs w:val="22"/>
          <w:lang w:val="en-US" w:bidi="bn-IN"/>
        </w:rPr>
        <w:t xml:space="preserve">Supplier: </w:t>
      </w:r>
      <w:r w:rsidRPr="00855641">
        <w:rPr>
          <w:rFonts w:ascii="Arial" w:hAnsi="Arial" w:cs="Arial"/>
          <w:sz w:val="22"/>
          <w:szCs w:val="22"/>
          <w:lang w:val="en-US" w:bidi="bn-IN"/>
        </w:rPr>
        <w:tab/>
      </w:r>
      <w:proofErr w:type="spellStart"/>
      <w:r w:rsidR="003257B9">
        <w:rPr>
          <w:rFonts w:ascii="Arial" w:hAnsi="Arial" w:cs="Arial"/>
          <w:sz w:val="22"/>
          <w:szCs w:val="22"/>
          <w:lang w:val="en-US" w:bidi="bn-IN"/>
        </w:rPr>
        <w:t>Aldeyra</w:t>
      </w:r>
      <w:proofErr w:type="spellEnd"/>
      <w:r w:rsidR="003257B9">
        <w:rPr>
          <w:rFonts w:ascii="Arial" w:hAnsi="Arial" w:cs="Arial"/>
          <w:sz w:val="22"/>
          <w:szCs w:val="22"/>
          <w:lang w:val="en-US" w:bidi="bn-IN"/>
        </w:rPr>
        <w:t xml:space="preserve"> </w:t>
      </w:r>
      <w:r w:rsidR="00DC477A">
        <w:rPr>
          <w:rFonts w:ascii="Arial" w:hAnsi="Arial" w:cs="Arial"/>
          <w:sz w:val="22"/>
          <w:szCs w:val="22"/>
          <w:lang w:val="en-US" w:bidi="bn-IN"/>
        </w:rPr>
        <w:t xml:space="preserve">Therapeutics, Inc. </w:t>
      </w:r>
      <w:r w:rsidR="003257B9">
        <w:rPr>
          <w:rFonts w:ascii="Arial" w:hAnsi="Arial" w:cs="Arial"/>
          <w:sz w:val="22"/>
          <w:szCs w:val="22"/>
          <w:lang w:val="en-US" w:bidi="bn-IN"/>
        </w:rPr>
        <w:t xml:space="preserve">and </w:t>
      </w:r>
      <w:r w:rsidR="00855641" w:rsidRPr="00855641">
        <w:rPr>
          <w:rFonts w:ascii="Arial" w:hAnsi="Arial" w:cs="Arial"/>
          <w:sz w:val="22"/>
          <w:szCs w:val="22"/>
        </w:rPr>
        <w:t>Madrigal Pharmaceuticals Inc</w:t>
      </w:r>
      <w:r w:rsidR="003257B9">
        <w:rPr>
          <w:rFonts w:ascii="Arial" w:hAnsi="Arial" w:cs="Arial"/>
          <w:sz w:val="22"/>
          <w:szCs w:val="22"/>
        </w:rPr>
        <w:t>.</w:t>
      </w:r>
      <w:r w:rsidR="00855641" w:rsidRPr="00855641">
        <w:rPr>
          <w:rFonts w:ascii="Arial" w:hAnsi="Arial" w:cs="Arial"/>
          <w:sz w:val="22"/>
          <w:szCs w:val="22"/>
        </w:rPr>
        <w:t xml:space="preserve"> (formerly </w:t>
      </w:r>
      <w:proofErr w:type="spellStart"/>
      <w:r w:rsidR="00855641" w:rsidRPr="00855641">
        <w:rPr>
          <w:rFonts w:ascii="Arial" w:hAnsi="Arial" w:cs="Arial"/>
          <w:sz w:val="22"/>
          <w:szCs w:val="22"/>
        </w:rPr>
        <w:t>Synta</w:t>
      </w:r>
      <w:proofErr w:type="spellEnd"/>
      <w:r w:rsidR="00855641" w:rsidRPr="00855641">
        <w:rPr>
          <w:rFonts w:ascii="Arial" w:hAnsi="Arial" w:cs="Arial"/>
          <w:sz w:val="22"/>
          <w:szCs w:val="22"/>
        </w:rPr>
        <w:t xml:space="preserve"> Pharmaceuticals Corp</w:t>
      </w:r>
      <w:r w:rsidR="003257B9">
        <w:rPr>
          <w:rFonts w:ascii="Arial" w:hAnsi="Arial" w:cs="Arial"/>
          <w:sz w:val="22"/>
          <w:szCs w:val="22"/>
        </w:rPr>
        <w:t>.</w:t>
      </w:r>
      <w:r w:rsidR="00855641" w:rsidRPr="00855641">
        <w:rPr>
          <w:rFonts w:ascii="Arial" w:hAnsi="Arial" w:cs="Arial"/>
          <w:sz w:val="22"/>
          <w:szCs w:val="22"/>
        </w:rPr>
        <w:t>)</w:t>
      </w:r>
    </w:p>
    <w:p w14:paraId="1FC6CF6A" w14:textId="77777777" w:rsidR="00DA67E8" w:rsidRPr="00A86EB1" w:rsidRDefault="00DA67E8" w:rsidP="00A86EB1">
      <w:pPr>
        <w:spacing w:after="240"/>
        <w:ind w:left="2912" w:hanging="2912"/>
        <w:rPr>
          <w:rFonts w:ascii="Arial" w:hAnsi="Arial" w:cs="Arial"/>
          <w:sz w:val="22"/>
        </w:rPr>
      </w:pPr>
      <w:r w:rsidRPr="000D6576">
        <w:rPr>
          <w:rFonts w:ascii="Arial" w:hAnsi="Arial" w:cs="Arial"/>
          <w:sz w:val="22"/>
          <w:szCs w:val="22"/>
          <w:lang w:val="en-US" w:bidi="bn-IN"/>
        </w:rPr>
        <w:t xml:space="preserve">Unit strength: </w:t>
      </w:r>
      <w:r w:rsidRPr="000D6576">
        <w:rPr>
          <w:rFonts w:ascii="Arial" w:hAnsi="Arial" w:cs="Arial"/>
          <w:sz w:val="22"/>
          <w:szCs w:val="22"/>
          <w:lang w:val="en-US" w:bidi="bn-IN"/>
        </w:rPr>
        <w:tab/>
        <w:t xml:space="preserve">25mg/ml </w:t>
      </w:r>
    </w:p>
    <w:p w14:paraId="290FE6A8" w14:textId="77777777" w:rsidR="00DA67E8" w:rsidRPr="00A86EB1" w:rsidRDefault="00DA67E8" w:rsidP="00A86EB1">
      <w:pPr>
        <w:spacing w:after="240"/>
        <w:ind w:left="2912" w:hanging="2912"/>
        <w:rPr>
          <w:rFonts w:ascii="Arial" w:hAnsi="Arial" w:cs="Arial"/>
          <w:b/>
          <w:color w:val="FF0000"/>
          <w:sz w:val="22"/>
          <w:szCs w:val="22"/>
          <w:lang w:val="en-US" w:bidi="bn-IN"/>
        </w:rPr>
      </w:pPr>
      <w:r w:rsidRPr="00A86EB1">
        <w:rPr>
          <w:rFonts w:ascii="Arial" w:hAnsi="Arial" w:cs="Arial"/>
          <w:sz w:val="22"/>
        </w:rPr>
        <w:t>License status:</w:t>
      </w:r>
      <w:r w:rsidRPr="00A86EB1">
        <w:rPr>
          <w:rFonts w:ascii="Arial" w:hAnsi="Arial" w:cs="Arial"/>
          <w:sz w:val="22"/>
        </w:rPr>
        <w:tab/>
      </w:r>
      <w:r w:rsidRPr="001A2027">
        <w:rPr>
          <w:rFonts w:ascii="Arial" w:hAnsi="Arial" w:cs="Arial"/>
          <w:sz w:val="22"/>
        </w:rPr>
        <w:t>Unlicensed. No marketing authorisation in the EU</w:t>
      </w:r>
    </w:p>
    <w:p w14:paraId="62108A01" w14:textId="77777777" w:rsidR="00DA67E8" w:rsidRPr="00A86EB1" w:rsidRDefault="00DA67E8" w:rsidP="00205C8A">
      <w:pPr>
        <w:ind w:left="2880" w:right="-58" w:hanging="2880"/>
        <w:jc w:val="both"/>
        <w:rPr>
          <w:rFonts w:ascii="Arial" w:hAnsi="Arial" w:cs="Arial"/>
          <w:sz w:val="22"/>
          <w:szCs w:val="22"/>
          <w:lang w:val="en-US" w:bidi="bn-IN"/>
        </w:rPr>
      </w:pPr>
      <w:r>
        <w:rPr>
          <w:rFonts w:ascii="Arial" w:hAnsi="Arial" w:cs="Arial"/>
          <w:sz w:val="22"/>
          <w:szCs w:val="22"/>
          <w:lang w:val="en-US" w:bidi="bn-IN"/>
        </w:rPr>
        <w:t xml:space="preserve">Posology: </w:t>
      </w:r>
      <w:r>
        <w:rPr>
          <w:rFonts w:ascii="Arial" w:hAnsi="Arial" w:cs="Arial"/>
          <w:sz w:val="22"/>
          <w:szCs w:val="22"/>
          <w:lang w:val="en-US" w:bidi="bn-IN"/>
        </w:rPr>
        <w:tab/>
        <w:t xml:space="preserve">Taken as indicated. Depends on allocation to dose cohort for phase I. Phase II dose will be determined from the phase I results </w:t>
      </w:r>
    </w:p>
    <w:p w14:paraId="2F8B3370" w14:textId="77777777" w:rsidR="00DA67E8" w:rsidRPr="00A86EB1" w:rsidRDefault="00DA67E8" w:rsidP="00A86EB1">
      <w:pPr>
        <w:ind w:right="-58"/>
        <w:jc w:val="both"/>
        <w:rPr>
          <w:rFonts w:ascii="Arial" w:hAnsi="Arial" w:cs="Arial"/>
        </w:rPr>
      </w:pPr>
    </w:p>
    <w:p w14:paraId="0A4118D2" w14:textId="77777777" w:rsidR="00DA67E8" w:rsidRPr="008032FE" w:rsidRDefault="00DA67E8" w:rsidP="00A86EB1">
      <w:pPr>
        <w:spacing w:after="240"/>
        <w:ind w:left="2912" w:hanging="2912"/>
        <w:rPr>
          <w:rFonts w:ascii="Arial" w:hAnsi="Arial" w:cs="Arial"/>
          <w:sz w:val="22"/>
          <w:szCs w:val="22"/>
          <w:lang w:val="en-US" w:bidi="bn-IN"/>
        </w:rPr>
      </w:pPr>
      <w:r w:rsidRPr="00A86EB1">
        <w:rPr>
          <w:rFonts w:ascii="Arial" w:hAnsi="Arial" w:cs="Arial"/>
          <w:sz w:val="22"/>
          <w:szCs w:val="22"/>
          <w:lang w:val="en-US" w:bidi="bn-IN"/>
        </w:rPr>
        <w:t xml:space="preserve">Duration of use: </w:t>
      </w:r>
      <w:r w:rsidRPr="00A86EB1">
        <w:rPr>
          <w:rFonts w:ascii="Arial" w:hAnsi="Arial" w:cs="Arial"/>
          <w:sz w:val="22"/>
          <w:szCs w:val="22"/>
          <w:lang w:val="en-US" w:bidi="bn-IN"/>
        </w:rPr>
        <w:tab/>
      </w:r>
      <w:r w:rsidRPr="008032FE">
        <w:rPr>
          <w:rFonts w:ascii="Arial" w:hAnsi="Arial" w:cs="Arial"/>
          <w:sz w:val="22"/>
          <w:szCs w:val="22"/>
        </w:rPr>
        <w:t>Ganetespib</w:t>
      </w:r>
      <w:r w:rsidR="00983832">
        <w:rPr>
          <w:rFonts w:ascii="Arial" w:hAnsi="Arial" w:cs="Arial"/>
          <w:sz w:val="22"/>
          <w:szCs w:val="22"/>
        </w:rPr>
        <w:t xml:space="preserve"> </w:t>
      </w:r>
      <w:r w:rsidRPr="008032FE">
        <w:rPr>
          <w:rFonts w:ascii="Arial" w:hAnsi="Arial" w:cs="Arial"/>
          <w:sz w:val="22"/>
          <w:szCs w:val="22"/>
        </w:rPr>
        <w:t xml:space="preserve">will be administered as a 60-minute IV infusion </w:t>
      </w:r>
      <w:r w:rsidRPr="008032FE">
        <w:rPr>
          <w:rFonts w:ascii="Arial" w:hAnsi="Arial" w:cs="Arial"/>
          <w:sz w:val="22"/>
          <w:szCs w:val="22"/>
          <w:lang w:val="en-US" w:bidi="bn-IN"/>
        </w:rPr>
        <w:t xml:space="preserve">on day 1 and </w:t>
      </w:r>
      <w:r w:rsidR="00782B5E">
        <w:rPr>
          <w:rFonts w:ascii="Arial" w:hAnsi="Arial" w:cs="Arial"/>
          <w:sz w:val="22"/>
          <w:szCs w:val="22"/>
          <w:lang w:val="en-US" w:bidi="bn-IN"/>
        </w:rPr>
        <w:t>day 15</w:t>
      </w:r>
      <w:r w:rsidRPr="008032FE">
        <w:rPr>
          <w:rFonts w:ascii="Arial" w:hAnsi="Arial" w:cs="Arial"/>
          <w:sz w:val="22"/>
          <w:szCs w:val="22"/>
          <w:lang w:val="en-US" w:bidi="bn-IN"/>
        </w:rPr>
        <w:t>, of each 21-day chemotherapy cycle,</w:t>
      </w:r>
      <w:r w:rsidR="00983832">
        <w:rPr>
          <w:rFonts w:ascii="Arial" w:hAnsi="Arial" w:cs="Arial"/>
          <w:sz w:val="22"/>
          <w:szCs w:val="22"/>
          <w:lang w:val="en-US" w:bidi="bn-IN"/>
        </w:rPr>
        <w:t xml:space="preserve"> </w:t>
      </w:r>
      <w:r w:rsidRPr="008032FE">
        <w:rPr>
          <w:rFonts w:ascii="Arial" w:hAnsi="Arial" w:cs="Arial"/>
          <w:sz w:val="22"/>
          <w:szCs w:val="22"/>
          <w:lang w:val="en-US" w:bidi="bn-IN"/>
        </w:rPr>
        <w:t xml:space="preserve">for up to 6 cycles </w:t>
      </w:r>
    </w:p>
    <w:p w14:paraId="7E61EE8D" w14:textId="77777777" w:rsidR="00F970D5" w:rsidRDefault="00DA67E8" w:rsidP="00357025">
      <w:pPr>
        <w:autoSpaceDE w:val="0"/>
        <w:autoSpaceDN w:val="0"/>
        <w:adjustRightInd w:val="0"/>
        <w:ind w:left="2880" w:hanging="2880"/>
        <w:rPr>
          <w:rFonts w:ascii="Arial" w:hAnsi="Arial" w:cs="Arial"/>
          <w:sz w:val="22"/>
          <w:szCs w:val="22"/>
          <w:lang w:eastAsia="en-GB"/>
        </w:rPr>
      </w:pPr>
      <w:r>
        <w:rPr>
          <w:rFonts w:ascii="Arial" w:hAnsi="Arial" w:cs="Arial"/>
          <w:sz w:val="22"/>
          <w:szCs w:val="22"/>
          <w:lang w:val="en-US" w:bidi="bn-IN"/>
        </w:rPr>
        <w:t>Container:</w:t>
      </w:r>
      <w:r>
        <w:rPr>
          <w:rFonts w:ascii="Arial" w:hAnsi="Arial" w:cs="Arial"/>
          <w:sz w:val="22"/>
          <w:szCs w:val="22"/>
          <w:lang w:val="en-US" w:bidi="bn-IN"/>
        </w:rPr>
        <w:tab/>
      </w:r>
      <w:r w:rsidR="00357025" w:rsidRPr="00596D35">
        <w:rPr>
          <w:rFonts w:ascii="Arial" w:hAnsi="Arial" w:cs="Arial"/>
          <w:b/>
          <w:sz w:val="22"/>
          <w:szCs w:val="22"/>
          <w:lang w:eastAsia="en-GB"/>
        </w:rPr>
        <w:t>400mg/vial</w:t>
      </w:r>
      <w:r w:rsidR="00357025">
        <w:rPr>
          <w:rFonts w:ascii="Arial" w:hAnsi="Arial" w:cs="Arial"/>
          <w:sz w:val="22"/>
          <w:szCs w:val="22"/>
          <w:lang w:eastAsia="en-GB"/>
        </w:rPr>
        <w:t xml:space="preserve"> - </w:t>
      </w:r>
      <w:r w:rsidRPr="00C13598">
        <w:rPr>
          <w:rFonts w:ascii="Arial" w:hAnsi="Arial" w:cs="Arial"/>
          <w:sz w:val="22"/>
          <w:szCs w:val="22"/>
          <w:lang w:eastAsia="en-GB"/>
        </w:rPr>
        <w:t>30mL type I amber glass vial fitted with a</w:t>
      </w:r>
      <w:r>
        <w:rPr>
          <w:rFonts w:ascii="Arial" w:hAnsi="Arial" w:cs="Arial"/>
          <w:sz w:val="22"/>
          <w:szCs w:val="22"/>
          <w:lang w:eastAsia="en-GB"/>
        </w:rPr>
        <w:t xml:space="preserve"> 20mm stopper and sealed with a red</w:t>
      </w:r>
      <w:r w:rsidR="00983832">
        <w:rPr>
          <w:rFonts w:ascii="Arial" w:hAnsi="Arial" w:cs="Arial"/>
          <w:sz w:val="22"/>
          <w:szCs w:val="22"/>
          <w:lang w:eastAsia="en-GB"/>
        </w:rPr>
        <w:t xml:space="preserve"> </w:t>
      </w:r>
      <w:r>
        <w:rPr>
          <w:rFonts w:ascii="Arial" w:hAnsi="Arial" w:cs="Arial"/>
          <w:sz w:val="22"/>
          <w:szCs w:val="22"/>
          <w:lang w:eastAsia="en-GB"/>
        </w:rPr>
        <w:t>coloured</w:t>
      </w:r>
      <w:r w:rsidRPr="00C13598">
        <w:rPr>
          <w:rFonts w:ascii="Arial" w:hAnsi="Arial" w:cs="Arial"/>
          <w:sz w:val="22"/>
          <w:szCs w:val="22"/>
          <w:lang w:eastAsia="en-GB"/>
        </w:rPr>
        <w:t xml:space="preserve"> cap</w:t>
      </w:r>
      <w:r w:rsidR="00357025">
        <w:rPr>
          <w:rFonts w:ascii="Arial" w:hAnsi="Arial" w:cs="Arial"/>
          <w:sz w:val="22"/>
          <w:szCs w:val="22"/>
          <w:lang w:eastAsia="en-GB"/>
        </w:rPr>
        <w:t xml:space="preserve">. </w:t>
      </w:r>
    </w:p>
    <w:p w14:paraId="0E099541" w14:textId="77777777" w:rsidR="00DA67E8" w:rsidRPr="00357025" w:rsidRDefault="00357025" w:rsidP="00F970D5">
      <w:pPr>
        <w:autoSpaceDE w:val="0"/>
        <w:autoSpaceDN w:val="0"/>
        <w:adjustRightInd w:val="0"/>
        <w:spacing w:before="60"/>
        <w:ind w:left="2880"/>
        <w:rPr>
          <w:rFonts w:ascii="Arial" w:hAnsi="Arial" w:cs="Arial"/>
          <w:sz w:val="22"/>
          <w:szCs w:val="22"/>
          <w:lang w:val="en-US" w:bidi="bn-IN"/>
        </w:rPr>
      </w:pPr>
      <w:r w:rsidRPr="001B74AE">
        <w:rPr>
          <w:rFonts w:ascii="Arial" w:hAnsi="Arial" w:cs="Arial"/>
          <w:b/>
          <w:sz w:val="22"/>
          <w:szCs w:val="22"/>
          <w:lang w:eastAsia="en-GB"/>
        </w:rPr>
        <w:t>300mg/vial</w:t>
      </w:r>
      <w:r w:rsidRPr="001B74AE">
        <w:rPr>
          <w:rFonts w:ascii="Arial" w:hAnsi="Arial" w:cs="Arial"/>
          <w:sz w:val="22"/>
          <w:szCs w:val="22"/>
          <w:lang w:eastAsia="en-GB"/>
        </w:rPr>
        <w:t xml:space="preserve"> </w:t>
      </w:r>
      <w:r w:rsidR="00596D35" w:rsidRPr="001B74AE">
        <w:rPr>
          <w:rFonts w:ascii="Arial" w:hAnsi="Arial" w:cs="Arial"/>
          <w:sz w:val="22"/>
          <w:szCs w:val="22"/>
          <w:lang w:eastAsia="en-GB"/>
        </w:rPr>
        <w:t>- 30mL type I amber glass vial fitted with a 20mm stopper and sealed with a dark blue coloured cap.</w:t>
      </w:r>
    </w:p>
    <w:p w14:paraId="20AFA62C" w14:textId="77777777" w:rsidR="00DA67E8" w:rsidRPr="003D4435" w:rsidRDefault="00DA67E8" w:rsidP="003D4435">
      <w:pPr>
        <w:autoSpaceDE w:val="0"/>
        <w:autoSpaceDN w:val="0"/>
        <w:adjustRightInd w:val="0"/>
        <w:ind w:left="2880" w:hanging="2880"/>
        <w:rPr>
          <w:rFonts w:ascii="TimesNewRomanPSMT" w:hAnsi="TimesNewRomanPSMT" w:cs="TimesNewRomanPSMT"/>
          <w:lang w:eastAsia="en-GB"/>
        </w:rPr>
      </w:pPr>
    </w:p>
    <w:p w14:paraId="0D86AB5F" w14:textId="77777777" w:rsidR="00D105B2" w:rsidRPr="00D105B2" w:rsidRDefault="00DA67E8" w:rsidP="00E63726">
      <w:pPr>
        <w:pStyle w:val="C-BodyText"/>
        <w:ind w:left="2880" w:hanging="2880"/>
        <w:rPr>
          <w:rFonts w:ascii="Arial" w:hAnsi="Arial" w:cs="Arial"/>
        </w:rPr>
      </w:pPr>
      <w:r w:rsidRPr="00C37661">
        <w:rPr>
          <w:rFonts w:ascii="Arial" w:hAnsi="Arial" w:cs="Arial"/>
          <w:lang w:bidi="bn-IN"/>
        </w:rPr>
        <w:t>Storage conditions:</w:t>
      </w:r>
      <w:r w:rsidRPr="00C37661">
        <w:rPr>
          <w:rFonts w:ascii="Arial" w:hAnsi="Arial" w:cs="Arial"/>
          <w:lang w:bidi="bn-IN"/>
        </w:rPr>
        <w:tab/>
      </w:r>
      <w:r w:rsidR="00D105B2" w:rsidRPr="00D105B2">
        <w:rPr>
          <w:rFonts w:ascii="Arial" w:hAnsi="Arial" w:cs="Arial"/>
        </w:rPr>
        <w:t>Please refer to the Summary of Drug Arrangements</w:t>
      </w:r>
    </w:p>
    <w:p w14:paraId="026916A2" w14:textId="77777777" w:rsidR="00D105B2" w:rsidRPr="00C37661" w:rsidRDefault="00D105B2" w:rsidP="00650616">
      <w:pPr>
        <w:pStyle w:val="C-BodyText"/>
        <w:ind w:left="2880"/>
        <w:rPr>
          <w:rFonts w:ascii="Arial" w:hAnsi="Arial" w:cs="Arial"/>
        </w:rPr>
      </w:pPr>
    </w:p>
    <w:p w14:paraId="14960465" w14:textId="77777777" w:rsidR="00DA67E8" w:rsidRDefault="00DA67E8" w:rsidP="00C37661">
      <w:pPr>
        <w:spacing w:after="240"/>
        <w:ind w:left="2912" w:hanging="2912"/>
        <w:rPr>
          <w:rFonts w:ascii="Arial" w:hAnsi="Arial" w:cs="Arial"/>
          <w:sz w:val="22"/>
          <w:szCs w:val="22"/>
          <w:lang w:val="en-US" w:bidi="bn-IN"/>
        </w:rPr>
      </w:pPr>
      <w:r>
        <w:rPr>
          <w:rFonts w:ascii="Arial" w:hAnsi="Arial" w:cs="Arial"/>
          <w:sz w:val="22"/>
          <w:szCs w:val="22"/>
          <w:lang w:val="en-US" w:bidi="bn-IN"/>
        </w:rPr>
        <w:t>Route of a</w:t>
      </w:r>
      <w:r w:rsidRPr="00A86EB1">
        <w:rPr>
          <w:rFonts w:ascii="Arial" w:hAnsi="Arial" w:cs="Arial"/>
          <w:sz w:val="22"/>
          <w:szCs w:val="22"/>
          <w:lang w:val="en-US" w:bidi="bn-IN"/>
        </w:rPr>
        <w:t xml:space="preserve">dministration: </w:t>
      </w:r>
      <w:r w:rsidRPr="00A86EB1">
        <w:rPr>
          <w:rFonts w:ascii="Arial" w:hAnsi="Arial" w:cs="Arial"/>
          <w:sz w:val="22"/>
          <w:szCs w:val="22"/>
          <w:lang w:val="en-US" w:bidi="bn-IN"/>
        </w:rPr>
        <w:tab/>
      </w:r>
      <w:r>
        <w:rPr>
          <w:rFonts w:ascii="Arial" w:hAnsi="Arial" w:cs="Arial"/>
          <w:sz w:val="22"/>
          <w:szCs w:val="22"/>
          <w:lang w:val="en-US" w:bidi="bn-IN"/>
        </w:rPr>
        <w:t>Intravenous infusion</w:t>
      </w:r>
    </w:p>
    <w:p w14:paraId="5A334B5E" w14:textId="77777777" w:rsidR="00BC3474" w:rsidRDefault="00BC3474" w:rsidP="004B6333">
      <w:pPr>
        <w:jc w:val="both"/>
        <w:rPr>
          <w:rFonts w:ascii="Arial" w:hAnsi="Arial" w:cs="Arial"/>
          <w:b/>
          <w:sz w:val="22"/>
          <w:szCs w:val="22"/>
        </w:rPr>
      </w:pPr>
    </w:p>
    <w:p w14:paraId="7CDF3A39" w14:textId="77777777" w:rsidR="00BC3474" w:rsidRDefault="00BC3474" w:rsidP="004B6333">
      <w:pPr>
        <w:jc w:val="both"/>
        <w:rPr>
          <w:rFonts w:ascii="Arial" w:hAnsi="Arial" w:cs="Arial"/>
          <w:b/>
          <w:sz w:val="22"/>
          <w:szCs w:val="22"/>
        </w:rPr>
      </w:pPr>
    </w:p>
    <w:p w14:paraId="1AC99E30" w14:textId="77777777" w:rsidR="00BC3474" w:rsidRDefault="00BC3474" w:rsidP="004B6333">
      <w:pPr>
        <w:jc w:val="both"/>
        <w:rPr>
          <w:rFonts w:ascii="Arial" w:hAnsi="Arial" w:cs="Arial"/>
          <w:b/>
          <w:sz w:val="22"/>
          <w:szCs w:val="22"/>
        </w:rPr>
      </w:pPr>
    </w:p>
    <w:p w14:paraId="43C6461E" w14:textId="77777777" w:rsidR="00BC3474" w:rsidRDefault="00BC3474" w:rsidP="004B6333">
      <w:pPr>
        <w:jc w:val="both"/>
        <w:rPr>
          <w:rFonts w:ascii="Arial" w:hAnsi="Arial" w:cs="Arial"/>
          <w:b/>
          <w:sz w:val="22"/>
          <w:szCs w:val="22"/>
        </w:rPr>
      </w:pPr>
    </w:p>
    <w:p w14:paraId="287CCCF5" w14:textId="77777777" w:rsidR="00BC3474" w:rsidRDefault="00BC3474" w:rsidP="004B6333">
      <w:pPr>
        <w:jc w:val="both"/>
        <w:rPr>
          <w:rFonts w:ascii="Arial" w:hAnsi="Arial" w:cs="Arial"/>
          <w:b/>
          <w:sz w:val="22"/>
          <w:szCs w:val="22"/>
        </w:rPr>
      </w:pPr>
    </w:p>
    <w:p w14:paraId="56CFA799" w14:textId="77777777" w:rsidR="00BC3474" w:rsidRDefault="00BC3474" w:rsidP="004B6333">
      <w:pPr>
        <w:jc w:val="both"/>
        <w:rPr>
          <w:rFonts w:ascii="Arial" w:hAnsi="Arial" w:cs="Arial"/>
          <w:b/>
          <w:sz w:val="22"/>
          <w:szCs w:val="22"/>
        </w:rPr>
      </w:pPr>
    </w:p>
    <w:p w14:paraId="775D7531" w14:textId="77777777" w:rsidR="00BC3474" w:rsidRDefault="00BC3474" w:rsidP="004B6333">
      <w:pPr>
        <w:jc w:val="both"/>
        <w:rPr>
          <w:rFonts w:ascii="Arial" w:hAnsi="Arial" w:cs="Arial"/>
          <w:b/>
          <w:sz w:val="22"/>
          <w:szCs w:val="22"/>
        </w:rPr>
      </w:pPr>
    </w:p>
    <w:p w14:paraId="5765C61F" w14:textId="77777777" w:rsidR="00BC3474" w:rsidRDefault="00BC3474" w:rsidP="004B6333">
      <w:pPr>
        <w:jc w:val="both"/>
        <w:rPr>
          <w:rFonts w:ascii="Arial" w:hAnsi="Arial" w:cs="Arial"/>
          <w:b/>
          <w:sz w:val="22"/>
          <w:szCs w:val="22"/>
        </w:rPr>
      </w:pPr>
    </w:p>
    <w:p w14:paraId="766E6DB2" w14:textId="77777777" w:rsidR="00BC3474" w:rsidRDefault="00BC3474" w:rsidP="004B6333">
      <w:pPr>
        <w:jc w:val="both"/>
        <w:rPr>
          <w:rFonts w:ascii="Arial" w:hAnsi="Arial" w:cs="Arial"/>
          <w:b/>
          <w:sz w:val="22"/>
          <w:szCs w:val="22"/>
        </w:rPr>
      </w:pPr>
    </w:p>
    <w:p w14:paraId="05734F16" w14:textId="77777777" w:rsidR="00BC3474" w:rsidRDefault="00BC3474" w:rsidP="004B6333">
      <w:pPr>
        <w:jc w:val="both"/>
        <w:rPr>
          <w:rFonts w:ascii="Arial" w:hAnsi="Arial" w:cs="Arial"/>
          <w:b/>
          <w:sz w:val="22"/>
          <w:szCs w:val="22"/>
        </w:rPr>
      </w:pPr>
    </w:p>
    <w:p w14:paraId="33ADB790" w14:textId="77777777" w:rsidR="00BC3474" w:rsidRDefault="00BC3474" w:rsidP="004B6333">
      <w:pPr>
        <w:jc w:val="both"/>
        <w:rPr>
          <w:rFonts w:ascii="Arial" w:hAnsi="Arial" w:cs="Arial"/>
          <w:b/>
          <w:sz w:val="22"/>
          <w:szCs w:val="22"/>
        </w:rPr>
      </w:pPr>
    </w:p>
    <w:p w14:paraId="2A67EE79" w14:textId="77777777" w:rsidR="00BC3474" w:rsidRDefault="00BC3474" w:rsidP="004B6333">
      <w:pPr>
        <w:jc w:val="both"/>
        <w:rPr>
          <w:rFonts w:ascii="Arial" w:hAnsi="Arial" w:cs="Arial"/>
          <w:b/>
          <w:sz w:val="22"/>
          <w:szCs w:val="22"/>
        </w:rPr>
      </w:pPr>
    </w:p>
    <w:p w14:paraId="703465A8" w14:textId="77777777" w:rsidR="00BC3474" w:rsidRDefault="00BC3474" w:rsidP="004B6333">
      <w:pPr>
        <w:jc w:val="both"/>
        <w:rPr>
          <w:rFonts w:ascii="Arial" w:hAnsi="Arial" w:cs="Arial"/>
          <w:b/>
          <w:sz w:val="22"/>
          <w:szCs w:val="22"/>
        </w:rPr>
      </w:pPr>
    </w:p>
    <w:p w14:paraId="252CC5BC" w14:textId="77777777" w:rsidR="00BC3474" w:rsidRDefault="00BC3474" w:rsidP="004B6333">
      <w:pPr>
        <w:jc w:val="both"/>
        <w:rPr>
          <w:rFonts w:ascii="Arial" w:hAnsi="Arial" w:cs="Arial"/>
          <w:b/>
          <w:sz w:val="22"/>
          <w:szCs w:val="22"/>
        </w:rPr>
      </w:pPr>
    </w:p>
    <w:p w14:paraId="2D18F0EB" w14:textId="77777777" w:rsidR="007936E1" w:rsidRDefault="007936E1" w:rsidP="004B6333">
      <w:pPr>
        <w:jc w:val="both"/>
        <w:rPr>
          <w:rFonts w:ascii="Arial" w:hAnsi="Arial" w:cs="Arial"/>
          <w:b/>
          <w:sz w:val="22"/>
          <w:szCs w:val="22"/>
        </w:rPr>
      </w:pPr>
    </w:p>
    <w:p w14:paraId="41AA7FC2" w14:textId="4E68FF5A" w:rsidR="00DA67E8" w:rsidRPr="004B6333" w:rsidRDefault="00DA67E8" w:rsidP="004B6333">
      <w:pPr>
        <w:jc w:val="both"/>
        <w:rPr>
          <w:rFonts w:ascii="Arial" w:hAnsi="Arial" w:cs="Arial"/>
          <w:b/>
          <w:sz w:val="22"/>
          <w:szCs w:val="22"/>
        </w:rPr>
      </w:pPr>
      <w:r w:rsidRPr="004B6333">
        <w:rPr>
          <w:rFonts w:ascii="Arial" w:hAnsi="Arial" w:cs="Arial"/>
          <w:b/>
          <w:sz w:val="22"/>
          <w:szCs w:val="22"/>
        </w:rPr>
        <w:lastRenderedPageBreak/>
        <w:t>Dosage and Frequency</w:t>
      </w:r>
    </w:p>
    <w:p w14:paraId="44F413BD" w14:textId="77777777" w:rsidR="00DA67E8" w:rsidRPr="004B6333" w:rsidRDefault="00DA67E8" w:rsidP="004B6333">
      <w:pPr>
        <w:jc w:val="both"/>
        <w:rPr>
          <w:rFonts w:ascii="Arial" w:hAnsi="Arial" w:cs="Arial"/>
          <w:sz w:val="22"/>
        </w:rPr>
      </w:pPr>
      <w:r w:rsidRPr="004B6333">
        <w:rPr>
          <w:rFonts w:ascii="Arial" w:hAnsi="Arial" w:cs="Arial"/>
          <w:sz w:val="22"/>
        </w:rPr>
        <w:t xml:space="preserve">The dosage and frequency for ganetespib </w:t>
      </w:r>
      <w:r>
        <w:rPr>
          <w:rFonts w:ascii="Arial" w:hAnsi="Arial" w:cs="Arial"/>
          <w:sz w:val="22"/>
        </w:rPr>
        <w:t xml:space="preserve">(to </w:t>
      </w:r>
      <w:r w:rsidRPr="00B53B51">
        <w:rPr>
          <w:rFonts w:ascii="Arial" w:hAnsi="Arial" w:cs="Arial"/>
          <w:sz w:val="22"/>
          <w:szCs w:val="22"/>
        </w:rPr>
        <w:t>given o</w:t>
      </w:r>
      <w:r>
        <w:rPr>
          <w:rFonts w:ascii="Arial" w:hAnsi="Arial" w:cs="Arial"/>
          <w:sz w:val="22"/>
          <w:szCs w:val="22"/>
        </w:rPr>
        <w:t xml:space="preserve">n day 1 and </w:t>
      </w:r>
      <w:r w:rsidR="00782B5E">
        <w:rPr>
          <w:rFonts w:ascii="Arial" w:hAnsi="Arial" w:cs="Arial"/>
          <w:sz w:val="22"/>
          <w:szCs w:val="22"/>
        </w:rPr>
        <w:t>day 15</w:t>
      </w:r>
      <w:r>
        <w:rPr>
          <w:rFonts w:ascii="Arial" w:hAnsi="Arial" w:cs="Arial"/>
          <w:sz w:val="22"/>
          <w:szCs w:val="22"/>
        </w:rPr>
        <w:t xml:space="preserve"> of each cycle) </w:t>
      </w:r>
      <w:r w:rsidRPr="004B6333">
        <w:rPr>
          <w:rFonts w:ascii="Arial" w:hAnsi="Arial" w:cs="Arial"/>
          <w:sz w:val="22"/>
        </w:rPr>
        <w:t xml:space="preserve">for each cohort in the phase I trial is given below:  </w:t>
      </w:r>
    </w:p>
    <w:p w14:paraId="62A60077" w14:textId="77777777" w:rsidR="00DA67E8" w:rsidRPr="00B53B51" w:rsidRDefault="00DA67E8" w:rsidP="004B6333">
      <w:pPr>
        <w:jc w:val="both"/>
        <w:rPr>
          <w:rFonts w:ascii="Arial" w:hAnsi="Arial" w:cs="Arial"/>
          <w:sz w:val="22"/>
          <w:szCs w:val="22"/>
        </w:rPr>
      </w:pPr>
    </w:p>
    <w:p w14:paraId="156CC806" w14:textId="77777777" w:rsidR="00DA67E8" w:rsidRPr="00B53B51" w:rsidRDefault="00DA67E8" w:rsidP="002F600D">
      <w:pPr>
        <w:numPr>
          <w:ilvl w:val="0"/>
          <w:numId w:val="14"/>
        </w:numPr>
        <w:snapToGrid w:val="0"/>
        <w:ind w:left="317" w:hanging="283"/>
        <w:jc w:val="both"/>
        <w:rPr>
          <w:rFonts w:ascii="Arial" w:hAnsi="Arial" w:cs="Arial"/>
          <w:sz w:val="22"/>
          <w:szCs w:val="22"/>
        </w:rPr>
      </w:pPr>
      <w:r w:rsidRPr="00B53B51">
        <w:rPr>
          <w:rFonts w:ascii="Arial" w:hAnsi="Arial" w:cs="Arial"/>
          <w:sz w:val="22"/>
          <w:szCs w:val="22"/>
        </w:rPr>
        <w:t>Cohort 1: 100 mg/m</w:t>
      </w:r>
      <w:r w:rsidRPr="00B53B51">
        <w:rPr>
          <w:rFonts w:ascii="Arial" w:hAnsi="Arial" w:cs="Arial"/>
          <w:sz w:val="22"/>
          <w:szCs w:val="22"/>
          <w:vertAlign w:val="superscript"/>
        </w:rPr>
        <w:t>2</w:t>
      </w:r>
      <w:r w:rsidRPr="00B53B51">
        <w:rPr>
          <w:rFonts w:ascii="Arial" w:hAnsi="Arial" w:cs="Arial"/>
          <w:sz w:val="22"/>
          <w:szCs w:val="22"/>
        </w:rPr>
        <w:t xml:space="preserve"> IV ganetespib </w:t>
      </w:r>
    </w:p>
    <w:p w14:paraId="09424C26" w14:textId="77777777" w:rsidR="00DA67E8" w:rsidRPr="00B53B51" w:rsidRDefault="00DA67E8" w:rsidP="002F600D">
      <w:pPr>
        <w:numPr>
          <w:ilvl w:val="0"/>
          <w:numId w:val="14"/>
        </w:numPr>
        <w:snapToGrid w:val="0"/>
        <w:ind w:left="317" w:hanging="283"/>
        <w:jc w:val="both"/>
        <w:rPr>
          <w:rFonts w:ascii="Arial" w:hAnsi="Arial" w:cs="Arial"/>
          <w:sz w:val="22"/>
          <w:szCs w:val="22"/>
        </w:rPr>
      </w:pPr>
      <w:r w:rsidRPr="00B53B51">
        <w:rPr>
          <w:rFonts w:ascii="Arial" w:hAnsi="Arial" w:cs="Arial"/>
          <w:sz w:val="22"/>
          <w:szCs w:val="22"/>
        </w:rPr>
        <w:t>Cohort 2: 150 mg/m</w:t>
      </w:r>
      <w:r w:rsidRPr="00B53B51">
        <w:rPr>
          <w:rFonts w:ascii="Arial" w:hAnsi="Arial" w:cs="Arial"/>
          <w:sz w:val="22"/>
          <w:szCs w:val="22"/>
          <w:vertAlign w:val="superscript"/>
        </w:rPr>
        <w:t>2</w:t>
      </w:r>
      <w:r w:rsidRPr="00B53B51">
        <w:rPr>
          <w:rFonts w:ascii="Arial" w:hAnsi="Arial" w:cs="Arial"/>
          <w:sz w:val="22"/>
          <w:szCs w:val="22"/>
        </w:rPr>
        <w:t xml:space="preserve"> IV ganetespib </w:t>
      </w:r>
    </w:p>
    <w:p w14:paraId="4F700999" w14:textId="77777777" w:rsidR="00DA67E8" w:rsidRPr="00B53B51" w:rsidRDefault="00DA67E8" w:rsidP="002F600D">
      <w:pPr>
        <w:numPr>
          <w:ilvl w:val="0"/>
          <w:numId w:val="14"/>
        </w:numPr>
        <w:snapToGrid w:val="0"/>
        <w:ind w:left="317" w:hanging="283"/>
        <w:jc w:val="both"/>
        <w:rPr>
          <w:rFonts w:ascii="Arial" w:hAnsi="Arial" w:cs="Arial"/>
          <w:sz w:val="22"/>
          <w:szCs w:val="22"/>
        </w:rPr>
      </w:pPr>
      <w:r w:rsidRPr="00B53B51">
        <w:rPr>
          <w:rFonts w:ascii="Arial" w:hAnsi="Arial" w:cs="Arial"/>
          <w:sz w:val="22"/>
          <w:szCs w:val="22"/>
        </w:rPr>
        <w:t>Cohort 3: 200 mg/m</w:t>
      </w:r>
      <w:r w:rsidRPr="00B53B51">
        <w:rPr>
          <w:rFonts w:ascii="Arial" w:hAnsi="Arial" w:cs="Arial"/>
          <w:sz w:val="22"/>
          <w:szCs w:val="22"/>
          <w:vertAlign w:val="superscript"/>
        </w:rPr>
        <w:t>2</w:t>
      </w:r>
      <w:r w:rsidRPr="00B53B51">
        <w:rPr>
          <w:rFonts w:ascii="Arial" w:hAnsi="Arial" w:cs="Arial"/>
          <w:sz w:val="22"/>
          <w:szCs w:val="22"/>
        </w:rPr>
        <w:t xml:space="preserve"> IV ganetespib </w:t>
      </w:r>
    </w:p>
    <w:p w14:paraId="182D0A7A" w14:textId="77777777" w:rsidR="00DA67E8" w:rsidRDefault="00DA67E8" w:rsidP="004B6333">
      <w:pPr>
        <w:snapToGrid w:val="0"/>
        <w:jc w:val="both"/>
        <w:rPr>
          <w:rFonts w:ascii="Arial" w:hAnsi="Arial" w:cs="Arial"/>
          <w:sz w:val="22"/>
          <w:szCs w:val="22"/>
        </w:rPr>
      </w:pPr>
    </w:p>
    <w:p w14:paraId="12F7A046" w14:textId="77777777" w:rsidR="005A5EC4" w:rsidRPr="00B53B51" w:rsidRDefault="005A5EC4" w:rsidP="004B6333">
      <w:pPr>
        <w:snapToGrid w:val="0"/>
        <w:jc w:val="both"/>
        <w:rPr>
          <w:rFonts w:ascii="Arial" w:hAnsi="Arial" w:cs="Arial"/>
          <w:sz w:val="22"/>
          <w:szCs w:val="22"/>
        </w:rPr>
      </w:pP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384"/>
        <w:gridCol w:w="388"/>
        <w:gridCol w:w="388"/>
        <w:gridCol w:w="390"/>
        <w:gridCol w:w="389"/>
        <w:gridCol w:w="388"/>
        <w:gridCol w:w="365"/>
        <w:gridCol w:w="384"/>
        <w:gridCol w:w="385"/>
        <w:gridCol w:w="385"/>
        <w:gridCol w:w="386"/>
        <w:gridCol w:w="385"/>
        <w:gridCol w:w="385"/>
        <w:gridCol w:w="385"/>
        <w:gridCol w:w="440"/>
        <w:gridCol w:w="392"/>
        <w:gridCol w:w="389"/>
        <w:gridCol w:w="389"/>
        <w:gridCol w:w="388"/>
        <w:gridCol w:w="493"/>
        <w:gridCol w:w="384"/>
      </w:tblGrid>
      <w:tr w:rsidR="00DA67E8" w:rsidRPr="00D67852" w14:paraId="0D266029" w14:textId="77777777" w:rsidTr="008E3B41">
        <w:trPr>
          <w:cantSplit/>
        </w:trPr>
        <w:tc>
          <w:tcPr>
            <w:tcW w:w="1406" w:type="dxa"/>
            <w:shd w:val="clear" w:color="auto" w:fill="D9D9D9"/>
          </w:tcPr>
          <w:p w14:paraId="40CC4884" w14:textId="77777777" w:rsidR="00DA67E8" w:rsidRPr="00B53B51" w:rsidRDefault="00DA67E8" w:rsidP="008E3B41">
            <w:pPr>
              <w:tabs>
                <w:tab w:val="left" w:pos="900"/>
              </w:tabs>
              <w:jc w:val="center"/>
              <w:rPr>
                <w:rFonts w:ascii="Arial" w:hAnsi="Arial" w:cs="Arial"/>
                <w:sz w:val="20"/>
              </w:rPr>
            </w:pPr>
          </w:p>
        </w:tc>
        <w:tc>
          <w:tcPr>
            <w:tcW w:w="2692" w:type="dxa"/>
            <w:gridSpan w:val="7"/>
            <w:shd w:val="clear" w:color="auto" w:fill="D9D9D9"/>
          </w:tcPr>
          <w:p w14:paraId="7806B46F" w14:textId="77777777" w:rsidR="00DA67E8" w:rsidRPr="00B53B51" w:rsidRDefault="00DA67E8" w:rsidP="008E3B41">
            <w:pPr>
              <w:tabs>
                <w:tab w:val="left" w:pos="900"/>
              </w:tabs>
              <w:jc w:val="center"/>
              <w:rPr>
                <w:rFonts w:ascii="Arial" w:hAnsi="Arial" w:cs="Arial"/>
                <w:sz w:val="20"/>
              </w:rPr>
            </w:pPr>
            <w:r w:rsidRPr="00B53B51">
              <w:rPr>
                <w:rFonts w:ascii="Arial" w:hAnsi="Arial" w:cs="Arial"/>
                <w:sz w:val="20"/>
              </w:rPr>
              <w:t>Week 1</w:t>
            </w:r>
          </w:p>
          <w:p w14:paraId="34450747" w14:textId="77777777" w:rsidR="00DA67E8" w:rsidRPr="00B53B51" w:rsidRDefault="00DA67E8" w:rsidP="008E3B41">
            <w:pPr>
              <w:tabs>
                <w:tab w:val="left" w:pos="900"/>
              </w:tabs>
              <w:jc w:val="center"/>
              <w:rPr>
                <w:rFonts w:ascii="Arial" w:hAnsi="Arial" w:cs="Arial"/>
                <w:sz w:val="20"/>
              </w:rPr>
            </w:pPr>
          </w:p>
        </w:tc>
        <w:tc>
          <w:tcPr>
            <w:tcW w:w="2695" w:type="dxa"/>
            <w:gridSpan w:val="7"/>
            <w:shd w:val="clear" w:color="auto" w:fill="D9D9D9"/>
          </w:tcPr>
          <w:p w14:paraId="5734F97F" w14:textId="77777777" w:rsidR="00DA67E8" w:rsidRPr="00B53B51" w:rsidRDefault="00DA67E8" w:rsidP="008E3B41">
            <w:pPr>
              <w:tabs>
                <w:tab w:val="left" w:pos="900"/>
              </w:tabs>
              <w:jc w:val="center"/>
              <w:rPr>
                <w:rFonts w:ascii="Arial" w:hAnsi="Arial" w:cs="Arial"/>
                <w:sz w:val="20"/>
              </w:rPr>
            </w:pPr>
            <w:r w:rsidRPr="00B53B51">
              <w:rPr>
                <w:rFonts w:ascii="Arial" w:hAnsi="Arial" w:cs="Arial"/>
                <w:sz w:val="20"/>
              </w:rPr>
              <w:t>Week 2</w:t>
            </w:r>
          </w:p>
        </w:tc>
        <w:tc>
          <w:tcPr>
            <w:tcW w:w="2875" w:type="dxa"/>
            <w:gridSpan w:val="7"/>
            <w:shd w:val="clear" w:color="auto" w:fill="D9D9D9"/>
          </w:tcPr>
          <w:p w14:paraId="26545AA6" w14:textId="77777777" w:rsidR="00DA67E8" w:rsidRPr="00B53B51" w:rsidRDefault="00DA67E8" w:rsidP="008E3B41">
            <w:pPr>
              <w:tabs>
                <w:tab w:val="left" w:pos="900"/>
              </w:tabs>
              <w:jc w:val="center"/>
              <w:rPr>
                <w:rFonts w:ascii="Arial" w:hAnsi="Arial" w:cs="Arial"/>
                <w:sz w:val="20"/>
              </w:rPr>
            </w:pPr>
            <w:r w:rsidRPr="00B53B51">
              <w:rPr>
                <w:rFonts w:ascii="Arial" w:hAnsi="Arial" w:cs="Arial"/>
                <w:sz w:val="20"/>
              </w:rPr>
              <w:t>Week 3</w:t>
            </w:r>
          </w:p>
        </w:tc>
      </w:tr>
      <w:tr w:rsidR="00DA67E8" w:rsidRPr="00D67852" w14:paraId="69AD4FB9" w14:textId="77777777" w:rsidTr="008E3B41">
        <w:trPr>
          <w:cantSplit/>
        </w:trPr>
        <w:tc>
          <w:tcPr>
            <w:tcW w:w="1406" w:type="dxa"/>
            <w:shd w:val="clear" w:color="auto" w:fill="D9D9D9"/>
          </w:tcPr>
          <w:p w14:paraId="1443ADCF" w14:textId="77777777" w:rsidR="00DA67E8" w:rsidRPr="00B53B51" w:rsidRDefault="00DA67E8" w:rsidP="008E3B41">
            <w:pPr>
              <w:tabs>
                <w:tab w:val="left" w:pos="900"/>
              </w:tabs>
              <w:rPr>
                <w:rFonts w:ascii="Arial" w:hAnsi="Arial" w:cs="Arial"/>
                <w:sz w:val="20"/>
                <w:szCs w:val="20"/>
              </w:rPr>
            </w:pPr>
            <w:r w:rsidRPr="00B53B51">
              <w:rPr>
                <w:rFonts w:ascii="Arial" w:hAnsi="Arial" w:cs="Arial"/>
                <w:sz w:val="20"/>
                <w:szCs w:val="20"/>
              </w:rPr>
              <w:t>Day</w:t>
            </w:r>
          </w:p>
        </w:tc>
        <w:tc>
          <w:tcPr>
            <w:tcW w:w="384" w:type="dxa"/>
            <w:shd w:val="clear" w:color="auto" w:fill="D9D9D9"/>
          </w:tcPr>
          <w:p w14:paraId="036F986C" w14:textId="77777777" w:rsidR="00DA67E8" w:rsidRPr="00B53B51" w:rsidRDefault="00DA67E8" w:rsidP="008E3B41">
            <w:pPr>
              <w:tabs>
                <w:tab w:val="left" w:pos="900"/>
              </w:tabs>
              <w:rPr>
                <w:rFonts w:ascii="Arial" w:hAnsi="Arial" w:cs="Arial"/>
                <w:sz w:val="14"/>
              </w:rPr>
            </w:pPr>
            <w:r w:rsidRPr="00B53B51">
              <w:rPr>
                <w:rFonts w:ascii="Arial" w:hAnsi="Arial" w:cs="Arial"/>
                <w:sz w:val="14"/>
              </w:rPr>
              <w:t>1</w:t>
            </w:r>
          </w:p>
        </w:tc>
        <w:tc>
          <w:tcPr>
            <w:tcW w:w="388" w:type="dxa"/>
            <w:shd w:val="clear" w:color="auto" w:fill="D9D9D9"/>
          </w:tcPr>
          <w:p w14:paraId="6B371FE1" w14:textId="77777777" w:rsidR="00DA67E8" w:rsidRPr="00B53B51" w:rsidRDefault="00DA67E8" w:rsidP="008E3B41">
            <w:pPr>
              <w:tabs>
                <w:tab w:val="left" w:pos="900"/>
              </w:tabs>
              <w:rPr>
                <w:rFonts w:ascii="Arial" w:hAnsi="Arial" w:cs="Arial"/>
                <w:sz w:val="14"/>
              </w:rPr>
            </w:pPr>
            <w:r w:rsidRPr="00B53B51">
              <w:rPr>
                <w:rFonts w:ascii="Arial" w:hAnsi="Arial" w:cs="Arial"/>
                <w:sz w:val="14"/>
              </w:rPr>
              <w:t>2</w:t>
            </w:r>
          </w:p>
        </w:tc>
        <w:tc>
          <w:tcPr>
            <w:tcW w:w="388" w:type="dxa"/>
            <w:shd w:val="clear" w:color="auto" w:fill="D9D9D9"/>
          </w:tcPr>
          <w:p w14:paraId="3CCEE0DE" w14:textId="77777777" w:rsidR="00DA67E8" w:rsidRPr="00B53B51" w:rsidRDefault="00DA67E8" w:rsidP="008E3B41">
            <w:pPr>
              <w:tabs>
                <w:tab w:val="left" w:pos="900"/>
              </w:tabs>
              <w:rPr>
                <w:rFonts w:ascii="Arial" w:hAnsi="Arial" w:cs="Arial"/>
                <w:sz w:val="14"/>
              </w:rPr>
            </w:pPr>
            <w:r w:rsidRPr="00B53B51">
              <w:rPr>
                <w:rFonts w:ascii="Arial" w:hAnsi="Arial" w:cs="Arial"/>
                <w:sz w:val="14"/>
              </w:rPr>
              <w:t>3</w:t>
            </w:r>
          </w:p>
        </w:tc>
        <w:tc>
          <w:tcPr>
            <w:tcW w:w="390" w:type="dxa"/>
            <w:shd w:val="clear" w:color="auto" w:fill="D9D9D9"/>
          </w:tcPr>
          <w:p w14:paraId="67956E4D" w14:textId="77777777" w:rsidR="00DA67E8" w:rsidRPr="00B53B51" w:rsidRDefault="00DA67E8" w:rsidP="008E3B41">
            <w:pPr>
              <w:tabs>
                <w:tab w:val="left" w:pos="900"/>
              </w:tabs>
              <w:rPr>
                <w:rFonts w:ascii="Arial" w:hAnsi="Arial" w:cs="Arial"/>
                <w:sz w:val="14"/>
              </w:rPr>
            </w:pPr>
            <w:r w:rsidRPr="00B53B51">
              <w:rPr>
                <w:rFonts w:ascii="Arial" w:hAnsi="Arial" w:cs="Arial"/>
                <w:sz w:val="14"/>
              </w:rPr>
              <w:t>4</w:t>
            </w:r>
          </w:p>
        </w:tc>
        <w:tc>
          <w:tcPr>
            <w:tcW w:w="389" w:type="dxa"/>
            <w:shd w:val="clear" w:color="auto" w:fill="D9D9D9"/>
          </w:tcPr>
          <w:p w14:paraId="6AB56F04" w14:textId="77777777" w:rsidR="00DA67E8" w:rsidRPr="00B53B51" w:rsidRDefault="00DA67E8" w:rsidP="008E3B41">
            <w:pPr>
              <w:tabs>
                <w:tab w:val="left" w:pos="900"/>
              </w:tabs>
              <w:rPr>
                <w:rFonts w:ascii="Arial" w:hAnsi="Arial" w:cs="Arial"/>
                <w:sz w:val="14"/>
              </w:rPr>
            </w:pPr>
            <w:r w:rsidRPr="00B53B51">
              <w:rPr>
                <w:rFonts w:ascii="Arial" w:hAnsi="Arial" w:cs="Arial"/>
                <w:sz w:val="14"/>
              </w:rPr>
              <w:t>5</w:t>
            </w:r>
          </w:p>
        </w:tc>
        <w:tc>
          <w:tcPr>
            <w:tcW w:w="388" w:type="dxa"/>
            <w:shd w:val="clear" w:color="auto" w:fill="D9D9D9"/>
          </w:tcPr>
          <w:p w14:paraId="4D70CDA2" w14:textId="77777777" w:rsidR="00DA67E8" w:rsidRPr="00B53B51" w:rsidRDefault="00DA67E8" w:rsidP="008E3B41">
            <w:pPr>
              <w:tabs>
                <w:tab w:val="left" w:pos="900"/>
              </w:tabs>
              <w:rPr>
                <w:rFonts w:ascii="Arial" w:hAnsi="Arial" w:cs="Arial"/>
                <w:sz w:val="14"/>
              </w:rPr>
            </w:pPr>
            <w:r w:rsidRPr="00B53B51">
              <w:rPr>
                <w:rFonts w:ascii="Arial" w:hAnsi="Arial" w:cs="Arial"/>
                <w:sz w:val="14"/>
              </w:rPr>
              <w:t>6</w:t>
            </w:r>
          </w:p>
        </w:tc>
        <w:tc>
          <w:tcPr>
            <w:tcW w:w="365" w:type="dxa"/>
            <w:shd w:val="clear" w:color="auto" w:fill="D9D9D9"/>
          </w:tcPr>
          <w:p w14:paraId="7B8DB03E" w14:textId="77777777" w:rsidR="00DA67E8" w:rsidRPr="00B53B51" w:rsidRDefault="00DA67E8" w:rsidP="008E3B41">
            <w:pPr>
              <w:tabs>
                <w:tab w:val="left" w:pos="900"/>
              </w:tabs>
              <w:rPr>
                <w:rFonts w:ascii="Arial" w:hAnsi="Arial" w:cs="Arial"/>
                <w:sz w:val="14"/>
              </w:rPr>
            </w:pPr>
            <w:r w:rsidRPr="00B53B51">
              <w:rPr>
                <w:rFonts w:ascii="Arial" w:hAnsi="Arial" w:cs="Arial"/>
                <w:sz w:val="14"/>
              </w:rPr>
              <w:t>7</w:t>
            </w:r>
          </w:p>
        </w:tc>
        <w:tc>
          <w:tcPr>
            <w:tcW w:w="384" w:type="dxa"/>
            <w:shd w:val="clear" w:color="auto" w:fill="D9D9D9"/>
          </w:tcPr>
          <w:p w14:paraId="05AF260D" w14:textId="77777777" w:rsidR="00DA67E8" w:rsidRPr="00B53B51" w:rsidRDefault="00DA67E8" w:rsidP="008E3B41">
            <w:pPr>
              <w:tabs>
                <w:tab w:val="left" w:pos="900"/>
              </w:tabs>
              <w:rPr>
                <w:rFonts w:ascii="Arial" w:hAnsi="Arial" w:cs="Arial"/>
                <w:sz w:val="14"/>
              </w:rPr>
            </w:pPr>
            <w:r w:rsidRPr="00B53B51">
              <w:rPr>
                <w:rFonts w:ascii="Arial" w:hAnsi="Arial" w:cs="Arial"/>
                <w:sz w:val="14"/>
              </w:rPr>
              <w:t>8</w:t>
            </w:r>
          </w:p>
        </w:tc>
        <w:tc>
          <w:tcPr>
            <w:tcW w:w="385" w:type="dxa"/>
            <w:shd w:val="clear" w:color="auto" w:fill="D9D9D9"/>
          </w:tcPr>
          <w:p w14:paraId="2B536703" w14:textId="77777777" w:rsidR="00DA67E8" w:rsidRPr="00B53B51" w:rsidRDefault="00DA67E8" w:rsidP="008E3B41">
            <w:pPr>
              <w:tabs>
                <w:tab w:val="left" w:pos="900"/>
              </w:tabs>
              <w:rPr>
                <w:rFonts w:ascii="Arial" w:hAnsi="Arial" w:cs="Arial"/>
                <w:sz w:val="14"/>
              </w:rPr>
            </w:pPr>
            <w:r w:rsidRPr="00B53B51">
              <w:rPr>
                <w:rFonts w:ascii="Arial" w:hAnsi="Arial" w:cs="Arial"/>
                <w:sz w:val="14"/>
              </w:rPr>
              <w:t>9</w:t>
            </w:r>
          </w:p>
        </w:tc>
        <w:tc>
          <w:tcPr>
            <w:tcW w:w="385" w:type="dxa"/>
            <w:shd w:val="clear" w:color="auto" w:fill="D9D9D9"/>
          </w:tcPr>
          <w:p w14:paraId="39A3B0F6" w14:textId="77777777" w:rsidR="00DA67E8" w:rsidRPr="00B53B51" w:rsidRDefault="00DA67E8" w:rsidP="008E3B41">
            <w:pPr>
              <w:tabs>
                <w:tab w:val="left" w:pos="900"/>
              </w:tabs>
              <w:rPr>
                <w:rFonts w:ascii="Arial" w:hAnsi="Arial" w:cs="Arial"/>
                <w:sz w:val="14"/>
              </w:rPr>
            </w:pPr>
            <w:r w:rsidRPr="00B53B51">
              <w:rPr>
                <w:rFonts w:ascii="Arial" w:hAnsi="Arial" w:cs="Arial"/>
                <w:sz w:val="14"/>
              </w:rPr>
              <w:t>10</w:t>
            </w:r>
          </w:p>
        </w:tc>
        <w:tc>
          <w:tcPr>
            <w:tcW w:w="386" w:type="dxa"/>
            <w:shd w:val="clear" w:color="auto" w:fill="D9D9D9"/>
          </w:tcPr>
          <w:p w14:paraId="57C8A329" w14:textId="77777777" w:rsidR="00DA67E8" w:rsidRPr="00B53B51" w:rsidRDefault="00DA67E8" w:rsidP="008E3B41">
            <w:pPr>
              <w:tabs>
                <w:tab w:val="left" w:pos="900"/>
              </w:tabs>
              <w:rPr>
                <w:rFonts w:ascii="Arial" w:hAnsi="Arial" w:cs="Arial"/>
                <w:sz w:val="14"/>
              </w:rPr>
            </w:pPr>
            <w:r w:rsidRPr="00B53B51">
              <w:rPr>
                <w:rFonts w:ascii="Arial" w:hAnsi="Arial" w:cs="Arial"/>
                <w:sz w:val="14"/>
              </w:rPr>
              <w:t>11</w:t>
            </w:r>
          </w:p>
        </w:tc>
        <w:tc>
          <w:tcPr>
            <w:tcW w:w="385" w:type="dxa"/>
            <w:shd w:val="clear" w:color="auto" w:fill="D9D9D9"/>
          </w:tcPr>
          <w:p w14:paraId="472834E9" w14:textId="77777777" w:rsidR="00DA67E8" w:rsidRPr="00B53B51" w:rsidRDefault="00DA67E8" w:rsidP="008E3B41">
            <w:pPr>
              <w:tabs>
                <w:tab w:val="left" w:pos="900"/>
              </w:tabs>
              <w:rPr>
                <w:rFonts w:ascii="Arial" w:hAnsi="Arial" w:cs="Arial"/>
                <w:sz w:val="14"/>
              </w:rPr>
            </w:pPr>
            <w:r w:rsidRPr="00B53B51">
              <w:rPr>
                <w:rFonts w:ascii="Arial" w:hAnsi="Arial" w:cs="Arial"/>
                <w:sz w:val="14"/>
              </w:rPr>
              <w:t>12</w:t>
            </w:r>
          </w:p>
        </w:tc>
        <w:tc>
          <w:tcPr>
            <w:tcW w:w="385" w:type="dxa"/>
            <w:shd w:val="clear" w:color="auto" w:fill="D9D9D9"/>
          </w:tcPr>
          <w:p w14:paraId="6C82A064" w14:textId="77777777" w:rsidR="00DA67E8" w:rsidRPr="00B53B51" w:rsidRDefault="00DA67E8" w:rsidP="008E3B41">
            <w:pPr>
              <w:tabs>
                <w:tab w:val="left" w:pos="900"/>
              </w:tabs>
              <w:rPr>
                <w:rFonts w:ascii="Arial" w:hAnsi="Arial" w:cs="Arial"/>
                <w:sz w:val="14"/>
              </w:rPr>
            </w:pPr>
            <w:r w:rsidRPr="00B53B51">
              <w:rPr>
                <w:rFonts w:ascii="Arial" w:hAnsi="Arial" w:cs="Arial"/>
                <w:sz w:val="14"/>
              </w:rPr>
              <w:t>13</w:t>
            </w:r>
          </w:p>
        </w:tc>
        <w:tc>
          <w:tcPr>
            <w:tcW w:w="385" w:type="dxa"/>
            <w:shd w:val="clear" w:color="auto" w:fill="D9D9D9"/>
          </w:tcPr>
          <w:p w14:paraId="6A4FFCAF" w14:textId="77777777" w:rsidR="00DA67E8" w:rsidRPr="00B53B51" w:rsidRDefault="00DA67E8" w:rsidP="008E3B41">
            <w:pPr>
              <w:tabs>
                <w:tab w:val="left" w:pos="900"/>
              </w:tabs>
              <w:rPr>
                <w:rFonts w:ascii="Arial" w:hAnsi="Arial" w:cs="Arial"/>
                <w:sz w:val="14"/>
              </w:rPr>
            </w:pPr>
            <w:r w:rsidRPr="00B53B51">
              <w:rPr>
                <w:rFonts w:ascii="Arial" w:hAnsi="Arial" w:cs="Arial"/>
                <w:sz w:val="14"/>
              </w:rPr>
              <w:t>14</w:t>
            </w:r>
          </w:p>
        </w:tc>
        <w:tc>
          <w:tcPr>
            <w:tcW w:w="440" w:type="dxa"/>
            <w:shd w:val="clear" w:color="auto" w:fill="D9D9D9"/>
          </w:tcPr>
          <w:p w14:paraId="199DB632" w14:textId="77777777" w:rsidR="00DA67E8" w:rsidRPr="00B53B51" w:rsidRDefault="00DA67E8" w:rsidP="008E3B41">
            <w:pPr>
              <w:tabs>
                <w:tab w:val="left" w:pos="900"/>
              </w:tabs>
              <w:rPr>
                <w:rFonts w:ascii="Arial" w:hAnsi="Arial" w:cs="Arial"/>
                <w:sz w:val="14"/>
              </w:rPr>
            </w:pPr>
            <w:r w:rsidRPr="00B53B51">
              <w:rPr>
                <w:rFonts w:ascii="Arial" w:hAnsi="Arial" w:cs="Arial"/>
                <w:sz w:val="14"/>
              </w:rPr>
              <w:t>15</w:t>
            </w:r>
          </w:p>
        </w:tc>
        <w:tc>
          <w:tcPr>
            <w:tcW w:w="392" w:type="dxa"/>
            <w:shd w:val="clear" w:color="auto" w:fill="D9D9D9"/>
          </w:tcPr>
          <w:p w14:paraId="52634FDD" w14:textId="77777777" w:rsidR="00DA67E8" w:rsidRPr="00B53B51" w:rsidRDefault="00DA67E8" w:rsidP="008E3B41">
            <w:pPr>
              <w:tabs>
                <w:tab w:val="left" w:pos="900"/>
              </w:tabs>
              <w:rPr>
                <w:rFonts w:ascii="Arial" w:hAnsi="Arial" w:cs="Arial"/>
                <w:sz w:val="14"/>
              </w:rPr>
            </w:pPr>
            <w:r w:rsidRPr="00B53B51">
              <w:rPr>
                <w:rFonts w:ascii="Arial" w:hAnsi="Arial" w:cs="Arial"/>
                <w:sz w:val="14"/>
              </w:rPr>
              <w:t>16</w:t>
            </w:r>
          </w:p>
        </w:tc>
        <w:tc>
          <w:tcPr>
            <w:tcW w:w="389" w:type="dxa"/>
            <w:shd w:val="clear" w:color="auto" w:fill="D9D9D9"/>
          </w:tcPr>
          <w:p w14:paraId="46FBB7DD" w14:textId="77777777" w:rsidR="00DA67E8" w:rsidRPr="00B53B51" w:rsidRDefault="00DA67E8" w:rsidP="008E3B41">
            <w:pPr>
              <w:tabs>
                <w:tab w:val="left" w:pos="900"/>
              </w:tabs>
              <w:rPr>
                <w:rFonts w:ascii="Arial" w:hAnsi="Arial" w:cs="Arial"/>
                <w:sz w:val="14"/>
              </w:rPr>
            </w:pPr>
            <w:r w:rsidRPr="00B53B51">
              <w:rPr>
                <w:rFonts w:ascii="Arial" w:hAnsi="Arial" w:cs="Arial"/>
                <w:sz w:val="14"/>
              </w:rPr>
              <w:t>17</w:t>
            </w:r>
          </w:p>
        </w:tc>
        <w:tc>
          <w:tcPr>
            <w:tcW w:w="389" w:type="dxa"/>
            <w:shd w:val="clear" w:color="auto" w:fill="D9D9D9"/>
          </w:tcPr>
          <w:p w14:paraId="41C96650" w14:textId="77777777" w:rsidR="00DA67E8" w:rsidRPr="00B53B51" w:rsidRDefault="00DA67E8" w:rsidP="008E3B41">
            <w:pPr>
              <w:tabs>
                <w:tab w:val="left" w:pos="900"/>
              </w:tabs>
              <w:rPr>
                <w:rFonts w:ascii="Arial" w:hAnsi="Arial" w:cs="Arial"/>
                <w:sz w:val="14"/>
              </w:rPr>
            </w:pPr>
            <w:r w:rsidRPr="00B53B51">
              <w:rPr>
                <w:rFonts w:ascii="Arial" w:hAnsi="Arial" w:cs="Arial"/>
                <w:sz w:val="14"/>
              </w:rPr>
              <w:t>18</w:t>
            </w:r>
          </w:p>
        </w:tc>
        <w:tc>
          <w:tcPr>
            <w:tcW w:w="388" w:type="dxa"/>
            <w:shd w:val="clear" w:color="auto" w:fill="D9D9D9"/>
          </w:tcPr>
          <w:p w14:paraId="6666DA69" w14:textId="77777777" w:rsidR="00DA67E8" w:rsidRPr="00B53B51" w:rsidRDefault="00DA67E8" w:rsidP="008E3B41">
            <w:pPr>
              <w:tabs>
                <w:tab w:val="left" w:pos="900"/>
              </w:tabs>
              <w:rPr>
                <w:rFonts w:ascii="Arial" w:hAnsi="Arial" w:cs="Arial"/>
                <w:sz w:val="14"/>
              </w:rPr>
            </w:pPr>
            <w:r w:rsidRPr="00B53B51">
              <w:rPr>
                <w:rFonts w:ascii="Arial" w:hAnsi="Arial" w:cs="Arial"/>
                <w:sz w:val="14"/>
              </w:rPr>
              <w:t>19</w:t>
            </w:r>
          </w:p>
        </w:tc>
        <w:tc>
          <w:tcPr>
            <w:tcW w:w="493" w:type="dxa"/>
            <w:shd w:val="clear" w:color="auto" w:fill="D9D9D9"/>
          </w:tcPr>
          <w:p w14:paraId="12D5D5B3" w14:textId="77777777" w:rsidR="00DA67E8" w:rsidRPr="00B53B51" w:rsidRDefault="00DA67E8" w:rsidP="008E3B41">
            <w:pPr>
              <w:tabs>
                <w:tab w:val="left" w:pos="900"/>
              </w:tabs>
              <w:rPr>
                <w:rFonts w:ascii="Arial" w:hAnsi="Arial" w:cs="Arial"/>
                <w:sz w:val="14"/>
              </w:rPr>
            </w:pPr>
            <w:r w:rsidRPr="00B53B51">
              <w:rPr>
                <w:rFonts w:ascii="Arial" w:hAnsi="Arial" w:cs="Arial"/>
                <w:sz w:val="14"/>
              </w:rPr>
              <w:t>20</w:t>
            </w:r>
          </w:p>
        </w:tc>
        <w:tc>
          <w:tcPr>
            <w:tcW w:w="384" w:type="dxa"/>
            <w:shd w:val="clear" w:color="auto" w:fill="D9D9D9"/>
          </w:tcPr>
          <w:p w14:paraId="3073E88E" w14:textId="77777777" w:rsidR="00DA67E8" w:rsidRPr="00B53B51" w:rsidRDefault="00DA67E8" w:rsidP="008E3B41">
            <w:pPr>
              <w:tabs>
                <w:tab w:val="left" w:pos="900"/>
              </w:tabs>
              <w:rPr>
                <w:rFonts w:ascii="Arial" w:hAnsi="Arial" w:cs="Arial"/>
                <w:sz w:val="14"/>
              </w:rPr>
            </w:pPr>
            <w:r w:rsidRPr="00B53B51">
              <w:rPr>
                <w:rFonts w:ascii="Arial" w:hAnsi="Arial" w:cs="Arial"/>
                <w:sz w:val="14"/>
              </w:rPr>
              <w:t>21</w:t>
            </w:r>
          </w:p>
        </w:tc>
      </w:tr>
      <w:tr w:rsidR="00DA67E8" w:rsidRPr="00D67852" w14:paraId="78D50A7D" w14:textId="77777777" w:rsidTr="008E3B41">
        <w:trPr>
          <w:cantSplit/>
        </w:trPr>
        <w:tc>
          <w:tcPr>
            <w:tcW w:w="1406" w:type="dxa"/>
          </w:tcPr>
          <w:p w14:paraId="38D858A1" w14:textId="77777777" w:rsidR="00DA67E8" w:rsidRDefault="00DA67E8" w:rsidP="008E3B41">
            <w:pPr>
              <w:tabs>
                <w:tab w:val="left" w:pos="900"/>
              </w:tabs>
              <w:rPr>
                <w:rFonts w:ascii="Arial" w:hAnsi="Arial" w:cs="Arial"/>
                <w:sz w:val="20"/>
              </w:rPr>
            </w:pPr>
            <w:r w:rsidRPr="00B53B51">
              <w:rPr>
                <w:rFonts w:ascii="Arial" w:hAnsi="Arial" w:cs="Arial"/>
                <w:sz w:val="20"/>
              </w:rPr>
              <w:t>Ganetespib</w:t>
            </w:r>
          </w:p>
          <w:p w14:paraId="5ECCEBF5" w14:textId="77777777" w:rsidR="00DA67E8" w:rsidRPr="00B53B51" w:rsidRDefault="00DA67E8" w:rsidP="008E3B41">
            <w:pPr>
              <w:tabs>
                <w:tab w:val="left" w:pos="900"/>
              </w:tabs>
              <w:rPr>
                <w:rFonts w:ascii="Arial" w:hAnsi="Arial" w:cs="Arial"/>
                <w:sz w:val="20"/>
              </w:rPr>
            </w:pPr>
          </w:p>
        </w:tc>
        <w:tc>
          <w:tcPr>
            <w:tcW w:w="384" w:type="dxa"/>
          </w:tcPr>
          <w:p w14:paraId="7684FD2D" w14:textId="77777777" w:rsidR="00DA67E8" w:rsidRPr="00B53B51" w:rsidRDefault="00DA67E8" w:rsidP="008E3B41">
            <w:pPr>
              <w:tabs>
                <w:tab w:val="left" w:pos="900"/>
              </w:tabs>
              <w:rPr>
                <w:rFonts w:ascii="Arial" w:hAnsi="Arial" w:cs="Arial"/>
                <w:sz w:val="20"/>
              </w:rPr>
            </w:pPr>
            <w:r w:rsidRPr="00B53B51">
              <w:rPr>
                <w:rFonts w:ascii="Arial" w:hAnsi="Arial" w:cs="Arial"/>
                <w:sz w:val="20"/>
              </w:rPr>
              <w:t>X</w:t>
            </w:r>
          </w:p>
        </w:tc>
        <w:tc>
          <w:tcPr>
            <w:tcW w:w="388" w:type="dxa"/>
          </w:tcPr>
          <w:p w14:paraId="66F1AC1E" w14:textId="77777777" w:rsidR="00DA67E8" w:rsidRPr="00B53B51" w:rsidRDefault="00DA67E8" w:rsidP="008E3B41">
            <w:pPr>
              <w:tabs>
                <w:tab w:val="left" w:pos="900"/>
              </w:tabs>
              <w:rPr>
                <w:rFonts w:ascii="Arial" w:hAnsi="Arial" w:cs="Arial"/>
                <w:sz w:val="20"/>
              </w:rPr>
            </w:pPr>
          </w:p>
        </w:tc>
        <w:tc>
          <w:tcPr>
            <w:tcW w:w="388" w:type="dxa"/>
          </w:tcPr>
          <w:p w14:paraId="6064F601" w14:textId="77777777" w:rsidR="00DA67E8" w:rsidRPr="00B53B51" w:rsidRDefault="00DA67E8" w:rsidP="008E3B41">
            <w:pPr>
              <w:tabs>
                <w:tab w:val="left" w:pos="900"/>
              </w:tabs>
              <w:rPr>
                <w:rFonts w:ascii="Arial" w:hAnsi="Arial" w:cs="Arial"/>
                <w:sz w:val="20"/>
              </w:rPr>
            </w:pPr>
          </w:p>
        </w:tc>
        <w:tc>
          <w:tcPr>
            <w:tcW w:w="390" w:type="dxa"/>
          </w:tcPr>
          <w:p w14:paraId="1C3E6EEA" w14:textId="77777777" w:rsidR="00DA67E8" w:rsidRPr="00B53B51" w:rsidRDefault="00DA67E8" w:rsidP="008E3B41">
            <w:pPr>
              <w:tabs>
                <w:tab w:val="left" w:pos="900"/>
              </w:tabs>
              <w:rPr>
                <w:rFonts w:ascii="Arial" w:hAnsi="Arial" w:cs="Arial"/>
                <w:sz w:val="20"/>
              </w:rPr>
            </w:pPr>
          </w:p>
        </w:tc>
        <w:tc>
          <w:tcPr>
            <w:tcW w:w="389" w:type="dxa"/>
          </w:tcPr>
          <w:p w14:paraId="2231C5BA" w14:textId="77777777" w:rsidR="00DA67E8" w:rsidRPr="00B53B51" w:rsidRDefault="00DA67E8" w:rsidP="008E3B41">
            <w:pPr>
              <w:tabs>
                <w:tab w:val="left" w:pos="900"/>
              </w:tabs>
              <w:rPr>
                <w:rFonts w:ascii="Arial" w:hAnsi="Arial" w:cs="Arial"/>
                <w:sz w:val="20"/>
              </w:rPr>
            </w:pPr>
          </w:p>
        </w:tc>
        <w:tc>
          <w:tcPr>
            <w:tcW w:w="388" w:type="dxa"/>
          </w:tcPr>
          <w:p w14:paraId="6A7B2551" w14:textId="77777777" w:rsidR="00DA67E8" w:rsidRPr="00B53B51" w:rsidRDefault="00DA67E8" w:rsidP="008E3B41">
            <w:pPr>
              <w:tabs>
                <w:tab w:val="left" w:pos="900"/>
              </w:tabs>
              <w:rPr>
                <w:rFonts w:ascii="Arial" w:hAnsi="Arial" w:cs="Arial"/>
                <w:sz w:val="20"/>
              </w:rPr>
            </w:pPr>
          </w:p>
        </w:tc>
        <w:tc>
          <w:tcPr>
            <w:tcW w:w="365" w:type="dxa"/>
          </w:tcPr>
          <w:p w14:paraId="11538FD6" w14:textId="77777777" w:rsidR="00DA67E8" w:rsidRPr="00B53B51" w:rsidRDefault="00DA67E8" w:rsidP="008E3B41">
            <w:pPr>
              <w:tabs>
                <w:tab w:val="left" w:pos="900"/>
              </w:tabs>
              <w:rPr>
                <w:rFonts w:ascii="Arial" w:hAnsi="Arial" w:cs="Arial"/>
                <w:sz w:val="20"/>
              </w:rPr>
            </w:pPr>
          </w:p>
        </w:tc>
        <w:tc>
          <w:tcPr>
            <w:tcW w:w="384" w:type="dxa"/>
          </w:tcPr>
          <w:p w14:paraId="4DC1BE70" w14:textId="77777777" w:rsidR="00DA67E8" w:rsidRPr="00B53B51" w:rsidRDefault="00DA67E8" w:rsidP="008E3B41">
            <w:pPr>
              <w:tabs>
                <w:tab w:val="left" w:pos="900"/>
              </w:tabs>
              <w:rPr>
                <w:rFonts w:ascii="Arial" w:hAnsi="Arial" w:cs="Arial"/>
                <w:sz w:val="20"/>
              </w:rPr>
            </w:pPr>
          </w:p>
        </w:tc>
        <w:tc>
          <w:tcPr>
            <w:tcW w:w="385" w:type="dxa"/>
          </w:tcPr>
          <w:p w14:paraId="1CB3A349" w14:textId="77777777" w:rsidR="00DA67E8" w:rsidRPr="00B53B51" w:rsidRDefault="00DA67E8" w:rsidP="008E3B41">
            <w:pPr>
              <w:tabs>
                <w:tab w:val="left" w:pos="900"/>
              </w:tabs>
              <w:rPr>
                <w:rFonts w:ascii="Arial" w:hAnsi="Arial" w:cs="Arial"/>
                <w:sz w:val="20"/>
              </w:rPr>
            </w:pPr>
          </w:p>
        </w:tc>
        <w:tc>
          <w:tcPr>
            <w:tcW w:w="385" w:type="dxa"/>
          </w:tcPr>
          <w:p w14:paraId="328BDDC5" w14:textId="77777777" w:rsidR="00DA67E8" w:rsidRPr="00B53B51" w:rsidRDefault="00DA67E8" w:rsidP="008E3B41">
            <w:pPr>
              <w:tabs>
                <w:tab w:val="left" w:pos="900"/>
              </w:tabs>
              <w:rPr>
                <w:rFonts w:ascii="Arial" w:hAnsi="Arial" w:cs="Arial"/>
                <w:sz w:val="20"/>
              </w:rPr>
            </w:pPr>
          </w:p>
        </w:tc>
        <w:tc>
          <w:tcPr>
            <w:tcW w:w="386" w:type="dxa"/>
          </w:tcPr>
          <w:p w14:paraId="3AC79586" w14:textId="77777777" w:rsidR="00DA67E8" w:rsidRPr="00B53B51" w:rsidRDefault="00DA67E8" w:rsidP="008E3B41">
            <w:pPr>
              <w:tabs>
                <w:tab w:val="left" w:pos="900"/>
              </w:tabs>
              <w:rPr>
                <w:rFonts w:ascii="Arial" w:hAnsi="Arial" w:cs="Arial"/>
                <w:sz w:val="20"/>
              </w:rPr>
            </w:pPr>
          </w:p>
        </w:tc>
        <w:tc>
          <w:tcPr>
            <w:tcW w:w="385" w:type="dxa"/>
          </w:tcPr>
          <w:p w14:paraId="15C0100C" w14:textId="77777777" w:rsidR="00DA67E8" w:rsidRPr="00B53B51" w:rsidRDefault="00DA67E8" w:rsidP="008E3B41">
            <w:pPr>
              <w:tabs>
                <w:tab w:val="left" w:pos="900"/>
              </w:tabs>
              <w:rPr>
                <w:rFonts w:ascii="Arial" w:hAnsi="Arial" w:cs="Arial"/>
                <w:sz w:val="20"/>
              </w:rPr>
            </w:pPr>
          </w:p>
        </w:tc>
        <w:tc>
          <w:tcPr>
            <w:tcW w:w="385" w:type="dxa"/>
          </w:tcPr>
          <w:p w14:paraId="04345216" w14:textId="77777777" w:rsidR="00DA67E8" w:rsidRPr="00B53B51" w:rsidRDefault="00DA67E8" w:rsidP="008E3B41">
            <w:pPr>
              <w:tabs>
                <w:tab w:val="left" w:pos="900"/>
              </w:tabs>
              <w:rPr>
                <w:rFonts w:ascii="Arial" w:hAnsi="Arial" w:cs="Arial"/>
                <w:sz w:val="20"/>
              </w:rPr>
            </w:pPr>
          </w:p>
        </w:tc>
        <w:tc>
          <w:tcPr>
            <w:tcW w:w="385" w:type="dxa"/>
          </w:tcPr>
          <w:p w14:paraId="663DD288" w14:textId="77777777" w:rsidR="00DA67E8" w:rsidRPr="00B53B51" w:rsidRDefault="00DA67E8" w:rsidP="008E3B41">
            <w:pPr>
              <w:tabs>
                <w:tab w:val="left" w:pos="900"/>
              </w:tabs>
              <w:rPr>
                <w:rFonts w:ascii="Arial" w:hAnsi="Arial" w:cs="Arial"/>
                <w:sz w:val="20"/>
              </w:rPr>
            </w:pPr>
          </w:p>
        </w:tc>
        <w:tc>
          <w:tcPr>
            <w:tcW w:w="440" w:type="dxa"/>
          </w:tcPr>
          <w:p w14:paraId="6CC2A29D" w14:textId="77777777" w:rsidR="00DA67E8" w:rsidRPr="00B53B51" w:rsidRDefault="00782B5E" w:rsidP="008E3B41">
            <w:pPr>
              <w:tabs>
                <w:tab w:val="left" w:pos="900"/>
              </w:tabs>
              <w:rPr>
                <w:rFonts w:ascii="Arial" w:hAnsi="Arial" w:cs="Arial"/>
                <w:sz w:val="20"/>
              </w:rPr>
            </w:pPr>
            <w:r>
              <w:rPr>
                <w:rFonts w:ascii="Arial" w:hAnsi="Arial" w:cs="Arial"/>
                <w:sz w:val="20"/>
              </w:rPr>
              <w:t>X</w:t>
            </w:r>
          </w:p>
        </w:tc>
        <w:tc>
          <w:tcPr>
            <w:tcW w:w="392" w:type="dxa"/>
          </w:tcPr>
          <w:p w14:paraId="01E560DE" w14:textId="77777777" w:rsidR="00DA67E8" w:rsidRPr="00B53B51" w:rsidRDefault="00DA67E8" w:rsidP="008E3B41">
            <w:pPr>
              <w:tabs>
                <w:tab w:val="left" w:pos="900"/>
              </w:tabs>
              <w:rPr>
                <w:rFonts w:ascii="Arial" w:hAnsi="Arial" w:cs="Arial"/>
                <w:sz w:val="20"/>
              </w:rPr>
            </w:pPr>
          </w:p>
        </w:tc>
        <w:tc>
          <w:tcPr>
            <w:tcW w:w="389" w:type="dxa"/>
          </w:tcPr>
          <w:p w14:paraId="57C1D3A1" w14:textId="77777777" w:rsidR="00DA67E8" w:rsidRPr="00B53B51" w:rsidRDefault="00DA67E8" w:rsidP="008E3B41">
            <w:pPr>
              <w:tabs>
                <w:tab w:val="left" w:pos="900"/>
              </w:tabs>
              <w:rPr>
                <w:rFonts w:ascii="Arial" w:hAnsi="Arial" w:cs="Arial"/>
                <w:sz w:val="20"/>
              </w:rPr>
            </w:pPr>
          </w:p>
        </w:tc>
        <w:tc>
          <w:tcPr>
            <w:tcW w:w="389" w:type="dxa"/>
          </w:tcPr>
          <w:p w14:paraId="41E09D0F" w14:textId="77777777" w:rsidR="00DA67E8" w:rsidRPr="00B53B51" w:rsidRDefault="00DA67E8" w:rsidP="008E3B41">
            <w:pPr>
              <w:tabs>
                <w:tab w:val="left" w:pos="900"/>
              </w:tabs>
              <w:rPr>
                <w:rFonts w:ascii="Arial" w:hAnsi="Arial" w:cs="Arial"/>
                <w:sz w:val="20"/>
              </w:rPr>
            </w:pPr>
          </w:p>
        </w:tc>
        <w:tc>
          <w:tcPr>
            <w:tcW w:w="388" w:type="dxa"/>
          </w:tcPr>
          <w:p w14:paraId="60F6238F" w14:textId="77777777" w:rsidR="00DA67E8" w:rsidRPr="00B53B51" w:rsidRDefault="00DA67E8" w:rsidP="008E3B41">
            <w:pPr>
              <w:tabs>
                <w:tab w:val="left" w:pos="900"/>
              </w:tabs>
              <w:rPr>
                <w:rFonts w:ascii="Arial" w:hAnsi="Arial" w:cs="Arial"/>
                <w:sz w:val="20"/>
              </w:rPr>
            </w:pPr>
          </w:p>
        </w:tc>
        <w:tc>
          <w:tcPr>
            <w:tcW w:w="493" w:type="dxa"/>
          </w:tcPr>
          <w:p w14:paraId="5DBF205B" w14:textId="77777777" w:rsidR="00DA67E8" w:rsidRPr="00B53B51" w:rsidRDefault="00DA67E8" w:rsidP="008E3B41">
            <w:pPr>
              <w:tabs>
                <w:tab w:val="left" w:pos="900"/>
              </w:tabs>
              <w:rPr>
                <w:rFonts w:ascii="Arial" w:hAnsi="Arial" w:cs="Arial"/>
                <w:sz w:val="20"/>
              </w:rPr>
            </w:pPr>
          </w:p>
        </w:tc>
        <w:tc>
          <w:tcPr>
            <w:tcW w:w="384" w:type="dxa"/>
          </w:tcPr>
          <w:p w14:paraId="0849231F" w14:textId="77777777" w:rsidR="00DA67E8" w:rsidRPr="00B53B51" w:rsidRDefault="00DA67E8" w:rsidP="008E3B41">
            <w:pPr>
              <w:tabs>
                <w:tab w:val="left" w:pos="900"/>
              </w:tabs>
              <w:rPr>
                <w:rFonts w:ascii="Arial" w:hAnsi="Arial" w:cs="Arial"/>
                <w:sz w:val="20"/>
              </w:rPr>
            </w:pPr>
          </w:p>
        </w:tc>
      </w:tr>
      <w:tr w:rsidR="00DA67E8" w:rsidRPr="00D67852" w14:paraId="278AECDB" w14:textId="77777777" w:rsidTr="008E3B41">
        <w:trPr>
          <w:cantSplit/>
        </w:trPr>
        <w:tc>
          <w:tcPr>
            <w:tcW w:w="1406" w:type="dxa"/>
          </w:tcPr>
          <w:p w14:paraId="20006063" w14:textId="77777777" w:rsidR="00DA67E8" w:rsidRPr="00B53B51" w:rsidRDefault="00DA67E8" w:rsidP="008E3B41">
            <w:pPr>
              <w:tabs>
                <w:tab w:val="left" w:pos="900"/>
              </w:tabs>
              <w:rPr>
                <w:rFonts w:ascii="Arial" w:hAnsi="Arial" w:cs="Arial"/>
                <w:sz w:val="20"/>
                <w:szCs w:val="20"/>
              </w:rPr>
            </w:pPr>
            <w:r w:rsidRPr="00B53B51">
              <w:rPr>
                <w:rFonts w:ascii="Arial" w:hAnsi="Arial" w:cs="Arial"/>
                <w:sz w:val="20"/>
                <w:szCs w:val="20"/>
              </w:rPr>
              <w:t>Pemetrexed</w:t>
            </w:r>
          </w:p>
          <w:p w14:paraId="497E7CEC" w14:textId="77777777" w:rsidR="00DA67E8" w:rsidRPr="00B53B51" w:rsidRDefault="00DA67E8" w:rsidP="008E3B41">
            <w:pPr>
              <w:tabs>
                <w:tab w:val="left" w:pos="900"/>
              </w:tabs>
              <w:rPr>
                <w:rFonts w:ascii="Arial" w:hAnsi="Arial" w:cs="Arial"/>
                <w:sz w:val="20"/>
                <w:szCs w:val="20"/>
              </w:rPr>
            </w:pPr>
            <w:r w:rsidRPr="00B53B51">
              <w:rPr>
                <w:rFonts w:ascii="Arial" w:hAnsi="Arial" w:cs="Arial"/>
                <w:sz w:val="20"/>
                <w:szCs w:val="20"/>
              </w:rPr>
              <w:t>500mg/m</w:t>
            </w:r>
            <w:r w:rsidRPr="00B53B51">
              <w:rPr>
                <w:rFonts w:ascii="Arial" w:hAnsi="Arial" w:cs="Arial"/>
                <w:sz w:val="20"/>
                <w:szCs w:val="20"/>
                <w:vertAlign w:val="superscript"/>
              </w:rPr>
              <w:t>2</w:t>
            </w:r>
            <w:r w:rsidRPr="00B53B51">
              <w:rPr>
                <w:rFonts w:ascii="Arial" w:hAnsi="Arial" w:cs="Arial"/>
                <w:sz w:val="20"/>
                <w:szCs w:val="20"/>
              </w:rPr>
              <w:t xml:space="preserve"> IV</w:t>
            </w:r>
          </w:p>
        </w:tc>
        <w:tc>
          <w:tcPr>
            <w:tcW w:w="384" w:type="dxa"/>
          </w:tcPr>
          <w:p w14:paraId="148B441A" w14:textId="77777777" w:rsidR="00DA67E8" w:rsidRPr="00B53B51" w:rsidRDefault="00DA67E8" w:rsidP="008E3B41">
            <w:pPr>
              <w:tabs>
                <w:tab w:val="left" w:pos="900"/>
              </w:tabs>
              <w:rPr>
                <w:rFonts w:ascii="Arial" w:hAnsi="Arial" w:cs="Arial"/>
                <w:sz w:val="20"/>
              </w:rPr>
            </w:pPr>
            <w:r w:rsidRPr="00B53B51">
              <w:rPr>
                <w:rFonts w:ascii="Arial" w:hAnsi="Arial" w:cs="Arial"/>
                <w:sz w:val="20"/>
              </w:rPr>
              <w:t>X</w:t>
            </w:r>
          </w:p>
        </w:tc>
        <w:tc>
          <w:tcPr>
            <w:tcW w:w="388" w:type="dxa"/>
          </w:tcPr>
          <w:p w14:paraId="3DC04F2B" w14:textId="77777777" w:rsidR="00DA67E8" w:rsidRPr="00B53B51" w:rsidRDefault="00DA67E8" w:rsidP="008E3B41">
            <w:pPr>
              <w:tabs>
                <w:tab w:val="left" w:pos="900"/>
              </w:tabs>
              <w:rPr>
                <w:rFonts w:ascii="Arial" w:hAnsi="Arial" w:cs="Arial"/>
                <w:sz w:val="20"/>
              </w:rPr>
            </w:pPr>
          </w:p>
        </w:tc>
        <w:tc>
          <w:tcPr>
            <w:tcW w:w="388" w:type="dxa"/>
          </w:tcPr>
          <w:p w14:paraId="15AA0788" w14:textId="77777777" w:rsidR="00DA67E8" w:rsidRPr="00B53B51" w:rsidRDefault="00DA67E8" w:rsidP="008E3B41">
            <w:pPr>
              <w:tabs>
                <w:tab w:val="left" w:pos="900"/>
              </w:tabs>
              <w:rPr>
                <w:rFonts w:ascii="Arial" w:hAnsi="Arial" w:cs="Arial"/>
                <w:sz w:val="20"/>
              </w:rPr>
            </w:pPr>
          </w:p>
        </w:tc>
        <w:tc>
          <w:tcPr>
            <w:tcW w:w="390" w:type="dxa"/>
          </w:tcPr>
          <w:p w14:paraId="36EF96E4" w14:textId="77777777" w:rsidR="00DA67E8" w:rsidRPr="00B53B51" w:rsidRDefault="00DA67E8" w:rsidP="008E3B41">
            <w:pPr>
              <w:tabs>
                <w:tab w:val="left" w:pos="900"/>
              </w:tabs>
              <w:rPr>
                <w:rFonts w:ascii="Arial" w:hAnsi="Arial" w:cs="Arial"/>
                <w:sz w:val="20"/>
              </w:rPr>
            </w:pPr>
          </w:p>
        </w:tc>
        <w:tc>
          <w:tcPr>
            <w:tcW w:w="389" w:type="dxa"/>
          </w:tcPr>
          <w:p w14:paraId="207C824B" w14:textId="77777777" w:rsidR="00DA67E8" w:rsidRPr="00B53B51" w:rsidRDefault="00DA67E8" w:rsidP="008E3B41">
            <w:pPr>
              <w:tabs>
                <w:tab w:val="left" w:pos="900"/>
              </w:tabs>
              <w:rPr>
                <w:rFonts w:ascii="Arial" w:hAnsi="Arial" w:cs="Arial"/>
                <w:sz w:val="20"/>
              </w:rPr>
            </w:pPr>
          </w:p>
        </w:tc>
        <w:tc>
          <w:tcPr>
            <w:tcW w:w="388" w:type="dxa"/>
          </w:tcPr>
          <w:p w14:paraId="639F4C70" w14:textId="77777777" w:rsidR="00DA67E8" w:rsidRPr="00B53B51" w:rsidRDefault="00DA67E8" w:rsidP="008E3B41">
            <w:pPr>
              <w:tabs>
                <w:tab w:val="left" w:pos="900"/>
              </w:tabs>
              <w:rPr>
                <w:rFonts w:ascii="Arial" w:hAnsi="Arial" w:cs="Arial"/>
                <w:sz w:val="20"/>
              </w:rPr>
            </w:pPr>
          </w:p>
        </w:tc>
        <w:tc>
          <w:tcPr>
            <w:tcW w:w="365" w:type="dxa"/>
          </w:tcPr>
          <w:p w14:paraId="714452AE" w14:textId="77777777" w:rsidR="00DA67E8" w:rsidRPr="00B53B51" w:rsidRDefault="00DA67E8" w:rsidP="008E3B41">
            <w:pPr>
              <w:tabs>
                <w:tab w:val="left" w:pos="900"/>
              </w:tabs>
              <w:rPr>
                <w:rFonts w:ascii="Arial" w:hAnsi="Arial" w:cs="Arial"/>
                <w:sz w:val="20"/>
              </w:rPr>
            </w:pPr>
          </w:p>
        </w:tc>
        <w:tc>
          <w:tcPr>
            <w:tcW w:w="384" w:type="dxa"/>
          </w:tcPr>
          <w:p w14:paraId="6524CFED" w14:textId="77777777" w:rsidR="00DA67E8" w:rsidRPr="00B53B51" w:rsidRDefault="00DA67E8" w:rsidP="008E3B41">
            <w:pPr>
              <w:tabs>
                <w:tab w:val="left" w:pos="900"/>
              </w:tabs>
              <w:rPr>
                <w:rFonts w:ascii="Arial" w:hAnsi="Arial" w:cs="Arial"/>
                <w:sz w:val="20"/>
              </w:rPr>
            </w:pPr>
          </w:p>
        </w:tc>
        <w:tc>
          <w:tcPr>
            <w:tcW w:w="385" w:type="dxa"/>
          </w:tcPr>
          <w:p w14:paraId="50499488" w14:textId="77777777" w:rsidR="00DA67E8" w:rsidRPr="00B53B51" w:rsidRDefault="00DA67E8" w:rsidP="008E3B41">
            <w:pPr>
              <w:tabs>
                <w:tab w:val="left" w:pos="900"/>
              </w:tabs>
              <w:rPr>
                <w:rFonts w:ascii="Arial" w:hAnsi="Arial" w:cs="Arial"/>
                <w:sz w:val="20"/>
              </w:rPr>
            </w:pPr>
          </w:p>
        </w:tc>
        <w:tc>
          <w:tcPr>
            <w:tcW w:w="385" w:type="dxa"/>
          </w:tcPr>
          <w:p w14:paraId="31D412A7" w14:textId="77777777" w:rsidR="00DA67E8" w:rsidRPr="00B53B51" w:rsidRDefault="00DA67E8" w:rsidP="008E3B41">
            <w:pPr>
              <w:tabs>
                <w:tab w:val="left" w:pos="900"/>
              </w:tabs>
              <w:rPr>
                <w:rFonts w:ascii="Arial" w:hAnsi="Arial" w:cs="Arial"/>
                <w:sz w:val="20"/>
              </w:rPr>
            </w:pPr>
          </w:p>
        </w:tc>
        <w:tc>
          <w:tcPr>
            <w:tcW w:w="386" w:type="dxa"/>
          </w:tcPr>
          <w:p w14:paraId="2FDC6411" w14:textId="77777777" w:rsidR="00DA67E8" w:rsidRPr="00B53B51" w:rsidRDefault="00DA67E8" w:rsidP="008E3B41">
            <w:pPr>
              <w:tabs>
                <w:tab w:val="left" w:pos="900"/>
              </w:tabs>
              <w:rPr>
                <w:rFonts w:ascii="Arial" w:hAnsi="Arial" w:cs="Arial"/>
                <w:sz w:val="20"/>
              </w:rPr>
            </w:pPr>
          </w:p>
        </w:tc>
        <w:tc>
          <w:tcPr>
            <w:tcW w:w="385" w:type="dxa"/>
          </w:tcPr>
          <w:p w14:paraId="34F79A05" w14:textId="77777777" w:rsidR="00DA67E8" w:rsidRPr="00B53B51" w:rsidRDefault="00DA67E8" w:rsidP="008E3B41">
            <w:pPr>
              <w:tabs>
                <w:tab w:val="left" w:pos="900"/>
              </w:tabs>
              <w:rPr>
                <w:rFonts w:ascii="Arial" w:hAnsi="Arial" w:cs="Arial"/>
                <w:sz w:val="20"/>
              </w:rPr>
            </w:pPr>
          </w:p>
        </w:tc>
        <w:tc>
          <w:tcPr>
            <w:tcW w:w="385" w:type="dxa"/>
          </w:tcPr>
          <w:p w14:paraId="19DC945A" w14:textId="77777777" w:rsidR="00DA67E8" w:rsidRPr="00B53B51" w:rsidRDefault="00DA67E8" w:rsidP="008E3B41">
            <w:pPr>
              <w:tabs>
                <w:tab w:val="left" w:pos="900"/>
              </w:tabs>
              <w:rPr>
                <w:rFonts w:ascii="Arial" w:hAnsi="Arial" w:cs="Arial"/>
                <w:sz w:val="20"/>
              </w:rPr>
            </w:pPr>
          </w:p>
        </w:tc>
        <w:tc>
          <w:tcPr>
            <w:tcW w:w="385" w:type="dxa"/>
          </w:tcPr>
          <w:p w14:paraId="3E33EEB4" w14:textId="77777777" w:rsidR="00DA67E8" w:rsidRPr="00B53B51" w:rsidRDefault="00DA67E8" w:rsidP="008E3B41">
            <w:pPr>
              <w:tabs>
                <w:tab w:val="left" w:pos="900"/>
              </w:tabs>
              <w:rPr>
                <w:rFonts w:ascii="Arial" w:hAnsi="Arial" w:cs="Arial"/>
                <w:sz w:val="20"/>
              </w:rPr>
            </w:pPr>
          </w:p>
        </w:tc>
        <w:tc>
          <w:tcPr>
            <w:tcW w:w="440" w:type="dxa"/>
          </w:tcPr>
          <w:p w14:paraId="69593718" w14:textId="77777777" w:rsidR="00DA67E8" w:rsidRPr="00B53B51" w:rsidRDefault="00DA67E8" w:rsidP="008E3B41">
            <w:pPr>
              <w:tabs>
                <w:tab w:val="left" w:pos="900"/>
              </w:tabs>
              <w:rPr>
                <w:rFonts w:ascii="Arial" w:hAnsi="Arial" w:cs="Arial"/>
                <w:sz w:val="20"/>
              </w:rPr>
            </w:pPr>
          </w:p>
        </w:tc>
        <w:tc>
          <w:tcPr>
            <w:tcW w:w="392" w:type="dxa"/>
          </w:tcPr>
          <w:p w14:paraId="1EA38D68" w14:textId="77777777" w:rsidR="00DA67E8" w:rsidRPr="00B53B51" w:rsidRDefault="00DA67E8" w:rsidP="008E3B41">
            <w:pPr>
              <w:tabs>
                <w:tab w:val="left" w:pos="900"/>
              </w:tabs>
              <w:rPr>
                <w:rFonts w:ascii="Arial" w:hAnsi="Arial" w:cs="Arial"/>
                <w:sz w:val="20"/>
              </w:rPr>
            </w:pPr>
          </w:p>
        </w:tc>
        <w:tc>
          <w:tcPr>
            <w:tcW w:w="389" w:type="dxa"/>
          </w:tcPr>
          <w:p w14:paraId="037481A9" w14:textId="77777777" w:rsidR="00DA67E8" w:rsidRPr="00B53B51" w:rsidRDefault="00DA67E8" w:rsidP="008E3B41">
            <w:pPr>
              <w:tabs>
                <w:tab w:val="left" w:pos="900"/>
              </w:tabs>
              <w:rPr>
                <w:rFonts w:ascii="Arial" w:hAnsi="Arial" w:cs="Arial"/>
                <w:sz w:val="20"/>
              </w:rPr>
            </w:pPr>
          </w:p>
        </w:tc>
        <w:tc>
          <w:tcPr>
            <w:tcW w:w="389" w:type="dxa"/>
          </w:tcPr>
          <w:p w14:paraId="279EF0AF" w14:textId="77777777" w:rsidR="00DA67E8" w:rsidRPr="00B53B51" w:rsidRDefault="00DA67E8" w:rsidP="008E3B41">
            <w:pPr>
              <w:tabs>
                <w:tab w:val="left" w:pos="900"/>
              </w:tabs>
              <w:rPr>
                <w:rFonts w:ascii="Arial" w:hAnsi="Arial" w:cs="Arial"/>
                <w:sz w:val="20"/>
              </w:rPr>
            </w:pPr>
          </w:p>
        </w:tc>
        <w:tc>
          <w:tcPr>
            <w:tcW w:w="388" w:type="dxa"/>
          </w:tcPr>
          <w:p w14:paraId="17843D92" w14:textId="77777777" w:rsidR="00DA67E8" w:rsidRPr="00B53B51" w:rsidRDefault="00DA67E8" w:rsidP="008E3B41">
            <w:pPr>
              <w:tabs>
                <w:tab w:val="left" w:pos="900"/>
              </w:tabs>
              <w:rPr>
                <w:rFonts w:ascii="Arial" w:hAnsi="Arial" w:cs="Arial"/>
                <w:sz w:val="20"/>
              </w:rPr>
            </w:pPr>
          </w:p>
        </w:tc>
        <w:tc>
          <w:tcPr>
            <w:tcW w:w="493" w:type="dxa"/>
          </w:tcPr>
          <w:p w14:paraId="473AD544" w14:textId="77777777" w:rsidR="00DA67E8" w:rsidRPr="00B53B51" w:rsidRDefault="00DA67E8" w:rsidP="008E3B41">
            <w:pPr>
              <w:tabs>
                <w:tab w:val="left" w:pos="900"/>
              </w:tabs>
              <w:rPr>
                <w:rFonts w:ascii="Arial" w:hAnsi="Arial" w:cs="Arial"/>
                <w:sz w:val="20"/>
              </w:rPr>
            </w:pPr>
          </w:p>
        </w:tc>
        <w:tc>
          <w:tcPr>
            <w:tcW w:w="384" w:type="dxa"/>
          </w:tcPr>
          <w:p w14:paraId="371479A1" w14:textId="77777777" w:rsidR="00DA67E8" w:rsidRPr="00B53B51" w:rsidRDefault="00DA67E8" w:rsidP="008E3B41">
            <w:pPr>
              <w:tabs>
                <w:tab w:val="left" w:pos="900"/>
              </w:tabs>
              <w:rPr>
                <w:rFonts w:ascii="Arial" w:hAnsi="Arial" w:cs="Arial"/>
                <w:sz w:val="20"/>
              </w:rPr>
            </w:pPr>
          </w:p>
        </w:tc>
      </w:tr>
      <w:tr w:rsidR="00DA67E8" w:rsidRPr="00D67852" w14:paraId="390F542D" w14:textId="77777777" w:rsidTr="008E3B41">
        <w:trPr>
          <w:cantSplit/>
        </w:trPr>
        <w:tc>
          <w:tcPr>
            <w:tcW w:w="1406" w:type="dxa"/>
            <w:tcBorders>
              <w:bottom w:val="single" w:sz="4" w:space="0" w:color="auto"/>
            </w:tcBorders>
          </w:tcPr>
          <w:p w14:paraId="17AD5F75" w14:textId="77777777" w:rsidR="00DA67E8" w:rsidRPr="00B53B51" w:rsidRDefault="00DA67E8" w:rsidP="008E3B41">
            <w:pPr>
              <w:tabs>
                <w:tab w:val="left" w:pos="900"/>
              </w:tabs>
              <w:rPr>
                <w:rFonts w:ascii="Arial" w:hAnsi="Arial" w:cs="Arial"/>
                <w:sz w:val="20"/>
                <w:szCs w:val="20"/>
              </w:rPr>
            </w:pPr>
            <w:r w:rsidRPr="00B53B51">
              <w:rPr>
                <w:rFonts w:ascii="Arial" w:hAnsi="Arial" w:cs="Arial"/>
                <w:sz w:val="20"/>
                <w:szCs w:val="20"/>
              </w:rPr>
              <w:t>Cisplatin</w:t>
            </w:r>
          </w:p>
          <w:p w14:paraId="7133D36F" w14:textId="77777777" w:rsidR="00DA67E8" w:rsidRPr="00B53B51" w:rsidRDefault="00DA67E8" w:rsidP="008E3B41">
            <w:pPr>
              <w:tabs>
                <w:tab w:val="left" w:pos="900"/>
              </w:tabs>
              <w:rPr>
                <w:rFonts w:ascii="Arial" w:hAnsi="Arial" w:cs="Arial"/>
                <w:sz w:val="20"/>
                <w:szCs w:val="20"/>
              </w:rPr>
            </w:pPr>
            <w:r w:rsidRPr="00B53B51">
              <w:rPr>
                <w:rFonts w:ascii="Arial" w:hAnsi="Arial" w:cs="Arial"/>
                <w:sz w:val="20"/>
                <w:szCs w:val="20"/>
              </w:rPr>
              <w:t>75mg/m</w:t>
            </w:r>
            <w:r w:rsidRPr="00B53B51">
              <w:rPr>
                <w:rFonts w:ascii="Arial" w:hAnsi="Arial" w:cs="Arial"/>
                <w:sz w:val="20"/>
                <w:szCs w:val="20"/>
                <w:vertAlign w:val="superscript"/>
              </w:rPr>
              <w:t>2</w:t>
            </w:r>
            <w:r w:rsidRPr="00B53B51">
              <w:rPr>
                <w:rFonts w:ascii="Arial" w:hAnsi="Arial" w:cs="Arial"/>
                <w:sz w:val="20"/>
                <w:szCs w:val="20"/>
              </w:rPr>
              <w:t xml:space="preserve"> IV</w:t>
            </w:r>
          </w:p>
        </w:tc>
        <w:tc>
          <w:tcPr>
            <w:tcW w:w="384" w:type="dxa"/>
            <w:tcBorders>
              <w:bottom w:val="single" w:sz="4" w:space="0" w:color="auto"/>
            </w:tcBorders>
          </w:tcPr>
          <w:p w14:paraId="6C43318C" w14:textId="77777777" w:rsidR="00DA67E8" w:rsidRPr="00B53B51" w:rsidRDefault="00DA67E8" w:rsidP="008E3B41">
            <w:pPr>
              <w:tabs>
                <w:tab w:val="left" w:pos="900"/>
              </w:tabs>
              <w:rPr>
                <w:rFonts w:ascii="Arial" w:hAnsi="Arial" w:cs="Arial"/>
                <w:sz w:val="20"/>
              </w:rPr>
            </w:pPr>
            <w:r w:rsidRPr="00B53B51">
              <w:rPr>
                <w:rFonts w:ascii="Arial" w:hAnsi="Arial" w:cs="Arial"/>
                <w:sz w:val="20"/>
              </w:rPr>
              <w:t>X</w:t>
            </w:r>
          </w:p>
        </w:tc>
        <w:tc>
          <w:tcPr>
            <w:tcW w:w="388" w:type="dxa"/>
            <w:tcBorders>
              <w:bottom w:val="single" w:sz="4" w:space="0" w:color="auto"/>
            </w:tcBorders>
          </w:tcPr>
          <w:p w14:paraId="68D0BB2C" w14:textId="77777777" w:rsidR="00DA67E8" w:rsidRPr="00B53B51" w:rsidRDefault="00DA67E8" w:rsidP="008E3B41">
            <w:pPr>
              <w:tabs>
                <w:tab w:val="left" w:pos="900"/>
              </w:tabs>
              <w:rPr>
                <w:rFonts w:ascii="Arial" w:hAnsi="Arial" w:cs="Arial"/>
                <w:sz w:val="20"/>
              </w:rPr>
            </w:pPr>
          </w:p>
        </w:tc>
        <w:tc>
          <w:tcPr>
            <w:tcW w:w="388" w:type="dxa"/>
            <w:tcBorders>
              <w:bottom w:val="single" w:sz="4" w:space="0" w:color="auto"/>
            </w:tcBorders>
          </w:tcPr>
          <w:p w14:paraId="2AA975CE" w14:textId="77777777" w:rsidR="00DA67E8" w:rsidRPr="00B53B51" w:rsidRDefault="00DA67E8" w:rsidP="008E3B41">
            <w:pPr>
              <w:tabs>
                <w:tab w:val="left" w:pos="900"/>
              </w:tabs>
              <w:rPr>
                <w:rFonts w:ascii="Arial" w:hAnsi="Arial" w:cs="Arial"/>
                <w:sz w:val="20"/>
              </w:rPr>
            </w:pPr>
          </w:p>
        </w:tc>
        <w:tc>
          <w:tcPr>
            <w:tcW w:w="390" w:type="dxa"/>
            <w:tcBorders>
              <w:bottom w:val="single" w:sz="4" w:space="0" w:color="auto"/>
            </w:tcBorders>
          </w:tcPr>
          <w:p w14:paraId="42192C1D" w14:textId="77777777" w:rsidR="00DA67E8" w:rsidRPr="00B53B51" w:rsidRDefault="00DA67E8" w:rsidP="008E3B41">
            <w:pPr>
              <w:tabs>
                <w:tab w:val="left" w:pos="900"/>
              </w:tabs>
              <w:rPr>
                <w:rFonts w:ascii="Arial" w:hAnsi="Arial" w:cs="Arial"/>
                <w:sz w:val="20"/>
              </w:rPr>
            </w:pPr>
          </w:p>
        </w:tc>
        <w:tc>
          <w:tcPr>
            <w:tcW w:w="389" w:type="dxa"/>
            <w:tcBorders>
              <w:bottom w:val="single" w:sz="4" w:space="0" w:color="auto"/>
            </w:tcBorders>
          </w:tcPr>
          <w:p w14:paraId="5ABE2AED" w14:textId="77777777" w:rsidR="00DA67E8" w:rsidRPr="00B53B51" w:rsidRDefault="00DA67E8" w:rsidP="008E3B41">
            <w:pPr>
              <w:tabs>
                <w:tab w:val="left" w:pos="900"/>
              </w:tabs>
              <w:rPr>
                <w:rFonts w:ascii="Arial" w:hAnsi="Arial" w:cs="Arial"/>
                <w:sz w:val="20"/>
              </w:rPr>
            </w:pPr>
          </w:p>
        </w:tc>
        <w:tc>
          <w:tcPr>
            <w:tcW w:w="388" w:type="dxa"/>
            <w:tcBorders>
              <w:bottom w:val="single" w:sz="4" w:space="0" w:color="auto"/>
            </w:tcBorders>
          </w:tcPr>
          <w:p w14:paraId="4C81B07F" w14:textId="77777777" w:rsidR="00DA67E8" w:rsidRPr="00B53B51" w:rsidRDefault="00DA67E8" w:rsidP="008E3B41">
            <w:pPr>
              <w:tabs>
                <w:tab w:val="left" w:pos="900"/>
              </w:tabs>
              <w:rPr>
                <w:rFonts w:ascii="Arial" w:hAnsi="Arial" w:cs="Arial"/>
                <w:sz w:val="20"/>
              </w:rPr>
            </w:pPr>
          </w:p>
        </w:tc>
        <w:tc>
          <w:tcPr>
            <w:tcW w:w="365" w:type="dxa"/>
            <w:tcBorders>
              <w:bottom w:val="single" w:sz="4" w:space="0" w:color="auto"/>
            </w:tcBorders>
          </w:tcPr>
          <w:p w14:paraId="265CCF48" w14:textId="77777777" w:rsidR="00DA67E8" w:rsidRPr="00B53B51" w:rsidRDefault="00DA67E8" w:rsidP="008E3B41">
            <w:pPr>
              <w:tabs>
                <w:tab w:val="left" w:pos="900"/>
              </w:tabs>
              <w:rPr>
                <w:rFonts w:ascii="Arial" w:hAnsi="Arial" w:cs="Arial"/>
                <w:sz w:val="20"/>
              </w:rPr>
            </w:pPr>
          </w:p>
        </w:tc>
        <w:tc>
          <w:tcPr>
            <w:tcW w:w="384" w:type="dxa"/>
            <w:tcBorders>
              <w:bottom w:val="single" w:sz="4" w:space="0" w:color="auto"/>
            </w:tcBorders>
          </w:tcPr>
          <w:p w14:paraId="5188BA26" w14:textId="77777777" w:rsidR="00DA67E8" w:rsidRPr="00B53B51" w:rsidRDefault="00DA67E8" w:rsidP="008E3B41">
            <w:pPr>
              <w:tabs>
                <w:tab w:val="left" w:pos="900"/>
              </w:tabs>
              <w:rPr>
                <w:rFonts w:ascii="Arial" w:hAnsi="Arial" w:cs="Arial"/>
                <w:sz w:val="20"/>
              </w:rPr>
            </w:pPr>
          </w:p>
        </w:tc>
        <w:tc>
          <w:tcPr>
            <w:tcW w:w="385" w:type="dxa"/>
            <w:tcBorders>
              <w:bottom w:val="single" w:sz="4" w:space="0" w:color="auto"/>
            </w:tcBorders>
          </w:tcPr>
          <w:p w14:paraId="055A181A" w14:textId="77777777" w:rsidR="00DA67E8" w:rsidRPr="00B53B51" w:rsidRDefault="00DA67E8" w:rsidP="008E3B41">
            <w:pPr>
              <w:tabs>
                <w:tab w:val="left" w:pos="900"/>
              </w:tabs>
              <w:rPr>
                <w:rFonts w:ascii="Arial" w:hAnsi="Arial" w:cs="Arial"/>
                <w:sz w:val="20"/>
              </w:rPr>
            </w:pPr>
          </w:p>
        </w:tc>
        <w:tc>
          <w:tcPr>
            <w:tcW w:w="385" w:type="dxa"/>
            <w:tcBorders>
              <w:bottom w:val="single" w:sz="4" w:space="0" w:color="auto"/>
            </w:tcBorders>
          </w:tcPr>
          <w:p w14:paraId="6C5B5E2E" w14:textId="77777777" w:rsidR="00DA67E8" w:rsidRPr="00B53B51" w:rsidRDefault="00DA67E8" w:rsidP="008E3B41">
            <w:pPr>
              <w:tabs>
                <w:tab w:val="left" w:pos="900"/>
              </w:tabs>
              <w:rPr>
                <w:rFonts w:ascii="Arial" w:hAnsi="Arial" w:cs="Arial"/>
                <w:sz w:val="20"/>
              </w:rPr>
            </w:pPr>
          </w:p>
        </w:tc>
        <w:tc>
          <w:tcPr>
            <w:tcW w:w="386" w:type="dxa"/>
            <w:tcBorders>
              <w:bottom w:val="single" w:sz="4" w:space="0" w:color="auto"/>
            </w:tcBorders>
          </w:tcPr>
          <w:p w14:paraId="08390885" w14:textId="77777777" w:rsidR="00DA67E8" w:rsidRPr="00B53B51" w:rsidRDefault="00DA67E8" w:rsidP="008E3B41">
            <w:pPr>
              <w:tabs>
                <w:tab w:val="left" w:pos="900"/>
              </w:tabs>
              <w:rPr>
                <w:rFonts w:ascii="Arial" w:hAnsi="Arial" w:cs="Arial"/>
                <w:sz w:val="20"/>
              </w:rPr>
            </w:pPr>
          </w:p>
        </w:tc>
        <w:tc>
          <w:tcPr>
            <w:tcW w:w="385" w:type="dxa"/>
            <w:tcBorders>
              <w:bottom w:val="single" w:sz="4" w:space="0" w:color="auto"/>
            </w:tcBorders>
          </w:tcPr>
          <w:p w14:paraId="0F0888E5" w14:textId="77777777" w:rsidR="00DA67E8" w:rsidRPr="00B53B51" w:rsidRDefault="00DA67E8" w:rsidP="008E3B41">
            <w:pPr>
              <w:tabs>
                <w:tab w:val="left" w:pos="900"/>
              </w:tabs>
              <w:rPr>
                <w:rFonts w:ascii="Arial" w:hAnsi="Arial" w:cs="Arial"/>
                <w:sz w:val="20"/>
              </w:rPr>
            </w:pPr>
          </w:p>
        </w:tc>
        <w:tc>
          <w:tcPr>
            <w:tcW w:w="385" w:type="dxa"/>
            <w:tcBorders>
              <w:bottom w:val="single" w:sz="4" w:space="0" w:color="auto"/>
            </w:tcBorders>
          </w:tcPr>
          <w:p w14:paraId="557883F8" w14:textId="77777777" w:rsidR="00DA67E8" w:rsidRPr="00B53B51" w:rsidRDefault="00DA67E8" w:rsidP="008E3B41">
            <w:pPr>
              <w:tabs>
                <w:tab w:val="left" w:pos="900"/>
              </w:tabs>
              <w:rPr>
                <w:rFonts w:ascii="Arial" w:hAnsi="Arial" w:cs="Arial"/>
                <w:sz w:val="20"/>
              </w:rPr>
            </w:pPr>
          </w:p>
        </w:tc>
        <w:tc>
          <w:tcPr>
            <w:tcW w:w="385" w:type="dxa"/>
            <w:tcBorders>
              <w:bottom w:val="single" w:sz="4" w:space="0" w:color="auto"/>
            </w:tcBorders>
          </w:tcPr>
          <w:p w14:paraId="0B6BA593" w14:textId="77777777" w:rsidR="00DA67E8" w:rsidRPr="00B53B51" w:rsidRDefault="00DA67E8" w:rsidP="008E3B41">
            <w:pPr>
              <w:tabs>
                <w:tab w:val="left" w:pos="900"/>
              </w:tabs>
              <w:rPr>
                <w:rFonts w:ascii="Arial" w:hAnsi="Arial" w:cs="Arial"/>
                <w:sz w:val="20"/>
              </w:rPr>
            </w:pPr>
          </w:p>
        </w:tc>
        <w:tc>
          <w:tcPr>
            <w:tcW w:w="440" w:type="dxa"/>
            <w:tcBorders>
              <w:bottom w:val="single" w:sz="4" w:space="0" w:color="auto"/>
            </w:tcBorders>
          </w:tcPr>
          <w:p w14:paraId="3BBBC222" w14:textId="77777777" w:rsidR="00DA67E8" w:rsidRPr="00B53B51" w:rsidRDefault="00DA67E8" w:rsidP="008E3B41">
            <w:pPr>
              <w:tabs>
                <w:tab w:val="left" w:pos="900"/>
              </w:tabs>
              <w:rPr>
                <w:rFonts w:ascii="Arial" w:hAnsi="Arial" w:cs="Arial"/>
                <w:sz w:val="20"/>
              </w:rPr>
            </w:pPr>
          </w:p>
        </w:tc>
        <w:tc>
          <w:tcPr>
            <w:tcW w:w="392" w:type="dxa"/>
            <w:tcBorders>
              <w:bottom w:val="single" w:sz="4" w:space="0" w:color="auto"/>
            </w:tcBorders>
          </w:tcPr>
          <w:p w14:paraId="2D136200" w14:textId="77777777" w:rsidR="00DA67E8" w:rsidRPr="00B53B51" w:rsidRDefault="00DA67E8" w:rsidP="008E3B41">
            <w:pPr>
              <w:tabs>
                <w:tab w:val="left" w:pos="900"/>
              </w:tabs>
              <w:rPr>
                <w:rFonts w:ascii="Arial" w:hAnsi="Arial" w:cs="Arial"/>
                <w:sz w:val="20"/>
              </w:rPr>
            </w:pPr>
          </w:p>
        </w:tc>
        <w:tc>
          <w:tcPr>
            <w:tcW w:w="389" w:type="dxa"/>
            <w:tcBorders>
              <w:bottom w:val="single" w:sz="4" w:space="0" w:color="auto"/>
            </w:tcBorders>
          </w:tcPr>
          <w:p w14:paraId="5BA3770F" w14:textId="77777777" w:rsidR="00DA67E8" w:rsidRPr="00B53B51" w:rsidRDefault="00DA67E8" w:rsidP="008E3B41">
            <w:pPr>
              <w:tabs>
                <w:tab w:val="left" w:pos="900"/>
              </w:tabs>
              <w:rPr>
                <w:rFonts w:ascii="Arial" w:hAnsi="Arial" w:cs="Arial"/>
                <w:sz w:val="20"/>
              </w:rPr>
            </w:pPr>
          </w:p>
        </w:tc>
        <w:tc>
          <w:tcPr>
            <w:tcW w:w="389" w:type="dxa"/>
            <w:tcBorders>
              <w:bottom w:val="single" w:sz="4" w:space="0" w:color="auto"/>
            </w:tcBorders>
          </w:tcPr>
          <w:p w14:paraId="291B6B38" w14:textId="77777777" w:rsidR="00DA67E8" w:rsidRPr="00B53B51" w:rsidRDefault="00DA67E8" w:rsidP="008E3B41">
            <w:pPr>
              <w:tabs>
                <w:tab w:val="left" w:pos="900"/>
              </w:tabs>
              <w:rPr>
                <w:rFonts w:ascii="Arial" w:hAnsi="Arial" w:cs="Arial"/>
                <w:sz w:val="20"/>
              </w:rPr>
            </w:pPr>
          </w:p>
        </w:tc>
        <w:tc>
          <w:tcPr>
            <w:tcW w:w="388" w:type="dxa"/>
            <w:tcBorders>
              <w:bottom w:val="single" w:sz="4" w:space="0" w:color="auto"/>
            </w:tcBorders>
          </w:tcPr>
          <w:p w14:paraId="1BED04FC" w14:textId="77777777" w:rsidR="00DA67E8" w:rsidRPr="00B53B51" w:rsidRDefault="00DA67E8" w:rsidP="008E3B41">
            <w:pPr>
              <w:tabs>
                <w:tab w:val="left" w:pos="900"/>
              </w:tabs>
              <w:rPr>
                <w:rFonts w:ascii="Arial" w:hAnsi="Arial" w:cs="Arial"/>
                <w:sz w:val="20"/>
              </w:rPr>
            </w:pPr>
          </w:p>
        </w:tc>
        <w:tc>
          <w:tcPr>
            <w:tcW w:w="493" w:type="dxa"/>
            <w:tcBorders>
              <w:bottom w:val="single" w:sz="4" w:space="0" w:color="auto"/>
            </w:tcBorders>
          </w:tcPr>
          <w:p w14:paraId="6EE4EF84" w14:textId="77777777" w:rsidR="00DA67E8" w:rsidRPr="00B53B51" w:rsidRDefault="00DA67E8" w:rsidP="008E3B41">
            <w:pPr>
              <w:tabs>
                <w:tab w:val="left" w:pos="900"/>
              </w:tabs>
              <w:rPr>
                <w:rFonts w:ascii="Arial" w:hAnsi="Arial" w:cs="Arial"/>
                <w:sz w:val="20"/>
              </w:rPr>
            </w:pPr>
          </w:p>
        </w:tc>
        <w:tc>
          <w:tcPr>
            <w:tcW w:w="384" w:type="dxa"/>
            <w:tcBorders>
              <w:bottom w:val="single" w:sz="4" w:space="0" w:color="auto"/>
            </w:tcBorders>
          </w:tcPr>
          <w:p w14:paraId="5FC58F17" w14:textId="77777777" w:rsidR="00DA67E8" w:rsidRPr="00B53B51" w:rsidRDefault="00DA67E8" w:rsidP="008E3B41">
            <w:pPr>
              <w:tabs>
                <w:tab w:val="left" w:pos="900"/>
              </w:tabs>
              <w:rPr>
                <w:rFonts w:ascii="Arial" w:hAnsi="Arial" w:cs="Arial"/>
                <w:sz w:val="20"/>
              </w:rPr>
            </w:pPr>
          </w:p>
        </w:tc>
      </w:tr>
    </w:tbl>
    <w:p w14:paraId="1C1D0EA1" w14:textId="77777777" w:rsidR="00DA67E8" w:rsidRDefault="00DA67E8" w:rsidP="00D92841">
      <w:pPr>
        <w:autoSpaceDE w:val="0"/>
        <w:autoSpaceDN w:val="0"/>
        <w:adjustRightInd w:val="0"/>
        <w:rPr>
          <w:rFonts w:ascii="Arial" w:hAnsi="Arial" w:cs="Arial"/>
          <w:b/>
          <w:sz w:val="22"/>
          <w:szCs w:val="22"/>
          <w:lang w:val="en-US" w:bidi="bn-IN"/>
        </w:rPr>
      </w:pPr>
    </w:p>
    <w:p w14:paraId="21C6E685" w14:textId="77777777" w:rsidR="00650616" w:rsidRDefault="00650616" w:rsidP="00D92841">
      <w:pPr>
        <w:autoSpaceDE w:val="0"/>
        <w:autoSpaceDN w:val="0"/>
        <w:adjustRightInd w:val="0"/>
        <w:rPr>
          <w:rFonts w:ascii="Arial" w:hAnsi="Arial" w:cs="Arial"/>
          <w:b/>
          <w:sz w:val="22"/>
          <w:szCs w:val="22"/>
          <w:lang w:val="en-US" w:bidi="bn-IN"/>
        </w:rPr>
      </w:pPr>
    </w:p>
    <w:p w14:paraId="66864059" w14:textId="77777777" w:rsidR="00DA67E8" w:rsidRPr="00D92841" w:rsidRDefault="00DA67E8" w:rsidP="00D92841">
      <w:pPr>
        <w:autoSpaceDE w:val="0"/>
        <w:autoSpaceDN w:val="0"/>
        <w:adjustRightInd w:val="0"/>
        <w:rPr>
          <w:rFonts w:ascii="TimesNewRomanPSMT" w:hAnsi="TimesNewRomanPSMT" w:cs="TimesNewRomanPSMT"/>
          <w:i/>
          <w:color w:val="FF0000"/>
          <w:lang w:eastAsia="en-GB"/>
        </w:rPr>
      </w:pPr>
      <w:r w:rsidRPr="003D4435">
        <w:rPr>
          <w:rFonts w:ascii="Arial" w:hAnsi="Arial" w:cs="Arial"/>
          <w:b/>
          <w:sz w:val="22"/>
          <w:szCs w:val="22"/>
          <w:lang w:val="en-US" w:bidi="bn-IN"/>
        </w:rPr>
        <w:t>Administration</w:t>
      </w:r>
    </w:p>
    <w:p w14:paraId="475F93D6" w14:textId="77777777" w:rsidR="00450F2B" w:rsidRPr="00450F2B" w:rsidRDefault="00DA67E8" w:rsidP="00450F2B">
      <w:pPr>
        <w:snapToGrid w:val="0"/>
        <w:jc w:val="both"/>
        <w:rPr>
          <w:rFonts w:ascii="Arial" w:hAnsi="Arial" w:cs="Arial"/>
          <w:sz w:val="18"/>
          <w:szCs w:val="18"/>
        </w:rPr>
      </w:pPr>
      <w:r w:rsidRPr="003D4435">
        <w:rPr>
          <w:rFonts w:ascii="Arial" w:hAnsi="Arial" w:cs="Arial"/>
          <w:sz w:val="22"/>
          <w:szCs w:val="22"/>
          <w:lang w:eastAsia="en-GB"/>
        </w:rPr>
        <w:t xml:space="preserve">Ganetespib must be diluted in </w:t>
      </w:r>
      <w:r w:rsidR="00AB51FC">
        <w:rPr>
          <w:rFonts w:ascii="Arial" w:hAnsi="Arial" w:cs="Arial"/>
          <w:sz w:val="22"/>
          <w:szCs w:val="22"/>
          <w:lang w:eastAsia="en-GB"/>
        </w:rPr>
        <w:t>5% glucose</w:t>
      </w:r>
      <w:r w:rsidR="00AB51FC" w:rsidRPr="003D4435">
        <w:rPr>
          <w:rFonts w:ascii="Arial" w:hAnsi="Arial" w:cs="Arial"/>
          <w:sz w:val="22"/>
          <w:szCs w:val="22"/>
          <w:lang w:eastAsia="en-GB"/>
        </w:rPr>
        <w:t xml:space="preserve"> </w:t>
      </w:r>
      <w:r w:rsidRPr="003D4435">
        <w:rPr>
          <w:rFonts w:ascii="Arial" w:hAnsi="Arial" w:cs="Arial"/>
          <w:sz w:val="22"/>
          <w:szCs w:val="22"/>
          <w:lang w:eastAsia="en-GB"/>
        </w:rPr>
        <w:t xml:space="preserve">prior to administration. Infusion solutions must be stored at </w:t>
      </w:r>
      <w:r w:rsidRPr="00683D8A">
        <w:rPr>
          <w:rFonts w:ascii="Arial" w:hAnsi="Arial" w:cs="Arial"/>
          <w:sz w:val="22"/>
          <w:szCs w:val="22"/>
          <w:lang w:eastAsia="en-GB"/>
        </w:rPr>
        <w:t xml:space="preserve">ambient room temperature and exposure to direct light should be avoided. </w:t>
      </w:r>
      <w:r w:rsidR="008522AD" w:rsidRPr="00EB5EF0">
        <w:rPr>
          <w:rFonts w:ascii="Arial" w:hAnsi="Arial" w:cs="Arial"/>
          <w:sz w:val="22"/>
          <w:szCs w:val="22"/>
        </w:rPr>
        <w:t xml:space="preserve">The diluted solution must be used within </w:t>
      </w:r>
      <w:r w:rsidR="00FA78AE">
        <w:rPr>
          <w:rFonts w:ascii="Arial" w:hAnsi="Arial" w:cs="Arial"/>
          <w:sz w:val="22"/>
          <w:szCs w:val="22"/>
        </w:rPr>
        <w:t>4</w:t>
      </w:r>
      <w:r w:rsidR="008522AD" w:rsidRPr="00EB5EF0">
        <w:rPr>
          <w:rFonts w:ascii="Arial" w:hAnsi="Arial" w:cs="Arial"/>
          <w:sz w:val="22"/>
          <w:szCs w:val="22"/>
        </w:rPr>
        <w:t xml:space="preserve"> hours of preparation. </w:t>
      </w:r>
      <w:r w:rsidRPr="00683D8A">
        <w:rPr>
          <w:rFonts w:ascii="Arial" w:hAnsi="Arial" w:cs="Arial"/>
          <w:sz w:val="22"/>
          <w:szCs w:val="22"/>
          <w:lang w:eastAsia="en-GB"/>
        </w:rPr>
        <w:t xml:space="preserve">The diluted drug product should be a clear, </w:t>
      </w:r>
      <w:r w:rsidR="002F113D" w:rsidRPr="00683D8A">
        <w:rPr>
          <w:rFonts w:ascii="Arial" w:hAnsi="Arial" w:cs="Arial"/>
          <w:sz w:val="22"/>
          <w:szCs w:val="22"/>
          <w:lang w:eastAsia="en-GB"/>
        </w:rPr>
        <w:t>colourless</w:t>
      </w:r>
      <w:r w:rsidRPr="00683D8A">
        <w:rPr>
          <w:rFonts w:ascii="Arial" w:hAnsi="Arial" w:cs="Arial"/>
          <w:sz w:val="22"/>
          <w:szCs w:val="22"/>
          <w:lang w:eastAsia="en-GB"/>
        </w:rPr>
        <w:t xml:space="preserve"> solution, essentially free of visible particles. </w:t>
      </w:r>
      <w:r w:rsidRPr="00683D8A">
        <w:rPr>
          <w:rFonts w:ascii="Arial" w:hAnsi="Arial" w:cs="Arial"/>
          <w:bCs/>
          <w:sz w:val="22"/>
          <w:szCs w:val="22"/>
          <w:lang w:eastAsia="en-GB"/>
        </w:rPr>
        <w:t xml:space="preserve">The appropriate administration instructions per the preparation guidelines must be carefully followed prior to use. </w:t>
      </w:r>
      <w:r w:rsidR="008522AD" w:rsidRPr="00EB5EF0">
        <w:rPr>
          <w:rFonts w:ascii="Arial" w:hAnsi="Arial" w:cs="Arial"/>
          <w:sz w:val="22"/>
          <w:szCs w:val="22"/>
        </w:rPr>
        <w:t xml:space="preserve">Refer to the </w:t>
      </w:r>
      <w:r w:rsidR="00125DEE">
        <w:rPr>
          <w:rFonts w:ascii="Arial" w:hAnsi="Arial" w:cs="Arial"/>
          <w:sz w:val="22"/>
          <w:szCs w:val="22"/>
        </w:rPr>
        <w:t>Summary of Drug Arrangements</w:t>
      </w:r>
      <w:r w:rsidR="008522AD" w:rsidRPr="00EB5EF0">
        <w:rPr>
          <w:rFonts w:ascii="Arial" w:hAnsi="Arial" w:cs="Arial"/>
          <w:sz w:val="22"/>
          <w:szCs w:val="22"/>
        </w:rPr>
        <w:t xml:space="preserve"> for detailed ganetespib preparation guidelines.</w:t>
      </w:r>
      <w:r w:rsidR="008522AD">
        <w:rPr>
          <w:rFonts w:ascii="Arial" w:hAnsi="Arial" w:cs="Arial"/>
          <w:sz w:val="22"/>
          <w:szCs w:val="22"/>
        </w:rPr>
        <w:t xml:space="preserve"> </w:t>
      </w:r>
      <w:r w:rsidRPr="00683D8A">
        <w:rPr>
          <w:rFonts w:ascii="Arial" w:hAnsi="Arial" w:cs="Arial"/>
          <w:sz w:val="22"/>
          <w:szCs w:val="22"/>
        </w:rPr>
        <w:t>Ganetespib infusion will be administered over approximately 60 minutes.  The amount of ganetespib administered will be determined by calculating the subject’s body surface area, and will be recalculated on Day 1 of each cycle during the course of the study.</w:t>
      </w:r>
      <w:r w:rsidR="00450F2B">
        <w:rPr>
          <w:rFonts w:ascii="Arial" w:hAnsi="Arial" w:cs="Arial"/>
          <w:sz w:val="22"/>
          <w:szCs w:val="22"/>
        </w:rPr>
        <w:t xml:space="preserve"> </w:t>
      </w:r>
      <w:r w:rsidR="00450F2B" w:rsidRPr="001B74AE">
        <w:rPr>
          <w:rFonts w:ascii="Arial" w:hAnsi="Arial" w:cs="Arial"/>
          <w:sz w:val="22"/>
          <w:szCs w:val="22"/>
        </w:rPr>
        <w:t xml:space="preserve">The </w:t>
      </w:r>
      <w:r w:rsidR="00EC441F" w:rsidRPr="001B74AE">
        <w:rPr>
          <w:rFonts w:ascii="Arial" w:hAnsi="Arial" w:cs="Arial"/>
          <w:sz w:val="22"/>
          <w:szCs w:val="22"/>
        </w:rPr>
        <w:t xml:space="preserve">DuBois and DuBois </w:t>
      </w:r>
      <w:r w:rsidR="00450F2B" w:rsidRPr="001B74AE">
        <w:rPr>
          <w:rFonts w:ascii="Arial" w:hAnsi="Arial" w:cs="Arial"/>
          <w:sz w:val="22"/>
          <w:szCs w:val="22"/>
        </w:rPr>
        <w:t xml:space="preserve">formula is </w:t>
      </w:r>
      <w:r w:rsidR="00EC441F" w:rsidRPr="001B74AE">
        <w:rPr>
          <w:rFonts w:ascii="Arial" w:hAnsi="Arial" w:cs="Arial"/>
          <w:sz w:val="22"/>
          <w:szCs w:val="22"/>
        </w:rPr>
        <w:t xml:space="preserve">the recommended method </w:t>
      </w:r>
      <w:r w:rsidR="00450F2B" w:rsidRPr="001B74AE">
        <w:rPr>
          <w:rFonts w:ascii="Arial" w:hAnsi="Arial" w:cs="Arial"/>
          <w:sz w:val="22"/>
          <w:szCs w:val="22"/>
        </w:rPr>
        <w:t>to be used for the calculation of BSA</w:t>
      </w:r>
      <w:r w:rsidR="00EC441F" w:rsidRPr="001B74AE">
        <w:rPr>
          <w:rFonts w:ascii="Arial" w:hAnsi="Arial" w:cs="Arial"/>
          <w:sz w:val="22"/>
          <w:szCs w:val="22"/>
        </w:rPr>
        <w:t xml:space="preserve">. Other methods are allowed, however this should be documented on the relevant CRF </w:t>
      </w:r>
      <w:r w:rsidR="00472489" w:rsidRPr="001B74AE">
        <w:rPr>
          <w:rFonts w:ascii="Arial" w:hAnsi="Arial" w:cs="Arial"/>
          <w:sz w:val="22"/>
          <w:szCs w:val="22"/>
        </w:rPr>
        <w:t>accordingly</w:t>
      </w:r>
      <w:r w:rsidR="00EC441F" w:rsidRPr="001B74AE">
        <w:rPr>
          <w:rFonts w:ascii="Arial" w:hAnsi="Arial" w:cs="Arial"/>
          <w:sz w:val="22"/>
          <w:szCs w:val="22"/>
        </w:rPr>
        <w:t>.</w:t>
      </w:r>
      <w:r w:rsidR="00EC441F">
        <w:rPr>
          <w:rFonts w:ascii="Arial" w:hAnsi="Arial" w:cs="Arial"/>
          <w:sz w:val="22"/>
          <w:szCs w:val="22"/>
        </w:rPr>
        <w:t xml:space="preserve">   </w:t>
      </w:r>
    </w:p>
    <w:p w14:paraId="38B75C19" w14:textId="77777777" w:rsidR="00DA67E8" w:rsidRPr="00FC20CF" w:rsidRDefault="00DA67E8" w:rsidP="00FC20CF">
      <w:pPr>
        <w:pStyle w:val="C-BodyText"/>
        <w:jc w:val="both"/>
        <w:rPr>
          <w:rFonts w:ascii="Arial" w:hAnsi="Arial" w:cs="Arial"/>
          <w:i/>
        </w:rPr>
      </w:pPr>
      <w:bookmarkStart w:id="356" w:name="_Toc308171518"/>
      <w:bookmarkStart w:id="357" w:name="_Toc333484747"/>
      <w:bookmarkStart w:id="358" w:name="_Toc333484862"/>
      <w:bookmarkStart w:id="359" w:name="_Toc351624815"/>
      <w:r w:rsidRPr="00FC20CF">
        <w:rPr>
          <w:rFonts w:ascii="Arial" w:hAnsi="Arial" w:cs="Arial"/>
          <w:i/>
        </w:rPr>
        <w:t>Use of Vascular Access Devices</w:t>
      </w:r>
      <w:bookmarkEnd w:id="356"/>
      <w:bookmarkEnd w:id="357"/>
      <w:bookmarkEnd w:id="358"/>
      <w:bookmarkEnd w:id="359"/>
    </w:p>
    <w:p w14:paraId="6D54FF60" w14:textId="77777777" w:rsidR="00DA67E8" w:rsidRPr="00844215" w:rsidRDefault="00DA67E8" w:rsidP="00F62DC2">
      <w:pPr>
        <w:pStyle w:val="C-BodyText"/>
        <w:jc w:val="both"/>
        <w:rPr>
          <w:rFonts w:ascii="Arial" w:hAnsi="Arial" w:cs="Arial"/>
        </w:rPr>
      </w:pPr>
      <w:r w:rsidRPr="00844215">
        <w:rPr>
          <w:rFonts w:ascii="Arial" w:hAnsi="Arial" w:cs="Arial"/>
        </w:rPr>
        <w:t>Only the use of vascular access devices (VADs) (such as ports and peripherally</w:t>
      </w:r>
      <w:r w:rsidRPr="00844215">
        <w:rPr>
          <w:rFonts w:ascii="Arial" w:hAnsi="Arial" w:cs="Arial"/>
        </w:rPr>
        <w:noBreakHyphen/>
        <w:t xml:space="preserve">inserted central catheters [PICCs]) containing silicone are permitted.  </w:t>
      </w:r>
      <w:r w:rsidRPr="00844215">
        <w:rPr>
          <w:rFonts w:ascii="Arial" w:hAnsi="Arial" w:cs="Arial"/>
          <w:u w:val="single"/>
        </w:rPr>
        <w:t>Use of VADs with catheters made of any other material is not allowed</w:t>
      </w:r>
      <w:r w:rsidRPr="00844215">
        <w:rPr>
          <w:rFonts w:ascii="Arial" w:hAnsi="Arial" w:cs="Arial"/>
        </w:rPr>
        <w:t xml:space="preserve">.  Following each </w:t>
      </w:r>
      <w:proofErr w:type="spellStart"/>
      <w:r w:rsidRPr="00844215">
        <w:rPr>
          <w:rFonts w:ascii="Arial" w:hAnsi="Arial" w:cs="Arial"/>
        </w:rPr>
        <w:t>ganetespib</w:t>
      </w:r>
      <w:proofErr w:type="spellEnd"/>
      <w:r w:rsidRPr="00844215">
        <w:rPr>
          <w:rFonts w:ascii="Arial" w:hAnsi="Arial" w:cs="Arial"/>
        </w:rPr>
        <w:t xml:space="preserve"> administration through a VAD, care should be taken to flush the line </w:t>
      </w:r>
      <w:r w:rsidR="00450F2B">
        <w:rPr>
          <w:rFonts w:ascii="Arial" w:hAnsi="Arial" w:cs="Arial"/>
        </w:rPr>
        <w:t xml:space="preserve">using 5% dextrose </w:t>
      </w:r>
      <w:r w:rsidRPr="00844215">
        <w:rPr>
          <w:rFonts w:ascii="Arial" w:hAnsi="Arial" w:cs="Arial"/>
        </w:rPr>
        <w:t>after each dose of study drug.  Follow institutional clinical practice for flus</w:t>
      </w:r>
      <w:r w:rsidR="00652BD7">
        <w:rPr>
          <w:rFonts w:ascii="Arial" w:hAnsi="Arial" w:cs="Arial"/>
        </w:rPr>
        <w:t xml:space="preserve">hing and care of subjects </w:t>
      </w:r>
      <w:proofErr w:type="spellStart"/>
      <w:r w:rsidR="00652BD7">
        <w:rPr>
          <w:rFonts w:ascii="Arial" w:hAnsi="Arial" w:cs="Arial"/>
        </w:rPr>
        <w:t>utilis</w:t>
      </w:r>
      <w:r w:rsidRPr="00844215">
        <w:rPr>
          <w:rFonts w:ascii="Arial" w:hAnsi="Arial" w:cs="Arial"/>
        </w:rPr>
        <w:t>ing</w:t>
      </w:r>
      <w:proofErr w:type="spellEnd"/>
      <w:r w:rsidRPr="00844215">
        <w:rPr>
          <w:rFonts w:ascii="Arial" w:hAnsi="Arial" w:cs="Arial"/>
        </w:rPr>
        <w:t xml:space="preserve"> VADs.  </w:t>
      </w:r>
    </w:p>
    <w:p w14:paraId="70D5ECF9" w14:textId="77777777" w:rsidR="00DA67E8" w:rsidRDefault="00DA67E8" w:rsidP="00A86EB1">
      <w:pPr>
        <w:rPr>
          <w:rFonts w:ascii="Arial" w:hAnsi="Arial" w:cs="Arial"/>
          <w:sz w:val="22"/>
          <w:szCs w:val="22"/>
        </w:rPr>
      </w:pPr>
    </w:p>
    <w:p w14:paraId="59F10A43" w14:textId="77777777" w:rsidR="00DA67E8" w:rsidRPr="00EB5EF0" w:rsidRDefault="00DA67E8" w:rsidP="00A86EB1">
      <w:pPr>
        <w:rPr>
          <w:rFonts w:ascii="Arial" w:hAnsi="Arial" w:cs="Arial"/>
          <w:b/>
          <w:sz w:val="22"/>
          <w:szCs w:val="22"/>
        </w:rPr>
      </w:pPr>
      <w:r w:rsidRPr="00EB5EF0">
        <w:rPr>
          <w:rFonts w:ascii="Arial" w:hAnsi="Arial" w:cs="Arial"/>
          <w:b/>
          <w:sz w:val="22"/>
          <w:szCs w:val="22"/>
        </w:rPr>
        <w:t>Randomised phase II trial</w:t>
      </w:r>
    </w:p>
    <w:p w14:paraId="0F238548" w14:textId="77777777" w:rsidR="00DA67E8" w:rsidRDefault="00DA67E8" w:rsidP="004B6333">
      <w:pPr>
        <w:autoSpaceDE w:val="0"/>
        <w:autoSpaceDN w:val="0"/>
        <w:adjustRightInd w:val="0"/>
        <w:jc w:val="both"/>
        <w:rPr>
          <w:rFonts w:ascii="Arial" w:hAnsi="Arial" w:cs="Arial"/>
          <w:sz w:val="22"/>
          <w:szCs w:val="22"/>
        </w:rPr>
      </w:pPr>
      <w:r w:rsidRPr="00EB5EF0">
        <w:rPr>
          <w:rFonts w:ascii="Arial" w:hAnsi="Arial" w:cs="Arial"/>
          <w:sz w:val="22"/>
          <w:szCs w:val="22"/>
        </w:rPr>
        <w:t>In the randomised phase II trial, patients r</w:t>
      </w:r>
      <w:r w:rsidR="000D6576">
        <w:rPr>
          <w:rFonts w:ascii="Arial" w:hAnsi="Arial" w:cs="Arial"/>
          <w:sz w:val="22"/>
          <w:szCs w:val="22"/>
        </w:rPr>
        <w:t>andomised to receive ganetespib</w:t>
      </w:r>
      <w:r w:rsidRPr="00EB5EF0">
        <w:rPr>
          <w:rFonts w:ascii="Arial" w:hAnsi="Arial" w:cs="Arial"/>
          <w:sz w:val="22"/>
          <w:szCs w:val="22"/>
        </w:rPr>
        <w:t xml:space="preserve"> will be given the dose chosen from the phase I trial. </w:t>
      </w:r>
    </w:p>
    <w:p w14:paraId="60BCE5EF" w14:textId="77777777" w:rsidR="00A8594B" w:rsidRDefault="00A8594B" w:rsidP="00BF16F9">
      <w:pPr>
        <w:pStyle w:val="Heading2"/>
      </w:pPr>
      <w:bookmarkStart w:id="360" w:name="_Toc333484748"/>
      <w:bookmarkStart w:id="361" w:name="_Toc333484863"/>
      <w:bookmarkStart w:id="362" w:name="_Toc351624816"/>
      <w:bookmarkStart w:id="363" w:name="_Toc471826764"/>
      <w:bookmarkStart w:id="364" w:name="_Toc528323530"/>
      <w:r w:rsidRPr="005E2C7F">
        <w:t>Pemetrexed</w:t>
      </w:r>
      <w:bookmarkEnd w:id="360"/>
      <w:bookmarkEnd w:id="361"/>
      <w:bookmarkEnd w:id="362"/>
      <w:bookmarkEnd w:id="363"/>
      <w:bookmarkEnd w:id="364"/>
    </w:p>
    <w:p w14:paraId="49CDE64E" w14:textId="77777777" w:rsidR="00A8594B" w:rsidRPr="00BD613D" w:rsidRDefault="00A8594B" w:rsidP="00A8594B">
      <w:pPr>
        <w:pStyle w:val="Normal1"/>
        <w:rPr>
          <w:rFonts w:cs="Arial"/>
          <w:sz w:val="22"/>
          <w:lang w:val="en-GB"/>
        </w:rPr>
      </w:pPr>
      <w:r w:rsidRPr="00BD613D">
        <w:rPr>
          <w:rFonts w:cs="Arial"/>
          <w:sz w:val="22"/>
          <w:lang w:val="en-GB"/>
        </w:rPr>
        <w:t>Pemetrexed will be given as an intravenous infusion at a dose of 500mg/m</w:t>
      </w:r>
      <w:r w:rsidRPr="00BD613D">
        <w:rPr>
          <w:rFonts w:cs="Arial"/>
          <w:sz w:val="22"/>
          <w:vertAlign w:val="superscript"/>
          <w:lang w:val="en-GB"/>
        </w:rPr>
        <w:t>2</w:t>
      </w:r>
      <w:r w:rsidRPr="00BD613D">
        <w:rPr>
          <w:rFonts w:cs="Arial"/>
          <w:sz w:val="22"/>
          <w:lang w:val="en-GB"/>
        </w:rPr>
        <w:t xml:space="preserve"> IV </w:t>
      </w:r>
      <w:r w:rsidRPr="00983832">
        <w:rPr>
          <w:rFonts w:cs="Arial"/>
          <w:sz w:val="22"/>
        </w:rPr>
        <w:t xml:space="preserve">over 10 minutes </w:t>
      </w:r>
      <w:r w:rsidRPr="00BD613D">
        <w:rPr>
          <w:rFonts w:cs="Arial"/>
          <w:sz w:val="22"/>
          <w:lang w:val="en-GB"/>
        </w:rPr>
        <w:t xml:space="preserve">on day 1 every 21 days during the treatment. </w:t>
      </w:r>
      <w:r w:rsidR="0003558A">
        <w:rPr>
          <w:rFonts w:cs="Arial"/>
          <w:sz w:val="22"/>
        </w:rPr>
        <w:t xml:space="preserve">Pemetrexed should be administered immediately after completion of the </w:t>
      </w:r>
      <w:proofErr w:type="spellStart"/>
      <w:r w:rsidR="0003558A">
        <w:rPr>
          <w:rFonts w:cs="Arial"/>
          <w:sz w:val="22"/>
        </w:rPr>
        <w:t>ganetespib</w:t>
      </w:r>
      <w:proofErr w:type="spellEnd"/>
      <w:r w:rsidR="0003558A">
        <w:rPr>
          <w:rFonts w:cs="Arial"/>
          <w:sz w:val="22"/>
        </w:rPr>
        <w:t xml:space="preserve"> infusion.</w:t>
      </w:r>
      <w:r w:rsidR="00652BD7">
        <w:rPr>
          <w:rFonts w:cs="Arial"/>
          <w:sz w:val="22"/>
        </w:rPr>
        <w:t xml:space="preserve"> </w:t>
      </w:r>
      <w:r w:rsidRPr="00BD613D">
        <w:rPr>
          <w:rFonts w:cs="Arial"/>
          <w:sz w:val="22"/>
          <w:szCs w:val="22"/>
        </w:rPr>
        <w:t>To reduce the incidence and severity of pemetrexed-related skin reactions, a corticosteroid should be given the day prior to, on the day of, and the day after pemetrexed administration. The corticosteroid should be equivalent to 4mg of dexamethasone administered orally twice a day.</w:t>
      </w:r>
    </w:p>
    <w:p w14:paraId="7B090810" w14:textId="77777777" w:rsidR="00A8594B" w:rsidRPr="00BD613D" w:rsidRDefault="00A8594B" w:rsidP="00A8594B">
      <w:pPr>
        <w:pStyle w:val="Normal1"/>
        <w:rPr>
          <w:rFonts w:cs="Arial"/>
          <w:sz w:val="22"/>
          <w:szCs w:val="22"/>
          <w:lang w:val="en-GB"/>
        </w:rPr>
      </w:pPr>
    </w:p>
    <w:p w14:paraId="248743D4" w14:textId="77777777" w:rsidR="00FE3233" w:rsidRPr="00E32F8E" w:rsidRDefault="00A8594B" w:rsidP="00FE3233">
      <w:pPr>
        <w:jc w:val="both"/>
        <w:rPr>
          <w:rFonts w:ascii="Arial" w:hAnsi="Arial" w:cs="Arial"/>
          <w:color w:val="000000"/>
          <w:sz w:val="22"/>
          <w:szCs w:val="22"/>
        </w:rPr>
      </w:pPr>
      <w:r w:rsidRPr="00E32F8E">
        <w:rPr>
          <w:rFonts w:ascii="Arial" w:hAnsi="Arial" w:cs="Arial"/>
          <w:sz w:val="22"/>
          <w:szCs w:val="22"/>
        </w:rPr>
        <w:t>Pemetrexed should be administered in accordance with local schedules for hydration and electrolytes, based on locally agreed pharmacy procedures and guidelines.</w:t>
      </w:r>
      <w:r w:rsidR="00FE3233" w:rsidRPr="00E32F8E">
        <w:rPr>
          <w:rFonts w:ascii="Arial" w:hAnsi="Arial" w:cs="Arial"/>
          <w:sz w:val="22"/>
          <w:szCs w:val="22"/>
        </w:rPr>
        <w:t xml:space="preserve"> </w:t>
      </w:r>
      <w:r w:rsidR="00FE3233" w:rsidRPr="00E32F8E">
        <w:rPr>
          <w:rFonts w:ascii="Arial" w:hAnsi="Arial" w:cs="Arial"/>
          <w:color w:val="000000"/>
          <w:sz w:val="22"/>
          <w:szCs w:val="22"/>
        </w:rPr>
        <w:t>Pre-hydration can be started prior to ganetespib administration.</w:t>
      </w:r>
    </w:p>
    <w:p w14:paraId="7441D2C9" w14:textId="77777777" w:rsidR="00D572DA" w:rsidRDefault="00D572DA" w:rsidP="00FE3233">
      <w:pPr>
        <w:jc w:val="both"/>
        <w:rPr>
          <w:rFonts w:ascii="Arial" w:hAnsi="Arial" w:cs="Arial"/>
          <w:color w:val="000000"/>
          <w:sz w:val="22"/>
          <w:szCs w:val="22"/>
        </w:rPr>
      </w:pPr>
    </w:p>
    <w:p w14:paraId="1C4060C2" w14:textId="77777777" w:rsidR="00125DEE" w:rsidRDefault="00125DEE" w:rsidP="00125DEE">
      <w:pPr>
        <w:jc w:val="both"/>
        <w:rPr>
          <w:rFonts w:ascii="Arial" w:hAnsi="Arial" w:cs="Arial"/>
          <w:color w:val="000000"/>
          <w:sz w:val="22"/>
          <w:szCs w:val="22"/>
        </w:rPr>
      </w:pPr>
      <w:r>
        <w:rPr>
          <w:rFonts w:ascii="Arial" w:hAnsi="Arial" w:cs="Arial"/>
          <w:color w:val="000000"/>
          <w:sz w:val="22"/>
          <w:szCs w:val="22"/>
        </w:rPr>
        <w:t xml:space="preserve">Dose banding to ±5% is acceptable. </w:t>
      </w:r>
    </w:p>
    <w:p w14:paraId="6CCCB024" w14:textId="77777777" w:rsidR="00DA67E8" w:rsidRPr="001000BF" w:rsidRDefault="00DA67E8" w:rsidP="00BF16F9">
      <w:pPr>
        <w:pStyle w:val="Heading2"/>
      </w:pPr>
      <w:bookmarkStart w:id="365" w:name="_Toc333484749"/>
      <w:bookmarkStart w:id="366" w:name="_Toc333484864"/>
      <w:bookmarkStart w:id="367" w:name="_Toc351624817"/>
      <w:bookmarkStart w:id="368" w:name="_Toc471826765"/>
      <w:bookmarkStart w:id="369" w:name="_Toc528323531"/>
      <w:r w:rsidRPr="001000BF">
        <w:t>Cisplatin</w:t>
      </w:r>
      <w:bookmarkEnd w:id="365"/>
      <w:bookmarkEnd w:id="366"/>
      <w:bookmarkEnd w:id="367"/>
      <w:bookmarkEnd w:id="368"/>
      <w:bookmarkEnd w:id="369"/>
    </w:p>
    <w:p w14:paraId="038E41BA" w14:textId="77777777" w:rsidR="00FE3233" w:rsidRPr="007232ED" w:rsidRDefault="00DA67E8" w:rsidP="009D4004">
      <w:pPr>
        <w:jc w:val="both"/>
        <w:rPr>
          <w:rFonts w:ascii="Arial" w:hAnsi="Arial" w:cs="Arial"/>
          <w:color w:val="000000"/>
          <w:sz w:val="22"/>
          <w:szCs w:val="22"/>
        </w:rPr>
      </w:pPr>
      <w:r w:rsidRPr="007232ED">
        <w:rPr>
          <w:rFonts w:ascii="Arial" w:hAnsi="Arial" w:cs="Arial"/>
          <w:sz w:val="22"/>
        </w:rPr>
        <w:t>Cisplatin will be given at as an intravenous infusion at a dose of 75mg/m</w:t>
      </w:r>
      <w:r w:rsidRPr="007232ED">
        <w:rPr>
          <w:rFonts w:ascii="Arial" w:hAnsi="Arial" w:cs="Arial"/>
          <w:sz w:val="22"/>
          <w:vertAlign w:val="superscript"/>
        </w:rPr>
        <w:t>2</w:t>
      </w:r>
      <w:r w:rsidRPr="007232ED">
        <w:rPr>
          <w:rFonts w:ascii="Arial" w:hAnsi="Arial" w:cs="Arial"/>
          <w:sz w:val="22"/>
        </w:rPr>
        <w:t xml:space="preserve"> </w:t>
      </w:r>
      <w:r w:rsidR="00A8594B" w:rsidRPr="007232ED">
        <w:rPr>
          <w:rFonts w:ascii="Arial" w:hAnsi="Arial" w:cs="Arial"/>
          <w:sz w:val="22"/>
        </w:rPr>
        <w:t xml:space="preserve">infused over 2 hours </w:t>
      </w:r>
      <w:r w:rsidRPr="007232ED">
        <w:rPr>
          <w:rFonts w:ascii="Arial" w:hAnsi="Arial" w:cs="Arial"/>
          <w:sz w:val="22"/>
        </w:rPr>
        <w:t xml:space="preserve">on day 1 every 21 days during the treatment. </w:t>
      </w:r>
      <w:r w:rsidR="00A8594B" w:rsidRPr="007232ED">
        <w:rPr>
          <w:rFonts w:ascii="Arial" w:hAnsi="Arial" w:cs="Arial"/>
          <w:sz w:val="22"/>
        </w:rPr>
        <w:t>Cisplatin should be administered approximately 30 minutes after completion of the pemetrexed infusion</w:t>
      </w:r>
      <w:r w:rsidR="00A8594B" w:rsidRPr="007232ED">
        <w:rPr>
          <w:rFonts w:ascii="Arial" w:hAnsi="Arial" w:cs="Arial"/>
          <w:sz w:val="22"/>
          <w:szCs w:val="22"/>
        </w:rPr>
        <w:t xml:space="preserve">. </w:t>
      </w:r>
      <w:r w:rsidRPr="007232ED">
        <w:rPr>
          <w:rFonts w:ascii="Arial" w:hAnsi="Arial" w:cs="Arial"/>
          <w:sz w:val="22"/>
          <w:szCs w:val="22"/>
        </w:rPr>
        <w:t>Cisplatin should be administered in accordance with local schedules for hydration</w:t>
      </w:r>
      <w:r w:rsidR="007F2AB1">
        <w:rPr>
          <w:rFonts w:ascii="Arial" w:hAnsi="Arial" w:cs="Arial"/>
          <w:sz w:val="22"/>
          <w:szCs w:val="22"/>
        </w:rPr>
        <w:t>, antiemetics</w:t>
      </w:r>
      <w:r w:rsidRPr="007232ED">
        <w:rPr>
          <w:rFonts w:ascii="Arial" w:hAnsi="Arial" w:cs="Arial"/>
          <w:sz w:val="22"/>
          <w:szCs w:val="22"/>
        </w:rPr>
        <w:t xml:space="preserve"> and electrolytes, based on locally agreed pharmacy procedures and guidelines.</w:t>
      </w:r>
      <w:r w:rsidR="00FE3233" w:rsidRPr="007232ED">
        <w:rPr>
          <w:rFonts w:ascii="Arial" w:hAnsi="Arial" w:cs="Arial"/>
          <w:sz w:val="22"/>
          <w:szCs w:val="22"/>
        </w:rPr>
        <w:t xml:space="preserve"> </w:t>
      </w:r>
      <w:r w:rsidR="00FE3233" w:rsidRPr="007232ED">
        <w:rPr>
          <w:rFonts w:ascii="Arial" w:hAnsi="Arial" w:cs="Arial"/>
          <w:color w:val="000000"/>
          <w:sz w:val="22"/>
          <w:szCs w:val="22"/>
        </w:rPr>
        <w:t>Pre-hydration can be started prior to ganetespib administration.</w:t>
      </w:r>
      <w:r w:rsidR="00BD2457" w:rsidRPr="007232ED">
        <w:rPr>
          <w:rFonts w:ascii="Arial" w:hAnsi="Arial" w:cs="Arial"/>
          <w:color w:val="000000"/>
          <w:sz w:val="22"/>
          <w:szCs w:val="22"/>
        </w:rPr>
        <w:t xml:space="preserve"> </w:t>
      </w:r>
      <w:r w:rsidR="009D4004" w:rsidRPr="009D4004">
        <w:rPr>
          <w:rFonts w:ascii="Arial" w:hAnsi="Arial" w:cs="Arial"/>
          <w:color w:val="000000"/>
          <w:sz w:val="22"/>
          <w:szCs w:val="22"/>
        </w:rPr>
        <w:t>Prior to</w:t>
      </w:r>
      <w:r w:rsidR="009D4004">
        <w:rPr>
          <w:rFonts w:ascii="Arial" w:hAnsi="Arial" w:cs="Arial"/>
          <w:color w:val="000000"/>
          <w:sz w:val="22"/>
          <w:szCs w:val="22"/>
        </w:rPr>
        <w:t xml:space="preserve"> </w:t>
      </w:r>
      <w:r w:rsidR="009D4004" w:rsidRPr="009D4004">
        <w:rPr>
          <w:rFonts w:ascii="Arial" w:hAnsi="Arial" w:cs="Arial"/>
          <w:color w:val="000000"/>
          <w:sz w:val="22"/>
          <w:szCs w:val="22"/>
        </w:rPr>
        <w:t>each course, the absence of symptoms of peripheral neuropathy should</w:t>
      </w:r>
      <w:r w:rsidR="009D4004">
        <w:rPr>
          <w:rFonts w:ascii="Arial" w:hAnsi="Arial" w:cs="Arial"/>
          <w:color w:val="000000"/>
          <w:sz w:val="22"/>
          <w:szCs w:val="22"/>
        </w:rPr>
        <w:t xml:space="preserve"> </w:t>
      </w:r>
      <w:r w:rsidR="009D4004" w:rsidRPr="009D4004">
        <w:rPr>
          <w:rFonts w:ascii="Arial" w:hAnsi="Arial" w:cs="Arial"/>
          <w:color w:val="000000"/>
          <w:sz w:val="22"/>
          <w:szCs w:val="22"/>
        </w:rPr>
        <w:t>be</w:t>
      </w:r>
      <w:r w:rsidR="009D4004">
        <w:rPr>
          <w:rFonts w:ascii="Arial" w:hAnsi="Arial" w:cs="Arial"/>
          <w:color w:val="000000"/>
          <w:sz w:val="22"/>
          <w:szCs w:val="22"/>
        </w:rPr>
        <w:t xml:space="preserve"> </w:t>
      </w:r>
      <w:r w:rsidR="009D4004" w:rsidRPr="009D4004">
        <w:rPr>
          <w:rFonts w:ascii="Arial" w:hAnsi="Arial" w:cs="Arial"/>
          <w:color w:val="000000"/>
          <w:sz w:val="22"/>
          <w:szCs w:val="22"/>
        </w:rPr>
        <w:t>established</w:t>
      </w:r>
      <w:r w:rsidR="009D4004">
        <w:rPr>
          <w:rFonts w:ascii="Arial" w:hAnsi="Arial" w:cs="Arial"/>
          <w:color w:val="000000"/>
          <w:sz w:val="22"/>
          <w:szCs w:val="22"/>
        </w:rPr>
        <w:t>.</w:t>
      </w:r>
    </w:p>
    <w:p w14:paraId="037C3EBC" w14:textId="77777777" w:rsidR="00DA67E8" w:rsidRDefault="00DA67E8" w:rsidP="005F6EC9">
      <w:pPr>
        <w:pStyle w:val="Normal1"/>
        <w:rPr>
          <w:rFonts w:cs="Arial"/>
          <w:sz w:val="22"/>
          <w:szCs w:val="22"/>
        </w:rPr>
      </w:pPr>
    </w:p>
    <w:p w14:paraId="507F74AF" w14:textId="77777777" w:rsidR="00D572DA" w:rsidRDefault="00125DEE" w:rsidP="00D572DA">
      <w:pPr>
        <w:jc w:val="both"/>
        <w:rPr>
          <w:rFonts w:ascii="Arial" w:hAnsi="Arial" w:cs="Arial"/>
          <w:color w:val="000000"/>
          <w:sz w:val="22"/>
          <w:szCs w:val="22"/>
        </w:rPr>
      </w:pPr>
      <w:r>
        <w:rPr>
          <w:rFonts w:ascii="Arial" w:hAnsi="Arial" w:cs="Arial"/>
          <w:color w:val="000000"/>
          <w:sz w:val="22"/>
          <w:szCs w:val="22"/>
        </w:rPr>
        <w:t xml:space="preserve">Dose banding </w:t>
      </w:r>
      <w:r w:rsidR="00652BD7">
        <w:rPr>
          <w:rFonts w:ascii="Arial" w:hAnsi="Arial" w:cs="Arial"/>
          <w:color w:val="000000"/>
          <w:sz w:val="22"/>
          <w:szCs w:val="22"/>
        </w:rPr>
        <w:t>to ±</w:t>
      </w:r>
      <w:r>
        <w:rPr>
          <w:rFonts w:ascii="Arial" w:hAnsi="Arial" w:cs="Arial"/>
          <w:color w:val="000000"/>
          <w:sz w:val="22"/>
          <w:szCs w:val="22"/>
        </w:rPr>
        <w:t>5% is acceptable</w:t>
      </w:r>
      <w:r w:rsidR="00D572DA">
        <w:rPr>
          <w:rFonts w:ascii="Arial" w:hAnsi="Arial" w:cs="Arial"/>
          <w:color w:val="000000"/>
          <w:sz w:val="22"/>
          <w:szCs w:val="22"/>
        </w:rPr>
        <w:t xml:space="preserve">. </w:t>
      </w:r>
    </w:p>
    <w:p w14:paraId="44AC34DE" w14:textId="77777777" w:rsidR="00D44DB4" w:rsidRDefault="00D44DB4" w:rsidP="00D572DA">
      <w:pPr>
        <w:jc w:val="both"/>
        <w:rPr>
          <w:rFonts w:ascii="Arial" w:hAnsi="Arial" w:cs="Arial"/>
          <w:color w:val="000000"/>
          <w:sz w:val="22"/>
          <w:szCs w:val="22"/>
        </w:rPr>
      </w:pPr>
    </w:p>
    <w:p w14:paraId="1D74F394" w14:textId="77777777" w:rsidR="00D44DB4" w:rsidRPr="001000BF" w:rsidRDefault="00D44DB4" w:rsidP="00BF16F9">
      <w:pPr>
        <w:pStyle w:val="Heading2"/>
      </w:pPr>
      <w:bookmarkStart w:id="370" w:name="_Toc471826766"/>
      <w:bookmarkStart w:id="371" w:name="_Toc528323532"/>
      <w:r w:rsidRPr="001000BF">
        <w:t>C</w:t>
      </w:r>
      <w:r>
        <w:rPr>
          <w:lang w:val="en-GB"/>
        </w:rPr>
        <w:t>arboplatin</w:t>
      </w:r>
      <w:bookmarkEnd w:id="370"/>
      <w:bookmarkEnd w:id="371"/>
    </w:p>
    <w:p w14:paraId="2AB140D2" w14:textId="77777777" w:rsidR="00D44DB4" w:rsidRPr="007232ED" w:rsidRDefault="00D44DB4" w:rsidP="00D44DB4">
      <w:pPr>
        <w:jc w:val="both"/>
        <w:rPr>
          <w:rFonts w:ascii="Arial" w:hAnsi="Arial" w:cs="Arial"/>
          <w:color w:val="000000"/>
          <w:sz w:val="22"/>
          <w:szCs w:val="22"/>
        </w:rPr>
      </w:pPr>
      <w:r w:rsidRPr="007232ED">
        <w:rPr>
          <w:rFonts w:ascii="Arial" w:hAnsi="Arial" w:cs="Arial"/>
          <w:sz w:val="22"/>
        </w:rPr>
        <w:t>C</w:t>
      </w:r>
      <w:r>
        <w:rPr>
          <w:rFonts w:ascii="Arial" w:hAnsi="Arial" w:cs="Arial"/>
          <w:sz w:val="22"/>
        </w:rPr>
        <w:t>arboplatin</w:t>
      </w:r>
      <w:r w:rsidRPr="007232ED">
        <w:rPr>
          <w:rFonts w:ascii="Arial" w:hAnsi="Arial" w:cs="Arial"/>
          <w:sz w:val="22"/>
        </w:rPr>
        <w:t xml:space="preserve"> will be given at as an intravenous infusion at a dose of </w:t>
      </w:r>
      <w:r>
        <w:rPr>
          <w:rFonts w:ascii="Arial" w:hAnsi="Arial" w:cs="Arial"/>
          <w:sz w:val="22"/>
        </w:rPr>
        <w:t>AUC5</w:t>
      </w:r>
      <w:r w:rsidRPr="007232ED">
        <w:rPr>
          <w:rFonts w:ascii="Arial" w:hAnsi="Arial" w:cs="Arial"/>
          <w:sz w:val="22"/>
        </w:rPr>
        <w:t xml:space="preserve"> infused over</w:t>
      </w:r>
      <w:r>
        <w:rPr>
          <w:rFonts w:ascii="Arial" w:hAnsi="Arial" w:cs="Arial"/>
          <w:sz w:val="22"/>
        </w:rPr>
        <w:t xml:space="preserve"> 30 minutes</w:t>
      </w:r>
      <w:r w:rsidRPr="007232ED">
        <w:rPr>
          <w:rFonts w:ascii="Arial" w:hAnsi="Arial" w:cs="Arial"/>
          <w:sz w:val="22"/>
        </w:rPr>
        <w:t xml:space="preserve"> on day 1 every 21 days during the treatment. C</w:t>
      </w:r>
      <w:r>
        <w:rPr>
          <w:rFonts w:ascii="Arial" w:hAnsi="Arial" w:cs="Arial"/>
          <w:sz w:val="22"/>
        </w:rPr>
        <w:t>arboplatin</w:t>
      </w:r>
      <w:r w:rsidRPr="007232ED">
        <w:rPr>
          <w:rFonts w:ascii="Arial" w:hAnsi="Arial" w:cs="Arial"/>
          <w:sz w:val="22"/>
        </w:rPr>
        <w:t xml:space="preserve"> should be administered approximately 30 minutes after completion of the pemetrexed infusion</w:t>
      </w:r>
      <w:r w:rsidRPr="007232ED">
        <w:rPr>
          <w:rFonts w:ascii="Arial" w:hAnsi="Arial" w:cs="Arial"/>
          <w:sz w:val="22"/>
          <w:szCs w:val="22"/>
        </w:rPr>
        <w:t>. C</w:t>
      </w:r>
      <w:r>
        <w:rPr>
          <w:rFonts w:ascii="Arial" w:hAnsi="Arial" w:cs="Arial"/>
          <w:sz w:val="22"/>
          <w:szCs w:val="22"/>
        </w:rPr>
        <w:t>arboplatin</w:t>
      </w:r>
      <w:r w:rsidRPr="007232ED">
        <w:rPr>
          <w:rFonts w:ascii="Arial" w:hAnsi="Arial" w:cs="Arial"/>
          <w:sz w:val="22"/>
          <w:szCs w:val="22"/>
        </w:rPr>
        <w:t xml:space="preserve"> should be administered in accordance with local schedules for </w:t>
      </w:r>
      <w:r w:rsidR="000F4751">
        <w:rPr>
          <w:rFonts w:ascii="Arial" w:hAnsi="Arial" w:cs="Arial"/>
          <w:sz w:val="22"/>
          <w:szCs w:val="22"/>
        </w:rPr>
        <w:t>supportive medication.</w:t>
      </w:r>
    </w:p>
    <w:p w14:paraId="6D1079C6" w14:textId="77777777" w:rsidR="00D44DB4" w:rsidRDefault="00D44DB4" w:rsidP="00D44DB4">
      <w:pPr>
        <w:pStyle w:val="Normal1"/>
        <w:rPr>
          <w:rFonts w:cs="Arial"/>
          <w:sz w:val="22"/>
          <w:szCs w:val="22"/>
        </w:rPr>
      </w:pPr>
    </w:p>
    <w:p w14:paraId="2C1C97B1" w14:textId="77777777" w:rsidR="00D44DB4" w:rsidRDefault="00D44DB4" w:rsidP="00D44DB4">
      <w:pPr>
        <w:jc w:val="both"/>
        <w:rPr>
          <w:rFonts w:ascii="Arial" w:hAnsi="Arial" w:cs="Arial"/>
          <w:color w:val="000000"/>
          <w:sz w:val="22"/>
          <w:szCs w:val="22"/>
        </w:rPr>
      </w:pPr>
      <w:r>
        <w:rPr>
          <w:rFonts w:ascii="Arial" w:hAnsi="Arial" w:cs="Arial"/>
          <w:color w:val="000000"/>
          <w:sz w:val="22"/>
          <w:szCs w:val="22"/>
        </w:rPr>
        <w:t xml:space="preserve">Dose banding to ±5% is acceptable. </w:t>
      </w:r>
    </w:p>
    <w:p w14:paraId="5FF43764" w14:textId="77777777" w:rsidR="00D44DB4" w:rsidRDefault="00D44DB4" w:rsidP="00D572DA">
      <w:pPr>
        <w:jc w:val="both"/>
        <w:rPr>
          <w:rFonts w:ascii="Arial" w:hAnsi="Arial" w:cs="Arial"/>
          <w:color w:val="000000"/>
          <w:sz w:val="22"/>
          <w:szCs w:val="22"/>
        </w:rPr>
      </w:pPr>
    </w:p>
    <w:p w14:paraId="36FDEC38" w14:textId="77777777" w:rsidR="00DA67E8" w:rsidRPr="00C4661E" w:rsidRDefault="00C4661E" w:rsidP="00BF16F9">
      <w:pPr>
        <w:pStyle w:val="Heading2"/>
      </w:pPr>
      <w:r>
        <w:t xml:space="preserve">  </w:t>
      </w:r>
      <w:bookmarkStart w:id="372" w:name="_Toc333484750"/>
      <w:bookmarkStart w:id="373" w:name="_Toc333484865"/>
      <w:bookmarkStart w:id="374" w:name="_Toc351624818"/>
      <w:bookmarkStart w:id="375" w:name="_Toc471826767"/>
      <w:bookmarkStart w:id="376" w:name="_Toc528323533"/>
      <w:r w:rsidR="00DA67E8" w:rsidRPr="00C4661E">
        <w:t>Vitamin supplementation</w:t>
      </w:r>
      <w:bookmarkEnd w:id="372"/>
      <w:bookmarkEnd w:id="373"/>
      <w:bookmarkEnd w:id="374"/>
      <w:bookmarkEnd w:id="375"/>
      <w:bookmarkEnd w:id="376"/>
    </w:p>
    <w:p w14:paraId="465BE19B" w14:textId="77777777" w:rsidR="00DA67E8" w:rsidRPr="00BD613D" w:rsidRDefault="00DA67E8" w:rsidP="00BD613D">
      <w:pPr>
        <w:ind w:right="-113"/>
        <w:jc w:val="both"/>
        <w:rPr>
          <w:rFonts w:ascii="Arial" w:hAnsi="Arial" w:cs="Arial"/>
          <w:sz w:val="22"/>
          <w:szCs w:val="22"/>
        </w:rPr>
      </w:pPr>
      <w:r w:rsidRPr="00BD613D">
        <w:rPr>
          <w:rFonts w:ascii="Arial" w:hAnsi="Arial" w:cs="Arial"/>
          <w:sz w:val="22"/>
          <w:szCs w:val="22"/>
        </w:rPr>
        <w:t>Al</w:t>
      </w:r>
      <w:r w:rsidR="00F333BA">
        <w:rPr>
          <w:rFonts w:ascii="Arial" w:hAnsi="Arial" w:cs="Arial"/>
          <w:sz w:val="22"/>
          <w:szCs w:val="22"/>
        </w:rPr>
        <w:t xml:space="preserve">l patients receiving pemetrexed </w:t>
      </w:r>
      <w:r w:rsidRPr="00BD613D">
        <w:rPr>
          <w:rFonts w:ascii="Arial" w:hAnsi="Arial" w:cs="Arial"/>
          <w:sz w:val="22"/>
          <w:szCs w:val="22"/>
        </w:rPr>
        <w:t>containing regimens should receive the following prophylactic treatments:</w:t>
      </w:r>
    </w:p>
    <w:p w14:paraId="4DEAD92A" w14:textId="77777777" w:rsidR="00DA67E8" w:rsidRPr="00BD613D" w:rsidRDefault="00DA67E8" w:rsidP="002F600D">
      <w:pPr>
        <w:numPr>
          <w:ilvl w:val="0"/>
          <w:numId w:val="18"/>
        </w:numPr>
        <w:spacing w:before="120"/>
        <w:jc w:val="both"/>
        <w:rPr>
          <w:rFonts w:ascii="Arial" w:hAnsi="Arial" w:cs="Arial"/>
          <w:sz w:val="22"/>
          <w:szCs w:val="22"/>
        </w:rPr>
      </w:pPr>
      <w:r w:rsidRPr="00BD613D">
        <w:rPr>
          <w:rFonts w:ascii="Arial" w:hAnsi="Arial" w:cs="Arial"/>
          <w:sz w:val="22"/>
          <w:szCs w:val="22"/>
        </w:rPr>
        <w:t xml:space="preserve">350 – 1000 micrograms oral folic acid daily.  At least five doses of folic acid must be taken during the 7 days preceding the first dose of pemetrexed, and daily dosing must continue during pemetrexed treatment, and for 21 days after the last dose. </w:t>
      </w:r>
    </w:p>
    <w:p w14:paraId="459A02A3" w14:textId="77777777" w:rsidR="00DA67E8" w:rsidRPr="00E213F7" w:rsidRDefault="00DA67E8" w:rsidP="002F600D">
      <w:pPr>
        <w:numPr>
          <w:ilvl w:val="0"/>
          <w:numId w:val="18"/>
        </w:numPr>
        <w:autoSpaceDE w:val="0"/>
        <w:autoSpaceDN w:val="0"/>
        <w:adjustRightInd w:val="0"/>
        <w:spacing w:before="120"/>
        <w:jc w:val="both"/>
        <w:rPr>
          <w:rFonts w:ascii="Arial" w:hAnsi="Arial" w:cs="Arial"/>
          <w:sz w:val="22"/>
          <w:szCs w:val="22"/>
        </w:rPr>
      </w:pPr>
      <w:r w:rsidRPr="00BD613D">
        <w:rPr>
          <w:rFonts w:ascii="Arial" w:hAnsi="Arial" w:cs="Arial"/>
          <w:sz w:val="22"/>
          <w:szCs w:val="22"/>
        </w:rPr>
        <w:t>1000 micrograms of intramuscular vitamin B</w:t>
      </w:r>
      <w:r w:rsidRPr="00BD613D">
        <w:rPr>
          <w:rFonts w:ascii="Arial" w:hAnsi="Arial" w:cs="Arial"/>
          <w:sz w:val="22"/>
          <w:szCs w:val="22"/>
          <w:vertAlign w:val="subscript"/>
        </w:rPr>
        <w:t>12</w:t>
      </w:r>
      <w:r w:rsidRPr="00BD613D">
        <w:rPr>
          <w:rFonts w:ascii="Arial" w:hAnsi="Arial" w:cs="Arial"/>
          <w:sz w:val="22"/>
          <w:szCs w:val="22"/>
        </w:rPr>
        <w:t xml:space="preserve"> every 9 weeks. The first dose starting in the week precedi</w:t>
      </w:r>
      <w:r w:rsidR="00E213F7">
        <w:rPr>
          <w:rFonts w:ascii="Arial" w:hAnsi="Arial" w:cs="Arial"/>
          <w:sz w:val="22"/>
          <w:szCs w:val="22"/>
        </w:rPr>
        <w:t xml:space="preserve">ng the first dose of pemetrexed. </w:t>
      </w:r>
      <w:r w:rsidRPr="00E213F7">
        <w:rPr>
          <w:rFonts w:ascii="Arial" w:hAnsi="Arial" w:cs="Arial"/>
          <w:sz w:val="22"/>
          <w:szCs w:val="22"/>
        </w:rPr>
        <w:t>Subsequent vitamin B</w:t>
      </w:r>
      <w:r w:rsidRPr="00E213F7">
        <w:rPr>
          <w:rFonts w:ascii="Arial" w:hAnsi="Arial" w:cs="Arial"/>
          <w:sz w:val="22"/>
          <w:szCs w:val="22"/>
          <w:vertAlign w:val="subscript"/>
        </w:rPr>
        <w:t>12</w:t>
      </w:r>
      <w:r w:rsidRPr="00E213F7">
        <w:rPr>
          <w:rFonts w:ascii="Arial" w:hAnsi="Arial" w:cs="Arial"/>
          <w:sz w:val="22"/>
          <w:szCs w:val="22"/>
        </w:rPr>
        <w:t xml:space="preserve"> injections may be given on the same day as pemetrexed.</w:t>
      </w:r>
    </w:p>
    <w:p w14:paraId="40641403" w14:textId="77777777" w:rsidR="00AC7C14" w:rsidRDefault="00AC7C14" w:rsidP="00BD613D">
      <w:pPr>
        <w:autoSpaceDE w:val="0"/>
        <w:autoSpaceDN w:val="0"/>
        <w:adjustRightInd w:val="0"/>
        <w:jc w:val="both"/>
        <w:rPr>
          <w:rFonts w:ascii="Arial" w:hAnsi="Arial" w:cs="Arial"/>
          <w:color w:val="000000"/>
          <w:sz w:val="22"/>
          <w:szCs w:val="22"/>
        </w:rPr>
      </w:pPr>
    </w:p>
    <w:p w14:paraId="5A608709" w14:textId="77777777" w:rsidR="00DA67E8" w:rsidRPr="00BD613D" w:rsidRDefault="00AC7C14" w:rsidP="00BD613D">
      <w:pPr>
        <w:autoSpaceDE w:val="0"/>
        <w:autoSpaceDN w:val="0"/>
        <w:adjustRightInd w:val="0"/>
        <w:jc w:val="both"/>
        <w:rPr>
          <w:rFonts w:ascii="Arial" w:hAnsi="Arial" w:cs="Arial"/>
          <w:sz w:val="22"/>
          <w:szCs w:val="22"/>
          <w:lang w:val="en-US"/>
        </w:rPr>
      </w:pPr>
      <w:r>
        <w:rPr>
          <w:rFonts w:ascii="Arial" w:hAnsi="Arial" w:cs="Arial"/>
          <w:color w:val="000000"/>
          <w:sz w:val="22"/>
          <w:szCs w:val="22"/>
        </w:rPr>
        <w:t>Alternative locally approved schedules for folate and vitamin B</w:t>
      </w:r>
      <w:r w:rsidRPr="00AC7C14">
        <w:rPr>
          <w:rFonts w:ascii="Arial" w:hAnsi="Arial" w:cs="Arial"/>
          <w:color w:val="000000"/>
          <w:sz w:val="22"/>
          <w:szCs w:val="22"/>
          <w:vertAlign w:val="subscript"/>
        </w:rPr>
        <w:t>12</w:t>
      </w:r>
      <w:r>
        <w:rPr>
          <w:rFonts w:ascii="Arial" w:hAnsi="Arial" w:cs="Arial"/>
          <w:color w:val="000000"/>
          <w:sz w:val="22"/>
          <w:szCs w:val="22"/>
        </w:rPr>
        <w:t xml:space="preserve"> supplementation may be considered if deemed appropriate by the treating clinician.</w:t>
      </w:r>
      <w:r w:rsidR="00173E92">
        <w:rPr>
          <w:rFonts w:ascii="Arial" w:hAnsi="Arial" w:cs="Arial"/>
          <w:color w:val="000000"/>
          <w:sz w:val="22"/>
          <w:szCs w:val="22"/>
        </w:rPr>
        <w:t xml:space="preserve"> </w:t>
      </w:r>
      <w:r w:rsidR="00DA67E8" w:rsidRPr="00BD613D">
        <w:rPr>
          <w:rFonts w:ascii="Arial" w:hAnsi="Arial" w:cs="Arial"/>
          <w:color w:val="000000"/>
          <w:sz w:val="22"/>
          <w:szCs w:val="22"/>
        </w:rPr>
        <w:t>Vitamin B</w:t>
      </w:r>
      <w:r w:rsidR="00DA67E8" w:rsidRPr="00BD613D">
        <w:rPr>
          <w:rFonts w:ascii="Arial" w:hAnsi="Arial" w:cs="Arial"/>
          <w:color w:val="000000"/>
          <w:sz w:val="22"/>
          <w:szCs w:val="22"/>
          <w:vertAlign w:val="subscript"/>
        </w:rPr>
        <w:t>12</w:t>
      </w:r>
      <w:r w:rsidR="00DA67E8" w:rsidRPr="00BD613D">
        <w:rPr>
          <w:rFonts w:ascii="Arial" w:hAnsi="Arial" w:cs="Arial"/>
          <w:color w:val="000000"/>
          <w:sz w:val="22"/>
          <w:szCs w:val="22"/>
        </w:rPr>
        <w:t xml:space="preserve"> and folic acid supplementation </w:t>
      </w:r>
      <w:r w:rsidR="00DA67E8" w:rsidRPr="00BD613D">
        <w:rPr>
          <w:rFonts w:ascii="Arial" w:hAnsi="Arial" w:cs="Arial"/>
          <w:sz w:val="22"/>
          <w:szCs w:val="22"/>
          <w:lang w:val="en-US"/>
        </w:rPr>
        <w:t>products do not fall within the definition of investigational medicinal products.</w:t>
      </w:r>
    </w:p>
    <w:p w14:paraId="44295D34" w14:textId="77777777" w:rsidR="00DA67E8" w:rsidRPr="00BD613D" w:rsidRDefault="00DA67E8" w:rsidP="00345194">
      <w:pPr>
        <w:tabs>
          <w:tab w:val="left" w:pos="1507"/>
        </w:tabs>
        <w:rPr>
          <w:highlight w:val="yellow"/>
          <w:lang w:val="en-US"/>
        </w:rPr>
      </w:pPr>
    </w:p>
    <w:p w14:paraId="01E9742D" w14:textId="77777777" w:rsidR="00DA67E8" w:rsidRPr="00F333BA" w:rsidRDefault="00CB5C6F" w:rsidP="00BF16F9">
      <w:pPr>
        <w:pStyle w:val="Heading2"/>
        <w:rPr>
          <w:sz w:val="22"/>
          <w:szCs w:val="22"/>
        </w:rPr>
      </w:pPr>
      <w:r>
        <w:rPr>
          <w:lang w:val="en-GB"/>
        </w:rPr>
        <w:t xml:space="preserve"> </w:t>
      </w:r>
      <w:bookmarkStart w:id="377" w:name="_Toc333484751"/>
      <w:bookmarkStart w:id="378" w:name="_Toc333484866"/>
      <w:bookmarkStart w:id="379" w:name="_Toc351624819"/>
      <w:bookmarkStart w:id="380" w:name="_Toc471826768"/>
      <w:bookmarkStart w:id="381" w:name="_Toc528323534"/>
      <w:r w:rsidR="00DA67E8" w:rsidRPr="00085012">
        <w:t>Anti-emetics</w:t>
      </w:r>
      <w:bookmarkEnd w:id="377"/>
      <w:bookmarkEnd w:id="378"/>
      <w:bookmarkEnd w:id="379"/>
      <w:bookmarkEnd w:id="380"/>
      <w:bookmarkEnd w:id="381"/>
      <w:r w:rsidR="00DA67E8" w:rsidRPr="00085012">
        <w:t xml:space="preserve"> </w:t>
      </w:r>
    </w:p>
    <w:p w14:paraId="741AA57B" w14:textId="77777777" w:rsidR="008522AD" w:rsidRPr="00085012" w:rsidRDefault="008522AD" w:rsidP="00F62DC2">
      <w:pPr>
        <w:spacing w:before="120"/>
        <w:ind w:right="-113"/>
        <w:jc w:val="both"/>
        <w:rPr>
          <w:rFonts w:ascii="Arial" w:hAnsi="Arial" w:cs="Arial"/>
          <w:sz w:val="22"/>
          <w:szCs w:val="22"/>
        </w:rPr>
      </w:pPr>
      <w:r>
        <w:rPr>
          <w:rFonts w:ascii="Arial" w:hAnsi="Arial" w:cs="Arial"/>
          <w:sz w:val="22"/>
          <w:szCs w:val="22"/>
        </w:rPr>
        <w:t>The use of anti-emetics should be as per local practice for cisplatin</w:t>
      </w:r>
      <w:r w:rsidR="00BC3474">
        <w:rPr>
          <w:rFonts w:ascii="Arial" w:hAnsi="Arial" w:cs="Arial"/>
          <w:sz w:val="22"/>
          <w:szCs w:val="22"/>
        </w:rPr>
        <w:t xml:space="preserve">, carboplatin </w:t>
      </w:r>
      <w:r>
        <w:rPr>
          <w:rFonts w:ascii="Arial" w:hAnsi="Arial" w:cs="Arial"/>
          <w:sz w:val="22"/>
          <w:szCs w:val="22"/>
        </w:rPr>
        <w:t>and pemetrexed administration.</w:t>
      </w:r>
    </w:p>
    <w:p w14:paraId="3D4B564C" w14:textId="77777777" w:rsidR="00DA67E8" w:rsidRPr="00085012" w:rsidRDefault="00DA67E8" w:rsidP="00F62DC2">
      <w:pPr>
        <w:spacing w:before="120"/>
        <w:ind w:right="-113"/>
        <w:jc w:val="both"/>
        <w:rPr>
          <w:rFonts w:ascii="Arial" w:hAnsi="Arial" w:cs="Arial"/>
          <w:sz w:val="22"/>
          <w:szCs w:val="22"/>
        </w:rPr>
      </w:pPr>
      <w:r w:rsidRPr="00085012">
        <w:rPr>
          <w:rFonts w:ascii="Arial" w:hAnsi="Arial" w:cs="Arial"/>
          <w:sz w:val="22"/>
          <w:szCs w:val="22"/>
        </w:rPr>
        <w:lastRenderedPageBreak/>
        <w:t>If patients have</w:t>
      </w:r>
      <w:r w:rsidR="00E213F7">
        <w:rPr>
          <w:rFonts w:ascii="Arial" w:hAnsi="Arial" w:cs="Arial"/>
          <w:sz w:val="22"/>
          <w:szCs w:val="22"/>
        </w:rPr>
        <w:t xml:space="preserve"> acute uncontrolled emesis then </w:t>
      </w:r>
      <w:r w:rsidRPr="00085012">
        <w:rPr>
          <w:rFonts w:ascii="Arial" w:hAnsi="Arial" w:cs="Arial"/>
          <w:sz w:val="22"/>
          <w:szCs w:val="22"/>
        </w:rPr>
        <w:t>admission for intravenous fluid support should be given.</w:t>
      </w:r>
    </w:p>
    <w:p w14:paraId="0E3A80B2" w14:textId="77777777" w:rsidR="00DA67E8" w:rsidRPr="009C01A1" w:rsidRDefault="00F333BA" w:rsidP="00BF16F9">
      <w:pPr>
        <w:pStyle w:val="Heading2"/>
      </w:pPr>
      <w:r>
        <w:t xml:space="preserve"> </w:t>
      </w:r>
      <w:bookmarkStart w:id="382" w:name="_Toc333484752"/>
      <w:bookmarkStart w:id="383" w:name="_Toc333484867"/>
      <w:bookmarkStart w:id="384" w:name="_Toc351624820"/>
      <w:bookmarkStart w:id="385" w:name="_Toc471826769"/>
      <w:bookmarkStart w:id="386" w:name="_Toc528323535"/>
      <w:r w:rsidR="00DA67E8" w:rsidRPr="009C01A1">
        <w:t>Prophylactic antibiotics</w:t>
      </w:r>
      <w:bookmarkEnd w:id="382"/>
      <w:bookmarkEnd w:id="383"/>
      <w:bookmarkEnd w:id="384"/>
      <w:bookmarkEnd w:id="385"/>
      <w:bookmarkEnd w:id="386"/>
    </w:p>
    <w:p w14:paraId="7567F365" w14:textId="77777777" w:rsidR="00DA67E8" w:rsidRPr="009C01A1" w:rsidRDefault="00DA67E8" w:rsidP="00BD613D">
      <w:pPr>
        <w:spacing w:before="120"/>
        <w:ind w:right="-113"/>
        <w:jc w:val="both"/>
        <w:rPr>
          <w:rFonts w:ascii="Arial" w:hAnsi="Arial" w:cs="Arial"/>
          <w:sz w:val="22"/>
          <w:szCs w:val="22"/>
        </w:rPr>
      </w:pPr>
      <w:r w:rsidRPr="009C01A1">
        <w:rPr>
          <w:rFonts w:ascii="Arial" w:hAnsi="Arial" w:cs="Arial"/>
          <w:sz w:val="22"/>
          <w:szCs w:val="22"/>
        </w:rPr>
        <w:t xml:space="preserve">It is advised that all patients should receive prophylactic antibiotics </w:t>
      </w:r>
      <w:r w:rsidR="009C01A1" w:rsidRPr="009C01A1">
        <w:rPr>
          <w:rFonts w:ascii="Arial" w:hAnsi="Arial" w:cs="Arial"/>
          <w:sz w:val="22"/>
          <w:szCs w:val="22"/>
        </w:rPr>
        <w:t xml:space="preserve">during </w:t>
      </w:r>
      <w:r w:rsidRPr="009C01A1">
        <w:rPr>
          <w:rFonts w:ascii="Arial" w:hAnsi="Arial" w:cs="Arial"/>
          <w:sz w:val="22"/>
          <w:szCs w:val="22"/>
        </w:rPr>
        <w:t>each cycle to minimise the risk of neutropenic sepsis and respiratory infection.</w:t>
      </w:r>
      <w:r w:rsidR="008533D3">
        <w:rPr>
          <w:rFonts w:ascii="Arial" w:hAnsi="Arial" w:cs="Arial"/>
          <w:sz w:val="22"/>
          <w:szCs w:val="22"/>
        </w:rPr>
        <w:t xml:space="preserve"> Please refer to section 7.12.4</w:t>
      </w:r>
      <w:r w:rsidR="009C01A1" w:rsidRPr="009C01A1">
        <w:rPr>
          <w:rFonts w:ascii="Arial" w:hAnsi="Arial" w:cs="Arial"/>
          <w:sz w:val="22"/>
          <w:szCs w:val="22"/>
        </w:rPr>
        <w:t xml:space="preserve"> and 7.13.1 for possible interactions.</w:t>
      </w:r>
    </w:p>
    <w:p w14:paraId="2FF15584" w14:textId="77777777" w:rsidR="00DA67E8" w:rsidRPr="00BD613D" w:rsidRDefault="00DA67E8" w:rsidP="003B2AA7">
      <w:pPr>
        <w:pStyle w:val="Heading2"/>
        <w:ind w:left="993" w:hanging="993"/>
      </w:pPr>
      <w:bookmarkStart w:id="387" w:name="_Toc333484753"/>
      <w:bookmarkStart w:id="388" w:name="_Toc333484868"/>
      <w:bookmarkStart w:id="389" w:name="_Toc351624821"/>
      <w:bookmarkStart w:id="390" w:name="_Toc471826770"/>
      <w:bookmarkStart w:id="391" w:name="_Toc528323536"/>
      <w:bookmarkStart w:id="392" w:name="_Toc283031777"/>
      <w:bookmarkStart w:id="393" w:name="_Toc283376312"/>
      <w:bookmarkEnd w:id="349"/>
      <w:bookmarkEnd w:id="350"/>
      <w:r w:rsidRPr="00BD613D">
        <w:t>Dose modifications</w:t>
      </w:r>
      <w:bookmarkEnd w:id="387"/>
      <w:bookmarkEnd w:id="388"/>
      <w:bookmarkEnd w:id="389"/>
      <w:bookmarkEnd w:id="390"/>
      <w:bookmarkEnd w:id="391"/>
    </w:p>
    <w:p w14:paraId="586A6B1D" w14:textId="77777777" w:rsidR="00DA67E8" w:rsidRPr="00FC20CF" w:rsidRDefault="00DA67E8" w:rsidP="00FC20CF">
      <w:pPr>
        <w:pStyle w:val="Heading3"/>
        <w:ind w:left="851" w:hanging="851"/>
      </w:pPr>
      <w:r w:rsidRPr="0083695F">
        <w:t xml:space="preserve"> </w:t>
      </w:r>
      <w:bookmarkStart w:id="394" w:name="_Toc471826771"/>
      <w:bookmarkStart w:id="395" w:name="_Toc528323537"/>
      <w:r w:rsidRPr="0083695F">
        <w:t>Ganetespib reductions (phase I only)</w:t>
      </w:r>
      <w:bookmarkEnd w:id="394"/>
      <w:bookmarkEnd w:id="395"/>
    </w:p>
    <w:p w14:paraId="059C204A" w14:textId="77777777" w:rsidR="002A6729" w:rsidRPr="002A6729" w:rsidRDefault="002A6729" w:rsidP="0083695F">
      <w:pPr>
        <w:pStyle w:val="NonContentsHeading"/>
        <w:jc w:val="both"/>
        <w:rPr>
          <w:rFonts w:ascii="Arial" w:hAnsi="Arial" w:cs="Arial"/>
          <w:lang w:val="en-GB"/>
        </w:rPr>
      </w:pPr>
    </w:p>
    <w:p w14:paraId="518F67CF" w14:textId="77777777" w:rsidR="00DA67E8" w:rsidRPr="00DB5A7B" w:rsidRDefault="00DA67E8" w:rsidP="00B93E1E">
      <w:pPr>
        <w:jc w:val="both"/>
        <w:rPr>
          <w:rFonts w:ascii="Arial" w:hAnsi="Arial" w:cs="Arial"/>
          <w:sz w:val="22"/>
          <w:szCs w:val="22"/>
        </w:rPr>
      </w:pPr>
      <w:r w:rsidRPr="00DB5A7B">
        <w:rPr>
          <w:rFonts w:ascii="Arial" w:hAnsi="Arial" w:cs="Arial"/>
          <w:sz w:val="22"/>
          <w:szCs w:val="22"/>
        </w:rPr>
        <w:t xml:space="preserve">Before each dose of trial drug, the patient should be evaluated for possible toxicities that may have occurred after the previous dose(s). Toxicities are to be assessed according to the National Cancer Institute Common Toxicity Criteria for Adverse Events (NCI CTCAE), Version 4.0 </w:t>
      </w:r>
      <w:hyperlink r:id="rId21" w:history="1">
        <w:r w:rsidRPr="00DB5A7B">
          <w:rPr>
            <w:rStyle w:val="Hyperlink"/>
            <w:rFonts w:ascii="Arial" w:hAnsi="Arial" w:cs="Arial"/>
            <w:sz w:val="22"/>
            <w:szCs w:val="22"/>
          </w:rPr>
          <w:t>http://evs.nci.nih.gov/ftp1/CTCAE/About.html</w:t>
        </w:r>
      </w:hyperlink>
      <w:r w:rsidRPr="00DB5A7B">
        <w:rPr>
          <w:rFonts w:ascii="Arial" w:hAnsi="Arial" w:cs="Arial"/>
          <w:sz w:val="22"/>
          <w:szCs w:val="22"/>
        </w:rPr>
        <w:t>. Dose reductions due to previously established or new toxicities observed at any time are to be managed as described in the sections below.</w:t>
      </w:r>
    </w:p>
    <w:p w14:paraId="058E617F" w14:textId="77777777" w:rsidR="00DA67E8" w:rsidRPr="00DB5A7B" w:rsidRDefault="00DA67E8" w:rsidP="00BD613D">
      <w:pPr>
        <w:jc w:val="both"/>
        <w:rPr>
          <w:rFonts w:ascii="Arial" w:hAnsi="Arial" w:cs="Arial"/>
          <w:sz w:val="22"/>
          <w:szCs w:val="22"/>
          <w:highlight w:val="yellow"/>
        </w:rPr>
      </w:pPr>
    </w:p>
    <w:p w14:paraId="423EEAD3" w14:textId="77777777" w:rsidR="00DA67E8" w:rsidRPr="00DB5A7B" w:rsidRDefault="00DA67E8" w:rsidP="00BD613D">
      <w:pPr>
        <w:pStyle w:val="Normal1"/>
        <w:rPr>
          <w:rFonts w:cs="Arial"/>
          <w:b/>
          <w:bCs/>
          <w:sz w:val="22"/>
          <w:szCs w:val="22"/>
        </w:rPr>
      </w:pPr>
      <w:r w:rsidRPr="00DB5A7B">
        <w:rPr>
          <w:rFonts w:cs="Arial"/>
          <w:b/>
          <w:bCs/>
          <w:sz w:val="22"/>
          <w:szCs w:val="22"/>
        </w:rPr>
        <w:t>Dose re-escalations are not allowed.</w:t>
      </w:r>
    </w:p>
    <w:p w14:paraId="02C38882" w14:textId="77777777" w:rsidR="00DA67E8" w:rsidRPr="00DB5A7B" w:rsidRDefault="00DA67E8" w:rsidP="00BD613D">
      <w:pPr>
        <w:jc w:val="both"/>
        <w:rPr>
          <w:rFonts w:ascii="Arial" w:hAnsi="Arial" w:cs="Arial"/>
          <w:sz w:val="22"/>
          <w:szCs w:val="22"/>
        </w:rPr>
      </w:pPr>
    </w:p>
    <w:p w14:paraId="22588D43" w14:textId="77777777" w:rsidR="00DA67E8" w:rsidRPr="00DB5A7B" w:rsidRDefault="00DA67E8" w:rsidP="00BD613D">
      <w:pPr>
        <w:pStyle w:val="Normal1"/>
        <w:rPr>
          <w:rFonts w:cs="Arial"/>
          <w:b/>
          <w:bCs/>
          <w:sz w:val="22"/>
          <w:szCs w:val="22"/>
        </w:rPr>
      </w:pPr>
      <w:r w:rsidRPr="00DB5A7B">
        <w:rPr>
          <w:rFonts w:cs="Arial"/>
          <w:b/>
          <w:sz w:val="22"/>
          <w:szCs w:val="22"/>
        </w:rPr>
        <w:t>If treatment is de</w:t>
      </w:r>
      <w:r>
        <w:rPr>
          <w:rFonts w:cs="Arial"/>
          <w:b/>
          <w:sz w:val="22"/>
          <w:szCs w:val="22"/>
        </w:rPr>
        <w:t>layed because of toxicity for &gt;</w:t>
      </w:r>
      <w:r w:rsidRPr="00DB5A7B">
        <w:rPr>
          <w:rFonts w:cs="Arial"/>
          <w:b/>
          <w:sz w:val="22"/>
          <w:szCs w:val="22"/>
        </w:rPr>
        <w:t xml:space="preserve">28 days from the date of the last dose received, then trial treatment should be terminated. </w:t>
      </w:r>
    </w:p>
    <w:p w14:paraId="3A30195C" w14:textId="77777777" w:rsidR="00DA67E8" w:rsidRPr="00DB5A7B" w:rsidRDefault="00DA67E8" w:rsidP="00BD613D">
      <w:pPr>
        <w:jc w:val="both"/>
        <w:rPr>
          <w:rFonts w:ascii="Arial" w:hAnsi="Arial" w:cs="Arial"/>
          <w:sz w:val="22"/>
          <w:szCs w:val="22"/>
        </w:rPr>
      </w:pPr>
    </w:p>
    <w:p w14:paraId="6249BCFB" w14:textId="77777777" w:rsidR="00DA67E8" w:rsidRPr="00DB5A7B" w:rsidRDefault="00DA67E8" w:rsidP="002F600D">
      <w:pPr>
        <w:pStyle w:val="ListParagraph"/>
        <w:numPr>
          <w:ilvl w:val="0"/>
          <w:numId w:val="19"/>
        </w:numPr>
        <w:contextualSpacing/>
        <w:rPr>
          <w:rFonts w:ascii="Arial" w:hAnsi="Arial" w:cs="Arial"/>
          <w:sz w:val="22"/>
          <w:szCs w:val="22"/>
        </w:rPr>
      </w:pPr>
      <w:r w:rsidRPr="00DB5A7B">
        <w:rPr>
          <w:rFonts w:ascii="Arial" w:hAnsi="Arial" w:cs="Arial"/>
          <w:sz w:val="22"/>
          <w:szCs w:val="22"/>
        </w:rPr>
        <w:t>If a toxicity can be identified from a particular drug then only that drug should be reduced. Otherwise all three drugs (ganetespib, cisplatin</w:t>
      </w:r>
      <w:r w:rsidR="000F4751">
        <w:rPr>
          <w:rFonts w:ascii="Arial" w:hAnsi="Arial" w:cs="Arial"/>
          <w:sz w:val="22"/>
          <w:szCs w:val="22"/>
        </w:rPr>
        <w:t>/carboplatin</w:t>
      </w:r>
      <w:r w:rsidRPr="00DB5A7B">
        <w:rPr>
          <w:rFonts w:ascii="Arial" w:hAnsi="Arial" w:cs="Arial"/>
          <w:sz w:val="22"/>
          <w:szCs w:val="22"/>
        </w:rPr>
        <w:t xml:space="preserve"> and pemetrexed) should be reduced.</w:t>
      </w:r>
    </w:p>
    <w:p w14:paraId="41E3CBDD" w14:textId="77777777" w:rsidR="0030702F" w:rsidRDefault="00DA67E8" w:rsidP="00622649">
      <w:pPr>
        <w:pStyle w:val="ListParagraph"/>
        <w:ind w:left="360"/>
        <w:contextualSpacing/>
        <w:rPr>
          <w:rFonts w:ascii="Arial" w:hAnsi="Arial" w:cs="Arial"/>
          <w:sz w:val="22"/>
          <w:szCs w:val="22"/>
        </w:rPr>
      </w:pPr>
      <w:r w:rsidRPr="00DB5A7B">
        <w:rPr>
          <w:rFonts w:ascii="Arial" w:hAnsi="Arial" w:cs="Arial"/>
          <w:sz w:val="22"/>
          <w:szCs w:val="22"/>
        </w:rPr>
        <w:t xml:space="preserve">Up to two dose reductions </w:t>
      </w:r>
      <w:r w:rsidR="00331E0A">
        <w:rPr>
          <w:rFonts w:ascii="Arial" w:hAnsi="Arial" w:cs="Arial"/>
          <w:sz w:val="22"/>
          <w:szCs w:val="22"/>
        </w:rPr>
        <w:t xml:space="preserve">of ganetespib </w:t>
      </w:r>
      <w:r w:rsidRPr="00DB5A7B">
        <w:rPr>
          <w:rFonts w:ascii="Arial" w:hAnsi="Arial" w:cs="Arial"/>
          <w:sz w:val="22"/>
          <w:szCs w:val="22"/>
        </w:rPr>
        <w:t>may occur before the patient m</w:t>
      </w:r>
      <w:r w:rsidR="00D57E9A">
        <w:rPr>
          <w:rFonts w:ascii="Arial" w:hAnsi="Arial" w:cs="Arial"/>
          <w:sz w:val="22"/>
          <w:szCs w:val="22"/>
        </w:rPr>
        <w:t>ust be withdrawn from the trial</w:t>
      </w:r>
    </w:p>
    <w:p w14:paraId="5B10BF97" w14:textId="77777777" w:rsidR="00BC3474" w:rsidRDefault="00BC3474" w:rsidP="00622649">
      <w:pPr>
        <w:pStyle w:val="ListParagraph"/>
        <w:ind w:left="360"/>
        <w:contextualSpacing/>
        <w:rPr>
          <w:rFonts w:ascii="Arial" w:hAnsi="Arial" w:cs="Arial"/>
          <w:sz w:val="22"/>
          <w:szCs w:val="22"/>
        </w:rPr>
      </w:pPr>
    </w:p>
    <w:p w14:paraId="2C92E9AF" w14:textId="77777777" w:rsidR="0030702F" w:rsidRDefault="0030702F" w:rsidP="0030702F">
      <w:pPr>
        <w:rPr>
          <w:rFonts w:ascii="Arial" w:hAnsi="Arial" w:cs="Arial"/>
          <w:sz w:val="22"/>
          <w:szCs w:val="22"/>
        </w:rPr>
        <w:sectPr w:rsidR="0030702F" w:rsidSect="00C77822">
          <w:headerReference w:type="even" r:id="rId22"/>
          <w:headerReference w:type="default" r:id="rId23"/>
          <w:footerReference w:type="even" r:id="rId24"/>
          <w:footerReference w:type="default" r:id="rId25"/>
          <w:headerReference w:type="first" r:id="rId26"/>
          <w:footerReference w:type="first" r:id="rId27"/>
          <w:pgSz w:w="11906" w:h="16838" w:code="9"/>
          <w:pgMar w:top="1134" w:right="1416" w:bottom="1134" w:left="1560" w:header="1418" w:footer="567" w:gutter="0"/>
          <w:pgNumType w:start="1"/>
          <w:cols w:space="708"/>
          <w:docGrid w:linePitch="360"/>
        </w:sectPr>
      </w:pPr>
      <w:r>
        <w:rPr>
          <w:rFonts w:ascii="Arial" w:hAnsi="Arial" w:cs="Arial"/>
          <w:sz w:val="22"/>
          <w:szCs w:val="22"/>
        </w:rPr>
        <w:t>If a dose delay is necessary for a particular drug on Day 1 all other drugs should also be delayed to ensure the treatment combination is given concurrentl</w:t>
      </w:r>
      <w:r w:rsidR="00D105B2">
        <w:rPr>
          <w:rFonts w:ascii="Arial" w:hAnsi="Arial" w:cs="Arial"/>
          <w:sz w:val="22"/>
          <w:szCs w:val="22"/>
        </w:rPr>
        <w:t>y</w:t>
      </w:r>
      <w:r w:rsidR="00BC3474">
        <w:rPr>
          <w:rFonts w:ascii="Arial" w:hAnsi="Arial" w:cs="Arial"/>
          <w:sz w:val="22"/>
          <w:szCs w:val="22"/>
        </w:rPr>
        <w:t>.</w:t>
      </w:r>
    </w:p>
    <w:p w14:paraId="1B1BB2A5" w14:textId="77777777" w:rsidR="005D0D4F" w:rsidRPr="0030702F" w:rsidRDefault="005D0D4F" w:rsidP="0030702F">
      <w:pPr>
        <w:contextualSpacing/>
        <w:rPr>
          <w:rFonts w:ascii="Arial" w:hAnsi="Arial" w:cs="Arial"/>
          <w:sz w:val="22"/>
          <w:szCs w:val="22"/>
        </w:rPr>
      </w:pPr>
    </w:p>
    <w:p w14:paraId="10A13624" w14:textId="77777777" w:rsidR="00DA67E8" w:rsidRPr="00DB5A7B" w:rsidRDefault="005D0D4F" w:rsidP="0030702F">
      <w:pPr>
        <w:pStyle w:val="ListParagraph"/>
        <w:ind w:left="360"/>
        <w:contextualSpacing/>
        <w:rPr>
          <w:rFonts w:ascii="Arial" w:hAnsi="Arial" w:cs="Arial"/>
          <w:sz w:val="22"/>
          <w:szCs w:val="22"/>
        </w:rPr>
      </w:pPr>
      <w:r>
        <w:rPr>
          <w:rFonts w:ascii="Arial" w:hAnsi="Arial" w:cs="Arial"/>
          <w:sz w:val="22"/>
          <w:szCs w:val="22"/>
        </w:rPr>
        <w:t>.</w:t>
      </w:r>
      <w:r w:rsidR="00DA67E8" w:rsidRPr="00DB5A7B">
        <w:rPr>
          <w:rFonts w:ascii="Arial" w:hAnsi="Arial" w:cs="Arial"/>
          <w:sz w:val="22"/>
          <w:szCs w:val="22"/>
        </w:rPr>
        <w:t>The following table summarises dose reductions according to adverse event:</w:t>
      </w:r>
    </w:p>
    <w:tbl>
      <w:tblPr>
        <w:tblpPr w:leftFromText="180" w:rightFromText="180" w:vertAnchor="text" w:horzAnchor="margin" w:tblpX="534" w:tblpY="9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6"/>
        <w:gridCol w:w="7229"/>
      </w:tblGrid>
      <w:tr w:rsidR="003555F3" w:rsidRPr="00223188" w14:paraId="1D07BBD4" w14:textId="77777777" w:rsidTr="00D57E9A">
        <w:trPr>
          <w:cantSplit/>
          <w:trHeight w:val="421"/>
        </w:trPr>
        <w:tc>
          <w:tcPr>
            <w:tcW w:w="7196" w:type="dxa"/>
            <w:tcBorders>
              <w:top w:val="single" w:sz="4" w:space="0" w:color="auto"/>
              <w:left w:val="single" w:sz="4" w:space="0" w:color="auto"/>
              <w:bottom w:val="single" w:sz="4" w:space="0" w:color="auto"/>
              <w:right w:val="single" w:sz="4" w:space="0" w:color="auto"/>
            </w:tcBorders>
          </w:tcPr>
          <w:p w14:paraId="13A6C086" w14:textId="77777777" w:rsidR="003555F3" w:rsidRPr="00223188" w:rsidRDefault="003555F3" w:rsidP="00D57E9A">
            <w:pPr>
              <w:pStyle w:val="tabletext"/>
              <w:keepNext/>
              <w:keepLines/>
              <w:spacing w:before="0" w:after="0"/>
              <w:rPr>
                <w:rFonts w:ascii="Arial" w:hAnsi="Arial" w:cs="Arial"/>
                <w:b/>
                <w:sz w:val="20"/>
                <w:szCs w:val="20"/>
                <w:lang w:val="en-US"/>
              </w:rPr>
            </w:pPr>
          </w:p>
        </w:tc>
        <w:tc>
          <w:tcPr>
            <w:tcW w:w="7229" w:type="dxa"/>
            <w:tcBorders>
              <w:top w:val="single" w:sz="4" w:space="0" w:color="auto"/>
              <w:left w:val="single" w:sz="4" w:space="0" w:color="auto"/>
              <w:bottom w:val="single" w:sz="4" w:space="0" w:color="auto"/>
              <w:right w:val="single" w:sz="4" w:space="0" w:color="auto"/>
            </w:tcBorders>
            <w:vAlign w:val="center"/>
          </w:tcPr>
          <w:p w14:paraId="7F34860E" w14:textId="77777777" w:rsidR="003555F3" w:rsidRPr="00223188" w:rsidRDefault="003555F3" w:rsidP="00D57E9A">
            <w:pPr>
              <w:pStyle w:val="tabletext"/>
              <w:keepNext/>
              <w:keepLines/>
              <w:spacing w:before="0" w:after="0"/>
              <w:jc w:val="center"/>
              <w:rPr>
                <w:rFonts w:ascii="Arial" w:hAnsi="Arial" w:cs="Arial"/>
                <w:b/>
                <w:sz w:val="20"/>
                <w:szCs w:val="20"/>
                <w:lang w:val="en-US"/>
              </w:rPr>
            </w:pPr>
            <w:proofErr w:type="spellStart"/>
            <w:r w:rsidRPr="00223188">
              <w:rPr>
                <w:rFonts w:ascii="Arial" w:hAnsi="Arial" w:cs="Arial"/>
                <w:b/>
                <w:sz w:val="20"/>
                <w:szCs w:val="20"/>
                <w:lang w:val="en-US"/>
              </w:rPr>
              <w:t>Ganetespib</w:t>
            </w:r>
            <w:proofErr w:type="spellEnd"/>
            <w:r w:rsidRPr="00223188">
              <w:rPr>
                <w:rFonts w:ascii="Arial" w:hAnsi="Arial" w:cs="Arial"/>
                <w:b/>
                <w:sz w:val="20"/>
                <w:szCs w:val="20"/>
                <w:lang w:val="en-US"/>
              </w:rPr>
              <w:t xml:space="preserve"> Administration</w:t>
            </w:r>
          </w:p>
        </w:tc>
      </w:tr>
      <w:tr w:rsidR="003555F3" w:rsidRPr="00223188" w14:paraId="18F4D4CE" w14:textId="77777777" w:rsidTr="00D57E9A">
        <w:trPr>
          <w:cantSplit/>
          <w:trHeight w:hRule="exact" w:val="340"/>
        </w:trPr>
        <w:tc>
          <w:tcPr>
            <w:tcW w:w="7196" w:type="dxa"/>
            <w:tcBorders>
              <w:top w:val="single" w:sz="4" w:space="0" w:color="auto"/>
              <w:left w:val="single" w:sz="4" w:space="0" w:color="auto"/>
              <w:bottom w:val="nil"/>
              <w:right w:val="single" w:sz="4" w:space="0" w:color="auto"/>
            </w:tcBorders>
            <w:shd w:val="clear" w:color="auto" w:fill="F2F2F2"/>
            <w:vAlign w:val="center"/>
          </w:tcPr>
          <w:p w14:paraId="4CBD677E" w14:textId="77777777" w:rsidR="003555F3" w:rsidRPr="00223188" w:rsidRDefault="003555F3" w:rsidP="00D57E9A">
            <w:pPr>
              <w:pStyle w:val="tabletext"/>
              <w:keepNext/>
              <w:keepLines/>
              <w:spacing w:before="0" w:afterLines="120" w:after="288"/>
              <w:rPr>
                <w:rFonts w:ascii="Arial" w:hAnsi="Arial" w:cs="Arial"/>
                <w:i/>
                <w:sz w:val="20"/>
                <w:szCs w:val="20"/>
                <w:lang w:val="en-US"/>
              </w:rPr>
            </w:pPr>
            <w:r w:rsidRPr="00F04E02">
              <w:rPr>
                <w:rFonts w:ascii="Arial" w:hAnsi="Arial" w:cs="Arial"/>
                <w:b/>
                <w:sz w:val="20"/>
                <w:szCs w:val="20"/>
                <w:lang w:val="en-US"/>
              </w:rPr>
              <w:t>Non-Hematologic Toxicity</w:t>
            </w:r>
          </w:p>
        </w:tc>
        <w:tc>
          <w:tcPr>
            <w:tcW w:w="7229" w:type="dxa"/>
            <w:tcBorders>
              <w:top w:val="single" w:sz="4" w:space="0" w:color="auto"/>
              <w:left w:val="single" w:sz="4" w:space="0" w:color="auto"/>
              <w:bottom w:val="nil"/>
              <w:right w:val="single" w:sz="4" w:space="0" w:color="auto"/>
            </w:tcBorders>
            <w:shd w:val="clear" w:color="auto" w:fill="F2F2F2"/>
          </w:tcPr>
          <w:p w14:paraId="19381E73" w14:textId="77777777" w:rsidR="003555F3" w:rsidRDefault="003555F3" w:rsidP="00D57E9A">
            <w:pPr>
              <w:pStyle w:val="tabletext"/>
              <w:keepNext/>
              <w:keepLines/>
              <w:spacing w:before="0" w:afterLines="120" w:after="288"/>
              <w:jc w:val="center"/>
              <w:rPr>
                <w:rFonts w:ascii="Arial" w:hAnsi="Arial" w:cs="Arial"/>
                <w:sz w:val="20"/>
                <w:szCs w:val="20"/>
                <w:lang w:val="en-US"/>
              </w:rPr>
            </w:pPr>
          </w:p>
        </w:tc>
      </w:tr>
      <w:tr w:rsidR="003555F3" w:rsidRPr="00223188" w14:paraId="56594CA7" w14:textId="77777777" w:rsidTr="002214DF">
        <w:trPr>
          <w:cantSplit/>
          <w:trHeight w:val="507"/>
          <w:tblHeader/>
        </w:trPr>
        <w:tc>
          <w:tcPr>
            <w:tcW w:w="7196" w:type="dxa"/>
            <w:tcBorders>
              <w:top w:val="nil"/>
              <w:left w:val="single" w:sz="4" w:space="0" w:color="auto"/>
              <w:bottom w:val="single" w:sz="4" w:space="0" w:color="D9D9D9"/>
              <w:right w:val="single" w:sz="4" w:space="0" w:color="auto"/>
            </w:tcBorders>
          </w:tcPr>
          <w:p w14:paraId="0394B111" w14:textId="77777777" w:rsidR="003555F3" w:rsidRPr="00223188" w:rsidRDefault="003555F3" w:rsidP="00D65DE2">
            <w:pPr>
              <w:pStyle w:val="tabletext"/>
              <w:numPr>
                <w:ilvl w:val="0"/>
                <w:numId w:val="34"/>
              </w:numPr>
              <w:spacing w:before="20" w:after="10"/>
              <w:ind w:left="357" w:right="-113" w:hanging="357"/>
              <w:rPr>
                <w:rFonts w:ascii="Arial" w:hAnsi="Arial" w:cs="Arial"/>
                <w:sz w:val="20"/>
                <w:szCs w:val="20"/>
                <w:lang w:val="en-US"/>
              </w:rPr>
            </w:pPr>
            <w:r w:rsidRPr="00223188">
              <w:rPr>
                <w:rFonts w:ascii="Arial" w:hAnsi="Arial" w:cs="Arial"/>
                <w:sz w:val="20"/>
                <w:szCs w:val="20"/>
                <w:lang w:val="en-US"/>
              </w:rPr>
              <w:t>Any Grade 1 or 2 toxicity</w:t>
            </w:r>
          </w:p>
        </w:tc>
        <w:tc>
          <w:tcPr>
            <w:tcW w:w="7229" w:type="dxa"/>
            <w:tcBorders>
              <w:top w:val="nil"/>
              <w:left w:val="single" w:sz="4" w:space="0" w:color="auto"/>
              <w:bottom w:val="single" w:sz="4" w:space="0" w:color="D9D9D9"/>
              <w:right w:val="single" w:sz="4" w:space="0" w:color="auto"/>
            </w:tcBorders>
          </w:tcPr>
          <w:p w14:paraId="7A597E90" w14:textId="77777777" w:rsidR="003555F3" w:rsidRDefault="003555F3" w:rsidP="00D57E9A">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Maintain dose level; delay or omit dose for Grade 2 toxicity as needed in order to avoid greater clinical significance</w:t>
            </w:r>
          </w:p>
        </w:tc>
      </w:tr>
      <w:tr w:rsidR="003555F3" w:rsidRPr="00223188" w14:paraId="19D5FE73" w14:textId="77777777" w:rsidTr="002214DF">
        <w:trPr>
          <w:cantSplit/>
          <w:trHeight w:val="419"/>
          <w:tblHeader/>
        </w:trPr>
        <w:tc>
          <w:tcPr>
            <w:tcW w:w="7196" w:type="dxa"/>
            <w:tcBorders>
              <w:top w:val="single" w:sz="4" w:space="0" w:color="D9D9D9"/>
              <w:left w:val="single" w:sz="4" w:space="0" w:color="auto"/>
              <w:bottom w:val="single" w:sz="4" w:space="0" w:color="D9D9D9"/>
              <w:right w:val="single" w:sz="4" w:space="0" w:color="auto"/>
            </w:tcBorders>
          </w:tcPr>
          <w:p w14:paraId="3ADE83B3" w14:textId="77777777" w:rsidR="003555F3" w:rsidRPr="00223188" w:rsidRDefault="003555F3" w:rsidP="00D65DE2">
            <w:pPr>
              <w:pStyle w:val="tabletext"/>
              <w:numPr>
                <w:ilvl w:val="0"/>
                <w:numId w:val="34"/>
              </w:numPr>
              <w:spacing w:before="20" w:after="10"/>
              <w:ind w:left="357" w:right="-113" w:hanging="357"/>
              <w:rPr>
                <w:rFonts w:ascii="Arial" w:hAnsi="Arial" w:cs="Arial"/>
                <w:sz w:val="20"/>
                <w:szCs w:val="20"/>
                <w:lang w:val="en-US"/>
              </w:rPr>
            </w:pPr>
            <w:r w:rsidRPr="00223188">
              <w:rPr>
                <w:rFonts w:ascii="Arial" w:hAnsi="Arial" w:cs="Arial"/>
                <w:sz w:val="20"/>
                <w:szCs w:val="20"/>
                <w:lang w:val="en-US"/>
              </w:rPr>
              <w:t>Unresolved Grade 3</w:t>
            </w:r>
            <w:r w:rsidR="002214DF">
              <w:rPr>
                <w:rFonts w:ascii="Arial" w:hAnsi="Arial" w:cs="Arial"/>
                <w:sz w:val="20"/>
                <w:szCs w:val="20"/>
                <w:lang w:val="en-US"/>
              </w:rPr>
              <w:t xml:space="preserve"> or 4 toxicity within a maximum  </w:t>
            </w:r>
            <w:r w:rsidRPr="00223188">
              <w:rPr>
                <w:rFonts w:ascii="Arial" w:hAnsi="Arial" w:cs="Arial"/>
                <w:sz w:val="20"/>
                <w:szCs w:val="20"/>
                <w:lang w:val="en-US"/>
              </w:rPr>
              <w:t>of 2 weeks from last planned administration</w:t>
            </w:r>
          </w:p>
        </w:tc>
        <w:tc>
          <w:tcPr>
            <w:tcW w:w="7229" w:type="dxa"/>
            <w:tcBorders>
              <w:top w:val="single" w:sz="4" w:space="0" w:color="D9D9D9"/>
              <w:left w:val="single" w:sz="4" w:space="0" w:color="auto"/>
              <w:bottom w:val="single" w:sz="4" w:space="0" w:color="D9D9D9"/>
              <w:right w:val="single" w:sz="4" w:space="0" w:color="auto"/>
            </w:tcBorders>
          </w:tcPr>
          <w:p w14:paraId="056F4C7D" w14:textId="77777777" w:rsidR="003555F3" w:rsidRDefault="003555F3" w:rsidP="00D57E9A">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Discontinue treatment</w:t>
            </w:r>
          </w:p>
        </w:tc>
      </w:tr>
      <w:tr w:rsidR="003555F3" w:rsidRPr="00223188" w14:paraId="0979C861" w14:textId="77777777" w:rsidTr="00D57E9A">
        <w:trPr>
          <w:cantSplit/>
          <w:trHeight w:hRule="exact" w:val="340"/>
          <w:tblHeader/>
        </w:trPr>
        <w:tc>
          <w:tcPr>
            <w:tcW w:w="7196" w:type="dxa"/>
            <w:tcBorders>
              <w:top w:val="single" w:sz="4" w:space="0" w:color="D9D9D9"/>
              <w:left w:val="single" w:sz="4" w:space="0" w:color="auto"/>
              <w:bottom w:val="single" w:sz="4" w:space="0" w:color="D9D9D9"/>
              <w:right w:val="single" w:sz="4" w:space="0" w:color="auto"/>
            </w:tcBorders>
            <w:shd w:val="clear" w:color="auto" w:fill="F2F2F2"/>
            <w:vAlign w:val="center"/>
          </w:tcPr>
          <w:p w14:paraId="418F4D9B" w14:textId="77777777" w:rsidR="003555F3" w:rsidRPr="00223188" w:rsidRDefault="003555F3" w:rsidP="00D57E9A">
            <w:pPr>
              <w:pStyle w:val="tabletext"/>
              <w:spacing w:before="0" w:after="10"/>
              <w:ind w:right="-113"/>
              <w:rPr>
                <w:rFonts w:ascii="Arial" w:hAnsi="Arial" w:cs="Arial"/>
                <w:sz w:val="20"/>
                <w:szCs w:val="20"/>
                <w:lang w:val="en-US"/>
              </w:rPr>
            </w:pPr>
            <w:r w:rsidRPr="00223188">
              <w:rPr>
                <w:rFonts w:ascii="Arial" w:hAnsi="Arial" w:cs="Arial"/>
                <w:b/>
                <w:sz w:val="20"/>
                <w:szCs w:val="20"/>
                <w:lang w:val="en-US"/>
              </w:rPr>
              <w:t>Gastrointestinal toxicity</w:t>
            </w:r>
          </w:p>
        </w:tc>
        <w:tc>
          <w:tcPr>
            <w:tcW w:w="7229" w:type="dxa"/>
            <w:tcBorders>
              <w:top w:val="single" w:sz="4" w:space="0" w:color="D9D9D9"/>
              <w:left w:val="single" w:sz="4" w:space="0" w:color="auto"/>
              <w:bottom w:val="single" w:sz="4" w:space="0" w:color="D9D9D9"/>
              <w:right w:val="single" w:sz="4" w:space="0" w:color="auto"/>
            </w:tcBorders>
            <w:shd w:val="clear" w:color="auto" w:fill="F2F2F2"/>
          </w:tcPr>
          <w:p w14:paraId="31A10641" w14:textId="77777777" w:rsidR="003555F3" w:rsidRDefault="003555F3" w:rsidP="0008573D">
            <w:pPr>
              <w:pStyle w:val="tabletext"/>
              <w:keepNext/>
              <w:keepLines/>
              <w:spacing w:before="20" w:after="10"/>
              <w:rPr>
                <w:rFonts w:ascii="Arial" w:hAnsi="Arial" w:cs="Arial"/>
                <w:sz w:val="20"/>
                <w:szCs w:val="20"/>
                <w:lang w:val="en-US"/>
              </w:rPr>
            </w:pPr>
          </w:p>
        </w:tc>
      </w:tr>
      <w:tr w:rsidR="003555F3" w:rsidRPr="00223188" w14:paraId="570CEEC6" w14:textId="77777777" w:rsidTr="00D57E9A">
        <w:trPr>
          <w:cantSplit/>
          <w:trHeight w:val="252"/>
          <w:tblHeader/>
        </w:trPr>
        <w:tc>
          <w:tcPr>
            <w:tcW w:w="7196" w:type="dxa"/>
            <w:tcBorders>
              <w:top w:val="single" w:sz="4" w:space="0" w:color="D9D9D9"/>
              <w:left w:val="single" w:sz="4" w:space="0" w:color="auto"/>
              <w:bottom w:val="single" w:sz="4" w:space="0" w:color="D9D9D9"/>
              <w:right w:val="single" w:sz="4" w:space="0" w:color="auto"/>
            </w:tcBorders>
          </w:tcPr>
          <w:p w14:paraId="2008DFC5" w14:textId="77777777" w:rsidR="003555F3" w:rsidRPr="00223188" w:rsidRDefault="003555F3" w:rsidP="00D65DE2">
            <w:pPr>
              <w:pStyle w:val="tabletext"/>
              <w:numPr>
                <w:ilvl w:val="0"/>
                <w:numId w:val="34"/>
              </w:numPr>
              <w:spacing w:before="20" w:after="10"/>
              <w:ind w:left="357" w:right="-113" w:hanging="357"/>
              <w:rPr>
                <w:rFonts w:ascii="Arial" w:hAnsi="Arial" w:cs="Arial"/>
                <w:sz w:val="20"/>
                <w:szCs w:val="20"/>
                <w:lang w:val="en-US"/>
              </w:rPr>
            </w:pPr>
            <w:r w:rsidRPr="00223188">
              <w:rPr>
                <w:rFonts w:ascii="Arial" w:hAnsi="Arial" w:cs="Arial"/>
                <w:sz w:val="20"/>
                <w:szCs w:val="20"/>
                <w:lang w:val="en-US"/>
              </w:rPr>
              <w:t xml:space="preserve">Grade 1 or 2 </w:t>
            </w:r>
          </w:p>
        </w:tc>
        <w:tc>
          <w:tcPr>
            <w:tcW w:w="7229" w:type="dxa"/>
            <w:tcBorders>
              <w:top w:val="single" w:sz="4" w:space="0" w:color="D9D9D9"/>
              <w:left w:val="single" w:sz="4" w:space="0" w:color="auto"/>
              <w:bottom w:val="single" w:sz="4" w:space="0" w:color="D9D9D9"/>
              <w:right w:val="single" w:sz="4" w:space="0" w:color="auto"/>
            </w:tcBorders>
          </w:tcPr>
          <w:p w14:paraId="0F7D5AB1" w14:textId="77777777" w:rsidR="003555F3" w:rsidRDefault="003555F3" w:rsidP="0008573D">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Maintain dose level</w:t>
            </w:r>
          </w:p>
        </w:tc>
      </w:tr>
      <w:tr w:rsidR="002214DF" w:rsidRPr="00223188" w14:paraId="4E92D699" w14:textId="77777777" w:rsidTr="00D57E9A">
        <w:trPr>
          <w:cantSplit/>
          <w:trHeight w:val="252"/>
          <w:tblHeader/>
        </w:trPr>
        <w:tc>
          <w:tcPr>
            <w:tcW w:w="7196" w:type="dxa"/>
            <w:tcBorders>
              <w:top w:val="single" w:sz="4" w:space="0" w:color="D9D9D9"/>
              <w:left w:val="single" w:sz="4" w:space="0" w:color="auto"/>
              <w:bottom w:val="single" w:sz="4" w:space="0" w:color="D9D9D9"/>
              <w:right w:val="single" w:sz="4" w:space="0" w:color="auto"/>
            </w:tcBorders>
          </w:tcPr>
          <w:p w14:paraId="2630FDCB" w14:textId="77777777" w:rsidR="002214DF" w:rsidRPr="00223188" w:rsidRDefault="002214DF" w:rsidP="00D65DE2">
            <w:pPr>
              <w:pStyle w:val="tabletext"/>
              <w:numPr>
                <w:ilvl w:val="0"/>
                <w:numId w:val="34"/>
              </w:numPr>
              <w:spacing w:before="20" w:after="10"/>
              <w:ind w:left="357" w:right="-113" w:hanging="357"/>
              <w:rPr>
                <w:rFonts w:ascii="Arial" w:hAnsi="Arial" w:cs="Arial"/>
                <w:sz w:val="20"/>
                <w:szCs w:val="20"/>
                <w:lang w:val="en-US"/>
              </w:rPr>
            </w:pPr>
            <w:r w:rsidRPr="00223188">
              <w:rPr>
                <w:rFonts w:ascii="Arial" w:hAnsi="Arial" w:cs="Arial"/>
                <w:sz w:val="20"/>
                <w:szCs w:val="20"/>
                <w:lang w:val="en-US"/>
              </w:rPr>
              <w:t>Grade 3 or 4</w:t>
            </w:r>
          </w:p>
        </w:tc>
        <w:tc>
          <w:tcPr>
            <w:tcW w:w="7229" w:type="dxa"/>
            <w:tcBorders>
              <w:top w:val="single" w:sz="4" w:space="0" w:color="D9D9D9"/>
              <w:left w:val="single" w:sz="4" w:space="0" w:color="auto"/>
              <w:bottom w:val="single" w:sz="4" w:space="0" w:color="D9D9D9"/>
              <w:right w:val="single" w:sz="4" w:space="0" w:color="auto"/>
            </w:tcBorders>
          </w:tcPr>
          <w:p w14:paraId="408522BF" w14:textId="77777777" w:rsidR="002214DF" w:rsidRPr="00223188" w:rsidRDefault="002214DF" w:rsidP="0008573D">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Delay until recovery; Reduce to 80% if recurrent toxicity or if optimal prophylactic measures have failed to control symptoms</w:t>
            </w:r>
          </w:p>
        </w:tc>
      </w:tr>
      <w:tr w:rsidR="003555F3" w:rsidRPr="00223188" w14:paraId="7948C501" w14:textId="77777777" w:rsidTr="00D57E9A">
        <w:trPr>
          <w:cantSplit/>
          <w:trHeight w:hRule="exact" w:val="340"/>
          <w:tblHeader/>
        </w:trPr>
        <w:tc>
          <w:tcPr>
            <w:tcW w:w="7196" w:type="dxa"/>
            <w:tcBorders>
              <w:top w:val="single" w:sz="4" w:space="0" w:color="D9D9D9"/>
              <w:left w:val="single" w:sz="4" w:space="0" w:color="auto"/>
              <w:bottom w:val="single" w:sz="4" w:space="0" w:color="D9D9D9"/>
              <w:right w:val="single" w:sz="4" w:space="0" w:color="auto"/>
            </w:tcBorders>
            <w:shd w:val="clear" w:color="auto" w:fill="F2F2F2"/>
            <w:vAlign w:val="center"/>
          </w:tcPr>
          <w:p w14:paraId="723F83EB" w14:textId="77777777" w:rsidR="003555F3" w:rsidRPr="00223188" w:rsidRDefault="003555F3" w:rsidP="00D57E9A">
            <w:pPr>
              <w:pStyle w:val="tabletext"/>
              <w:spacing w:before="0" w:after="10"/>
              <w:ind w:right="-113"/>
              <w:rPr>
                <w:rFonts w:ascii="Arial" w:hAnsi="Arial" w:cs="Arial"/>
                <w:b/>
                <w:sz w:val="20"/>
                <w:szCs w:val="20"/>
                <w:lang w:val="en-US"/>
              </w:rPr>
            </w:pPr>
            <w:r w:rsidRPr="00223188">
              <w:rPr>
                <w:rFonts w:ascii="Arial" w:hAnsi="Arial" w:cs="Arial"/>
                <w:b/>
                <w:sz w:val="20"/>
                <w:szCs w:val="20"/>
                <w:lang w:val="en-US"/>
              </w:rPr>
              <w:t>Fatigue and Asthenia</w:t>
            </w:r>
          </w:p>
        </w:tc>
        <w:tc>
          <w:tcPr>
            <w:tcW w:w="7229" w:type="dxa"/>
            <w:tcBorders>
              <w:top w:val="single" w:sz="4" w:space="0" w:color="D9D9D9"/>
              <w:left w:val="single" w:sz="4" w:space="0" w:color="auto"/>
              <w:bottom w:val="single" w:sz="4" w:space="0" w:color="D9D9D9"/>
              <w:right w:val="single" w:sz="4" w:space="0" w:color="auto"/>
            </w:tcBorders>
            <w:shd w:val="clear" w:color="auto" w:fill="F2F2F2"/>
          </w:tcPr>
          <w:p w14:paraId="09B4D47F" w14:textId="77777777" w:rsidR="003555F3" w:rsidRDefault="003555F3" w:rsidP="0008573D">
            <w:pPr>
              <w:pStyle w:val="tabletext"/>
              <w:keepNext/>
              <w:keepLines/>
              <w:spacing w:before="20" w:after="10"/>
              <w:rPr>
                <w:rFonts w:ascii="Arial" w:hAnsi="Arial" w:cs="Arial"/>
                <w:sz w:val="20"/>
                <w:szCs w:val="20"/>
                <w:lang w:val="en-US"/>
              </w:rPr>
            </w:pPr>
          </w:p>
        </w:tc>
      </w:tr>
      <w:tr w:rsidR="003555F3" w:rsidRPr="00223188" w14:paraId="422EF015" w14:textId="77777777" w:rsidTr="00D57E9A">
        <w:trPr>
          <w:cantSplit/>
          <w:trHeight w:val="323"/>
          <w:tblHeader/>
        </w:trPr>
        <w:tc>
          <w:tcPr>
            <w:tcW w:w="7196" w:type="dxa"/>
            <w:tcBorders>
              <w:top w:val="single" w:sz="4" w:space="0" w:color="D9D9D9"/>
              <w:left w:val="single" w:sz="4" w:space="0" w:color="auto"/>
              <w:bottom w:val="single" w:sz="4" w:space="0" w:color="D9D9D9"/>
              <w:right w:val="single" w:sz="4" w:space="0" w:color="auto"/>
            </w:tcBorders>
          </w:tcPr>
          <w:p w14:paraId="77BAB264" w14:textId="77777777" w:rsidR="003555F3" w:rsidRPr="00223188" w:rsidRDefault="003555F3" w:rsidP="00D65DE2">
            <w:pPr>
              <w:pStyle w:val="tabletext"/>
              <w:numPr>
                <w:ilvl w:val="0"/>
                <w:numId w:val="34"/>
              </w:numPr>
              <w:spacing w:before="20" w:after="10"/>
              <w:ind w:left="357" w:right="-113" w:hanging="357"/>
              <w:rPr>
                <w:rFonts w:ascii="Arial" w:hAnsi="Arial" w:cs="Arial"/>
                <w:sz w:val="20"/>
                <w:szCs w:val="20"/>
                <w:lang w:val="en-US"/>
              </w:rPr>
            </w:pPr>
            <w:r w:rsidRPr="00223188">
              <w:rPr>
                <w:rFonts w:ascii="Arial" w:hAnsi="Arial" w:cs="Arial"/>
                <w:sz w:val="20"/>
                <w:szCs w:val="20"/>
                <w:lang w:val="en-US"/>
              </w:rPr>
              <w:t xml:space="preserve">Grade 1 or 2 </w:t>
            </w:r>
          </w:p>
        </w:tc>
        <w:tc>
          <w:tcPr>
            <w:tcW w:w="7229" w:type="dxa"/>
            <w:tcBorders>
              <w:top w:val="single" w:sz="4" w:space="0" w:color="D9D9D9"/>
              <w:left w:val="single" w:sz="4" w:space="0" w:color="auto"/>
              <w:bottom w:val="single" w:sz="4" w:space="0" w:color="D9D9D9"/>
              <w:right w:val="single" w:sz="4" w:space="0" w:color="auto"/>
            </w:tcBorders>
          </w:tcPr>
          <w:p w14:paraId="505AB06C" w14:textId="77777777" w:rsidR="003555F3" w:rsidRDefault="003555F3" w:rsidP="0008573D">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Maintain dose level</w:t>
            </w:r>
          </w:p>
        </w:tc>
      </w:tr>
      <w:tr w:rsidR="003555F3" w:rsidRPr="00223188" w14:paraId="769258A3" w14:textId="77777777" w:rsidTr="00D57E9A">
        <w:trPr>
          <w:cantSplit/>
          <w:trHeight w:val="278"/>
          <w:tblHeader/>
        </w:trPr>
        <w:tc>
          <w:tcPr>
            <w:tcW w:w="7196" w:type="dxa"/>
            <w:tcBorders>
              <w:top w:val="single" w:sz="4" w:space="0" w:color="D9D9D9"/>
              <w:left w:val="single" w:sz="4" w:space="0" w:color="auto"/>
              <w:bottom w:val="single" w:sz="4" w:space="0" w:color="D9D9D9"/>
              <w:right w:val="single" w:sz="4" w:space="0" w:color="auto"/>
            </w:tcBorders>
          </w:tcPr>
          <w:p w14:paraId="1DBD2F19" w14:textId="77777777" w:rsidR="003555F3" w:rsidRPr="00406A51" w:rsidRDefault="003555F3" w:rsidP="00D65DE2">
            <w:pPr>
              <w:pStyle w:val="tabletext"/>
              <w:numPr>
                <w:ilvl w:val="0"/>
                <w:numId w:val="34"/>
              </w:numPr>
              <w:spacing w:before="20" w:after="10"/>
              <w:ind w:left="357" w:right="-113" w:hanging="357"/>
              <w:rPr>
                <w:rFonts w:ascii="Arial" w:hAnsi="Arial" w:cs="Arial"/>
                <w:sz w:val="20"/>
                <w:szCs w:val="20"/>
                <w:lang w:val="en-US"/>
              </w:rPr>
            </w:pPr>
            <w:r w:rsidRPr="00223188">
              <w:rPr>
                <w:rFonts w:ascii="Arial" w:hAnsi="Arial" w:cs="Arial"/>
                <w:sz w:val="20"/>
                <w:szCs w:val="20"/>
                <w:lang w:val="en-US"/>
              </w:rPr>
              <w:t>Grade 3 or 4</w:t>
            </w:r>
          </w:p>
        </w:tc>
        <w:tc>
          <w:tcPr>
            <w:tcW w:w="7229" w:type="dxa"/>
            <w:tcBorders>
              <w:top w:val="single" w:sz="4" w:space="0" w:color="D9D9D9"/>
              <w:left w:val="single" w:sz="4" w:space="0" w:color="auto"/>
              <w:bottom w:val="single" w:sz="4" w:space="0" w:color="D9D9D9"/>
              <w:right w:val="single" w:sz="4" w:space="0" w:color="auto"/>
            </w:tcBorders>
          </w:tcPr>
          <w:p w14:paraId="7DC480E9" w14:textId="77777777" w:rsidR="003555F3" w:rsidRPr="0008573D" w:rsidRDefault="003555F3" w:rsidP="0008573D">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Reduce to 80% if recurrent</w:t>
            </w:r>
          </w:p>
        </w:tc>
      </w:tr>
      <w:tr w:rsidR="003555F3" w:rsidRPr="00223188" w14:paraId="25F09870" w14:textId="77777777" w:rsidTr="00D57E9A">
        <w:trPr>
          <w:cantSplit/>
          <w:trHeight w:hRule="exact" w:val="340"/>
          <w:tblHeader/>
        </w:trPr>
        <w:tc>
          <w:tcPr>
            <w:tcW w:w="7196" w:type="dxa"/>
            <w:tcBorders>
              <w:top w:val="single" w:sz="4" w:space="0" w:color="D9D9D9"/>
              <w:left w:val="single" w:sz="4" w:space="0" w:color="auto"/>
              <w:bottom w:val="single" w:sz="4" w:space="0" w:color="D9D9D9"/>
              <w:right w:val="single" w:sz="4" w:space="0" w:color="auto"/>
            </w:tcBorders>
            <w:shd w:val="clear" w:color="auto" w:fill="F2F2F2"/>
            <w:vAlign w:val="center"/>
          </w:tcPr>
          <w:p w14:paraId="675F57EE" w14:textId="77777777" w:rsidR="003555F3" w:rsidRPr="00223188" w:rsidRDefault="003555F3" w:rsidP="00D57E9A">
            <w:pPr>
              <w:pStyle w:val="tabletext"/>
              <w:spacing w:before="0" w:after="10"/>
              <w:ind w:right="-113"/>
              <w:rPr>
                <w:rFonts w:ascii="Arial" w:hAnsi="Arial" w:cs="Arial"/>
                <w:b/>
                <w:sz w:val="20"/>
                <w:szCs w:val="20"/>
                <w:lang w:val="en-US"/>
              </w:rPr>
            </w:pPr>
            <w:r w:rsidRPr="00223188">
              <w:rPr>
                <w:rFonts w:ascii="Arial" w:hAnsi="Arial" w:cs="Arial"/>
                <w:b/>
                <w:sz w:val="20"/>
                <w:szCs w:val="20"/>
                <w:lang w:val="en-US"/>
              </w:rPr>
              <w:t>QTc Prolongation</w:t>
            </w:r>
            <w:r w:rsidR="00521521">
              <w:rPr>
                <w:rFonts w:ascii="Arial" w:hAnsi="Arial" w:cs="Arial"/>
                <w:b/>
                <w:sz w:val="20"/>
                <w:szCs w:val="20"/>
                <w:lang w:val="en-US"/>
              </w:rPr>
              <w:t xml:space="preserve"> – see also section 8.2</w:t>
            </w:r>
          </w:p>
        </w:tc>
        <w:tc>
          <w:tcPr>
            <w:tcW w:w="7229" w:type="dxa"/>
            <w:tcBorders>
              <w:top w:val="single" w:sz="4" w:space="0" w:color="D9D9D9"/>
              <w:left w:val="single" w:sz="4" w:space="0" w:color="auto"/>
              <w:bottom w:val="single" w:sz="4" w:space="0" w:color="D9D9D9"/>
              <w:right w:val="single" w:sz="4" w:space="0" w:color="auto"/>
            </w:tcBorders>
            <w:shd w:val="clear" w:color="auto" w:fill="F2F2F2"/>
          </w:tcPr>
          <w:p w14:paraId="4FBD22E5" w14:textId="77777777" w:rsidR="003555F3" w:rsidRDefault="003555F3" w:rsidP="0008573D">
            <w:pPr>
              <w:pStyle w:val="tabletext"/>
              <w:keepNext/>
              <w:keepLines/>
              <w:spacing w:before="20" w:after="10"/>
              <w:rPr>
                <w:rFonts w:ascii="Arial" w:hAnsi="Arial" w:cs="Arial"/>
                <w:sz w:val="20"/>
                <w:szCs w:val="20"/>
                <w:lang w:val="en-US"/>
              </w:rPr>
            </w:pPr>
          </w:p>
        </w:tc>
      </w:tr>
      <w:tr w:rsidR="003555F3" w:rsidRPr="00223188" w14:paraId="579B3946" w14:textId="77777777" w:rsidTr="00D57E9A">
        <w:trPr>
          <w:cantSplit/>
          <w:trHeight w:val="135"/>
          <w:tblHeader/>
        </w:trPr>
        <w:tc>
          <w:tcPr>
            <w:tcW w:w="7196" w:type="dxa"/>
            <w:tcBorders>
              <w:top w:val="single" w:sz="4" w:space="0" w:color="D9D9D9"/>
              <w:left w:val="single" w:sz="4" w:space="0" w:color="auto"/>
              <w:bottom w:val="single" w:sz="4" w:space="0" w:color="D9D9D9"/>
              <w:right w:val="single" w:sz="4" w:space="0" w:color="auto"/>
            </w:tcBorders>
          </w:tcPr>
          <w:p w14:paraId="1A14D416" w14:textId="77777777" w:rsidR="003555F3" w:rsidRPr="00223188" w:rsidRDefault="003555F3" w:rsidP="00D65DE2">
            <w:pPr>
              <w:pStyle w:val="tabletext"/>
              <w:numPr>
                <w:ilvl w:val="0"/>
                <w:numId w:val="34"/>
              </w:numPr>
              <w:spacing w:before="20" w:after="10"/>
              <w:ind w:left="357" w:right="-113" w:hanging="357"/>
              <w:rPr>
                <w:rFonts w:ascii="Arial" w:hAnsi="Arial" w:cs="Arial"/>
                <w:sz w:val="20"/>
                <w:szCs w:val="20"/>
                <w:lang w:val="en-US"/>
              </w:rPr>
            </w:pPr>
            <w:r w:rsidRPr="00223188">
              <w:rPr>
                <w:rFonts w:ascii="Arial" w:hAnsi="Arial" w:cs="Arial"/>
                <w:sz w:val="20"/>
                <w:szCs w:val="20"/>
                <w:lang w:val="en-US"/>
              </w:rPr>
              <w:t>Grade 1 or 2</w:t>
            </w:r>
          </w:p>
        </w:tc>
        <w:tc>
          <w:tcPr>
            <w:tcW w:w="7229" w:type="dxa"/>
            <w:tcBorders>
              <w:top w:val="single" w:sz="4" w:space="0" w:color="D9D9D9"/>
              <w:left w:val="single" w:sz="4" w:space="0" w:color="auto"/>
              <w:bottom w:val="single" w:sz="4" w:space="0" w:color="D9D9D9"/>
              <w:right w:val="single" w:sz="4" w:space="0" w:color="auto"/>
            </w:tcBorders>
          </w:tcPr>
          <w:p w14:paraId="2C1909D7" w14:textId="77777777" w:rsidR="003555F3" w:rsidRDefault="003555F3" w:rsidP="0008573D">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Maintain dose level</w:t>
            </w:r>
          </w:p>
        </w:tc>
      </w:tr>
      <w:tr w:rsidR="003555F3" w:rsidRPr="00223188" w14:paraId="4F8CEE1B" w14:textId="77777777" w:rsidTr="00D57E9A">
        <w:trPr>
          <w:cantSplit/>
          <w:trHeight w:val="232"/>
          <w:tblHeader/>
        </w:trPr>
        <w:tc>
          <w:tcPr>
            <w:tcW w:w="7196" w:type="dxa"/>
            <w:tcBorders>
              <w:top w:val="single" w:sz="4" w:space="0" w:color="D9D9D9"/>
              <w:left w:val="single" w:sz="4" w:space="0" w:color="auto"/>
              <w:bottom w:val="single" w:sz="4" w:space="0" w:color="D9D9D9"/>
              <w:right w:val="single" w:sz="4" w:space="0" w:color="auto"/>
            </w:tcBorders>
          </w:tcPr>
          <w:p w14:paraId="78F106CC" w14:textId="77777777" w:rsidR="003555F3" w:rsidRPr="00223188" w:rsidRDefault="008533D3" w:rsidP="00D65DE2">
            <w:pPr>
              <w:pStyle w:val="tabletext"/>
              <w:numPr>
                <w:ilvl w:val="0"/>
                <w:numId w:val="34"/>
              </w:numPr>
              <w:spacing w:before="20" w:after="10"/>
              <w:ind w:right="-113"/>
              <w:rPr>
                <w:rFonts w:ascii="Arial" w:hAnsi="Arial" w:cs="Arial"/>
                <w:sz w:val="20"/>
                <w:szCs w:val="20"/>
                <w:lang w:val="en-US"/>
              </w:rPr>
            </w:pPr>
            <w:r>
              <w:rPr>
                <w:rFonts w:ascii="Arial" w:hAnsi="Arial" w:cs="Arial"/>
                <w:sz w:val="20"/>
                <w:szCs w:val="20"/>
                <w:lang w:val="en-US"/>
              </w:rPr>
              <w:t>Grade 3 (≥ 501</w:t>
            </w:r>
            <w:r w:rsidR="003555F3" w:rsidRPr="00223188">
              <w:rPr>
                <w:rFonts w:ascii="Arial" w:hAnsi="Arial" w:cs="Arial"/>
                <w:sz w:val="20"/>
                <w:szCs w:val="20"/>
                <w:lang w:val="en-US"/>
              </w:rPr>
              <w:t xml:space="preserve">ms </w:t>
            </w:r>
            <w:r w:rsidR="005A5EC4">
              <w:rPr>
                <w:rFonts w:ascii="Arial" w:hAnsi="Arial" w:cs="Arial"/>
                <w:sz w:val="20"/>
                <w:szCs w:val="20"/>
                <w:lang w:val="en-US"/>
              </w:rPr>
              <w:t>- average of triplicate ECGs</w:t>
            </w:r>
            <w:r w:rsidR="003555F3" w:rsidRPr="00223188">
              <w:rPr>
                <w:rFonts w:ascii="Arial" w:hAnsi="Arial" w:cs="Arial"/>
                <w:sz w:val="20"/>
                <w:szCs w:val="20"/>
                <w:lang w:val="en-US"/>
              </w:rPr>
              <w:t xml:space="preserve">) </w:t>
            </w:r>
          </w:p>
        </w:tc>
        <w:tc>
          <w:tcPr>
            <w:tcW w:w="7229" w:type="dxa"/>
            <w:tcBorders>
              <w:top w:val="single" w:sz="4" w:space="0" w:color="D9D9D9"/>
              <w:left w:val="single" w:sz="4" w:space="0" w:color="auto"/>
              <w:bottom w:val="single" w:sz="4" w:space="0" w:color="D9D9D9"/>
              <w:right w:val="single" w:sz="4" w:space="0" w:color="auto"/>
            </w:tcBorders>
          </w:tcPr>
          <w:p w14:paraId="519EAE2E" w14:textId="64633E6B" w:rsidR="003555F3" w:rsidRPr="0008573D" w:rsidRDefault="003555F3" w:rsidP="0008573D">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Reduce dose to 80%</w:t>
            </w:r>
            <w:r w:rsidR="00064F0A">
              <w:rPr>
                <w:rFonts w:ascii="Arial" w:hAnsi="Arial" w:cs="Arial"/>
                <w:sz w:val="20"/>
                <w:szCs w:val="20"/>
                <w:lang w:val="en-US"/>
              </w:rPr>
              <w:t xml:space="preserve"> after QTc</w:t>
            </w:r>
            <w:r w:rsidR="008533D3">
              <w:rPr>
                <w:rFonts w:ascii="Arial" w:hAnsi="Arial" w:cs="Arial"/>
                <w:sz w:val="20"/>
                <w:szCs w:val="20"/>
                <w:lang w:val="en-US"/>
              </w:rPr>
              <w:t xml:space="preserve"> has decreased to at least &lt;470</w:t>
            </w:r>
            <w:r w:rsidR="00064F0A">
              <w:rPr>
                <w:rFonts w:ascii="Arial" w:hAnsi="Arial" w:cs="Arial"/>
                <w:sz w:val="20"/>
                <w:szCs w:val="20"/>
                <w:lang w:val="en-US"/>
              </w:rPr>
              <w:t>ms.</w:t>
            </w:r>
          </w:p>
        </w:tc>
      </w:tr>
      <w:tr w:rsidR="003555F3" w:rsidRPr="00223188" w14:paraId="139038FE" w14:textId="77777777" w:rsidTr="00D57E9A">
        <w:trPr>
          <w:cantSplit/>
          <w:trHeight w:val="360"/>
          <w:tblHeader/>
        </w:trPr>
        <w:tc>
          <w:tcPr>
            <w:tcW w:w="7196" w:type="dxa"/>
            <w:tcBorders>
              <w:top w:val="single" w:sz="4" w:space="0" w:color="D9D9D9"/>
              <w:left w:val="single" w:sz="4" w:space="0" w:color="auto"/>
              <w:bottom w:val="single" w:sz="4" w:space="0" w:color="D9D9D9"/>
              <w:right w:val="single" w:sz="4" w:space="0" w:color="auto"/>
            </w:tcBorders>
          </w:tcPr>
          <w:p w14:paraId="6C976204" w14:textId="77777777" w:rsidR="00783E0E" w:rsidRPr="00783E0E" w:rsidRDefault="003555F3" w:rsidP="00D65DE2">
            <w:pPr>
              <w:pStyle w:val="tabletext"/>
              <w:numPr>
                <w:ilvl w:val="0"/>
                <w:numId w:val="34"/>
              </w:numPr>
              <w:spacing w:before="20" w:after="10"/>
              <w:ind w:left="357" w:right="-113" w:hanging="357"/>
              <w:rPr>
                <w:rFonts w:ascii="Arial" w:hAnsi="Arial" w:cs="Arial"/>
                <w:sz w:val="20"/>
                <w:szCs w:val="20"/>
                <w:lang w:val="en-US"/>
              </w:rPr>
            </w:pPr>
            <w:r w:rsidRPr="00223188">
              <w:rPr>
                <w:rFonts w:ascii="Arial" w:hAnsi="Arial" w:cs="Arial"/>
                <w:sz w:val="20"/>
                <w:szCs w:val="20"/>
                <w:lang w:val="en-US"/>
              </w:rPr>
              <w:t>If repeated Grade 3</w:t>
            </w:r>
            <w:r w:rsidR="00783E0E">
              <w:rPr>
                <w:rFonts w:ascii="Arial" w:hAnsi="Arial" w:cs="Arial"/>
                <w:sz w:val="20"/>
                <w:szCs w:val="20"/>
                <w:lang w:val="en-US"/>
              </w:rPr>
              <w:t>,</w:t>
            </w:r>
            <w:r w:rsidRPr="00223188">
              <w:rPr>
                <w:rFonts w:ascii="Arial" w:hAnsi="Arial" w:cs="Arial"/>
                <w:sz w:val="20"/>
                <w:szCs w:val="20"/>
                <w:lang w:val="en-US"/>
              </w:rPr>
              <w:t xml:space="preserve"> or 4</w:t>
            </w:r>
          </w:p>
        </w:tc>
        <w:tc>
          <w:tcPr>
            <w:tcW w:w="7229" w:type="dxa"/>
            <w:tcBorders>
              <w:top w:val="single" w:sz="4" w:space="0" w:color="D9D9D9"/>
              <w:left w:val="single" w:sz="4" w:space="0" w:color="auto"/>
              <w:bottom w:val="single" w:sz="4" w:space="0" w:color="D9D9D9"/>
              <w:right w:val="single" w:sz="4" w:space="0" w:color="auto"/>
            </w:tcBorders>
          </w:tcPr>
          <w:p w14:paraId="069815FD" w14:textId="77777777" w:rsidR="003555F3" w:rsidRPr="0008573D" w:rsidRDefault="003555F3" w:rsidP="0008573D">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Discontinue</w:t>
            </w:r>
          </w:p>
        </w:tc>
      </w:tr>
      <w:tr w:rsidR="00BA568D" w:rsidRPr="00223188" w14:paraId="0ADE3CF0" w14:textId="77777777" w:rsidTr="00A466CB">
        <w:trPr>
          <w:cantSplit/>
          <w:trHeight w:val="831"/>
          <w:tblHeader/>
        </w:trPr>
        <w:tc>
          <w:tcPr>
            <w:tcW w:w="7196" w:type="dxa"/>
            <w:tcBorders>
              <w:top w:val="single" w:sz="4" w:space="0" w:color="D9D9D9"/>
              <w:left w:val="single" w:sz="4" w:space="0" w:color="auto"/>
              <w:bottom w:val="single" w:sz="4" w:space="0" w:color="D9D9D9"/>
              <w:right w:val="single" w:sz="4" w:space="0" w:color="auto"/>
            </w:tcBorders>
          </w:tcPr>
          <w:p w14:paraId="1EE736F3" w14:textId="32EAD4CE" w:rsidR="00BA568D" w:rsidRPr="00223188" w:rsidRDefault="00693590" w:rsidP="00DC7621">
            <w:pPr>
              <w:pStyle w:val="tabletext"/>
              <w:numPr>
                <w:ilvl w:val="0"/>
                <w:numId w:val="34"/>
              </w:numPr>
              <w:spacing w:before="20" w:after="10"/>
              <w:ind w:left="357" w:right="-113" w:hanging="357"/>
              <w:rPr>
                <w:rFonts w:ascii="Arial" w:hAnsi="Arial" w:cs="Arial"/>
                <w:sz w:val="20"/>
                <w:szCs w:val="20"/>
                <w:lang w:val="en-US"/>
              </w:rPr>
            </w:pPr>
            <w:r>
              <w:rPr>
                <w:rFonts w:ascii="Arial" w:hAnsi="Arial" w:cs="Arial"/>
                <w:sz w:val="20"/>
                <w:szCs w:val="20"/>
                <w:lang w:val="en-US"/>
              </w:rPr>
              <w:t>Grade 4 (QTc</w:t>
            </w:r>
            <w:r w:rsidR="00DC7621">
              <w:rPr>
                <w:rFonts w:ascii="Arial" w:hAnsi="Arial" w:cs="Arial"/>
                <w:sz w:val="20"/>
                <w:szCs w:val="20"/>
                <w:lang w:val="en-US"/>
              </w:rPr>
              <w:t xml:space="preserve"> </w:t>
            </w:r>
            <w:r>
              <w:rPr>
                <w:rFonts w:ascii="Arial" w:hAnsi="Arial" w:cs="Arial"/>
                <w:sz w:val="20"/>
                <w:szCs w:val="20"/>
                <w:lang w:val="en-US"/>
              </w:rPr>
              <w:t>≥501</w:t>
            </w:r>
            <w:r w:rsidRPr="00223188">
              <w:rPr>
                <w:rFonts w:ascii="Arial" w:hAnsi="Arial" w:cs="Arial"/>
                <w:sz w:val="20"/>
                <w:szCs w:val="20"/>
                <w:lang w:val="en-US"/>
              </w:rPr>
              <w:t xml:space="preserve">ms </w:t>
            </w:r>
            <w:r w:rsidRPr="00BA568D">
              <w:rPr>
                <w:rFonts w:ascii="Arial" w:hAnsi="Arial" w:cs="Arial"/>
                <w:sz w:val="20"/>
                <w:szCs w:val="20"/>
                <w:lang w:val="en-US"/>
              </w:rPr>
              <w:t xml:space="preserve">or &gt;60 </w:t>
            </w:r>
            <w:proofErr w:type="spellStart"/>
            <w:r w:rsidRPr="00BA568D">
              <w:rPr>
                <w:rFonts w:ascii="Arial" w:hAnsi="Arial" w:cs="Arial"/>
                <w:sz w:val="20"/>
                <w:szCs w:val="20"/>
                <w:lang w:val="en-US"/>
              </w:rPr>
              <w:t>ms</w:t>
            </w:r>
            <w:proofErr w:type="spellEnd"/>
            <w:r w:rsidRPr="00BA568D">
              <w:rPr>
                <w:rFonts w:ascii="Arial" w:hAnsi="Arial" w:cs="Arial"/>
                <w:sz w:val="20"/>
                <w:szCs w:val="20"/>
                <w:lang w:val="en-US"/>
              </w:rPr>
              <w:t xml:space="preserve"> change from baseline and </w:t>
            </w:r>
            <w:proofErr w:type="spellStart"/>
            <w:r w:rsidRPr="00BA568D">
              <w:rPr>
                <w:rFonts w:ascii="Arial" w:hAnsi="Arial" w:cs="Arial"/>
                <w:sz w:val="20"/>
                <w:szCs w:val="20"/>
                <w:lang w:val="en-US"/>
              </w:rPr>
              <w:t>torsades</w:t>
            </w:r>
            <w:proofErr w:type="spellEnd"/>
            <w:r w:rsidRPr="00BA568D">
              <w:rPr>
                <w:rFonts w:ascii="Arial" w:hAnsi="Arial" w:cs="Arial"/>
                <w:sz w:val="20"/>
                <w:szCs w:val="20"/>
                <w:lang w:val="en-US"/>
              </w:rPr>
              <w:t xml:space="preserve"> de pointes or polymorphic ventricular tachycardia or signs/s</w:t>
            </w:r>
            <w:r>
              <w:rPr>
                <w:rFonts w:ascii="Arial" w:hAnsi="Arial" w:cs="Arial"/>
                <w:sz w:val="20"/>
                <w:szCs w:val="20"/>
                <w:lang w:val="en-US"/>
              </w:rPr>
              <w:t>ymptoms of serious arrhythmia</w:t>
            </w:r>
          </w:p>
        </w:tc>
        <w:tc>
          <w:tcPr>
            <w:tcW w:w="7229" w:type="dxa"/>
            <w:tcBorders>
              <w:top w:val="single" w:sz="4" w:space="0" w:color="D9D9D9"/>
              <w:left w:val="single" w:sz="4" w:space="0" w:color="auto"/>
              <w:bottom w:val="single" w:sz="4" w:space="0" w:color="D9D9D9"/>
              <w:right w:val="single" w:sz="4" w:space="0" w:color="auto"/>
            </w:tcBorders>
          </w:tcPr>
          <w:p w14:paraId="2733D77A" w14:textId="77777777" w:rsidR="00BA568D" w:rsidRPr="00223188" w:rsidRDefault="00BA568D" w:rsidP="0008573D">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Discontinue</w:t>
            </w:r>
          </w:p>
        </w:tc>
      </w:tr>
      <w:tr w:rsidR="00AF2A67" w:rsidRPr="00223188" w14:paraId="153D9965" w14:textId="77777777" w:rsidTr="00DC4911">
        <w:trPr>
          <w:cantSplit/>
          <w:trHeight w:val="360"/>
          <w:tblHeader/>
        </w:trPr>
        <w:tc>
          <w:tcPr>
            <w:tcW w:w="14425" w:type="dxa"/>
            <w:gridSpan w:val="2"/>
            <w:tcBorders>
              <w:top w:val="single" w:sz="4" w:space="0" w:color="D9D9D9"/>
              <w:left w:val="single" w:sz="4" w:space="0" w:color="auto"/>
              <w:bottom w:val="single" w:sz="4" w:space="0" w:color="D9D9D9"/>
              <w:right w:val="single" w:sz="4" w:space="0" w:color="auto"/>
            </w:tcBorders>
          </w:tcPr>
          <w:p w14:paraId="0AD47FF5" w14:textId="63EE4D01" w:rsidR="00AF2A67" w:rsidRPr="00223188" w:rsidRDefault="00693590" w:rsidP="00693590">
            <w:pPr>
              <w:pStyle w:val="tabletext"/>
              <w:keepNext/>
              <w:keepLines/>
              <w:spacing w:before="20" w:after="10"/>
              <w:rPr>
                <w:rFonts w:ascii="Arial" w:hAnsi="Arial" w:cs="Arial"/>
                <w:sz w:val="20"/>
                <w:szCs w:val="20"/>
                <w:lang w:val="en-US"/>
              </w:rPr>
            </w:pPr>
            <w:r>
              <w:rPr>
                <w:rFonts w:ascii="Arial" w:hAnsi="Arial" w:cs="Arial"/>
                <w:sz w:val="20"/>
                <w:szCs w:val="20"/>
                <w:lang w:val="en-US"/>
              </w:rPr>
              <w:t xml:space="preserve">While the </w:t>
            </w:r>
            <w:r w:rsidRPr="00AF2A67">
              <w:rPr>
                <w:rFonts w:ascii="Arial" w:hAnsi="Arial" w:cs="Arial"/>
                <w:sz w:val="20"/>
                <w:szCs w:val="20"/>
                <w:lang w:val="en-US"/>
              </w:rPr>
              <w:t>QTc prolongation</w:t>
            </w:r>
            <w:r>
              <w:rPr>
                <w:rFonts w:ascii="Arial" w:hAnsi="Arial" w:cs="Arial"/>
                <w:sz w:val="20"/>
                <w:szCs w:val="20"/>
                <w:lang w:val="en-US"/>
              </w:rPr>
              <w:t xml:space="preserve"> is Grade 3 or higher,</w:t>
            </w:r>
            <w:r w:rsidRPr="00AF2A67">
              <w:rPr>
                <w:rFonts w:ascii="Arial" w:hAnsi="Arial" w:cs="Arial"/>
                <w:sz w:val="20"/>
                <w:szCs w:val="20"/>
                <w:lang w:val="en-US"/>
              </w:rPr>
              <w:t xml:space="preserve"> patient</w:t>
            </w:r>
            <w:r>
              <w:rPr>
                <w:rFonts w:ascii="Arial" w:hAnsi="Arial" w:cs="Arial"/>
                <w:sz w:val="20"/>
                <w:szCs w:val="20"/>
                <w:lang w:val="en-US"/>
              </w:rPr>
              <w:t xml:space="preserve">s will have </w:t>
            </w:r>
            <w:r w:rsidRPr="00AF2A67">
              <w:rPr>
                <w:rFonts w:ascii="Arial" w:hAnsi="Arial" w:cs="Arial"/>
                <w:sz w:val="20"/>
                <w:szCs w:val="20"/>
                <w:lang w:val="en-US"/>
              </w:rPr>
              <w:t>ECG</w:t>
            </w:r>
            <w:r>
              <w:rPr>
                <w:rFonts w:ascii="Arial" w:hAnsi="Arial" w:cs="Arial"/>
                <w:sz w:val="20"/>
                <w:szCs w:val="20"/>
                <w:lang w:val="en-US"/>
              </w:rPr>
              <w:t xml:space="preserve">s performed in </w:t>
            </w:r>
            <w:r w:rsidRPr="00AF2A67">
              <w:rPr>
                <w:rFonts w:ascii="Arial" w:hAnsi="Arial" w:cs="Arial"/>
                <w:sz w:val="20"/>
                <w:szCs w:val="20"/>
                <w:lang w:val="en-US"/>
              </w:rPr>
              <w:t>triplicate until the QTc interval returns to baseline</w:t>
            </w:r>
            <w:r>
              <w:rPr>
                <w:rFonts w:ascii="Arial" w:hAnsi="Arial" w:cs="Arial"/>
                <w:sz w:val="20"/>
                <w:szCs w:val="20"/>
                <w:lang w:val="en-US"/>
              </w:rPr>
              <w:t xml:space="preserve"> </w:t>
            </w:r>
            <w:r w:rsidRPr="00693590">
              <w:rPr>
                <w:rFonts w:ascii="Arial" w:hAnsi="Arial" w:cs="Arial"/>
                <w:sz w:val="20"/>
                <w:szCs w:val="20"/>
                <w:lang w:val="en-US"/>
              </w:rPr>
              <w:t>or ≤ Grade 2</w:t>
            </w:r>
            <w:r>
              <w:rPr>
                <w:rFonts w:ascii="Arial" w:hAnsi="Arial" w:cs="Arial"/>
                <w:sz w:val="20"/>
                <w:szCs w:val="20"/>
                <w:lang w:val="en-US"/>
              </w:rPr>
              <w:t>.</w:t>
            </w:r>
          </w:p>
        </w:tc>
      </w:tr>
      <w:tr w:rsidR="003555F3" w:rsidRPr="00223188" w14:paraId="43AFE73E" w14:textId="77777777" w:rsidTr="00D57E9A">
        <w:trPr>
          <w:cantSplit/>
          <w:trHeight w:hRule="exact" w:val="340"/>
          <w:tblHeader/>
        </w:trPr>
        <w:tc>
          <w:tcPr>
            <w:tcW w:w="7196" w:type="dxa"/>
            <w:tcBorders>
              <w:top w:val="single" w:sz="4" w:space="0" w:color="D9D9D9"/>
              <w:left w:val="single" w:sz="4" w:space="0" w:color="auto"/>
              <w:bottom w:val="single" w:sz="4" w:space="0" w:color="D9D9D9"/>
              <w:right w:val="single" w:sz="4" w:space="0" w:color="auto"/>
            </w:tcBorders>
            <w:shd w:val="clear" w:color="auto" w:fill="F2F2F2"/>
            <w:vAlign w:val="center"/>
          </w:tcPr>
          <w:p w14:paraId="773284CA" w14:textId="77777777" w:rsidR="003555F3" w:rsidRPr="00217FA9" w:rsidRDefault="003555F3" w:rsidP="00D57E9A">
            <w:pPr>
              <w:pStyle w:val="tabletext"/>
              <w:spacing w:before="0" w:after="10"/>
              <w:ind w:right="-113"/>
              <w:rPr>
                <w:rFonts w:ascii="Arial" w:hAnsi="Arial" w:cs="Arial"/>
                <w:b/>
                <w:sz w:val="20"/>
                <w:szCs w:val="20"/>
                <w:lang w:val="en-US"/>
              </w:rPr>
            </w:pPr>
            <w:r w:rsidRPr="00F04E02">
              <w:rPr>
                <w:rFonts w:ascii="Arial" w:hAnsi="Arial" w:cs="Arial"/>
                <w:b/>
                <w:sz w:val="20"/>
                <w:szCs w:val="20"/>
                <w:lang w:val="en-US"/>
              </w:rPr>
              <w:t>Hematologic Toxicity</w:t>
            </w:r>
          </w:p>
        </w:tc>
        <w:tc>
          <w:tcPr>
            <w:tcW w:w="7229" w:type="dxa"/>
            <w:tcBorders>
              <w:top w:val="single" w:sz="4" w:space="0" w:color="D9D9D9"/>
              <w:left w:val="single" w:sz="4" w:space="0" w:color="auto"/>
              <w:bottom w:val="single" w:sz="4" w:space="0" w:color="D9D9D9"/>
              <w:right w:val="single" w:sz="4" w:space="0" w:color="auto"/>
            </w:tcBorders>
            <w:shd w:val="clear" w:color="auto" w:fill="F2F2F2"/>
          </w:tcPr>
          <w:p w14:paraId="681D3610" w14:textId="77777777" w:rsidR="003555F3" w:rsidRPr="0008573D" w:rsidRDefault="003555F3" w:rsidP="0008573D">
            <w:pPr>
              <w:pStyle w:val="tabletext"/>
              <w:keepNext/>
              <w:keepLines/>
              <w:spacing w:before="20" w:after="10"/>
              <w:rPr>
                <w:rFonts w:ascii="Arial" w:hAnsi="Arial" w:cs="Arial"/>
                <w:sz w:val="20"/>
                <w:szCs w:val="20"/>
                <w:lang w:val="en-US"/>
              </w:rPr>
            </w:pPr>
          </w:p>
        </w:tc>
      </w:tr>
      <w:tr w:rsidR="00173E92" w:rsidRPr="00223188" w14:paraId="12993284" w14:textId="77777777" w:rsidTr="002A016E">
        <w:trPr>
          <w:cantSplit/>
          <w:trHeight w:val="1783"/>
          <w:tblHeader/>
        </w:trPr>
        <w:tc>
          <w:tcPr>
            <w:tcW w:w="7196" w:type="dxa"/>
            <w:tcBorders>
              <w:top w:val="single" w:sz="4" w:space="0" w:color="D9D9D9"/>
              <w:left w:val="single" w:sz="4" w:space="0" w:color="auto"/>
              <w:bottom w:val="single" w:sz="4" w:space="0" w:color="D9D9D9"/>
              <w:right w:val="single" w:sz="4" w:space="0" w:color="auto"/>
            </w:tcBorders>
          </w:tcPr>
          <w:p w14:paraId="4E4710C9" w14:textId="77777777" w:rsidR="00173E92" w:rsidRPr="00F04E02" w:rsidRDefault="00173E92" w:rsidP="00D65DE2">
            <w:pPr>
              <w:pStyle w:val="tabletext"/>
              <w:numPr>
                <w:ilvl w:val="0"/>
                <w:numId w:val="34"/>
              </w:numPr>
              <w:spacing w:before="20" w:after="10"/>
              <w:ind w:left="357" w:right="-113" w:hanging="357"/>
              <w:rPr>
                <w:rFonts w:ascii="Arial" w:hAnsi="Arial" w:cs="Arial"/>
                <w:b/>
                <w:sz w:val="20"/>
                <w:szCs w:val="20"/>
                <w:lang w:val="en-US"/>
              </w:rPr>
            </w:pPr>
            <w:r w:rsidRPr="00223188">
              <w:rPr>
                <w:rFonts w:ascii="Arial" w:hAnsi="Arial" w:cs="Arial"/>
                <w:sz w:val="20"/>
                <w:szCs w:val="20"/>
                <w:lang w:val="en-US"/>
              </w:rPr>
              <w:lastRenderedPageBreak/>
              <w:t>Grade 1 and 2</w:t>
            </w:r>
          </w:p>
          <w:p w14:paraId="175BD201" w14:textId="77777777" w:rsidR="00173E92" w:rsidRDefault="00173E92" w:rsidP="00D65DE2">
            <w:pPr>
              <w:pStyle w:val="tabletext"/>
              <w:numPr>
                <w:ilvl w:val="0"/>
                <w:numId w:val="34"/>
              </w:numPr>
              <w:spacing w:before="0" w:after="10"/>
              <w:ind w:right="-113"/>
              <w:rPr>
                <w:rFonts w:ascii="Arial" w:hAnsi="Arial" w:cs="Arial"/>
                <w:sz w:val="20"/>
                <w:szCs w:val="20"/>
                <w:lang w:val="en-US"/>
              </w:rPr>
            </w:pPr>
            <w:r w:rsidRPr="00223188">
              <w:rPr>
                <w:rFonts w:ascii="Arial" w:hAnsi="Arial" w:cs="Arial"/>
                <w:sz w:val="20"/>
                <w:szCs w:val="20"/>
                <w:lang w:val="en-US"/>
              </w:rPr>
              <w:t xml:space="preserve">ANC </w:t>
            </w:r>
            <w:r w:rsidR="002B111D">
              <w:rPr>
                <w:rFonts w:ascii="Arial" w:hAnsi="Arial" w:cs="Arial"/>
                <w:sz w:val="20"/>
                <w:szCs w:val="20"/>
                <w:lang w:val="en-US"/>
              </w:rPr>
              <w:t>≥ 0.5 x 10</w:t>
            </w:r>
            <w:r w:rsidR="002B111D" w:rsidRPr="002B111D">
              <w:rPr>
                <w:rFonts w:ascii="Arial" w:hAnsi="Arial" w:cs="Arial"/>
                <w:sz w:val="20"/>
                <w:szCs w:val="20"/>
                <w:vertAlign w:val="superscript"/>
                <w:lang w:val="en-US"/>
              </w:rPr>
              <w:t>9</w:t>
            </w:r>
            <w:r w:rsidR="002B111D">
              <w:rPr>
                <w:rFonts w:ascii="Arial" w:hAnsi="Arial" w:cs="Arial"/>
                <w:sz w:val="20"/>
                <w:szCs w:val="20"/>
                <w:lang w:val="en-US"/>
              </w:rPr>
              <w:t>/L</w:t>
            </w:r>
          </w:p>
          <w:p w14:paraId="389421D1" w14:textId="77777777" w:rsidR="00173E92" w:rsidRPr="00223188" w:rsidRDefault="00173E92" w:rsidP="00D65DE2">
            <w:pPr>
              <w:pStyle w:val="tabletext"/>
              <w:numPr>
                <w:ilvl w:val="0"/>
                <w:numId w:val="34"/>
              </w:numPr>
              <w:spacing w:before="0" w:after="10"/>
              <w:ind w:right="-113"/>
              <w:rPr>
                <w:rFonts w:ascii="Arial" w:hAnsi="Arial" w:cs="Arial"/>
                <w:sz w:val="20"/>
                <w:szCs w:val="20"/>
                <w:lang w:val="en-US"/>
              </w:rPr>
            </w:pPr>
            <w:r w:rsidRPr="00223188">
              <w:rPr>
                <w:rFonts w:ascii="Arial" w:hAnsi="Arial" w:cs="Arial"/>
                <w:sz w:val="20"/>
                <w:szCs w:val="20"/>
                <w:lang w:val="en-US"/>
              </w:rPr>
              <w:t xml:space="preserve">Platelet count ≥ 50.0 </w:t>
            </w:r>
            <w:r w:rsidRPr="00223188">
              <w:rPr>
                <w:rFonts w:ascii="Arial" w:hAnsi="Arial" w:cs="Arial"/>
                <w:sz w:val="20"/>
                <w:szCs w:val="20"/>
                <w:lang w:val="en-US"/>
              </w:rPr>
              <w:sym w:font="Symbol" w:char="F0B4"/>
            </w:r>
            <w:r w:rsidRPr="00223188">
              <w:rPr>
                <w:rFonts w:ascii="Arial" w:hAnsi="Arial" w:cs="Arial"/>
                <w:sz w:val="20"/>
                <w:szCs w:val="20"/>
                <w:lang w:val="en-US"/>
              </w:rPr>
              <w:t xml:space="preserve"> 10</w:t>
            </w:r>
            <w:r w:rsidRPr="00223188">
              <w:rPr>
                <w:rFonts w:ascii="Arial" w:hAnsi="Arial" w:cs="Arial"/>
                <w:sz w:val="20"/>
                <w:szCs w:val="20"/>
                <w:vertAlign w:val="superscript"/>
                <w:lang w:val="en-US"/>
              </w:rPr>
              <w:t>9</w:t>
            </w:r>
            <w:r w:rsidRPr="00223188">
              <w:rPr>
                <w:rFonts w:ascii="Arial" w:hAnsi="Arial" w:cs="Arial"/>
                <w:sz w:val="20"/>
                <w:szCs w:val="20"/>
                <w:lang w:val="en-US"/>
              </w:rPr>
              <w:t>/L and &lt;75.0 x  10</w:t>
            </w:r>
            <w:r w:rsidRPr="00223188">
              <w:rPr>
                <w:rFonts w:ascii="Arial" w:hAnsi="Arial" w:cs="Arial"/>
                <w:sz w:val="20"/>
                <w:szCs w:val="20"/>
                <w:vertAlign w:val="superscript"/>
                <w:lang w:val="en-US"/>
              </w:rPr>
              <w:t>9</w:t>
            </w:r>
            <w:r w:rsidRPr="00223188">
              <w:rPr>
                <w:rFonts w:ascii="Arial" w:hAnsi="Arial" w:cs="Arial"/>
                <w:sz w:val="20"/>
                <w:szCs w:val="20"/>
                <w:lang w:val="en-US"/>
              </w:rPr>
              <w:t>/L</w:t>
            </w:r>
          </w:p>
          <w:p w14:paraId="25E22445" w14:textId="77777777" w:rsidR="00173E92" w:rsidRPr="00223188" w:rsidRDefault="00173E92" w:rsidP="00D65DE2">
            <w:pPr>
              <w:pStyle w:val="tabletext"/>
              <w:numPr>
                <w:ilvl w:val="0"/>
                <w:numId w:val="34"/>
              </w:numPr>
              <w:spacing w:before="0" w:after="10"/>
              <w:ind w:right="-113"/>
              <w:rPr>
                <w:rFonts w:ascii="Arial" w:hAnsi="Arial" w:cs="Arial"/>
                <w:sz w:val="20"/>
                <w:szCs w:val="20"/>
                <w:lang w:val="en-US"/>
              </w:rPr>
            </w:pPr>
            <w:proofErr w:type="spellStart"/>
            <w:r w:rsidRPr="00223188">
              <w:rPr>
                <w:rFonts w:ascii="Arial" w:hAnsi="Arial" w:cs="Arial"/>
                <w:sz w:val="20"/>
                <w:szCs w:val="20"/>
                <w:lang w:val="en-US"/>
              </w:rPr>
              <w:t>Haemoglobin</w:t>
            </w:r>
            <w:proofErr w:type="spellEnd"/>
            <w:r w:rsidRPr="00223188">
              <w:rPr>
                <w:rFonts w:ascii="Arial" w:hAnsi="Arial" w:cs="Arial"/>
                <w:sz w:val="20"/>
                <w:szCs w:val="20"/>
                <w:lang w:val="en-US"/>
              </w:rPr>
              <w:t xml:space="preserve"> is &gt; 80 g/L</w:t>
            </w:r>
          </w:p>
          <w:p w14:paraId="6F9640A2" w14:textId="77777777" w:rsidR="00277B5C" w:rsidRPr="00724675" w:rsidRDefault="00277B5C" w:rsidP="00277B5C">
            <w:pPr>
              <w:pStyle w:val="tabletext"/>
              <w:spacing w:before="0" w:after="10"/>
              <w:ind w:left="360" w:right="-113"/>
              <w:rPr>
                <w:rFonts w:ascii="Arial" w:hAnsi="Arial" w:cs="Arial"/>
                <w:sz w:val="20"/>
                <w:szCs w:val="20"/>
                <w:lang w:val="en-US"/>
              </w:rPr>
            </w:pPr>
          </w:p>
          <w:p w14:paraId="723A7152" w14:textId="77777777" w:rsidR="00173E92" w:rsidRPr="00223188" w:rsidRDefault="00173E92" w:rsidP="00D65DE2">
            <w:pPr>
              <w:pStyle w:val="tabletext"/>
              <w:numPr>
                <w:ilvl w:val="0"/>
                <w:numId w:val="34"/>
              </w:numPr>
              <w:spacing w:before="0" w:after="10"/>
              <w:ind w:right="-113"/>
              <w:rPr>
                <w:rFonts w:ascii="Arial" w:hAnsi="Arial" w:cs="Arial"/>
                <w:sz w:val="20"/>
                <w:szCs w:val="20"/>
                <w:lang w:val="en-US"/>
              </w:rPr>
            </w:pPr>
            <w:r w:rsidRPr="00223188">
              <w:rPr>
                <w:rFonts w:ascii="Arial" w:hAnsi="Arial" w:cs="Arial"/>
                <w:sz w:val="20"/>
                <w:szCs w:val="20"/>
                <w:lang w:val="en-US"/>
              </w:rPr>
              <w:t xml:space="preserve">Platelet count </w:t>
            </w:r>
            <w:r w:rsidRPr="00223188">
              <w:rPr>
                <w:rFonts w:ascii="Arial" w:hAnsi="Arial" w:cs="Arial"/>
                <w:sz w:val="20"/>
                <w:szCs w:val="20"/>
                <w:lang w:val="en-US"/>
              </w:rPr>
              <w:sym w:font="Symbol" w:char="F03C"/>
            </w:r>
            <w:r w:rsidRPr="00223188">
              <w:rPr>
                <w:rFonts w:ascii="Arial" w:hAnsi="Arial" w:cs="Arial"/>
                <w:sz w:val="20"/>
                <w:szCs w:val="20"/>
                <w:lang w:val="en-US"/>
              </w:rPr>
              <w:t xml:space="preserve">50.0 </w:t>
            </w:r>
            <w:r w:rsidRPr="00223188">
              <w:rPr>
                <w:rFonts w:ascii="Arial" w:hAnsi="Arial" w:cs="Arial"/>
                <w:sz w:val="20"/>
                <w:szCs w:val="20"/>
                <w:lang w:val="en-US"/>
              </w:rPr>
              <w:sym w:font="Symbol" w:char="F0B4"/>
            </w:r>
            <w:r w:rsidRPr="00223188">
              <w:rPr>
                <w:rFonts w:ascii="Arial" w:hAnsi="Arial" w:cs="Arial"/>
                <w:sz w:val="20"/>
                <w:szCs w:val="20"/>
                <w:lang w:val="en-US"/>
              </w:rPr>
              <w:t xml:space="preserve"> 10</w:t>
            </w:r>
            <w:r w:rsidRPr="00223188">
              <w:rPr>
                <w:rFonts w:ascii="Arial" w:hAnsi="Arial" w:cs="Arial"/>
                <w:sz w:val="20"/>
                <w:szCs w:val="20"/>
                <w:vertAlign w:val="superscript"/>
                <w:lang w:val="en-US"/>
              </w:rPr>
              <w:t>9</w:t>
            </w:r>
            <w:r w:rsidRPr="00223188">
              <w:rPr>
                <w:rFonts w:ascii="Arial" w:hAnsi="Arial" w:cs="Arial"/>
                <w:sz w:val="20"/>
                <w:szCs w:val="20"/>
                <w:lang w:val="en-US"/>
              </w:rPr>
              <w:t>/L,</w:t>
            </w:r>
          </w:p>
          <w:p w14:paraId="471A5B56" w14:textId="77777777" w:rsidR="00173E92" w:rsidRPr="00F04E02" w:rsidRDefault="00173E92" w:rsidP="00D65DE2">
            <w:pPr>
              <w:pStyle w:val="tabletext"/>
              <w:numPr>
                <w:ilvl w:val="0"/>
                <w:numId w:val="34"/>
              </w:numPr>
              <w:spacing w:before="0" w:after="10"/>
              <w:ind w:right="-113"/>
              <w:rPr>
                <w:rFonts w:ascii="Arial" w:hAnsi="Arial" w:cs="Arial"/>
                <w:b/>
                <w:sz w:val="20"/>
                <w:szCs w:val="20"/>
                <w:lang w:val="en-US"/>
              </w:rPr>
            </w:pPr>
            <w:proofErr w:type="spellStart"/>
            <w:r w:rsidRPr="00223188">
              <w:rPr>
                <w:rFonts w:ascii="Arial" w:hAnsi="Arial" w:cs="Arial"/>
                <w:sz w:val="20"/>
                <w:szCs w:val="20"/>
                <w:lang w:val="en-US"/>
              </w:rPr>
              <w:t>Haemoglobin</w:t>
            </w:r>
            <w:proofErr w:type="spellEnd"/>
            <w:r w:rsidRPr="00223188">
              <w:rPr>
                <w:rFonts w:ascii="Arial" w:hAnsi="Arial" w:cs="Arial"/>
                <w:sz w:val="20"/>
                <w:szCs w:val="20"/>
                <w:lang w:val="en-US"/>
              </w:rPr>
              <w:t xml:space="preserve"> is </w:t>
            </w:r>
            <w:r w:rsidRPr="00223188">
              <w:rPr>
                <w:rFonts w:ascii="Arial" w:hAnsi="Arial" w:cs="Arial"/>
                <w:sz w:val="20"/>
                <w:szCs w:val="20"/>
                <w:lang w:val="en-US"/>
              </w:rPr>
              <w:sym w:font="Symbol" w:char="F03C"/>
            </w:r>
            <w:r w:rsidRPr="00223188">
              <w:rPr>
                <w:rFonts w:ascii="Arial" w:hAnsi="Arial" w:cs="Arial"/>
                <w:sz w:val="20"/>
                <w:szCs w:val="20"/>
                <w:lang w:val="en-US"/>
              </w:rPr>
              <w:t>80 g/L</w:t>
            </w:r>
          </w:p>
        </w:tc>
        <w:tc>
          <w:tcPr>
            <w:tcW w:w="7229" w:type="dxa"/>
            <w:tcBorders>
              <w:top w:val="single" w:sz="4" w:space="0" w:color="D9D9D9"/>
              <w:left w:val="single" w:sz="4" w:space="0" w:color="auto"/>
              <w:bottom w:val="single" w:sz="4" w:space="0" w:color="D9D9D9"/>
              <w:right w:val="single" w:sz="4" w:space="0" w:color="auto"/>
            </w:tcBorders>
          </w:tcPr>
          <w:p w14:paraId="592ED885" w14:textId="77777777" w:rsidR="00173E92" w:rsidRDefault="00173E92" w:rsidP="0008573D">
            <w:pPr>
              <w:pStyle w:val="tabletext"/>
              <w:keepNext/>
              <w:keepLines/>
              <w:spacing w:before="20" w:after="10"/>
              <w:rPr>
                <w:rFonts w:ascii="Arial" w:hAnsi="Arial" w:cs="Arial"/>
                <w:sz w:val="20"/>
                <w:szCs w:val="20"/>
                <w:lang w:val="en-US"/>
              </w:rPr>
            </w:pPr>
            <w:r w:rsidRPr="00223188">
              <w:rPr>
                <w:rFonts w:ascii="Arial" w:hAnsi="Arial" w:cs="Arial"/>
                <w:sz w:val="20"/>
                <w:szCs w:val="20"/>
                <w:lang w:val="en-US"/>
              </w:rPr>
              <w:t>Maintain dose level</w:t>
            </w:r>
          </w:p>
          <w:p w14:paraId="75353DD4" w14:textId="77777777" w:rsidR="00173E92" w:rsidRDefault="00173E92" w:rsidP="0008573D">
            <w:pPr>
              <w:pStyle w:val="tabletext"/>
              <w:keepNext/>
              <w:keepLines/>
              <w:spacing w:before="0" w:after="10"/>
              <w:rPr>
                <w:rFonts w:ascii="Arial" w:hAnsi="Arial" w:cs="Arial"/>
                <w:sz w:val="20"/>
                <w:szCs w:val="20"/>
                <w:lang w:val="en-US"/>
              </w:rPr>
            </w:pPr>
          </w:p>
          <w:p w14:paraId="1691F437" w14:textId="77777777" w:rsidR="00173E92" w:rsidRDefault="00173E92" w:rsidP="0008573D">
            <w:pPr>
              <w:pStyle w:val="tabletext"/>
              <w:keepNext/>
              <w:keepLines/>
              <w:spacing w:before="0" w:after="10"/>
              <w:rPr>
                <w:rFonts w:ascii="Arial" w:hAnsi="Arial" w:cs="Arial"/>
                <w:sz w:val="20"/>
                <w:szCs w:val="20"/>
                <w:lang w:val="en-US"/>
              </w:rPr>
            </w:pPr>
          </w:p>
          <w:p w14:paraId="7852A1BE" w14:textId="77777777" w:rsidR="00173E92" w:rsidRDefault="00173E92" w:rsidP="0008573D">
            <w:pPr>
              <w:pStyle w:val="tabletext"/>
              <w:keepNext/>
              <w:keepLines/>
              <w:spacing w:before="0" w:after="10"/>
              <w:rPr>
                <w:rFonts w:ascii="Arial" w:hAnsi="Arial" w:cs="Arial"/>
                <w:sz w:val="20"/>
                <w:szCs w:val="20"/>
                <w:lang w:val="en-US"/>
              </w:rPr>
            </w:pPr>
          </w:p>
          <w:p w14:paraId="1513E5F8" w14:textId="77777777" w:rsidR="00173E92" w:rsidRDefault="00173E92" w:rsidP="0008573D">
            <w:pPr>
              <w:pStyle w:val="tabletext"/>
              <w:keepNext/>
              <w:keepLines/>
              <w:spacing w:before="0" w:after="10"/>
              <w:rPr>
                <w:rFonts w:ascii="Arial" w:hAnsi="Arial" w:cs="Arial"/>
                <w:sz w:val="20"/>
                <w:szCs w:val="20"/>
                <w:lang w:val="en-US"/>
              </w:rPr>
            </w:pPr>
          </w:p>
          <w:p w14:paraId="376A1CF5" w14:textId="77777777" w:rsidR="00173E92" w:rsidRDefault="00277B5C" w:rsidP="0008573D">
            <w:pPr>
              <w:pStyle w:val="tabletext"/>
              <w:keepNext/>
              <w:keepLines/>
              <w:spacing w:before="0" w:after="10"/>
              <w:rPr>
                <w:rFonts w:ascii="Arial" w:hAnsi="Arial" w:cs="Arial"/>
                <w:sz w:val="20"/>
                <w:szCs w:val="20"/>
                <w:lang w:val="en-US"/>
              </w:rPr>
            </w:pPr>
            <w:r w:rsidRPr="00A40022">
              <w:rPr>
                <w:rFonts w:ascii="Arial" w:hAnsi="Arial" w:cs="Arial"/>
                <w:sz w:val="20"/>
                <w:szCs w:val="20"/>
                <w:lang w:val="en-US"/>
              </w:rPr>
              <w:t>Delay until recovery</w:t>
            </w:r>
          </w:p>
          <w:p w14:paraId="7CE5AFE0" w14:textId="77777777" w:rsidR="00173E92" w:rsidRPr="00223188" w:rsidRDefault="00173E92" w:rsidP="0008573D">
            <w:pPr>
              <w:pStyle w:val="tabletext"/>
              <w:keepNext/>
              <w:keepLines/>
              <w:spacing w:before="0" w:after="10"/>
              <w:rPr>
                <w:rFonts w:ascii="Arial" w:hAnsi="Arial" w:cs="Arial"/>
                <w:sz w:val="20"/>
                <w:szCs w:val="20"/>
                <w:lang w:val="en-US"/>
              </w:rPr>
            </w:pPr>
          </w:p>
        </w:tc>
      </w:tr>
      <w:tr w:rsidR="00B10B0C" w:rsidRPr="00223188" w14:paraId="41734219" w14:textId="77777777" w:rsidTr="002A016E">
        <w:trPr>
          <w:cantSplit/>
          <w:trHeight w:val="240"/>
          <w:tblHeader/>
        </w:trPr>
        <w:tc>
          <w:tcPr>
            <w:tcW w:w="7196" w:type="dxa"/>
            <w:tcBorders>
              <w:top w:val="single" w:sz="4" w:space="0" w:color="D9D9D9"/>
              <w:left w:val="single" w:sz="4" w:space="0" w:color="auto"/>
              <w:bottom w:val="single" w:sz="4" w:space="0" w:color="D9D9D9"/>
              <w:right w:val="single" w:sz="4" w:space="0" w:color="auto"/>
            </w:tcBorders>
          </w:tcPr>
          <w:p w14:paraId="1A33BB76" w14:textId="77777777" w:rsidR="00B10B0C" w:rsidRPr="00223188" w:rsidRDefault="00B10B0C" w:rsidP="00D65DE2">
            <w:pPr>
              <w:pStyle w:val="tabletext"/>
              <w:numPr>
                <w:ilvl w:val="0"/>
                <w:numId w:val="34"/>
              </w:numPr>
              <w:spacing w:before="20" w:after="10"/>
              <w:ind w:right="-113"/>
              <w:rPr>
                <w:rFonts w:ascii="Arial" w:hAnsi="Arial" w:cs="Arial"/>
                <w:sz w:val="20"/>
                <w:szCs w:val="20"/>
                <w:lang w:val="en-US"/>
              </w:rPr>
            </w:pPr>
            <w:r w:rsidRPr="00A40022">
              <w:rPr>
                <w:rFonts w:ascii="Arial" w:hAnsi="Arial" w:cs="Arial"/>
                <w:sz w:val="20"/>
                <w:szCs w:val="20"/>
                <w:lang w:val="en-US"/>
              </w:rPr>
              <w:t>ANC  &lt;0.5</w:t>
            </w:r>
            <w:r w:rsidR="002B111D">
              <w:rPr>
                <w:rFonts w:ascii="Arial" w:hAnsi="Arial" w:cs="Arial"/>
                <w:sz w:val="20"/>
                <w:szCs w:val="20"/>
                <w:lang w:val="en-US"/>
              </w:rPr>
              <w:t xml:space="preserve"> x</w:t>
            </w:r>
            <w:r w:rsidRPr="00A40022">
              <w:rPr>
                <w:rFonts w:ascii="Arial" w:hAnsi="Arial" w:cs="Arial"/>
                <w:sz w:val="20"/>
                <w:szCs w:val="20"/>
                <w:lang w:val="en-US"/>
              </w:rPr>
              <w:t xml:space="preserve"> 10</w:t>
            </w:r>
            <w:r w:rsidRPr="00431BBE">
              <w:rPr>
                <w:rFonts w:ascii="Arial" w:hAnsi="Arial" w:cs="Arial"/>
                <w:sz w:val="20"/>
                <w:szCs w:val="20"/>
                <w:vertAlign w:val="superscript"/>
                <w:lang w:val="en-US"/>
              </w:rPr>
              <w:t>9</w:t>
            </w:r>
            <w:r w:rsidRPr="00A40022">
              <w:rPr>
                <w:rFonts w:ascii="Arial" w:hAnsi="Arial" w:cs="Arial"/>
                <w:sz w:val="20"/>
                <w:szCs w:val="20"/>
                <w:lang w:val="en-US"/>
              </w:rPr>
              <w:t>/L</w:t>
            </w:r>
            <w:r w:rsidRPr="00223188">
              <w:rPr>
                <w:rFonts w:ascii="Arial" w:hAnsi="Arial" w:cs="Arial"/>
                <w:sz w:val="20"/>
                <w:szCs w:val="20"/>
                <w:lang w:val="en-US"/>
              </w:rPr>
              <w:t xml:space="preserve"> </w:t>
            </w:r>
          </w:p>
        </w:tc>
        <w:tc>
          <w:tcPr>
            <w:tcW w:w="7229" w:type="dxa"/>
            <w:tcBorders>
              <w:top w:val="single" w:sz="4" w:space="0" w:color="D9D9D9"/>
              <w:left w:val="single" w:sz="4" w:space="0" w:color="auto"/>
              <w:bottom w:val="single" w:sz="4" w:space="0" w:color="D9D9D9"/>
              <w:right w:val="single" w:sz="4" w:space="0" w:color="auto"/>
            </w:tcBorders>
          </w:tcPr>
          <w:p w14:paraId="4DAB589C" w14:textId="77777777" w:rsidR="00B10B0C" w:rsidRPr="00223188" w:rsidRDefault="00B10B0C" w:rsidP="00277B5C">
            <w:pPr>
              <w:pStyle w:val="tabletext"/>
              <w:keepNext/>
              <w:keepLines/>
              <w:spacing w:before="20" w:after="10"/>
              <w:rPr>
                <w:rFonts w:ascii="Arial" w:hAnsi="Arial" w:cs="Arial"/>
                <w:sz w:val="20"/>
                <w:szCs w:val="20"/>
                <w:lang w:val="en-US"/>
              </w:rPr>
            </w:pPr>
          </w:p>
        </w:tc>
      </w:tr>
      <w:tr w:rsidR="00173E92" w:rsidRPr="00223188" w14:paraId="10DDBA6A" w14:textId="77777777" w:rsidTr="002A016E">
        <w:trPr>
          <w:cantSplit/>
          <w:trHeight w:val="335"/>
          <w:tblHeader/>
        </w:trPr>
        <w:tc>
          <w:tcPr>
            <w:tcW w:w="7196" w:type="dxa"/>
            <w:tcBorders>
              <w:top w:val="single" w:sz="4" w:space="0" w:color="D9D9D9"/>
              <w:left w:val="single" w:sz="4" w:space="0" w:color="auto"/>
              <w:bottom w:val="single" w:sz="4" w:space="0" w:color="D9D9D9"/>
              <w:right w:val="single" w:sz="4" w:space="0" w:color="auto"/>
            </w:tcBorders>
          </w:tcPr>
          <w:p w14:paraId="7DBB825C" w14:textId="77777777" w:rsidR="00173E92" w:rsidRPr="00223188" w:rsidRDefault="00173E92" w:rsidP="00D65DE2">
            <w:pPr>
              <w:pStyle w:val="tabletext"/>
              <w:numPr>
                <w:ilvl w:val="0"/>
                <w:numId w:val="34"/>
              </w:numPr>
              <w:spacing w:before="20" w:after="10"/>
              <w:ind w:left="357" w:right="-113" w:hanging="357"/>
              <w:rPr>
                <w:rFonts w:ascii="Arial" w:hAnsi="Arial" w:cs="Arial"/>
                <w:sz w:val="20"/>
                <w:szCs w:val="20"/>
                <w:lang w:val="en-US"/>
              </w:rPr>
            </w:pPr>
            <w:r w:rsidRPr="00223188">
              <w:rPr>
                <w:rFonts w:ascii="Arial" w:hAnsi="Arial" w:cs="Arial"/>
                <w:sz w:val="20"/>
                <w:szCs w:val="20"/>
                <w:lang w:val="en-US"/>
              </w:rPr>
              <w:t xml:space="preserve">Febrile neutropenia </w:t>
            </w:r>
          </w:p>
        </w:tc>
        <w:tc>
          <w:tcPr>
            <w:tcW w:w="7229" w:type="dxa"/>
            <w:tcBorders>
              <w:top w:val="single" w:sz="4" w:space="0" w:color="D9D9D9"/>
              <w:left w:val="single" w:sz="4" w:space="0" w:color="auto"/>
              <w:bottom w:val="single" w:sz="4" w:space="0" w:color="D9D9D9"/>
              <w:right w:val="single" w:sz="4" w:space="0" w:color="auto"/>
            </w:tcBorders>
          </w:tcPr>
          <w:p w14:paraId="1D84F5FD" w14:textId="77777777" w:rsidR="00173E92" w:rsidRPr="00223188" w:rsidRDefault="00173E92" w:rsidP="0008573D">
            <w:pPr>
              <w:pStyle w:val="tabletext"/>
              <w:keepNext/>
              <w:keepLines/>
              <w:spacing w:before="20" w:after="10"/>
              <w:rPr>
                <w:rFonts w:ascii="Arial" w:hAnsi="Arial" w:cs="Arial"/>
                <w:sz w:val="20"/>
                <w:szCs w:val="20"/>
                <w:lang w:val="en-US"/>
              </w:rPr>
            </w:pPr>
          </w:p>
        </w:tc>
      </w:tr>
      <w:tr w:rsidR="003555F3" w:rsidRPr="00F04E02" w14:paraId="4F54D75E" w14:textId="77777777" w:rsidTr="00D57E9A">
        <w:trPr>
          <w:cantSplit/>
          <w:trHeight w:val="285"/>
          <w:tblHeader/>
        </w:trPr>
        <w:tc>
          <w:tcPr>
            <w:tcW w:w="7196" w:type="dxa"/>
            <w:tcBorders>
              <w:top w:val="single" w:sz="4" w:space="0" w:color="D9D9D9"/>
              <w:left w:val="single" w:sz="4" w:space="0" w:color="auto"/>
              <w:bottom w:val="single" w:sz="4" w:space="0" w:color="D9D9D9"/>
              <w:right w:val="single" w:sz="4" w:space="0" w:color="auto"/>
            </w:tcBorders>
          </w:tcPr>
          <w:p w14:paraId="25451D45" w14:textId="77777777" w:rsidR="003555F3" w:rsidRPr="00151686" w:rsidRDefault="003555F3" w:rsidP="00EB71D3">
            <w:pPr>
              <w:pStyle w:val="TOC1"/>
              <w:framePr w:hSpace="0" w:wrap="auto" w:vAnchor="margin" w:hAnchor="text" w:yAlign="inline"/>
            </w:pPr>
            <w:r w:rsidRPr="00151686">
              <w:t>Hepatic function (no hepatic metastasis)</w:t>
            </w:r>
          </w:p>
        </w:tc>
        <w:tc>
          <w:tcPr>
            <w:tcW w:w="7229" w:type="dxa"/>
            <w:tcBorders>
              <w:top w:val="single" w:sz="4" w:space="0" w:color="D9D9D9"/>
              <w:left w:val="single" w:sz="4" w:space="0" w:color="auto"/>
              <w:bottom w:val="single" w:sz="4" w:space="0" w:color="D9D9D9"/>
              <w:right w:val="single" w:sz="4" w:space="0" w:color="auto"/>
            </w:tcBorders>
          </w:tcPr>
          <w:p w14:paraId="6780B2B6" w14:textId="77777777" w:rsidR="003555F3" w:rsidRPr="00151686" w:rsidRDefault="003555F3" w:rsidP="00EB71D3">
            <w:pPr>
              <w:pStyle w:val="TOC1"/>
              <w:framePr w:hSpace="0" w:wrap="auto" w:vAnchor="margin" w:hAnchor="text" w:yAlign="inline"/>
            </w:pPr>
          </w:p>
        </w:tc>
      </w:tr>
      <w:tr w:rsidR="003555F3" w:rsidRPr="00223188" w14:paraId="5FE7A9AE" w14:textId="77777777" w:rsidTr="00D57E9A">
        <w:trPr>
          <w:cantSplit/>
          <w:tblHeader/>
        </w:trPr>
        <w:tc>
          <w:tcPr>
            <w:tcW w:w="7196" w:type="dxa"/>
            <w:tcBorders>
              <w:top w:val="single" w:sz="4" w:space="0" w:color="D9D9D9"/>
              <w:left w:val="single" w:sz="4" w:space="0" w:color="auto"/>
              <w:bottom w:val="single" w:sz="4" w:space="0" w:color="D9D9D9"/>
              <w:right w:val="single" w:sz="4" w:space="0" w:color="auto"/>
            </w:tcBorders>
          </w:tcPr>
          <w:p w14:paraId="04D71688" w14:textId="77777777" w:rsidR="003555F3" w:rsidRPr="00223188" w:rsidRDefault="003555F3" w:rsidP="00D65DE2">
            <w:pPr>
              <w:pStyle w:val="tabletext"/>
              <w:numPr>
                <w:ilvl w:val="0"/>
                <w:numId w:val="34"/>
              </w:numPr>
              <w:spacing w:beforeLines="20" w:before="48" w:after="10"/>
              <w:ind w:left="357" w:right="-113" w:hanging="357"/>
              <w:rPr>
                <w:rFonts w:ascii="Arial" w:hAnsi="Arial" w:cs="Arial"/>
                <w:sz w:val="20"/>
                <w:szCs w:val="20"/>
                <w:lang w:val="en-US"/>
              </w:rPr>
            </w:pPr>
            <w:r w:rsidRPr="007B5DF4">
              <w:rPr>
                <w:rFonts w:ascii="Arial" w:hAnsi="Arial" w:cs="Arial"/>
                <w:sz w:val="20"/>
                <w:szCs w:val="20"/>
                <w:lang w:val="en-US"/>
              </w:rPr>
              <w:t>ALT or AST &gt;</w:t>
            </w:r>
            <w:bookmarkStart w:id="396" w:name="OLE_LINK5"/>
            <w:r w:rsidRPr="007B5DF4">
              <w:rPr>
                <w:rFonts w:ascii="Arial" w:hAnsi="Arial" w:cs="Arial"/>
                <w:sz w:val="20"/>
                <w:szCs w:val="20"/>
                <w:lang w:val="en-US"/>
              </w:rPr>
              <w:t xml:space="preserve">3 × ULN </w:t>
            </w:r>
            <w:bookmarkEnd w:id="396"/>
            <w:r w:rsidRPr="007B5DF4">
              <w:rPr>
                <w:rFonts w:ascii="Arial" w:hAnsi="Arial" w:cs="Arial"/>
                <w:sz w:val="20"/>
                <w:szCs w:val="20"/>
                <w:lang w:val="en-US"/>
              </w:rPr>
              <w:t xml:space="preserve">but ≤5 × ULN and total bilirubin </w:t>
            </w:r>
            <w:r w:rsidRPr="007B5DF4">
              <w:rPr>
                <w:rFonts w:ascii="Arial" w:hAnsi="Arial" w:cs="Arial"/>
                <w:sz w:val="20"/>
                <w:szCs w:val="20"/>
                <w:lang w:val="en-US"/>
              </w:rPr>
              <w:sym w:font="Symbol" w:char="F0A3"/>
            </w:r>
            <w:r w:rsidRPr="007B5DF4">
              <w:rPr>
                <w:rFonts w:ascii="Arial" w:hAnsi="Arial" w:cs="Arial"/>
                <w:sz w:val="20"/>
                <w:szCs w:val="20"/>
                <w:lang w:val="en-US"/>
              </w:rPr>
              <w:t>2 × ULN</w:t>
            </w:r>
          </w:p>
        </w:tc>
        <w:tc>
          <w:tcPr>
            <w:tcW w:w="7229" w:type="dxa"/>
            <w:tcBorders>
              <w:top w:val="single" w:sz="4" w:space="0" w:color="D9D9D9"/>
              <w:left w:val="single" w:sz="4" w:space="0" w:color="auto"/>
              <w:bottom w:val="single" w:sz="4" w:space="0" w:color="D9D9D9"/>
              <w:right w:val="single" w:sz="4" w:space="0" w:color="auto"/>
            </w:tcBorders>
          </w:tcPr>
          <w:p w14:paraId="4A8809AA"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Reduce dose to 80%</w:t>
            </w:r>
          </w:p>
        </w:tc>
      </w:tr>
      <w:tr w:rsidR="00173E92" w:rsidRPr="00223188" w14:paraId="06FD2CD3" w14:textId="77777777" w:rsidTr="002A016E">
        <w:trPr>
          <w:cantSplit/>
          <w:trHeight w:val="318"/>
          <w:tblHeader/>
        </w:trPr>
        <w:tc>
          <w:tcPr>
            <w:tcW w:w="7196" w:type="dxa"/>
            <w:tcBorders>
              <w:top w:val="single" w:sz="4" w:space="0" w:color="D9D9D9"/>
              <w:left w:val="single" w:sz="4" w:space="0" w:color="auto"/>
              <w:bottom w:val="single" w:sz="4" w:space="0" w:color="D9D9D9"/>
              <w:right w:val="single" w:sz="4" w:space="0" w:color="auto"/>
            </w:tcBorders>
          </w:tcPr>
          <w:p w14:paraId="556559C4" w14:textId="77777777" w:rsidR="00173E92" w:rsidRPr="00223188" w:rsidRDefault="00173E92" w:rsidP="00D65DE2">
            <w:pPr>
              <w:pStyle w:val="tabletext"/>
              <w:numPr>
                <w:ilvl w:val="0"/>
                <w:numId w:val="34"/>
              </w:numPr>
              <w:spacing w:beforeLines="20" w:before="48" w:after="10"/>
              <w:ind w:right="-113"/>
              <w:rPr>
                <w:rFonts w:ascii="Arial" w:hAnsi="Arial" w:cs="Arial"/>
                <w:sz w:val="20"/>
                <w:szCs w:val="20"/>
                <w:lang w:val="en-US"/>
              </w:rPr>
            </w:pPr>
            <w:r w:rsidRPr="007B5DF4">
              <w:rPr>
                <w:rFonts w:ascii="Arial" w:hAnsi="Arial" w:cs="Arial"/>
                <w:sz w:val="20"/>
                <w:szCs w:val="20"/>
                <w:lang w:val="en-US"/>
              </w:rPr>
              <w:t>ALT</w:t>
            </w:r>
            <w:r w:rsidRPr="00223188">
              <w:rPr>
                <w:rFonts w:ascii="Arial" w:hAnsi="Arial" w:cs="Arial"/>
                <w:sz w:val="20"/>
                <w:szCs w:val="20"/>
                <w:lang w:val="en-US"/>
              </w:rPr>
              <w:t xml:space="preserve"> or AST &gt;5.0 - 20.0 x ULN and </w:t>
            </w:r>
            <w:r w:rsidRPr="007B5DF4">
              <w:rPr>
                <w:rFonts w:ascii="Arial" w:hAnsi="Arial" w:cs="Arial"/>
                <w:sz w:val="20"/>
                <w:szCs w:val="20"/>
                <w:lang w:val="en-US"/>
              </w:rPr>
              <w:t xml:space="preserve">total bilirubin </w:t>
            </w:r>
            <w:r w:rsidRPr="007B5DF4">
              <w:rPr>
                <w:rFonts w:ascii="Arial" w:hAnsi="Arial" w:cs="Arial"/>
                <w:sz w:val="20"/>
                <w:szCs w:val="20"/>
                <w:lang w:val="en-US"/>
              </w:rPr>
              <w:sym w:font="Symbol" w:char="F0A3"/>
            </w:r>
            <w:r w:rsidRPr="007B5DF4">
              <w:rPr>
                <w:rFonts w:ascii="Arial" w:hAnsi="Arial" w:cs="Arial"/>
                <w:sz w:val="20"/>
                <w:szCs w:val="20"/>
                <w:lang w:val="en-US"/>
              </w:rPr>
              <w:t>2 × ULN</w:t>
            </w:r>
          </w:p>
        </w:tc>
        <w:tc>
          <w:tcPr>
            <w:tcW w:w="7229" w:type="dxa"/>
            <w:tcBorders>
              <w:top w:val="single" w:sz="4" w:space="0" w:color="D9D9D9"/>
              <w:left w:val="single" w:sz="4" w:space="0" w:color="auto"/>
              <w:bottom w:val="single" w:sz="4" w:space="0" w:color="D9D9D9"/>
              <w:right w:val="single" w:sz="4" w:space="0" w:color="auto"/>
            </w:tcBorders>
          </w:tcPr>
          <w:p w14:paraId="2C31A113" w14:textId="77777777" w:rsidR="00173E92" w:rsidRPr="0008573D" w:rsidRDefault="00173E92"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 xml:space="preserve">Reduce to 80% and delay until recovery to at least ≤3 × ULN </w:t>
            </w:r>
          </w:p>
        </w:tc>
      </w:tr>
      <w:tr w:rsidR="00D307C1" w:rsidRPr="00223188" w14:paraId="07656268" w14:textId="77777777" w:rsidTr="002A016E">
        <w:trPr>
          <w:cantSplit/>
          <w:trHeight w:val="303"/>
          <w:tblHeader/>
        </w:trPr>
        <w:tc>
          <w:tcPr>
            <w:tcW w:w="7196" w:type="dxa"/>
            <w:tcBorders>
              <w:top w:val="single" w:sz="4" w:space="0" w:color="D9D9D9"/>
              <w:left w:val="single" w:sz="4" w:space="0" w:color="auto"/>
              <w:right w:val="single" w:sz="4" w:space="0" w:color="auto"/>
            </w:tcBorders>
          </w:tcPr>
          <w:p w14:paraId="39AD42BD" w14:textId="77777777" w:rsidR="00D307C1" w:rsidRPr="007B5DF4" w:rsidRDefault="00D307C1" w:rsidP="00D65DE2">
            <w:pPr>
              <w:pStyle w:val="tabletext"/>
              <w:numPr>
                <w:ilvl w:val="0"/>
                <w:numId w:val="34"/>
              </w:numPr>
              <w:spacing w:beforeLines="20" w:before="48" w:after="10"/>
              <w:ind w:right="-113"/>
              <w:rPr>
                <w:rFonts w:ascii="Arial" w:hAnsi="Arial" w:cs="Arial"/>
                <w:sz w:val="20"/>
                <w:szCs w:val="20"/>
                <w:lang w:val="en-US"/>
              </w:rPr>
            </w:pPr>
            <w:r w:rsidRPr="00222AFE">
              <w:rPr>
                <w:rFonts w:ascii="Arial" w:hAnsi="Arial" w:cs="Arial"/>
                <w:sz w:val="20"/>
                <w:szCs w:val="20"/>
                <w:lang w:val="en-US"/>
              </w:rPr>
              <w:t>ALT  or AST &gt;3 × ULN and total bilirubin &gt;2.0 × ULN</w:t>
            </w:r>
          </w:p>
        </w:tc>
        <w:tc>
          <w:tcPr>
            <w:tcW w:w="7229" w:type="dxa"/>
            <w:tcBorders>
              <w:top w:val="single" w:sz="4" w:space="0" w:color="D9D9D9"/>
              <w:left w:val="single" w:sz="4" w:space="0" w:color="auto"/>
              <w:right w:val="single" w:sz="4" w:space="0" w:color="auto"/>
            </w:tcBorders>
          </w:tcPr>
          <w:p w14:paraId="46E62D51" w14:textId="77777777" w:rsidR="00D307C1" w:rsidRPr="0008573D" w:rsidRDefault="00D307C1"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Discontinue</w:t>
            </w:r>
          </w:p>
        </w:tc>
      </w:tr>
      <w:tr w:rsidR="003555F3" w:rsidRPr="00223188" w14:paraId="06E3CBC8" w14:textId="77777777" w:rsidTr="00D57E9A">
        <w:trPr>
          <w:cantSplit/>
          <w:tblHeader/>
        </w:trPr>
        <w:tc>
          <w:tcPr>
            <w:tcW w:w="7196" w:type="dxa"/>
            <w:tcBorders>
              <w:top w:val="single" w:sz="4" w:space="0" w:color="D9D9D9"/>
              <w:left w:val="single" w:sz="4" w:space="0" w:color="auto"/>
              <w:bottom w:val="single" w:sz="4" w:space="0" w:color="D9D9D9"/>
              <w:right w:val="single" w:sz="4" w:space="0" w:color="auto"/>
            </w:tcBorders>
          </w:tcPr>
          <w:p w14:paraId="577CEB6C" w14:textId="77777777" w:rsidR="003555F3" w:rsidRPr="00151686" w:rsidRDefault="003555F3" w:rsidP="00C874F5">
            <w:pPr>
              <w:pStyle w:val="TOC1"/>
              <w:framePr w:hSpace="0" w:wrap="auto" w:vAnchor="margin" w:hAnchor="text" w:yAlign="inline"/>
            </w:pPr>
            <w:r w:rsidRPr="00151686">
              <w:t>Hepatic function (with hepatic metastasis)</w:t>
            </w:r>
          </w:p>
        </w:tc>
        <w:tc>
          <w:tcPr>
            <w:tcW w:w="7229" w:type="dxa"/>
            <w:tcBorders>
              <w:top w:val="single" w:sz="4" w:space="0" w:color="D9D9D9"/>
              <w:left w:val="single" w:sz="4" w:space="0" w:color="auto"/>
              <w:bottom w:val="single" w:sz="4" w:space="0" w:color="D9D9D9"/>
              <w:right w:val="single" w:sz="4" w:space="0" w:color="auto"/>
            </w:tcBorders>
          </w:tcPr>
          <w:p w14:paraId="6E607E8D"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p>
        </w:tc>
      </w:tr>
      <w:tr w:rsidR="003555F3" w:rsidRPr="00223188" w14:paraId="7BD221D6" w14:textId="77777777" w:rsidTr="00D57E9A">
        <w:trPr>
          <w:cantSplit/>
          <w:tblHeader/>
        </w:trPr>
        <w:tc>
          <w:tcPr>
            <w:tcW w:w="7196" w:type="dxa"/>
            <w:tcBorders>
              <w:top w:val="single" w:sz="4" w:space="0" w:color="D9D9D9"/>
              <w:left w:val="single" w:sz="4" w:space="0" w:color="auto"/>
              <w:bottom w:val="single" w:sz="4" w:space="0" w:color="D9D9D9"/>
              <w:right w:val="single" w:sz="4" w:space="0" w:color="auto"/>
            </w:tcBorders>
          </w:tcPr>
          <w:p w14:paraId="6C0D6223" w14:textId="77777777" w:rsidR="003555F3" w:rsidRPr="00223188" w:rsidRDefault="003555F3" w:rsidP="00D65DE2">
            <w:pPr>
              <w:pStyle w:val="tabletext"/>
              <w:numPr>
                <w:ilvl w:val="0"/>
                <w:numId w:val="34"/>
              </w:numPr>
              <w:spacing w:beforeLines="20" w:before="48" w:after="10"/>
              <w:ind w:right="-113"/>
              <w:rPr>
                <w:rFonts w:ascii="Arial" w:hAnsi="Arial" w:cs="Arial"/>
                <w:sz w:val="20"/>
                <w:szCs w:val="20"/>
                <w:lang w:val="en-US"/>
              </w:rPr>
            </w:pPr>
            <w:r w:rsidRPr="00223188">
              <w:rPr>
                <w:rFonts w:ascii="Arial" w:hAnsi="Arial" w:cs="Arial"/>
                <w:sz w:val="20"/>
                <w:szCs w:val="20"/>
                <w:lang w:val="en-US"/>
              </w:rPr>
              <w:t xml:space="preserve">ALT or AST &gt;5 × ULN but </w:t>
            </w:r>
            <w:r>
              <w:rPr>
                <w:rFonts w:ascii="Arial" w:hAnsi="Arial" w:cs="Arial"/>
                <w:sz w:val="20"/>
                <w:szCs w:val="20"/>
                <w:lang w:val="en-US"/>
              </w:rPr>
              <w:t>≤</w:t>
            </w:r>
            <w:r w:rsidRPr="00223188">
              <w:rPr>
                <w:rFonts w:ascii="Arial" w:hAnsi="Arial" w:cs="Arial"/>
                <w:sz w:val="20"/>
                <w:szCs w:val="20"/>
                <w:lang w:val="en-US"/>
              </w:rPr>
              <w:t xml:space="preserve">8 × ULN and total bilirubin </w:t>
            </w:r>
            <w:r w:rsidRPr="00223188">
              <w:rPr>
                <w:rFonts w:ascii="Arial" w:hAnsi="Arial" w:cs="Arial"/>
                <w:sz w:val="20"/>
                <w:szCs w:val="20"/>
                <w:lang w:val="en-US"/>
              </w:rPr>
              <w:sym w:font="Symbol" w:char="F0A3"/>
            </w:r>
            <w:r w:rsidRPr="00223188">
              <w:rPr>
                <w:rFonts w:ascii="Arial" w:hAnsi="Arial" w:cs="Arial"/>
                <w:sz w:val="20"/>
                <w:szCs w:val="20"/>
                <w:lang w:val="en-US"/>
              </w:rPr>
              <w:t>2 × ULN</w:t>
            </w:r>
          </w:p>
        </w:tc>
        <w:tc>
          <w:tcPr>
            <w:tcW w:w="7229" w:type="dxa"/>
            <w:tcBorders>
              <w:top w:val="single" w:sz="4" w:space="0" w:color="D9D9D9"/>
              <w:left w:val="single" w:sz="4" w:space="0" w:color="auto"/>
              <w:bottom w:val="single" w:sz="4" w:space="0" w:color="D9D9D9"/>
              <w:right w:val="single" w:sz="4" w:space="0" w:color="auto"/>
            </w:tcBorders>
          </w:tcPr>
          <w:p w14:paraId="587AD88B"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Reduce dose to 80%</w:t>
            </w:r>
          </w:p>
        </w:tc>
      </w:tr>
      <w:tr w:rsidR="003555F3" w:rsidRPr="00223188" w14:paraId="4A401EDB" w14:textId="77777777" w:rsidTr="00D57E9A">
        <w:trPr>
          <w:cantSplit/>
          <w:tblHeader/>
        </w:trPr>
        <w:tc>
          <w:tcPr>
            <w:tcW w:w="7196" w:type="dxa"/>
            <w:tcBorders>
              <w:top w:val="single" w:sz="4" w:space="0" w:color="D9D9D9"/>
              <w:left w:val="single" w:sz="4" w:space="0" w:color="auto"/>
              <w:bottom w:val="single" w:sz="4" w:space="0" w:color="D9D9D9"/>
              <w:right w:val="single" w:sz="4" w:space="0" w:color="auto"/>
            </w:tcBorders>
          </w:tcPr>
          <w:p w14:paraId="47690AAC" w14:textId="77777777" w:rsidR="003555F3" w:rsidRPr="00223188" w:rsidRDefault="003555F3" w:rsidP="00D65DE2">
            <w:pPr>
              <w:pStyle w:val="tabletext"/>
              <w:numPr>
                <w:ilvl w:val="0"/>
                <w:numId w:val="34"/>
              </w:numPr>
              <w:spacing w:beforeLines="20" w:before="48" w:after="10"/>
              <w:ind w:left="357" w:right="-113" w:hanging="357"/>
              <w:rPr>
                <w:rFonts w:ascii="Arial" w:hAnsi="Arial" w:cs="Arial"/>
                <w:sz w:val="20"/>
                <w:szCs w:val="20"/>
                <w:lang w:val="en-US"/>
              </w:rPr>
            </w:pPr>
            <w:r w:rsidRPr="00223188">
              <w:rPr>
                <w:rFonts w:ascii="Arial" w:hAnsi="Arial" w:cs="Arial"/>
                <w:sz w:val="20"/>
                <w:szCs w:val="20"/>
                <w:lang w:val="en-US"/>
              </w:rPr>
              <w:t xml:space="preserve">ALT or AST &gt;8.0 - 20.0 x ULN and total bilirubin </w:t>
            </w:r>
            <w:r w:rsidRPr="00223188">
              <w:rPr>
                <w:rFonts w:ascii="Arial" w:hAnsi="Arial" w:cs="Arial"/>
                <w:sz w:val="20"/>
                <w:szCs w:val="20"/>
                <w:lang w:val="en-US"/>
              </w:rPr>
              <w:sym w:font="Symbol" w:char="F0A3"/>
            </w:r>
            <w:r w:rsidRPr="00223188">
              <w:rPr>
                <w:rFonts w:ascii="Arial" w:hAnsi="Arial" w:cs="Arial"/>
                <w:sz w:val="20"/>
                <w:szCs w:val="20"/>
                <w:lang w:val="en-US"/>
              </w:rPr>
              <w:t>2 × ULN</w:t>
            </w:r>
          </w:p>
        </w:tc>
        <w:tc>
          <w:tcPr>
            <w:tcW w:w="7229" w:type="dxa"/>
            <w:tcBorders>
              <w:top w:val="single" w:sz="4" w:space="0" w:color="D9D9D9"/>
              <w:left w:val="single" w:sz="4" w:space="0" w:color="auto"/>
              <w:bottom w:val="single" w:sz="4" w:space="0" w:color="D9D9D9"/>
              <w:right w:val="single" w:sz="4" w:space="0" w:color="auto"/>
            </w:tcBorders>
          </w:tcPr>
          <w:p w14:paraId="23CB531C"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Reduce to 80% and delay until recovery to at least ALT or AST &lt;5 × ULN *</w:t>
            </w:r>
          </w:p>
        </w:tc>
      </w:tr>
      <w:tr w:rsidR="003555F3" w:rsidRPr="00223188" w14:paraId="29914C1E" w14:textId="77777777" w:rsidTr="00D57E9A">
        <w:trPr>
          <w:cantSplit/>
          <w:tblHeader/>
        </w:trPr>
        <w:tc>
          <w:tcPr>
            <w:tcW w:w="7196" w:type="dxa"/>
            <w:tcBorders>
              <w:top w:val="single" w:sz="4" w:space="0" w:color="D9D9D9"/>
              <w:left w:val="single" w:sz="4" w:space="0" w:color="auto"/>
              <w:bottom w:val="single" w:sz="4" w:space="0" w:color="D9D9D9"/>
              <w:right w:val="single" w:sz="4" w:space="0" w:color="auto"/>
            </w:tcBorders>
          </w:tcPr>
          <w:p w14:paraId="18EC8E8E" w14:textId="77777777" w:rsidR="003555F3" w:rsidRPr="00223188" w:rsidRDefault="003555F3" w:rsidP="00D65DE2">
            <w:pPr>
              <w:pStyle w:val="tabletext"/>
              <w:numPr>
                <w:ilvl w:val="0"/>
                <w:numId w:val="34"/>
              </w:numPr>
              <w:spacing w:beforeLines="20" w:before="48" w:after="10"/>
              <w:ind w:left="357" w:right="-113" w:hanging="357"/>
              <w:rPr>
                <w:rFonts w:ascii="Arial" w:hAnsi="Arial" w:cs="Arial"/>
                <w:sz w:val="20"/>
                <w:szCs w:val="20"/>
                <w:lang w:val="en-US"/>
              </w:rPr>
            </w:pPr>
            <w:r w:rsidRPr="00223188">
              <w:rPr>
                <w:rFonts w:ascii="Arial" w:hAnsi="Arial" w:cs="Arial"/>
                <w:sz w:val="20"/>
                <w:szCs w:val="20"/>
                <w:lang w:val="en-US"/>
              </w:rPr>
              <w:t>ALT  or AST &gt;5 × ULN and total bilirubin &gt;2.0 × ULN</w:t>
            </w:r>
          </w:p>
        </w:tc>
        <w:tc>
          <w:tcPr>
            <w:tcW w:w="7229" w:type="dxa"/>
            <w:tcBorders>
              <w:top w:val="single" w:sz="4" w:space="0" w:color="D9D9D9"/>
              <w:left w:val="single" w:sz="4" w:space="0" w:color="auto"/>
              <w:bottom w:val="single" w:sz="4" w:space="0" w:color="D9D9D9"/>
              <w:right w:val="single" w:sz="4" w:space="0" w:color="auto"/>
            </w:tcBorders>
          </w:tcPr>
          <w:p w14:paraId="46258CA4"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Discontinue</w:t>
            </w:r>
          </w:p>
        </w:tc>
      </w:tr>
      <w:tr w:rsidR="003555F3" w:rsidRPr="00223188" w14:paraId="254B89FE" w14:textId="77777777" w:rsidTr="00D57E9A">
        <w:trPr>
          <w:cantSplit/>
          <w:trHeight w:hRule="exact" w:val="340"/>
          <w:tblHeader/>
        </w:trPr>
        <w:tc>
          <w:tcPr>
            <w:tcW w:w="7196" w:type="dxa"/>
            <w:tcBorders>
              <w:top w:val="single" w:sz="4" w:space="0" w:color="D9D9D9"/>
              <w:left w:val="single" w:sz="4" w:space="0" w:color="auto"/>
              <w:bottom w:val="single" w:sz="4" w:space="0" w:color="D9D9D9"/>
              <w:right w:val="single" w:sz="4" w:space="0" w:color="auto"/>
            </w:tcBorders>
            <w:shd w:val="clear" w:color="auto" w:fill="F2F2F2"/>
            <w:vAlign w:val="center"/>
          </w:tcPr>
          <w:p w14:paraId="4621DAE3" w14:textId="77777777" w:rsidR="003555F3" w:rsidRPr="00151686" w:rsidRDefault="003555F3" w:rsidP="00EB71D3">
            <w:pPr>
              <w:pStyle w:val="TOC1"/>
              <w:framePr w:hSpace="0" w:wrap="auto" w:vAnchor="margin" w:hAnchor="text" w:yAlign="inline"/>
            </w:pPr>
            <w:r w:rsidRPr="00151686">
              <w:t>Clinical Chemistry[1]:</w:t>
            </w:r>
          </w:p>
        </w:tc>
        <w:tc>
          <w:tcPr>
            <w:tcW w:w="7229" w:type="dxa"/>
            <w:tcBorders>
              <w:top w:val="single" w:sz="4" w:space="0" w:color="D9D9D9"/>
              <w:left w:val="single" w:sz="4" w:space="0" w:color="auto"/>
              <w:bottom w:val="single" w:sz="4" w:space="0" w:color="D9D9D9"/>
              <w:right w:val="single" w:sz="4" w:space="0" w:color="auto"/>
            </w:tcBorders>
            <w:shd w:val="clear" w:color="auto" w:fill="F2F2F2"/>
          </w:tcPr>
          <w:p w14:paraId="1BD714F4"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p>
        </w:tc>
      </w:tr>
      <w:tr w:rsidR="003555F3" w:rsidRPr="00223188" w14:paraId="7E2C2940" w14:textId="77777777" w:rsidTr="00D57E9A">
        <w:trPr>
          <w:cantSplit/>
          <w:tblHeader/>
        </w:trPr>
        <w:tc>
          <w:tcPr>
            <w:tcW w:w="7196" w:type="dxa"/>
            <w:tcBorders>
              <w:top w:val="single" w:sz="4" w:space="0" w:color="D9D9D9"/>
              <w:left w:val="single" w:sz="4" w:space="0" w:color="auto"/>
              <w:bottom w:val="single" w:sz="4" w:space="0" w:color="D9D9D9"/>
              <w:right w:val="single" w:sz="4" w:space="0" w:color="auto"/>
            </w:tcBorders>
          </w:tcPr>
          <w:p w14:paraId="5DF99556" w14:textId="77777777" w:rsidR="003555F3" w:rsidRPr="007B5DF4" w:rsidRDefault="003555F3" w:rsidP="00D65DE2">
            <w:pPr>
              <w:pStyle w:val="tabletext"/>
              <w:numPr>
                <w:ilvl w:val="0"/>
                <w:numId w:val="34"/>
              </w:numPr>
              <w:spacing w:before="20" w:after="10"/>
              <w:ind w:right="-113"/>
              <w:rPr>
                <w:rFonts w:ascii="Arial" w:hAnsi="Arial" w:cs="Arial"/>
                <w:sz w:val="20"/>
                <w:szCs w:val="20"/>
                <w:lang w:val="en-US"/>
              </w:rPr>
            </w:pPr>
            <w:r w:rsidRPr="007B5DF4">
              <w:rPr>
                <w:rFonts w:ascii="Arial" w:hAnsi="Arial" w:cs="Arial"/>
                <w:sz w:val="20"/>
                <w:szCs w:val="20"/>
                <w:lang w:val="en-US"/>
              </w:rPr>
              <w:t>Any Grade 1 or 2 toxicity</w:t>
            </w:r>
          </w:p>
        </w:tc>
        <w:tc>
          <w:tcPr>
            <w:tcW w:w="7229" w:type="dxa"/>
            <w:tcBorders>
              <w:top w:val="single" w:sz="4" w:space="0" w:color="D9D9D9"/>
              <w:left w:val="single" w:sz="4" w:space="0" w:color="auto"/>
              <w:bottom w:val="single" w:sz="4" w:space="0" w:color="D9D9D9"/>
              <w:right w:val="single" w:sz="4" w:space="0" w:color="auto"/>
            </w:tcBorders>
          </w:tcPr>
          <w:p w14:paraId="4AE2E9B2"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Maintain dose level</w:t>
            </w:r>
          </w:p>
        </w:tc>
      </w:tr>
      <w:tr w:rsidR="003555F3" w:rsidRPr="00223188" w14:paraId="5368771C" w14:textId="77777777" w:rsidTr="00D57E9A">
        <w:trPr>
          <w:cantSplit/>
          <w:tblHeader/>
        </w:trPr>
        <w:tc>
          <w:tcPr>
            <w:tcW w:w="7196" w:type="dxa"/>
            <w:tcBorders>
              <w:top w:val="single" w:sz="4" w:space="0" w:color="D9D9D9"/>
              <w:left w:val="single" w:sz="4" w:space="0" w:color="auto"/>
              <w:bottom w:val="single" w:sz="4" w:space="0" w:color="D9D9D9"/>
              <w:right w:val="single" w:sz="4" w:space="0" w:color="auto"/>
            </w:tcBorders>
          </w:tcPr>
          <w:p w14:paraId="7F378969" w14:textId="77777777" w:rsidR="003555F3" w:rsidRPr="007B5DF4" w:rsidRDefault="003555F3" w:rsidP="00D65DE2">
            <w:pPr>
              <w:pStyle w:val="tabletext"/>
              <w:numPr>
                <w:ilvl w:val="0"/>
                <w:numId w:val="34"/>
              </w:numPr>
              <w:spacing w:before="20" w:after="10"/>
              <w:ind w:right="-113"/>
              <w:rPr>
                <w:rFonts w:ascii="Arial" w:hAnsi="Arial" w:cs="Arial"/>
                <w:sz w:val="20"/>
                <w:szCs w:val="20"/>
                <w:lang w:val="en-US"/>
              </w:rPr>
            </w:pPr>
            <w:r w:rsidRPr="007B5DF4">
              <w:rPr>
                <w:rFonts w:ascii="Arial" w:hAnsi="Arial" w:cs="Arial"/>
                <w:sz w:val="20"/>
                <w:szCs w:val="20"/>
                <w:lang w:val="en-US"/>
              </w:rPr>
              <w:t xml:space="preserve">Any Grade 3 or 4 toxicity – not clinically significant </w:t>
            </w:r>
          </w:p>
        </w:tc>
        <w:tc>
          <w:tcPr>
            <w:tcW w:w="7229" w:type="dxa"/>
            <w:tcBorders>
              <w:top w:val="single" w:sz="4" w:space="0" w:color="D9D9D9"/>
              <w:left w:val="single" w:sz="4" w:space="0" w:color="auto"/>
              <w:bottom w:val="single" w:sz="4" w:space="0" w:color="D9D9D9"/>
              <w:right w:val="single" w:sz="4" w:space="0" w:color="auto"/>
            </w:tcBorders>
          </w:tcPr>
          <w:p w14:paraId="109F8971"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Maintain dose level</w:t>
            </w:r>
          </w:p>
        </w:tc>
      </w:tr>
      <w:tr w:rsidR="003555F3" w:rsidRPr="00223188" w14:paraId="5E5EE369" w14:textId="77777777" w:rsidTr="00D57E9A">
        <w:trPr>
          <w:cantSplit/>
          <w:tblHeader/>
        </w:trPr>
        <w:tc>
          <w:tcPr>
            <w:tcW w:w="7196" w:type="dxa"/>
            <w:tcBorders>
              <w:top w:val="single" w:sz="4" w:space="0" w:color="D9D9D9"/>
              <w:left w:val="single" w:sz="4" w:space="0" w:color="auto"/>
              <w:bottom w:val="single" w:sz="4" w:space="0" w:color="D9D9D9"/>
              <w:right w:val="single" w:sz="4" w:space="0" w:color="auto"/>
            </w:tcBorders>
          </w:tcPr>
          <w:p w14:paraId="69AE5CD0" w14:textId="77777777" w:rsidR="003555F3" w:rsidRPr="007B5DF4" w:rsidRDefault="003555F3" w:rsidP="00D65DE2">
            <w:pPr>
              <w:pStyle w:val="tabletext"/>
              <w:numPr>
                <w:ilvl w:val="0"/>
                <w:numId w:val="34"/>
              </w:numPr>
              <w:spacing w:before="20" w:after="10"/>
              <w:ind w:right="-113"/>
              <w:rPr>
                <w:rFonts w:ascii="Arial" w:hAnsi="Arial" w:cs="Arial"/>
                <w:sz w:val="20"/>
                <w:szCs w:val="20"/>
                <w:lang w:val="en-US"/>
              </w:rPr>
            </w:pPr>
            <w:r w:rsidRPr="007B5DF4">
              <w:rPr>
                <w:rFonts w:ascii="Arial" w:hAnsi="Arial" w:cs="Arial"/>
                <w:sz w:val="20"/>
                <w:szCs w:val="20"/>
                <w:lang w:val="en-US"/>
              </w:rPr>
              <w:t>Any Grade 3 or 4 toxicity – clinically significant</w:t>
            </w:r>
          </w:p>
        </w:tc>
        <w:tc>
          <w:tcPr>
            <w:tcW w:w="7229" w:type="dxa"/>
            <w:tcBorders>
              <w:top w:val="single" w:sz="4" w:space="0" w:color="D9D9D9"/>
              <w:left w:val="single" w:sz="4" w:space="0" w:color="auto"/>
              <w:bottom w:val="single" w:sz="4" w:space="0" w:color="D9D9D9"/>
              <w:right w:val="single" w:sz="4" w:space="0" w:color="auto"/>
            </w:tcBorders>
          </w:tcPr>
          <w:p w14:paraId="612B8A20"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Delay until recovery*</w:t>
            </w:r>
          </w:p>
        </w:tc>
      </w:tr>
      <w:tr w:rsidR="003555F3" w:rsidRPr="00223188" w14:paraId="0321F4B6" w14:textId="77777777" w:rsidTr="00D57E9A">
        <w:trPr>
          <w:cantSplit/>
          <w:trHeight w:hRule="exact" w:val="340"/>
          <w:tblHeader/>
        </w:trPr>
        <w:tc>
          <w:tcPr>
            <w:tcW w:w="7196" w:type="dxa"/>
            <w:tcBorders>
              <w:top w:val="single" w:sz="4" w:space="0" w:color="D9D9D9"/>
              <w:left w:val="single" w:sz="4" w:space="0" w:color="auto"/>
              <w:bottom w:val="single" w:sz="4" w:space="0" w:color="D9D9D9"/>
              <w:right w:val="single" w:sz="4" w:space="0" w:color="auto"/>
            </w:tcBorders>
            <w:shd w:val="clear" w:color="auto" w:fill="F2F2F2"/>
            <w:vAlign w:val="center"/>
          </w:tcPr>
          <w:p w14:paraId="794721A9" w14:textId="77777777" w:rsidR="003555F3" w:rsidRPr="00151686" w:rsidRDefault="003555F3" w:rsidP="00EB71D3">
            <w:pPr>
              <w:pStyle w:val="TOC1"/>
              <w:framePr w:hSpace="0" w:wrap="auto" w:vAnchor="margin" w:hAnchor="text" w:yAlign="inline"/>
            </w:pPr>
            <w:r w:rsidRPr="00151686">
              <w:t>Renal</w:t>
            </w:r>
          </w:p>
        </w:tc>
        <w:tc>
          <w:tcPr>
            <w:tcW w:w="7229" w:type="dxa"/>
            <w:tcBorders>
              <w:top w:val="single" w:sz="4" w:space="0" w:color="D9D9D9"/>
              <w:left w:val="single" w:sz="4" w:space="0" w:color="auto"/>
              <w:bottom w:val="single" w:sz="4" w:space="0" w:color="D9D9D9"/>
              <w:right w:val="single" w:sz="4" w:space="0" w:color="auto"/>
            </w:tcBorders>
            <w:shd w:val="clear" w:color="auto" w:fill="F2F2F2"/>
          </w:tcPr>
          <w:p w14:paraId="38E34D87"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p>
        </w:tc>
      </w:tr>
      <w:tr w:rsidR="003555F3" w:rsidRPr="00223188" w14:paraId="35CCE3E3" w14:textId="77777777" w:rsidTr="00D57E9A">
        <w:trPr>
          <w:cantSplit/>
          <w:tblHeader/>
        </w:trPr>
        <w:tc>
          <w:tcPr>
            <w:tcW w:w="7196" w:type="dxa"/>
            <w:tcBorders>
              <w:top w:val="single" w:sz="4" w:space="0" w:color="D9D9D9"/>
              <w:left w:val="single" w:sz="4" w:space="0" w:color="auto"/>
              <w:bottom w:val="single" w:sz="4" w:space="0" w:color="D9D9D9"/>
              <w:right w:val="single" w:sz="4" w:space="0" w:color="auto"/>
            </w:tcBorders>
          </w:tcPr>
          <w:p w14:paraId="48B5943A" w14:textId="77777777" w:rsidR="003555F3" w:rsidRPr="00223188" w:rsidRDefault="003555F3" w:rsidP="00D65DE2">
            <w:pPr>
              <w:pStyle w:val="tabletext"/>
              <w:numPr>
                <w:ilvl w:val="0"/>
                <w:numId w:val="34"/>
              </w:numPr>
              <w:spacing w:before="20" w:after="10"/>
              <w:ind w:right="-113"/>
              <w:rPr>
                <w:rFonts w:ascii="Arial" w:hAnsi="Arial" w:cs="Arial"/>
                <w:sz w:val="20"/>
                <w:szCs w:val="20"/>
                <w:lang w:val="en-US"/>
              </w:rPr>
            </w:pPr>
            <w:r w:rsidRPr="00223188">
              <w:rPr>
                <w:rFonts w:ascii="Arial" w:hAnsi="Arial" w:cs="Arial"/>
                <w:sz w:val="20"/>
                <w:szCs w:val="20"/>
                <w:lang w:val="en-US"/>
              </w:rPr>
              <w:t xml:space="preserve">Serum Creatinine between 1.5 - 3 x ULN or </w:t>
            </w:r>
            <w:proofErr w:type="spellStart"/>
            <w:r w:rsidRPr="00223188">
              <w:rPr>
                <w:rFonts w:ascii="Arial" w:hAnsi="Arial" w:cs="Arial"/>
                <w:sz w:val="20"/>
                <w:szCs w:val="20"/>
                <w:lang w:val="en-US"/>
              </w:rPr>
              <w:t>CLcr</w:t>
            </w:r>
            <w:proofErr w:type="spellEnd"/>
            <w:r w:rsidR="00431BBE">
              <w:rPr>
                <w:rFonts w:ascii="Arial" w:hAnsi="Arial" w:cs="Arial"/>
                <w:sz w:val="20"/>
                <w:szCs w:val="20"/>
                <w:lang w:val="en-US"/>
              </w:rPr>
              <w:t>[</w:t>
            </w:r>
            <w:r w:rsidRPr="007B5DF4">
              <w:rPr>
                <w:rFonts w:ascii="Arial" w:hAnsi="Arial" w:cs="Arial"/>
                <w:sz w:val="20"/>
                <w:szCs w:val="20"/>
                <w:lang w:val="en-US"/>
              </w:rPr>
              <w:t>2</w:t>
            </w:r>
            <w:r w:rsidR="00431BBE">
              <w:rPr>
                <w:rFonts w:ascii="Arial" w:hAnsi="Arial" w:cs="Arial"/>
                <w:sz w:val="20"/>
                <w:szCs w:val="20"/>
                <w:lang w:val="en-US"/>
              </w:rPr>
              <w:t>]</w:t>
            </w:r>
            <w:r w:rsidRPr="00223188">
              <w:rPr>
                <w:rFonts w:ascii="Arial" w:hAnsi="Arial" w:cs="Arial"/>
                <w:sz w:val="20"/>
                <w:szCs w:val="20"/>
                <w:lang w:val="en-US"/>
              </w:rPr>
              <w:sym w:font="Symbol" w:char="F0A3"/>
            </w:r>
            <w:r w:rsidRPr="00223188">
              <w:rPr>
                <w:rFonts w:ascii="Arial" w:hAnsi="Arial" w:cs="Arial"/>
                <w:sz w:val="20"/>
                <w:szCs w:val="20"/>
                <w:lang w:val="en-US"/>
              </w:rPr>
              <w:t xml:space="preserve"> 50 mL/min</w:t>
            </w:r>
            <w:r>
              <w:rPr>
                <w:rFonts w:ascii="Arial" w:hAnsi="Arial" w:cs="Arial"/>
                <w:sz w:val="20"/>
                <w:szCs w:val="20"/>
                <w:lang w:val="en-US"/>
              </w:rPr>
              <w:t xml:space="preserve">≥ 30 </w:t>
            </w:r>
            <w:r w:rsidRPr="003F078F">
              <w:rPr>
                <w:rFonts w:ascii="Arial" w:hAnsi="Arial" w:cs="Arial"/>
                <w:sz w:val="20"/>
                <w:szCs w:val="20"/>
                <w:lang w:val="en-US"/>
              </w:rPr>
              <w:t>mL/min</w:t>
            </w:r>
          </w:p>
        </w:tc>
        <w:tc>
          <w:tcPr>
            <w:tcW w:w="7229" w:type="dxa"/>
            <w:tcBorders>
              <w:top w:val="single" w:sz="4" w:space="0" w:color="D9D9D9"/>
              <w:left w:val="single" w:sz="4" w:space="0" w:color="auto"/>
              <w:bottom w:val="single" w:sz="4" w:space="0" w:color="D9D9D9"/>
              <w:right w:val="single" w:sz="4" w:space="0" w:color="auto"/>
            </w:tcBorders>
          </w:tcPr>
          <w:p w14:paraId="7904520E"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Maintain dose level</w:t>
            </w:r>
          </w:p>
        </w:tc>
      </w:tr>
      <w:tr w:rsidR="003555F3" w:rsidRPr="00223188" w14:paraId="4B66678F" w14:textId="77777777" w:rsidTr="00D57E9A">
        <w:trPr>
          <w:cantSplit/>
          <w:tblHeader/>
        </w:trPr>
        <w:tc>
          <w:tcPr>
            <w:tcW w:w="7196" w:type="dxa"/>
            <w:tcBorders>
              <w:top w:val="single" w:sz="4" w:space="0" w:color="D9D9D9"/>
              <w:left w:val="single" w:sz="4" w:space="0" w:color="auto"/>
              <w:bottom w:val="single" w:sz="4" w:space="0" w:color="auto"/>
              <w:right w:val="single" w:sz="4" w:space="0" w:color="auto"/>
            </w:tcBorders>
          </w:tcPr>
          <w:p w14:paraId="104F5E99" w14:textId="77777777" w:rsidR="003555F3" w:rsidRPr="00223188" w:rsidRDefault="003555F3" w:rsidP="00D65DE2">
            <w:pPr>
              <w:pStyle w:val="tabletext"/>
              <w:numPr>
                <w:ilvl w:val="0"/>
                <w:numId w:val="34"/>
              </w:numPr>
              <w:spacing w:before="20" w:after="10"/>
              <w:ind w:right="-113"/>
              <w:rPr>
                <w:rFonts w:ascii="Arial" w:hAnsi="Arial" w:cs="Arial"/>
                <w:sz w:val="20"/>
                <w:szCs w:val="20"/>
                <w:lang w:val="en-US"/>
              </w:rPr>
            </w:pPr>
            <w:r w:rsidRPr="00223188">
              <w:rPr>
                <w:rFonts w:ascii="Arial" w:hAnsi="Arial" w:cs="Arial"/>
                <w:sz w:val="20"/>
                <w:szCs w:val="20"/>
                <w:lang w:val="en-US"/>
              </w:rPr>
              <w:t xml:space="preserve">Serum Creatinine &gt; 3 x ULN or </w:t>
            </w:r>
            <w:proofErr w:type="spellStart"/>
            <w:r w:rsidRPr="00223188">
              <w:rPr>
                <w:rFonts w:ascii="Arial" w:hAnsi="Arial" w:cs="Arial"/>
                <w:sz w:val="20"/>
                <w:szCs w:val="20"/>
                <w:lang w:val="en-US"/>
              </w:rPr>
              <w:t>CLcr</w:t>
            </w:r>
            <w:proofErr w:type="spellEnd"/>
            <w:r w:rsidR="00431BBE">
              <w:rPr>
                <w:rFonts w:ascii="Arial" w:hAnsi="Arial" w:cs="Arial"/>
                <w:sz w:val="20"/>
                <w:szCs w:val="20"/>
                <w:lang w:val="en-US"/>
              </w:rPr>
              <w:t>[</w:t>
            </w:r>
            <w:r w:rsidR="00431BBE" w:rsidRPr="007B5DF4">
              <w:rPr>
                <w:rFonts w:ascii="Arial" w:hAnsi="Arial" w:cs="Arial"/>
                <w:sz w:val="20"/>
                <w:szCs w:val="20"/>
                <w:lang w:val="en-US"/>
              </w:rPr>
              <w:t>2</w:t>
            </w:r>
            <w:r w:rsidR="00431BBE">
              <w:rPr>
                <w:rFonts w:ascii="Arial" w:hAnsi="Arial" w:cs="Arial"/>
                <w:sz w:val="20"/>
                <w:szCs w:val="20"/>
                <w:lang w:val="en-US"/>
              </w:rPr>
              <w:t>]</w:t>
            </w:r>
            <w:r w:rsidRPr="00223188">
              <w:rPr>
                <w:rFonts w:ascii="Arial" w:hAnsi="Arial" w:cs="Arial"/>
                <w:sz w:val="20"/>
                <w:szCs w:val="20"/>
                <w:lang w:val="en-US"/>
              </w:rPr>
              <w:t xml:space="preserve"> </w:t>
            </w:r>
            <w:r w:rsidRPr="00223188">
              <w:rPr>
                <w:rFonts w:ascii="Arial" w:hAnsi="Arial" w:cs="Arial"/>
                <w:sz w:val="20"/>
                <w:szCs w:val="20"/>
                <w:lang w:val="en-US"/>
              </w:rPr>
              <w:sym w:font="Symbol" w:char="F0A3"/>
            </w:r>
            <w:r w:rsidRPr="00223188">
              <w:rPr>
                <w:rFonts w:ascii="Arial" w:hAnsi="Arial" w:cs="Arial"/>
                <w:sz w:val="20"/>
                <w:szCs w:val="20"/>
                <w:lang w:val="en-US"/>
              </w:rPr>
              <w:t xml:space="preserve"> 30 mL/min </w:t>
            </w:r>
          </w:p>
        </w:tc>
        <w:tc>
          <w:tcPr>
            <w:tcW w:w="7229" w:type="dxa"/>
            <w:tcBorders>
              <w:top w:val="single" w:sz="4" w:space="0" w:color="D9D9D9"/>
              <w:left w:val="single" w:sz="4" w:space="0" w:color="auto"/>
              <w:bottom w:val="single" w:sz="4" w:space="0" w:color="auto"/>
              <w:right w:val="single" w:sz="4" w:space="0" w:color="auto"/>
            </w:tcBorders>
          </w:tcPr>
          <w:p w14:paraId="4FECD2F9" w14:textId="77777777" w:rsidR="003555F3" w:rsidRPr="0008573D" w:rsidRDefault="003555F3" w:rsidP="0008573D">
            <w:pPr>
              <w:pStyle w:val="tabletext"/>
              <w:keepNext/>
              <w:keepLines/>
              <w:pBdr>
                <w:between w:val="double" w:sz="6" w:space="0" w:color="auto"/>
              </w:pBdr>
              <w:spacing w:before="20" w:after="10"/>
              <w:rPr>
                <w:rFonts w:ascii="Arial" w:hAnsi="Arial" w:cs="Arial"/>
                <w:sz w:val="20"/>
                <w:szCs w:val="20"/>
                <w:lang w:val="en-US"/>
              </w:rPr>
            </w:pPr>
            <w:r w:rsidRPr="0008573D">
              <w:rPr>
                <w:rFonts w:ascii="Arial" w:hAnsi="Arial" w:cs="Arial"/>
                <w:sz w:val="20"/>
                <w:szCs w:val="20"/>
                <w:lang w:val="en-US"/>
              </w:rPr>
              <w:t>Delay until recovery*</w:t>
            </w:r>
          </w:p>
        </w:tc>
      </w:tr>
      <w:tr w:rsidR="003555F3" w:rsidRPr="00223188" w14:paraId="20D256B7" w14:textId="77777777" w:rsidTr="002214DF">
        <w:trPr>
          <w:cantSplit/>
          <w:trHeight w:val="1762"/>
        </w:trPr>
        <w:tc>
          <w:tcPr>
            <w:tcW w:w="14425" w:type="dxa"/>
            <w:gridSpan w:val="2"/>
            <w:tcBorders>
              <w:top w:val="single" w:sz="4" w:space="0" w:color="auto"/>
            </w:tcBorders>
          </w:tcPr>
          <w:p w14:paraId="329FAF45" w14:textId="77777777" w:rsidR="003555F3" w:rsidRPr="003555F3" w:rsidRDefault="003555F3" w:rsidP="0008573D">
            <w:pPr>
              <w:pStyle w:val="tableref"/>
              <w:tabs>
                <w:tab w:val="clear" w:pos="360"/>
              </w:tabs>
              <w:spacing w:before="20"/>
              <w:ind w:left="0" w:firstLine="0"/>
              <w:rPr>
                <w:rFonts w:ascii="Arial" w:hAnsi="Arial" w:cs="Arial"/>
                <w:sz w:val="18"/>
                <w:szCs w:val="18"/>
                <w:lang w:val="en-US" w:eastAsia="en-GB"/>
              </w:rPr>
            </w:pPr>
            <w:r w:rsidRPr="003555F3">
              <w:rPr>
                <w:rFonts w:ascii="Arial" w:hAnsi="Arial" w:cs="Arial"/>
                <w:sz w:val="18"/>
                <w:szCs w:val="18"/>
                <w:lang w:val="en-US" w:eastAsia="en-GB"/>
              </w:rPr>
              <w:lastRenderedPageBreak/>
              <w:t>NOTE: related toxicities are recovered when their severity grade resolves to ≤ 1 or to the severity grade assessed at baseline.  Related hematologic toxicities are recovered when: ANC ≥ 1.5 x 10</w:t>
            </w:r>
            <w:r w:rsidRPr="003555F3">
              <w:rPr>
                <w:rFonts w:ascii="Arial" w:hAnsi="Arial" w:cs="Arial"/>
                <w:sz w:val="18"/>
                <w:szCs w:val="18"/>
                <w:vertAlign w:val="superscript"/>
                <w:lang w:val="en-US" w:eastAsia="en-GB"/>
              </w:rPr>
              <w:t>9</w:t>
            </w:r>
            <w:r w:rsidRPr="003555F3">
              <w:rPr>
                <w:rFonts w:ascii="Arial" w:hAnsi="Arial" w:cs="Arial"/>
                <w:sz w:val="18"/>
                <w:szCs w:val="18"/>
                <w:lang w:val="en-US" w:eastAsia="en-GB"/>
              </w:rPr>
              <w:t>/L; Platelet count ≥75.0 x 10</w:t>
            </w:r>
            <w:r w:rsidRPr="003555F3">
              <w:rPr>
                <w:rFonts w:ascii="Arial" w:hAnsi="Arial" w:cs="Arial"/>
                <w:sz w:val="18"/>
                <w:szCs w:val="18"/>
                <w:vertAlign w:val="superscript"/>
                <w:lang w:val="en-US" w:eastAsia="en-GB"/>
              </w:rPr>
              <w:t>9</w:t>
            </w:r>
            <w:r w:rsidRPr="003555F3">
              <w:rPr>
                <w:rFonts w:ascii="Arial" w:hAnsi="Arial" w:cs="Arial"/>
                <w:sz w:val="18"/>
                <w:szCs w:val="18"/>
                <w:lang w:val="en-US" w:eastAsia="en-GB"/>
              </w:rPr>
              <w:t xml:space="preserve">/L. </w:t>
            </w:r>
            <w:proofErr w:type="spellStart"/>
            <w:r w:rsidRPr="003555F3">
              <w:rPr>
                <w:rFonts w:ascii="Arial" w:hAnsi="Arial" w:cs="Arial"/>
                <w:sz w:val="18"/>
                <w:szCs w:val="18"/>
                <w:lang w:val="en-US" w:eastAsia="en-GB"/>
              </w:rPr>
              <w:t>H</w:t>
            </w:r>
            <w:r w:rsidR="00ED5171">
              <w:rPr>
                <w:rFonts w:ascii="Arial" w:hAnsi="Arial" w:cs="Arial"/>
                <w:sz w:val="18"/>
                <w:szCs w:val="18"/>
                <w:lang w:val="en-US" w:eastAsia="en-GB"/>
              </w:rPr>
              <w:t>a</w:t>
            </w:r>
            <w:r w:rsidRPr="003555F3">
              <w:rPr>
                <w:rFonts w:ascii="Arial" w:hAnsi="Arial" w:cs="Arial"/>
                <w:sz w:val="18"/>
                <w:szCs w:val="18"/>
                <w:lang w:val="en-US" w:eastAsia="en-GB"/>
              </w:rPr>
              <w:t>emoglobin</w:t>
            </w:r>
            <w:proofErr w:type="spellEnd"/>
            <w:r w:rsidRPr="003555F3">
              <w:rPr>
                <w:rFonts w:ascii="Arial" w:hAnsi="Arial" w:cs="Arial"/>
                <w:sz w:val="18"/>
                <w:szCs w:val="18"/>
                <w:lang w:val="en-US" w:eastAsia="en-GB"/>
              </w:rPr>
              <w:t xml:space="preserve"> is ≥ 90 g/L. Treatment should be restarted as per the guidelines provided in this table.  For recurrent toxicities, dose reduction to 80% may be considered.</w:t>
            </w:r>
          </w:p>
          <w:p w14:paraId="3313A722" w14:textId="77777777" w:rsidR="003555F3" w:rsidRPr="003555F3" w:rsidRDefault="003555F3" w:rsidP="00D57E9A">
            <w:pPr>
              <w:pStyle w:val="tableref"/>
              <w:tabs>
                <w:tab w:val="clear" w:pos="360"/>
              </w:tabs>
              <w:ind w:left="0" w:firstLine="0"/>
              <w:rPr>
                <w:rFonts w:ascii="Arial" w:hAnsi="Arial" w:cs="Arial"/>
                <w:sz w:val="18"/>
                <w:szCs w:val="18"/>
                <w:lang w:val="en-US" w:eastAsia="en-GB"/>
              </w:rPr>
            </w:pPr>
          </w:p>
          <w:p w14:paraId="13FF9E9E" w14:textId="77777777" w:rsidR="003555F3" w:rsidRPr="003555F3" w:rsidRDefault="003555F3" w:rsidP="00D57E9A">
            <w:pPr>
              <w:pStyle w:val="tableref"/>
              <w:tabs>
                <w:tab w:val="clear" w:pos="360"/>
              </w:tabs>
              <w:ind w:left="0" w:firstLine="0"/>
              <w:rPr>
                <w:rFonts w:ascii="Arial" w:hAnsi="Arial" w:cs="Arial"/>
                <w:sz w:val="18"/>
                <w:szCs w:val="18"/>
                <w:lang w:val="en-US" w:eastAsia="en-GB"/>
              </w:rPr>
            </w:pPr>
            <w:r w:rsidRPr="003555F3">
              <w:rPr>
                <w:rFonts w:ascii="Arial" w:hAnsi="Arial" w:cs="Arial"/>
                <w:sz w:val="18"/>
                <w:szCs w:val="18"/>
                <w:lang w:val="en-US" w:eastAsia="en-GB"/>
              </w:rPr>
              <w:t>* Start next cycle at reduced dose (80%).</w:t>
            </w:r>
          </w:p>
          <w:p w14:paraId="5074D004" w14:textId="77777777" w:rsidR="003555F3" w:rsidRPr="003555F3" w:rsidRDefault="003555F3" w:rsidP="00D57E9A">
            <w:pPr>
              <w:pStyle w:val="tableref"/>
              <w:tabs>
                <w:tab w:val="clear" w:pos="360"/>
              </w:tabs>
              <w:ind w:left="0" w:firstLine="0"/>
              <w:rPr>
                <w:rFonts w:ascii="Arial" w:hAnsi="Arial" w:cs="Arial"/>
                <w:sz w:val="18"/>
                <w:szCs w:val="18"/>
                <w:lang w:val="en-US" w:eastAsia="en-GB"/>
              </w:rPr>
            </w:pPr>
            <w:r w:rsidRPr="003555F3">
              <w:rPr>
                <w:rFonts w:ascii="Arial" w:hAnsi="Arial" w:cs="Arial"/>
                <w:sz w:val="18"/>
                <w:szCs w:val="18"/>
                <w:lang w:val="en-US" w:eastAsia="en-GB"/>
              </w:rPr>
              <w:t xml:space="preserve">[1] Clinical chemistry includes both amylase and lipase levels. </w:t>
            </w:r>
          </w:p>
          <w:p w14:paraId="2C5D0145" w14:textId="77777777" w:rsidR="003555F3" w:rsidRPr="003555F3" w:rsidRDefault="00431BBE" w:rsidP="00D57E9A">
            <w:pPr>
              <w:pStyle w:val="tableref"/>
              <w:tabs>
                <w:tab w:val="clear" w:pos="360"/>
              </w:tabs>
              <w:ind w:left="0" w:firstLine="0"/>
              <w:rPr>
                <w:rFonts w:ascii="Arial" w:hAnsi="Arial" w:cs="Arial"/>
                <w:snapToGrid w:val="0"/>
                <w:color w:val="000000"/>
                <w:w w:val="0"/>
                <w:sz w:val="18"/>
                <w:szCs w:val="18"/>
                <w:u w:color="000000"/>
                <w:bdr w:val="none" w:sz="0" w:space="0" w:color="000000"/>
                <w:shd w:val="clear" w:color="000000" w:fill="000000"/>
                <w:lang w:val="en-GB" w:eastAsia="en-GB"/>
              </w:rPr>
            </w:pPr>
            <w:r w:rsidRPr="00431BBE">
              <w:rPr>
                <w:rFonts w:ascii="Arial" w:hAnsi="Arial" w:cs="Arial"/>
                <w:sz w:val="18"/>
                <w:szCs w:val="18"/>
                <w:lang w:val="en-US" w:eastAsia="en-GB"/>
              </w:rPr>
              <w:t>[</w:t>
            </w:r>
            <w:r w:rsidR="003555F3" w:rsidRPr="00431BBE">
              <w:rPr>
                <w:rFonts w:ascii="Arial" w:hAnsi="Arial" w:cs="Arial"/>
                <w:sz w:val="18"/>
                <w:szCs w:val="18"/>
                <w:lang w:val="en-US" w:eastAsia="en-GB"/>
              </w:rPr>
              <w:t xml:space="preserve">2 </w:t>
            </w:r>
            <w:r w:rsidRPr="00431BBE">
              <w:rPr>
                <w:rFonts w:ascii="Arial" w:hAnsi="Arial" w:cs="Arial"/>
                <w:sz w:val="18"/>
                <w:szCs w:val="18"/>
                <w:lang w:val="en-US" w:eastAsia="en-GB"/>
              </w:rPr>
              <w:t>]</w:t>
            </w:r>
            <w:proofErr w:type="spellStart"/>
            <w:r w:rsidR="00F86724">
              <w:rPr>
                <w:rFonts w:ascii="Arial" w:hAnsi="Arial" w:cs="Arial"/>
                <w:sz w:val="18"/>
                <w:szCs w:val="18"/>
                <w:lang w:val="en-US" w:eastAsia="en-GB"/>
              </w:rPr>
              <w:t>CLcr</w:t>
            </w:r>
            <w:proofErr w:type="spellEnd"/>
            <w:r>
              <w:rPr>
                <w:rFonts w:ascii="Arial" w:hAnsi="Arial" w:cs="Arial"/>
                <w:sz w:val="18"/>
                <w:szCs w:val="18"/>
                <w:lang w:val="en-US" w:eastAsia="en-GB"/>
              </w:rPr>
              <w:t>: calculated c</w:t>
            </w:r>
            <w:r w:rsidR="003555F3" w:rsidRPr="003555F3">
              <w:rPr>
                <w:rFonts w:ascii="Arial" w:hAnsi="Arial" w:cs="Arial"/>
                <w:sz w:val="18"/>
                <w:szCs w:val="18"/>
                <w:lang w:val="en-US" w:eastAsia="en-GB"/>
              </w:rPr>
              <w:t xml:space="preserve">reatinine clearance using </w:t>
            </w:r>
            <w:r w:rsidR="003555F3" w:rsidRPr="003555F3">
              <w:rPr>
                <w:rStyle w:val="apple-style-span"/>
                <w:rFonts w:ascii="Arial" w:hAnsi="Arial" w:cs="Arial"/>
                <w:color w:val="000000"/>
                <w:sz w:val="18"/>
                <w:szCs w:val="18"/>
                <w:lang w:val="en-GB" w:eastAsia="en-GB"/>
              </w:rPr>
              <w:t>Cockcroft Gault – see appendix 4</w:t>
            </w:r>
          </w:p>
          <w:p w14:paraId="0706896A" w14:textId="77777777" w:rsidR="003555F3" w:rsidRPr="00223188" w:rsidRDefault="003555F3" w:rsidP="00D57E9A">
            <w:pPr>
              <w:pStyle w:val="tabletext"/>
              <w:spacing w:before="0" w:after="0"/>
              <w:ind w:left="360"/>
              <w:rPr>
                <w:rStyle w:val="apple-style-span"/>
                <w:rFonts w:ascii="Arial" w:hAnsi="Arial" w:cs="Arial"/>
                <w:snapToGrid w:val="0"/>
                <w:color w:val="000000"/>
                <w:w w:val="0"/>
                <w:sz w:val="20"/>
                <w:szCs w:val="20"/>
                <w:u w:color="000000"/>
                <w:bdr w:val="none" w:sz="0" w:space="0" w:color="000000"/>
                <w:shd w:val="clear" w:color="000000" w:fill="000000"/>
              </w:rPr>
            </w:pPr>
          </w:p>
        </w:tc>
      </w:tr>
    </w:tbl>
    <w:p w14:paraId="40556E97" w14:textId="77777777" w:rsidR="00DA67E8" w:rsidRDefault="00DA67E8" w:rsidP="00DB5A7B">
      <w:pPr>
        <w:contextualSpacing/>
        <w:jc w:val="both"/>
        <w:rPr>
          <w:rFonts w:ascii="Arial" w:hAnsi="Arial" w:cs="Arial"/>
          <w:sz w:val="22"/>
          <w:szCs w:val="22"/>
          <w:highlight w:val="yellow"/>
        </w:rPr>
      </w:pPr>
    </w:p>
    <w:p w14:paraId="288074F8" w14:textId="77777777" w:rsidR="00D57E9A" w:rsidRDefault="00D57E9A" w:rsidP="00DB5A7B">
      <w:pPr>
        <w:contextualSpacing/>
        <w:jc w:val="both"/>
        <w:rPr>
          <w:rFonts w:ascii="Arial" w:hAnsi="Arial" w:cs="Arial"/>
          <w:sz w:val="22"/>
          <w:szCs w:val="22"/>
          <w:highlight w:val="yellow"/>
        </w:rPr>
        <w:sectPr w:rsidR="00D57E9A" w:rsidSect="00E33588">
          <w:footerReference w:type="default" r:id="rId28"/>
          <w:pgSz w:w="16838" w:h="11906" w:orient="landscape" w:code="9"/>
          <w:pgMar w:top="1133" w:right="1134" w:bottom="1560" w:left="1134" w:header="1418" w:footer="0" w:gutter="0"/>
          <w:pgNumType w:start="36"/>
          <w:cols w:space="708"/>
          <w:docGrid w:linePitch="360"/>
        </w:sectPr>
      </w:pPr>
    </w:p>
    <w:p w14:paraId="631406F6" w14:textId="77777777" w:rsidR="00DA67E8" w:rsidRPr="00FC20CF" w:rsidRDefault="00DA67E8" w:rsidP="00BC3474">
      <w:pPr>
        <w:pStyle w:val="Heading3"/>
        <w:spacing w:before="0"/>
        <w:ind w:left="851" w:hanging="851"/>
      </w:pPr>
      <w:bookmarkStart w:id="397" w:name="_Toc471826772"/>
      <w:bookmarkStart w:id="398" w:name="_Toc528323538"/>
      <w:r w:rsidRPr="00FC20CF">
        <w:lastRenderedPageBreak/>
        <w:t>Ganetespib reductions (phase II only)</w:t>
      </w:r>
      <w:bookmarkEnd w:id="397"/>
      <w:bookmarkEnd w:id="398"/>
    </w:p>
    <w:p w14:paraId="125C0667" w14:textId="77777777" w:rsidR="00DA67E8" w:rsidRPr="00B53421" w:rsidRDefault="00DA67E8" w:rsidP="00B53421">
      <w:pPr>
        <w:jc w:val="both"/>
        <w:rPr>
          <w:rFonts w:ascii="Arial" w:hAnsi="Arial" w:cs="Arial"/>
          <w:bCs/>
          <w:sz w:val="22"/>
          <w:szCs w:val="22"/>
        </w:rPr>
      </w:pPr>
      <w:r w:rsidRPr="00B53421">
        <w:rPr>
          <w:rFonts w:ascii="Arial" w:hAnsi="Arial" w:cs="Arial"/>
          <w:bCs/>
          <w:sz w:val="22"/>
          <w:szCs w:val="22"/>
        </w:rPr>
        <w:t xml:space="preserve">The </w:t>
      </w:r>
      <w:r>
        <w:rPr>
          <w:rFonts w:ascii="Arial" w:hAnsi="Arial" w:cs="Arial"/>
          <w:bCs/>
          <w:sz w:val="22"/>
          <w:szCs w:val="22"/>
        </w:rPr>
        <w:t>ganetespib</w:t>
      </w:r>
      <w:r w:rsidRPr="00B53421">
        <w:rPr>
          <w:rFonts w:ascii="Arial" w:hAnsi="Arial" w:cs="Arial"/>
          <w:bCs/>
          <w:sz w:val="22"/>
          <w:szCs w:val="22"/>
        </w:rPr>
        <w:t xml:space="preserve"> dose reduct</w:t>
      </w:r>
      <w:r>
        <w:rPr>
          <w:rFonts w:ascii="Arial" w:hAnsi="Arial" w:cs="Arial"/>
          <w:bCs/>
          <w:sz w:val="22"/>
          <w:szCs w:val="22"/>
        </w:rPr>
        <w:t>ion schedule in the previous section will be modified</w:t>
      </w:r>
      <w:r w:rsidRPr="00B53421">
        <w:rPr>
          <w:rFonts w:ascii="Arial" w:hAnsi="Arial" w:cs="Arial"/>
          <w:bCs/>
          <w:sz w:val="22"/>
          <w:szCs w:val="22"/>
        </w:rPr>
        <w:t xml:space="preserve"> before the phase II begins (in a revised protocol as part of a substantial amendment).</w:t>
      </w:r>
    </w:p>
    <w:p w14:paraId="6F6E5AA2" w14:textId="77777777" w:rsidR="00DA67E8" w:rsidRPr="00FC20CF" w:rsidRDefault="00DA67E8" w:rsidP="00FC20CF">
      <w:pPr>
        <w:pStyle w:val="Heading3"/>
        <w:ind w:left="851" w:hanging="851"/>
      </w:pPr>
      <w:bookmarkStart w:id="399" w:name="_Toc471826773"/>
      <w:bookmarkStart w:id="400" w:name="_Toc528323539"/>
      <w:r w:rsidRPr="00FC20CF">
        <w:t>Pemetrexed/cisplatin dose reduction</w:t>
      </w:r>
      <w:r w:rsidR="0003558A" w:rsidRPr="00FC20CF">
        <w:t xml:space="preserve"> guidelines</w:t>
      </w:r>
      <w:bookmarkEnd w:id="399"/>
      <w:bookmarkEnd w:id="400"/>
    </w:p>
    <w:p w14:paraId="7797E20C" w14:textId="77777777" w:rsidR="007707BB" w:rsidRPr="007707BB" w:rsidRDefault="007707BB" w:rsidP="0083695F">
      <w:pPr>
        <w:pStyle w:val="NonContentsHeading"/>
        <w:jc w:val="both"/>
        <w:rPr>
          <w:rFonts w:ascii="Arial" w:hAnsi="Arial" w:cs="Arial"/>
          <w:b w:val="0"/>
          <w:sz w:val="22"/>
          <w:szCs w:val="22"/>
          <w:lang w:val="en-GB"/>
        </w:rPr>
      </w:pPr>
      <w:r w:rsidRPr="001B74AE">
        <w:rPr>
          <w:rFonts w:ascii="Arial" w:hAnsi="Arial" w:cs="Arial"/>
          <w:b w:val="0"/>
          <w:sz w:val="22"/>
          <w:szCs w:val="22"/>
          <w:lang w:val="en-GB"/>
        </w:rPr>
        <w:t xml:space="preserve">The dose modification </w:t>
      </w:r>
      <w:r w:rsidR="001755A8" w:rsidRPr="001B74AE">
        <w:rPr>
          <w:rFonts w:ascii="Arial" w:hAnsi="Arial" w:cs="Arial"/>
          <w:b w:val="0"/>
          <w:sz w:val="22"/>
          <w:szCs w:val="22"/>
          <w:lang w:val="en-GB"/>
        </w:rPr>
        <w:t>schedules</w:t>
      </w:r>
      <w:r w:rsidRPr="001B74AE">
        <w:rPr>
          <w:rFonts w:ascii="Arial" w:hAnsi="Arial" w:cs="Arial"/>
          <w:b w:val="0"/>
          <w:sz w:val="22"/>
          <w:szCs w:val="22"/>
          <w:lang w:val="en-GB"/>
        </w:rPr>
        <w:t xml:space="preserve"> should be followed as closely as possible but these are recommendations only and clinical judgement should be used in individual cases.</w:t>
      </w:r>
    </w:p>
    <w:p w14:paraId="18C7E777" w14:textId="77777777" w:rsidR="00DA67E8" w:rsidRPr="005E2C7F" w:rsidRDefault="00DA67E8" w:rsidP="008E3032">
      <w:pPr>
        <w:pStyle w:val="Normal1"/>
        <w:rPr>
          <w:rFonts w:ascii="Tahoma" w:hAnsi="Tahoma" w:cs="Tahoma"/>
          <w:b/>
          <w:bCs/>
          <w:sz w:val="22"/>
        </w:rPr>
      </w:pPr>
    </w:p>
    <w:p w14:paraId="48077282" w14:textId="77777777" w:rsidR="00DA67E8" w:rsidRPr="003B2AA7" w:rsidRDefault="00DA67E8" w:rsidP="003B2AA7">
      <w:pPr>
        <w:pStyle w:val="Heading4"/>
        <w:ind w:left="1418" w:hanging="1418"/>
        <w:jc w:val="left"/>
        <w:rPr>
          <w:rFonts w:ascii="Arial" w:hAnsi="Arial" w:cs="Arial"/>
          <w:sz w:val="24"/>
          <w:szCs w:val="24"/>
        </w:rPr>
      </w:pPr>
      <w:r w:rsidRPr="003B2AA7">
        <w:rPr>
          <w:rFonts w:ascii="Arial" w:hAnsi="Arial" w:cs="Arial"/>
          <w:sz w:val="24"/>
          <w:szCs w:val="24"/>
        </w:rPr>
        <w:t xml:space="preserve">Pemetrexed/cisplatin doses to be administered in the presence of renal toxicity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4"/>
        <w:gridCol w:w="3002"/>
        <w:gridCol w:w="3006"/>
      </w:tblGrid>
      <w:tr w:rsidR="00DA67E8" w:rsidRPr="005E2C7F" w14:paraId="3621E2E4" w14:textId="77777777" w:rsidTr="008E3032">
        <w:trPr>
          <w:jc w:val="center"/>
        </w:trPr>
        <w:tc>
          <w:tcPr>
            <w:tcW w:w="3114" w:type="dxa"/>
          </w:tcPr>
          <w:p w14:paraId="60C0BA7E" w14:textId="77777777" w:rsidR="00DA67E8" w:rsidRPr="008E3032" w:rsidRDefault="00DA67E8" w:rsidP="008E3B41">
            <w:pPr>
              <w:ind w:right="142"/>
              <w:jc w:val="both"/>
              <w:rPr>
                <w:rFonts w:ascii="Arial" w:hAnsi="Arial" w:cs="Arial"/>
                <w:sz w:val="20"/>
                <w:szCs w:val="20"/>
              </w:rPr>
            </w:pPr>
          </w:p>
        </w:tc>
        <w:tc>
          <w:tcPr>
            <w:tcW w:w="6008" w:type="dxa"/>
            <w:gridSpan w:val="2"/>
          </w:tcPr>
          <w:p w14:paraId="5CBF68BC" w14:textId="77777777" w:rsidR="00DA67E8" w:rsidRPr="008E3032" w:rsidRDefault="00DA67E8" w:rsidP="008E3B41">
            <w:pPr>
              <w:ind w:right="142"/>
              <w:jc w:val="center"/>
              <w:rPr>
                <w:rFonts w:ascii="Arial" w:hAnsi="Arial" w:cs="Arial"/>
                <w:sz w:val="20"/>
                <w:szCs w:val="20"/>
              </w:rPr>
            </w:pPr>
            <w:r w:rsidRPr="008E3032">
              <w:rPr>
                <w:rFonts w:ascii="Arial" w:hAnsi="Arial" w:cs="Arial"/>
                <w:b/>
                <w:sz w:val="20"/>
                <w:szCs w:val="20"/>
              </w:rPr>
              <w:t>Day 1 (% of previous dose</w:t>
            </w:r>
            <w:r w:rsidRPr="008E3032">
              <w:rPr>
                <w:rFonts w:ascii="Arial" w:hAnsi="Arial" w:cs="Arial"/>
                <w:sz w:val="20"/>
                <w:szCs w:val="20"/>
              </w:rPr>
              <w:t>)</w:t>
            </w:r>
          </w:p>
        </w:tc>
      </w:tr>
      <w:tr w:rsidR="00DA67E8" w:rsidRPr="005E2C7F" w14:paraId="35C6B77C" w14:textId="77777777" w:rsidTr="008E3032">
        <w:trPr>
          <w:jc w:val="center"/>
        </w:trPr>
        <w:tc>
          <w:tcPr>
            <w:tcW w:w="3114" w:type="dxa"/>
          </w:tcPr>
          <w:p w14:paraId="4D0A2290" w14:textId="77777777" w:rsidR="00DA67E8" w:rsidRPr="008E3032" w:rsidRDefault="00DA67E8" w:rsidP="008E3B41">
            <w:pPr>
              <w:ind w:right="142"/>
              <w:jc w:val="both"/>
              <w:rPr>
                <w:rFonts w:ascii="Arial" w:hAnsi="Arial" w:cs="Arial"/>
                <w:b/>
                <w:color w:val="800080"/>
                <w:sz w:val="20"/>
                <w:szCs w:val="20"/>
                <w:u w:val="single"/>
                <w:lang w:val="en-US"/>
              </w:rPr>
            </w:pPr>
            <w:r w:rsidRPr="008E3032">
              <w:rPr>
                <w:rFonts w:ascii="Arial" w:hAnsi="Arial" w:cs="Arial"/>
                <w:b/>
                <w:sz w:val="20"/>
                <w:szCs w:val="20"/>
              </w:rPr>
              <w:t>GFR (ml/min) (EDTA or C&amp;G)</w:t>
            </w:r>
          </w:p>
        </w:tc>
        <w:tc>
          <w:tcPr>
            <w:tcW w:w="3002" w:type="dxa"/>
          </w:tcPr>
          <w:p w14:paraId="18DCD112" w14:textId="77777777" w:rsidR="00DA67E8" w:rsidRPr="008E3032" w:rsidRDefault="00DA67E8" w:rsidP="008E3B41">
            <w:pPr>
              <w:ind w:right="142"/>
              <w:jc w:val="center"/>
              <w:rPr>
                <w:rFonts w:ascii="Arial" w:hAnsi="Arial" w:cs="Arial"/>
                <w:b/>
                <w:sz w:val="20"/>
                <w:szCs w:val="20"/>
              </w:rPr>
            </w:pPr>
            <w:r w:rsidRPr="008E3032">
              <w:rPr>
                <w:rFonts w:ascii="Arial" w:hAnsi="Arial" w:cs="Arial"/>
                <w:b/>
                <w:sz w:val="20"/>
                <w:szCs w:val="20"/>
              </w:rPr>
              <w:t>Cisplatin</w:t>
            </w:r>
          </w:p>
        </w:tc>
        <w:tc>
          <w:tcPr>
            <w:tcW w:w="3006" w:type="dxa"/>
          </w:tcPr>
          <w:p w14:paraId="6A4D6273" w14:textId="77777777" w:rsidR="00DA67E8" w:rsidRPr="008E3032" w:rsidRDefault="00DA67E8" w:rsidP="008E3B41">
            <w:pPr>
              <w:ind w:right="142"/>
              <w:jc w:val="center"/>
              <w:rPr>
                <w:rFonts w:ascii="Arial" w:hAnsi="Arial" w:cs="Arial"/>
                <w:b/>
                <w:sz w:val="20"/>
                <w:szCs w:val="20"/>
              </w:rPr>
            </w:pPr>
            <w:r w:rsidRPr="008E3032">
              <w:rPr>
                <w:rFonts w:ascii="Arial" w:hAnsi="Arial" w:cs="Arial"/>
                <w:b/>
                <w:sz w:val="20"/>
                <w:szCs w:val="20"/>
              </w:rPr>
              <w:t>Pemetrexed</w:t>
            </w:r>
          </w:p>
        </w:tc>
      </w:tr>
      <w:tr w:rsidR="00DA67E8" w:rsidRPr="005E2C7F" w14:paraId="42EA966F" w14:textId="77777777" w:rsidTr="008E3032">
        <w:trPr>
          <w:jc w:val="center"/>
        </w:trPr>
        <w:tc>
          <w:tcPr>
            <w:tcW w:w="3114" w:type="dxa"/>
          </w:tcPr>
          <w:p w14:paraId="2379E47E" w14:textId="77777777" w:rsidR="00DA67E8" w:rsidRPr="008E3032" w:rsidRDefault="00DA67E8" w:rsidP="008E3B41">
            <w:pPr>
              <w:ind w:right="142"/>
              <w:jc w:val="both"/>
              <w:rPr>
                <w:rFonts w:ascii="Arial" w:hAnsi="Arial" w:cs="Arial"/>
                <w:sz w:val="20"/>
                <w:szCs w:val="20"/>
              </w:rPr>
            </w:pPr>
            <w:r w:rsidRPr="008E3032">
              <w:rPr>
                <w:rFonts w:ascii="Arial" w:hAnsi="Arial" w:cs="Arial"/>
                <w:sz w:val="20"/>
                <w:szCs w:val="20"/>
              </w:rPr>
              <w:sym w:font="Symbol" w:char="F0B3"/>
            </w:r>
            <w:r w:rsidRPr="008E3032">
              <w:rPr>
                <w:rFonts w:ascii="Arial" w:hAnsi="Arial" w:cs="Arial"/>
                <w:sz w:val="20"/>
                <w:szCs w:val="20"/>
              </w:rPr>
              <w:t>60</w:t>
            </w:r>
          </w:p>
        </w:tc>
        <w:tc>
          <w:tcPr>
            <w:tcW w:w="3002" w:type="dxa"/>
          </w:tcPr>
          <w:p w14:paraId="163F8473"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100%</w:t>
            </w:r>
          </w:p>
        </w:tc>
        <w:tc>
          <w:tcPr>
            <w:tcW w:w="3006" w:type="dxa"/>
          </w:tcPr>
          <w:p w14:paraId="1DC8FEFB"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100%</w:t>
            </w:r>
          </w:p>
        </w:tc>
      </w:tr>
      <w:tr w:rsidR="00DA67E8" w:rsidRPr="005E2C7F" w14:paraId="1234C7A4" w14:textId="77777777" w:rsidTr="008E3032">
        <w:trPr>
          <w:jc w:val="center"/>
        </w:trPr>
        <w:tc>
          <w:tcPr>
            <w:tcW w:w="3114" w:type="dxa"/>
          </w:tcPr>
          <w:p w14:paraId="3C9A0374" w14:textId="77777777" w:rsidR="00DA67E8" w:rsidRPr="008E3032" w:rsidRDefault="00DA67E8" w:rsidP="008E3B41">
            <w:pPr>
              <w:ind w:right="142"/>
              <w:jc w:val="both"/>
              <w:rPr>
                <w:rFonts w:ascii="Arial" w:hAnsi="Arial" w:cs="Arial"/>
                <w:sz w:val="20"/>
                <w:szCs w:val="20"/>
              </w:rPr>
            </w:pPr>
            <w:r w:rsidRPr="008E3032">
              <w:rPr>
                <w:rFonts w:ascii="Arial" w:hAnsi="Arial" w:cs="Arial"/>
                <w:sz w:val="20"/>
                <w:szCs w:val="20"/>
              </w:rPr>
              <w:t>45-59</w:t>
            </w:r>
          </w:p>
        </w:tc>
        <w:tc>
          <w:tcPr>
            <w:tcW w:w="3002" w:type="dxa"/>
          </w:tcPr>
          <w:p w14:paraId="7B835EE4"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75%</w:t>
            </w:r>
          </w:p>
        </w:tc>
        <w:tc>
          <w:tcPr>
            <w:tcW w:w="3006" w:type="dxa"/>
          </w:tcPr>
          <w:p w14:paraId="79DC444A"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100%</w:t>
            </w:r>
          </w:p>
        </w:tc>
      </w:tr>
      <w:tr w:rsidR="00DA67E8" w:rsidRPr="005E2C7F" w14:paraId="0B4992E4" w14:textId="77777777" w:rsidTr="008E3032">
        <w:trPr>
          <w:jc w:val="center"/>
        </w:trPr>
        <w:tc>
          <w:tcPr>
            <w:tcW w:w="3114" w:type="dxa"/>
          </w:tcPr>
          <w:p w14:paraId="0DDBA2B1" w14:textId="77777777" w:rsidR="00DA67E8" w:rsidRPr="008E3032" w:rsidRDefault="00DA67E8" w:rsidP="008E3B41">
            <w:pPr>
              <w:ind w:right="142"/>
              <w:jc w:val="both"/>
              <w:rPr>
                <w:rFonts w:ascii="Arial" w:hAnsi="Arial" w:cs="Arial"/>
                <w:sz w:val="20"/>
                <w:szCs w:val="20"/>
              </w:rPr>
            </w:pPr>
            <w:r w:rsidRPr="008E3032">
              <w:rPr>
                <w:rFonts w:ascii="Arial" w:hAnsi="Arial" w:cs="Arial"/>
                <w:sz w:val="20"/>
                <w:szCs w:val="20"/>
              </w:rPr>
              <w:t>&lt;45</w:t>
            </w:r>
          </w:p>
        </w:tc>
        <w:tc>
          <w:tcPr>
            <w:tcW w:w="3002" w:type="dxa"/>
          </w:tcPr>
          <w:p w14:paraId="3DFD180C"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Discontinue</w:t>
            </w:r>
          </w:p>
        </w:tc>
        <w:tc>
          <w:tcPr>
            <w:tcW w:w="3006" w:type="dxa"/>
          </w:tcPr>
          <w:p w14:paraId="31906398"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Discontinue</w:t>
            </w:r>
          </w:p>
        </w:tc>
      </w:tr>
    </w:tbl>
    <w:p w14:paraId="2094F20C" w14:textId="77777777" w:rsidR="003B2AA7" w:rsidRPr="003B2AA7" w:rsidRDefault="003B2AA7" w:rsidP="003B2AA7">
      <w:pPr>
        <w:pStyle w:val="Heading4"/>
        <w:numPr>
          <w:ilvl w:val="0"/>
          <w:numId w:val="0"/>
        </w:numPr>
        <w:ind w:left="1418"/>
        <w:jc w:val="left"/>
        <w:rPr>
          <w:rFonts w:ascii="Arial" w:hAnsi="Arial" w:cs="Arial"/>
          <w:sz w:val="24"/>
          <w:szCs w:val="24"/>
          <w:lang w:val="en-US"/>
        </w:rPr>
      </w:pPr>
    </w:p>
    <w:p w14:paraId="0D167933" w14:textId="77777777" w:rsidR="00DA67E8" w:rsidRPr="003B2AA7" w:rsidRDefault="007A10CF" w:rsidP="003B2AA7">
      <w:pPr>
        <w:pStyle w:val="Heading4"/>
        <w:ind w:left="1418" w:hanging="1418"/>
        <w:jc w:val="left"/>
        <w:rPr>
          <w:rFonts w:ascii="Arial" w:hAnsi="Arial" w:cs="Arial"/>
          <w:sz w:val="24"/>
          <w:szCs w:val="24"/>
          <w:lang w:val="en-US"/>
        </w:rPr>
      </w:pPr>
      <w:r w:rsidRPr="003B2AA7">
        <w:rPr>
          <w:rFonts w:ascii="Arial" w:hAnsi="Arial" w:cs="Arial"/>
          <w:sz w:val="24"/>
          <w:szCs w:val="24"/>
          <w:lang w:val="en-US"/>
        </w:rPr>
        <w:t>P</w:t>
      </w:r>
      <w:r w:rsidR="00DA67E8" w:rsidRPr="003B2AA7">
        <w:rPr>
          <w:rFonts w:ascii="Arial" w:hAnsi="Arial" w:cs="Arial"/>
          <w:sz w:val="24"/>
          <w:szCs w:val="24"/>
          <w:lang w:val="en-US"/>
        </w:rPr>
        <w:t>emetrexed</w:t>
      </w:r>
      <w:r w:rsidRPr="003B2AA7">
        <w:rPr>
          <w:rFonts w:ascii="Arial" w:hAnsi="Arial" w:cs="Arial"/>
          <w:sz w:val="24"/>
          <w:szCs w:val="24"/>
          <w:lang w:val="en-US"/>
        </w:rPr>
        <w:t>/cisplatin</w:t>
      </w:r>
      <w:r w:rsidR="00DA67E8" w:rsidRPr="003B2AA7">
        <w:rPr>
          <w:rFonts w:ascii="Arial" w:hAnsi="Arial" w:cs="Arial"/>
          <w:sz w:val="24"/>
          <w:szCs w:val="24"/>
          <w:lang w:val="en-US"/>
        </w:rPr>
        <w:t xml:space="preserve"> doses to be administered in the presence of </w:t>
      </w:r>
      <w:proofErr w:type="spellStart"/>
      <w:r w:rsidR="00DA67E8" w:rsidRPr="003B2AA7">
        <w:rPr>
          <w:rFonts w:ascii="Arial" w:hAnsi="Arial" w:cs="Arial"/>
          <w:sz w:val="24"/>
          <w:szCs w:val="24"/>
          <w:lang w:val="en-US"/>
        </w:rPr>
        <w:t>haematological</w:t>
      </w:r>
      <w:proofErr w:type="spellEnd"/>
      <w:r w:rsidR="00DA67E8" w:rsidRPr="003B2AA7">
        <w:rPr>
          <w:rFonts w:ascii="Arial" w:hAnsi="Arial" w:cs="Arial"/>
          <w:sz w:val="24"/>
          <w:szCs w:val="24"/>
          <w:lang w:val="en-US"/>
        </w:rPr>
        <w:t>, non-</w:t>
      </w:r>
      <w:proofErr w:type="spellStart"/>
      <w:r w:rsidR="00DA67E8" w:rsidRPr="003B2AA7">
        <w:rPr>
          <w:rFonts w:ascii="Arial" w:hAnsi="Arial" w:cs="Arial"/>
          <w:sz w:val="24"/>
          <w:szCs w:val="24"/>
          <w:lang w:val="en-US"/>
        </w:rPr>
        <w:t>haematological</w:t>
      </w:r>
      <w:proofErr w:type="spellEnd"/>
      <w:r w:rsidR="00DA67E8" w:rsidRPr="003B2AA7">
        <w:rPr>
          <w:rFonts w:ascii="Arial" w:hAnsi="Arial" w:cs="Arial"/>
          <w:sz w:val="24"/>
          <w:szCs w:val="24"/>
          <w:lang w:val="en-US"/>
        </w:rPr>
        <w:t>, or neurological toxicities</w:t>
      </w:r>
    </w:p>
    <w:p w14:paraId="32344DE7" w14:textId="77777777" w:rsidR="00DA67E8" w:rsidRPr="008E3032" w:rsidRDefault="00DA67E8" w:rsidP="007B5DF4">
      <w:pPr>
        <w:ind w:right="-113"/>
        <w:jc w:val="both"/>
        <w:rPr>
          <w:rFonts w:ascii="Arial" w:hAnsi="Arial" w:cs="Arial"/>
          <w:sz w:val="22"/>
          <w:szCs w:val="22"/>
        </w:rPr>
      </w:pPr>
      <w:r w:rsidRPr="008E3032">
        <w:rPr>
          <w:rFonts w:ascii="Arial" w:hAnsi="Arial" w:cs="Arial"/>
          <w:sz w:val="22"/>
          <w:szCs w:val="22"/>
        </w:rPr>
        <w:t xml:space="preserve">Dose adjustments at the start of a subsequent cycle should be based on haematologic counts or maximum non-haematologic toxicity from the preceding cycle of therapy. Treatment should be delayed to allow sufficient time for recovery. Upon recovery, </w:t>
      </w:r>
      <w:r w:rsidR="001755A8">
        <w:rPr>
          <w:rFonts w:ascii="Arial" w:hAnsi="Arial" w:cs="Arial"/>
          <w:sz w:val="22"/>
          <w:szCs w:val="22"/>
        </w:rPr>
        <w:t xml:space="preserve">it is recommended </w:t>
      </w:r>
      <w:r w:rsidRPr="008E3032">
        <w:rPr>
          <w:rFonts w:ascii="Arial" w:hAnsi="Arial" w:cs="Arial"/>
          <w:sz w:val="22"/>
          <w:szCs w:val="22"/>
        </w:rPr>
        <w:t xml:space="preserve">patients </w:t>
      </w:r>
      <w:r w:rsidR="001755A8">
        <w:rPr>
          <w:rFonts w:ascii="Arial" w:hAnsi="Arial" w:cs="Arial"/>
          <w:sz w:val="22"/>
          <w:szCs w:val="22"/>
        </w:rPr>
        <w:t>are</w:t>
      </w:r>
      <w:r w:rsidRPr="008E3032">
        <w:rPr>
          <w:rFonts w:ascii="Arial" w:hAnsi="Arial" w:cs="Arial"/>
          <w:sz w:val="22"/>
          <w:szCs w:val="22"/>
        </w:rPr>
        <w:t xml:space="preserve"> retreated using the guidelines in the tables below.</w:t>
      </w:r>
    </w:p>
    <w:p w14:paraId="1B9D6F7C" w14:textId="77777777" w:rsidR="000603BC" w:rsidRDefault="000603BC" w:rsidP="008E3032">
      <w:pPr>
        <w:pStyle w:val="NonContentsHeading"/>
        <w:rPr>
          <w:rFonts w:ascii="Arial" w:hAnsi="Arial" w:cs="Arial"/>
          <w:lang w:val="en-US"/>
        </w:rPr>
      </w:pPr>
    </w:p>
    <w:p w14:paraId="01CAB65A" w14:textId="77777777" w:rsidR="00DA67E8" w:rsidRPr="003B2AA7" w:rsidRDefault="00DA67E8" w:rsidP="003B2AA7">
      <w:pPr>
        <w:pStyle w:val="Heading4"/>
        <w:ind w:left="1418" w:hanging="1418"/>
        <w:jc w:val="left"/>
        <w:rPr>
          <w:rFonts w:ascii="Arial" w:hAnsi="Arial" w:cs="Arial"/>
          <w:sz w:val="24"/>
          <w:szCs w:val="24"/>
          <w:lang w:val="en-US"/>
        </w:rPr>
      </w:pPr>
      <w:r w:rsidRPr="003B2AA7">
        <w:rPr>
          <w:rFonts w:ascii="Arial" w:hAnsi="Arial" w:cs="Arial"/>
          <w:sz w:val="24"/>
          <w:szCs w:val="24"/>
          <w:lang w:val="en-US"/>
        </w:rPr>
        <w:t xml:space="preserve">Doses in the presence of </w:t>
      </w:r>
      <w:proofErr w:type="spellStart"/>
      <w:r w:rsidRPr="003B2AA7">
        <w:rPr>
          <w:rFonts w:ascii="Arial" w:hAnsi="Arial" w:cs="Arial"/>
          <w:sz w:val="24"/>
          <w:szCs w:val="24"/>
          <w:lang w:val="en-US"/>
        </w:rPr>
        <w:t>Haematological</w:t>
      </w:r>
      <w:proofErr w:type="spellEnd"/>
      <w:r w:rsidRPr="003B2AA7">
        <w:rPr>
          <w:rFonts w:ascii="Arial" w:hAnsi="Arial" w:cs="Arial"/>
          <w:sz w:val="24"/>
          <w:szCs w:val="24"/>
          <w:lang w:val="en-US"/>
        </w:rPr>
        <w:t xml:space="preserve"> Toxicity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79"/>
        <w:gridCol w:w="652"/>
        <w:gridCol w:w="2485"/>
        <w:gridCol w:w="1683"/>
        <w:gridCol w:w="1704"/>
      </w:tblGrid>
      <w:tr w:rsidR="00DA67E8" w:rsidRPr="009770EB" w14:paraId="08AAE501" w14:textId="77777777" w:rsidTr="007B5DF4">
        <w:tc>
          <w:tcPr>
            <w:tcW w:w="2776" w:type="dxa"/>
            <w:vAlign w:val="center"/>
          </w:tcPr>
          <w:p w14:paraId="58C2470D" w14:textId="77777777" w:rsidR="00DA67E8" w:rsidRPr="008E3032" w:rsidRDefault="00DA67E8" w:rsidP="008E3B41">
            <w:pPr>
              <w:ind w:right="-108"/>
              <w:jc w:val="both"/>
              <w:rPr>
                <w:rFonts w:ascii="Arial" w:hAnsi="Arial" w:cs="Arial"/>
                <w:b/>
                <w:sz w:val="20"/>
                <w:szCs w:val="20"/>
              </w:rPr>
            </w:pPr>
          </w:p>
        </w:tc>
        <w:tc>
          <w:tcPr>
            <w:tcW w:w="660" w:type="dxa"/>
            <w:vAlign w:val="center"/>
          </w:tcPr>
          <w:p w14:paraId="302CABF2" w14:textId="77777777" w:rsidR="00DA67E8" w:rsidRPr="008E3032" w:rsidRDefault="00DA67E8" w:rsidP="008E3B41">
            <w:pPr>
              <w:ind w:right="-108"/>
              <w:rPr>
                <w:rFonts w:ascii="Arial" w:hAnsi="Arial" w:cs="Arial"/>
                <w:b/>
                <w:sz w:val="20"/>
                <w:szCs w:val="20"/>
              </w:rPr>
            </w:pPr>
          </w:p>
        </w:tc>
        <w:tc>
          <w:tcPr>
            <w:tcW w:w="2569" w:type="dxa"/>
            <w:vAlign w:val="center"/>
          </w:tcPr>
          <w:p w14:paraId="3CCD34D0" w14:textId="77777777" w:rsidR="00DA67E8" w:rsidRPr="008E3032" w:rsidRDefault="00DA67E8" w:rsidP="008E3B41">
            <w:pPr>
              <w:ind w:right="-108"/>
              <w:jc w:val="both"/>
              <w:rPr>
                <w:rFonts w:ascii="Arial" w:hAnsi="Arial" w:cs="Arial"/>
                <w:b/>
                <w:sz w:val="20"/>
                <w:szCs w:val="20"/>
              </w:rPr>
            </w:pPr>
          </w:p>
        </w:tc>
        <w:tc>
          <w:tcPr>
            <w:tcW w:w="3424" w:type="dxa"/>
            <w:gridSpan w:val="2"/>
          </w:tcPr>
          <w:p w14:paraId="276FD77F" w14:textId="77777777" w:rsidR="00DA67E8" w:rsidRPr="008E3032" w:rsidRDefault="00DA67E8" w:rsidP="008E3B41">
            <w:pPr>
              <w:ind w:right="142"/>
              <w:jc w:val="center"/>
              <w:rPr>
                <w:rFonts w:ascii="Arial" w:hAnsi="Arial" w:cs="Arial"/>
                <w:b/>
                <w:sz w:val="20"/>
                <w:szCs w:val="20"/>
              </w:rPr>
            </w:pPr>
            <w:r w:rsidRPr="008E3032">
              <w:rPr>
                <w:rFonts w:ascii="Arial" w:hAnsi="Arial" w:cs="Arial"/>
                <w:b/>
                <w:sz w:val="20"/>
                <w:szCs w:val="20"/>
              </w:rPr>
              <w:t>Day 1 (% of previous dose)</w:t>
            </w:r>
          </w:p>
        </w:tc>
      </w:tr>
      <w:tr w:rsidR="00DA67E8" w:rsidRPr="009770EB" w14:paraId="3E02AB3C" w14:textId="77777777" w:rsidTr="007B5DF4">
        <w:trPr>
          <w:trHeight w:val="528"/>
        </w:trPr>
        <w:tc>
          <w:tcPr>
            <w:tcW w:w="2776" w:type="dxa"/>
            <w:vAlign w:val="center"/>
          </w:tcPr>
          <w:p w14:paraId="1F1FFDE1" w14:textId="77777777" w:rsidR="00DA67E8" w:rsidRPr="008E3032" w:rsidRDefault="00DA67E8" w:rsidP="008E3B41">
            <w:pPr>
              <w:ind w:right="-108"/>
              <w:jc w:val="center"/>
              <w:rPr>
                <w:rFonts w:ascii="Arial" w:hAnsi="Arial" w:cs="Arial"/>
                <w:b/>
                <w:sz w:val="20"/>
                <w:szCs w:val="20"/>
              </w:rPr>
            </w:pPr>
            <w:r w:rsidRPr="008E3032">
              <w:rPr>
                <w:rFonts w:ascii="Arial" w:hAnsi="Arial" w:cs="Arial"/>
                <w:b/>
                <w:sz w:val="20"/>
                <w:szCs w:val="20"/>
              </w:rPr>
              <w:t>ANC (x10</w:t>
            </w:r>
            <w:r w:rsidRPr="008E3032">
              <w:rPr>
                <w:rFonts w:ascii="Arial" w:hAnsi="Arial" w:cs="Arial"/>
                <w:b/>
                <w:sz w:val="20"/>
                <w:szCs w:val="20"/>
                <w:vertAlign w:val="superscript"/>
              </w:rPr>
              <w:t>9</w:t>
            </w:r>
            <w:r w:rsidRPr="008E3032">
              <w:rPr>
                <w:rFonts w:ascii="Arial" w:hAnsi="Arial" w:cs="Arial"/>
                <w:b/>
                <w:sz w:val="20"/>
                <w:szCs w:val="20"/>
              </w:rPr>
              <w:t>/L)</w:t>
            </w:r>
          </w:p>
        </w:tc>
        <w:tc>
          <w:tcPr>
            <w:tcW w:w="660" w:type="dxa"/>
            <w:vAlign w:val="center"/>
          </w:tcPr>
          <w:p w14:paraId="295B6227" w14:textId="77777777" w:rsidR="00DA67E8" w:rsidRPr="008E3032" w:rsidRDefault="00DA67E8" w:rsidP="008E3032">
            <w:pPr>
              <w:ind w:right="-108"/>
              <w:jc w:val="center"/>
              <w:rPr>
                <w:rFonts w:ascii="Arial" w:hAnsi="Arial" w:cs="Arial"/>
                <w:b/>
                <w:sz w:val="20"/>
                <w:szCs w:val="20"/>
              </w:rPr>
            </w:pPr>
          </w:p>
        </w:tc>
        <w:tc>
          <w:tcPr>
            <w:tcW w:w="2569" w:type="dxa"/>
            <w:vAlign w:val="center"/>
          </w:tcPr>
          <w:p w14:paraId="31D13B99" w14:textId="77777777" w:rsidR="00DA67E8" w:rsidRPr="008E3032" w:rsidRDefault="00DA67E8" w:rsidP="008E3B41">
            <w:pPr>
              <w:ind w:right="-108"/>
              <w:jc w:val="center"/>
              <w:rPr>
                <w:rFonts w:ascii="Arial" w:hAnsi="Arial" w:cs="Arial"/>
                <w:b/>
                <w:sz w:val="20"/>
                <w:szCs w:val="20"/>
              </w:rPr>
            </w:pPr>
            <w:r w:rsidRPr="008E3032">
              <w:rPr>
                <w:rFonts w:ascii="Arial" w:hAnsi="Arial" w:cs="Arial"/>
                <w:b/>
                <w:sz w:val="20"/>
                <w:szCs w:val="20"/>
              </w:rPr>
              <w:t>Platelets (x10</w:t>
            </w:r>
            <w:r w:rsidRPr="008E3032">
              <w:rPr>
                <w:rFonts w:ascii="Arial" w:hAnsi="Arial" w:cs="Arial"/>
                <w:b/>
                <w:sz w:val="20"/>
                <w:szCs w:val="20"/>
                <w:vertAlign w:val="superscript"/>
              </w:rPr>
              <w:t>9</w:t>
            </w:r>
            <w:r w:rsidRPr="008E3032">
              <w:rPr>
                <w:rFonts w:ascii="Arial" w:hAnsi="Arial" w:cs="Arial"/>
                <w:b/>
                <w:sz w:val="20"/>
                <w:szCs w:val="20"/>
              </w:rPr>
              <w:t>/L)</w:t>
            </w:r>
          </w:p>
        </w:tc>
        <w:tc>
          <w:tcPr>
            <w:tcW w:w="1704" w:type="dxa"/>
            <w:vAlign w:val="center"/>
          </w:tcPr>
          <w:p w14:paraId="42E836B9" w14:textId="77777777" w:rsidR="00DA67E8" w:rsidRPr="008E3032" w:rsidRDefault="00DA67E8" w:rsidP="008E3B41">
            <w:pPr>
              <w:ind w:right="142"/>
              <w:jc w:val="center"/>
              <w:rPr>
                <w:rFonts w:ascii="Arial" w:hAnsi="Arial" w:cs="Arial"/>
                <w:b/>
                <w:sz w:val="20"/>
                <w:szCs w:val="20"/>
              </w:rPr>
            </w:pPr>
            <w:r w:rsidRPr="008E3032">
              <w:rPr>
                <w:rFonts w:ascii="Arial" w:hAnsi="Arial" w:cs="Arial"/>
                <w:b/>
                <w:sz w:val="20"/>
                <w:szCs w:val="20"/>
              </w:rPr>
              <w:t>Cisplatin</w:t>
            </w:r>
          </w:p>
        </w:tc>
        <w:tc>
          <w:tcPr>
            <w:tcW w:w="1720" w:type="dxa"/>
            <w:vAlign w:val="center"/>
          </w:tcPr>
          <w:p w14:paraId="61881E63" w14:textId="77777777" w:rsidR="00DA67E8" w:rsidRPr="008E3032" w:rsidRDefault="00DA67E8" w:rsidP="008E3B41">
            <w:pPr>
              <w:ind w:right="142"/>
              <w:jc w:val="center"/>
              <w:rPr>
                <w:rFonts w:ascii="Arial" w:hAnsi="Arial" w:cs="Arial"/>
                <w:b/>
                <w:sz w:val="20"/>
                <w:szCs w:val="20"/>
              </w:rPr>
            </w:pPr>
            <w:r w:rsidRPr="008E3032">
              <w:rPr>
                <w:rFonts w:ascii="Arial" w:hAnsi="Arial" w:cs="Arial"/>
                <w:b/>
                <w:sz w:val="20"/>
                <w:szCs w:val="20"/>
              </w:rPr>
              <w:t>Pemetrexed</w:t>
            </w:r>
          </w:p>
        </w:tc>
      </w:tr>
      <w:tr w:rsidR="00DA67E8" w:rsidRPr="009770EB" w14:paraId="2D8C8952" w14:textId="77777777" w:rsidTr="007B5DF4">
        <w:tc>
          <w:tcPr>
            <w:tcW w:w="2776" w:type="dxa"/>
            <w:vAlign w:val="center"/>
          </w:tcPr>
          <w:p w14:paraId="076FEC86" w14:textId="77777777" w:rsidR="00DA67E8" w:rsidRPr="008E3032" w:rsidRDefault="00DA67E8" w:rsidP="008E3B41">
            <w:pPr>
              <w:ind w:right="-108"/>
              <w:jc w:val="center"/>
              <w:rPr>
                <w:rFonts w:ascii="Arial" w:hAnsi="Arial" w:cs="Arial"/>
                <w:sz w:val="20"/>
                <w:szCs w:val="20"/>
              </w:rPr>
            </w:pPr>
            <w:r w:rsidRPr="008E3032">
              <w:rPr>
                <w:rFonts w:ascii="Arial" w:hAnsi="Arial" w:cs="Arial"/>
                <w:sz w:val="20"/>
                <w:szCs w:val="20"/>
              </w:rPr>
              <w:sym w:font="Symbol" w:char="F0B3"/>
            </w:r>
            <w:r w:rsidRPr="008E3032">
              <w:rPr>
                <w:rFonts w:ascii="Arial" w:hAnsi="Arial" w:cs="Arial"/>
                <w:sz w:val="20"/>
                <w:szCs w:val="20"/>
              </w:rPr>
              <w:t xml:space="preserve"> 0.5</w:t>
            </w:r>
          </w:p>
        </w:tc>
        <w:tc>
          <w:tcPr>
            <w:tcW w:w="660" w:type="dxa"/>
            <w:vAlign w:val="center"/>
          </w:tcPr>
          <w:p w14:paraId="6BD18E58" w14:textId="77777777" w:rsidR="00DA67E8" w:rsidRPr="008E3032" w:rsidRDefault="00DA67E8" w:rsidP="008E3032">
            <w:pPr>
              <w:ind w:right="-108"/>
              <w:jc w:val="center"/>
              <w:rPr>
                <w:rFonts w:ascii="Arial" w:hAnsi="Arial" w:cs="Arial"/>
                <w:sz w:val="20"/>
                <w:szCs w:val="20"/>
              </w:rPr>
            </w:pPr>
            <w:r w:rsidRPr="008E3032">
              <w:rPr>
                <w:rFonts w:ascii="Arial" w:hAnsi="Arial" w:cs="Arial"/>
                <w:sz w:val="20"/>
                <w:szCs w:val="20"/>
              </w:rPr>
              <w:t>and</w:t>
            </w:r>
          </w:p>
        </w:tc>
        <w:tc>
          <w:tcPr>
            <w:tcW w:w="2569" w:type="dxa"/>
            <w:vAlign w:val="center"/>
          </w:tcPr>
          <w:p w14:paraId="614EB29D" w14:textId="77777777" w:rsidR="00DA67E8" w:rsidRPr="008E3032" w:rsidRDefault="00DA67E8" w:rsidP="008E3B41">
            <w:pPr>
              <w:ind w:right="-108"/>
              <w:jc w:val="center"/>
              <w:rPr>
                <w:rFonts w:ascii="Arial" w:hAnsi="Arial" w:cs="Arial"/>
                <w:sz w:val="20"/>
                <w:szCs w:val="20"/>
              </w:rPr>
            </w:pPr>
            <w:r w:rsidRPr="008E3032">
              <w:rPr>
                <w:rFonts w:ascii="Arial" w:hAnsi="Arial" w:cs="Arial"/>
                <w:sz w:val="20"/>
                <w:szCs w:val="20"/>
              </w:rPr>
              <w:sym w:font="Symbol" w:char="F0B3"/>
            </w:r>
            <w:r w:rsidRPr="008E3032">
              <w:rPr>
                <w:rFonts w:ascii="Arial" w:hAnsi="Arial" w:cs="Arial"/>
                <w:sz w:val="20"/>
                <w:szCs w:val="20"/>
              </w:rPr>
              <w:t xml:space="preserve"> 50</w:t>
            </w:r>
          </w:p>
        </w:tc>
        <w:tc>
          <w:tcPr>
            <w:tcW w:w="1704" w:type="dxa"/>
            <w:vAlign w:val="center"/>
          </w:tcPr>
          <w:p w14:paraId="23271990"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100%</w:t>
            </w:r>
          </w:p>
        </w:tc>
        <w:tc>
          <w:tcPr>
            <w:tcW w:w="1720" w:type="dxa"/>
            <w:vAlign w:val="center"/>
          </w:tcPr>
          <w:p w14:paraId="2E0C6BB3"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100%</w:t>
            </w:r>
          </w:p>
        </w:tc>
      </w:tr>
      <w:tr w:rsidR="00DA67E8" w:rsidRPr="009770EB" w14:paraId="09C58BAD" w14:textId="77777777" w:rsidTr="007B5DF4">
        <w:tc>
          <w:tcPr>
            <w:tcW w:w="2776" w:type="dxa"/>
            <w:vAlign w:val="center"/>
          </w:tcPr>
          <w:p w14:paraId="037CD9B9"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&lt;0.5</w:t>
            </w:r>
          </w:p>
        </w:tc>
        <w:tc>
          <w:tcPr>
            <w:tcW w:w="660" w:type="dxa"/>
            <w:vAlign w:val="center"/>
          </w:tcPr>
          <w:p w14:paraId="67B933E5" w14:textId="77777777" w:rsidR="00DA67E8" w:rsidRPr="008E3032" w:rsidRDefault="00DA67E8" w:rsidP="008E3032">
            <w:pPr>
              <w:ind w:right="-108"/>
              <w:jc w:val="center"/>
              <w:rPr>
                <w:rFonts w:ascii="Arial" w:hAnsi="Arial" w:cs="Arial"/>
                <w:sz w:val="20"/>
                <w:szCs w:val="20"/>
              </w:rPr>
            </w:pPr>
            <w:r w:rsidRPr="008E3032">
              <w:rPr>
                <w:rFonts w:ascii="Arial" w:hAnsi="Arial" w:cs="Arial"/>
                <w:sz w:val="20"/>
                <w:szCs w:val="20"/>
              </w:rPr>
              <w:t>and</w:t>
            </w:r>
          </w:p>
        </w:tc>
        <w:tc>
          <w:tcPr>
            <w:tcW w:w="2569" w:type="dxa"/>
            <w:vAlign w:val="center"/>
          </w:tcPr>
          <w:p w14:paraId="4708C00B"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sym w:font="Symbol" w:char="F0B3"/>
            </w:r>
            <w:r w:rsidRPr="008E3032">
              <w:rPr>
                <w:rFonts w:ascii="Arial" w:hAnsi="Arial" w:cs="Arial"/>
                <w:sz w:val="20"/>
                <w:szCs w:val="20"/>
              </w:rPr>
              <w:t xml:space="preserve"> 50</w:t>
            </w:r>
          </w:p>
        </w:tc>
        <w:tc>
          <w:tcPr>
            <w:tcW w:w="1704" w:type="dxa"/>
            <w:vAlign w:val="center"/>
          </w:tcPr>
          <w:p w14:paraId="35BC3665"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75%</w:t>
            </w:r>
          </w:p>
        </w:tc>
        <w:tc>
          <w:tcPr>
            <w:tcW w:w="1720" w:type="dxa"/>
            <w:vAlign w:val="center"/>
          </w:tcPr>
          <w:p w14:paraId="107F96B6"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75%</w:t>
            </w:r>
          </w:p>
        </w:tc>
      </w:tr>
      <w:tr w:rsidR="00DA67E8" w:rsidRPr="009770EB" w14:paraId="1E8DF986" w14:textId="77777777" w:rsidTr="007B5DF4">
        <w:tc>
          <w:tcPr>
            <w:tcW w:w="2776" w:type="dxa"/>
            <w:vAlign w:val="center"/>
          </w:tcPr>
          <w:p w14:paraId="7A8C313A"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Any</w:t>
            </w:r>
          </w:p>
        </w:tc>
        <w:tc>
          <w:tcPr>
            <w:tcW w:w="660" w:type="dxa"/>
            <w:vAlign w:val="center"/>
          </w:tcPr>
          <w:p w14:paraId="6F4985EA" w14:textId="77777777" w:rsidR="00DA67E8" w:rsidRPr="008E3032" w:rsidRDefault="00DA67E8" w:rsidP="008E3032">
            <w:pPr>
              <w:ind w:right="-108"/>
              <w:jc w:val="center"/>
              <w:rPr>
                <w:rFonts w:ascii="Arial" w:hAnsi="Arial" w:cs="Arial"/>
                <w:sz w:val="20"/>
                <w:szCs w:val="20"/>
              </w:rPr>
            </w:pPr>
            <w:r w:rsidRPr="008E3032">
              <w:rPr>
                <w:rFonts w:ascii="Arial" w:hAnsi="Arial" w:cs="Arial"/>
                <w:sz w:val="20"/>
                <w:szCs w:val="20"/>
              </w:rPr>
              <w:t>and</w:t>
            </w:r>
          </w:p>
        </w:tc>
        <w:tc>
          <w:tcPr>
            <w:tcW w:w="2569" w:type="dxa"/>
            <w:vAlign w:val="center"/>
          </w:tcPr>
          <w:p w14:paraId="72A347FC"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&lt;50</w:t>
            </w:r>
          </w:p>
        </w:tc>
        <w:tc>
          <w:tcPr>
            <w:tcW w:w="1704" w:type="dxa"/>
            <w:vAlign w:val="center"/>
          </w:tcPr>
          <w:p w14:paraId="7D0D70A0"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75%</w:t>
            </w:r>
          </w:p>
        </w:tc>
        <w:tc>
          <w:tcPr>
            <w:tcW w:w="1720" w:type="dxa"/>
            <w:vAlign w:val="center"/>
          </w:tcPr>
          <w:p w14:paraId="07A6A17D"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75%</w:t>
            </w:r>
          </w:p>
        </w:tc>
      </w:tr>
      <w:tr w:rsidR="00DA67E8" w:rsidRPr="009770EB" w14:paraId="4593F14E" w14:textId="77777777" w:rsidTr="007B5DF4">
        <w:tc>
          <w:tcPr>
            <w:tcW w:w="2776" w:type="dxa"/>
            <w:vAlign w:val="center"/>
          </w:tcPr>
          <w:p w14:paraId="47AA5D99"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Any</w:t>
            </w:r>
          </w:p>
        </w:tc>
        <w:tc>
          <w:tcPr>
            <w:tcW w:w="660" w:type="dxa"/>
            <w:vAlign w:val="center"/>
          </w:tcPr>
          <w:p w14:paraId="6DD5A134" w14:textId="77777777" w:rsidR="00DA67E8" w:rsidRPr="008E3032" w:rsidRDefault="00DA67E8" w:rsidP="008E3032">
            <w:pPr>
              <w:ind w:right="-108"/>
              <w:jc w:val="center"/>
              <w:rPr>
                <w:rFonts w:ascii="Arial" w:hAnsi="Arial" w:cs="Arial"/>
                <w:sz w:val="20"/>
                <w:szCs w:val="20"/>
              </w:rPr>
            </w:pPr>
            <w:r w:rsidRPr="008E3032">
              <w:rPr>
                <w:rFonts w:ascii="Arial" w:hAnsi="Arial" w:cs="Arial"/>
                <w:sz w:val="20"/>
                <w:szCs w:val="20"/>
              </w:rPr>
              <w:t>and</w:t>
            </w:r>
          </w:p>
        </w:tc>
        <w:tc>
          <w:tcPr>
            <w:tcW w:w="2569" w:type="dxa"/>
            <w:vAlign w:val="center"/>
          </w:tcPr>
          <w:p w14:paraId="379633F0"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 xml:space="preserve">&lt;50 with </w:t>
            </w:r>
            <w:proofErr w:type="spellStart"/>
            <w:r w:rsidRPr="008E3032">
              <w:rPr>
                <w:rFonts w:ascii="Arial" w:hAnsi="Arial" w:cs="Arial"/>
                <w:sz w:val="20"/>
                <w:szCs w:val="20"/>
              </w:rPr>
              <w:t>bleeding</w:t>
            </w:r>
            <w:r w:rsidRPr="008E3032">
              <w:rPr>
                <w:rFonts w:ascii="Arial" w:hAnsi="Arial" w:cs="Arial"/>
                <w:sz w:val="20"/>
                <w:szCs w:val="20"/>
                <w:vertAlign w:val="superscript"/>
              </w:rPr>
              <w:t>a</w:t>
            </w:r>
            <w:proofErr w:type="spellEnd"/>
          </w:p>
        </w:tc>
        <w:tc>
          <w:tcPr>
            <w:tcW w:w="1704" w:type="dxa"/>
            <w:vAlign w:val="center"/>
          </w:tcPr>
          <w:p w14:paraId="18535555"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50%</w:t>
            </w:r>
          </w:p>
        </w:tc>
        <w:tc>
          <w:tcPr>
            <w:tcW w:w="1720" w:type="dxa"/>
            <w:vAlign w:val="center"/>
          </w:tcPr>
          <w:p w14:paraId="4FFD5ADF"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50%</w:t>
            </w:r>
          </w:p>
        </w:tc>
      </w:tr>
      <w:tr w:rsidR="00DA67E8" w:rsidRPr="009770EB" w14:paraId="1319B81C" w14:textId="77777777" w:rsidTr="007B5DF4">
        <w:tc>
          <w:tcPr>
            <w:tcW w:w="2776" w:type="dxa"/>
            <w:vAlign w:val="center"/>
          </w:tcPr>
          <w:p w14:paraId="579D2470"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Febrile neutropenia</w:t>
            </w:r>
          </w:p>
        </w:tc>
        <w:tc>
          <w:tcPr>
            <w:tcW w:w="660" w:type="dxa"/>
            <w:vAlign w:val="center"/>
          </w:tcPr>
          <w:p w14:paraId="428BB421" w14:textId="77777777" w:rsidR="00DA67E8" w:rsidRPr="008E3032" w:rsidRDefault="00DA67E8" w:rsidP="008E3032">
            <w:pPr>
              <w:ind w:right="-108"/>
              <w:jc w:val="center"/>
              <w:rPr>
                <w:rFonts w:ascii="Arial" w:hAnsi="Arial" w:cs="Arial"/>
                <w:sz w:val="20"/>
                <w:szCs w:val="20"/>
              </w:rPr>
            </w:pPr>
            <w:r w:rsidRPr="008E3032">
              <w:rPr>
                <w:rFonts w:ascii="Arial" w:hAnsi="Arial" w:cs="Arial"/>
                <w:sz w:val="20"/>
                <w:szCs w:val="20"/>
              </w:rPr>
              <w:t>and</w:t>
            </w:r>
          </w:p>
        </w:tc>
        <w:tc>
          <w:tcPr>
            <w:tcW w:w="2569" w:type="dxa"/>
            <w:vAlign w:val="center"/>
          </w:tcPr>
          <w:p w14:paraId="048A2EDB"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Any</w:t>
            </w:r>
          </w:p>
        </w:tc>
        <w:tc>
          <w:tcPr>
            <w:tcW w:w="1704" w:type="dxa"/>
            <w:vAlign w:val="center"/>
          </w:tcPr>
          <w:p w14:paraId="44344B5E"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75%</w:t>
            </w:r>
          </w:p>
        </w:tc>
        <w:tc>
          <w:tcPr>
            <w:tcW w:w="1720" w:type="dxa"/>
            <w:vAlign w:val="center"/>
          </w:tcPr>
          <w:p w14:paraId="253C3DC0"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75%</w:t>
            </w:r>
          </w:p>
        </w:tc>
      </w:tr>
      <w:tr w:rsidR="00DA67E8" w:rsidRPr="009770EB" w14:paraId="40F30CF5" w14:textId="77777777" w:rsidTr="007B5DF4">
        <w:tc>
          <w:tcPr>
            <w:tcW w:w="2776" w:type="dxa"/>
            <w:vAlign w:val="center"/>
          </w:tcPr>
          <w:p w14:paraId="5CB8B6FA"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Recurrence of decreased neutrophil count of CTCAE</w:t>
            </w:r>
            <w:r>
              <w:rPr>
                <w:rFonts w:ascii="Arial" w:hAnsi="Arial" w:cs="Arial"/>
                <w:sz w:val="20"/>
                <w:szCs w:val="20"/>
              </w:rPr>
              <w:t xml:space="preserve"> v4.0</w:t>
            </w:r>
            <w:r w:rsidRPr="008E3032">
              <w:rPr>
                <w:rFonts w:ascii="Arial" w:hAnsi="Arial" w:cs="Arial"/>
                <w:sz w:val="20"/>
                <w:szCs w:val="20"/>
              </w:rPr>
              <w:t xml:space="preserve"> Grade 3 or 4 after 2 dose reductions</w:t>
            </w:r>
          </w:p>
        </w:tc>
        <w:tc>
          <w:tcPr>
            <w:tcW w:w="660" w:type="dxa"/>
            <w:vAlign w:val="center"/>
          </w:tcPr>
          <w:p w14:paraId="3550867D" w14:textId="77777777" w:rsidR="00DA67E8" w:rsidRPr="008E3032" w:rsidRDefault="00DA67E8" w:rsidP="008E3032">
            <w:pPr>
              <w:ind w:right="-108"/>
              <w:jc w:val="center"/>
              <w:rPr>
                <w:rFonts w:ascii="Arial" w:hAnsi="Arial" w:cs="Arial"/>
                <w:sz w:val="20"/>
                <w:szCs w:val="20"/>
              </w:rPr>
            </w:pPr>
            <w:r w:rsidRPr="008E3032">
              <w:rPr>
                <w:rFonts w:ascii="Arial" w:hAnsi="Arial" w:cs="Arial"/>
                <w:sz w:val="20"/>
                <w:szCs w:val="20"/>
              </w:rPr>
              <w:t>or</w:t>
            </w:r>
          </w:p>
        </w:tc>
        <w:tc>
          <w:tcPr>
            <w:tcW w:w="2569" w:type="dxa"/>
            <w:vAlign w:val="center"/>
          </w:tcPr>
          <w:p w14:paraId="6D4431F0" w14:textId="77777777" w:rsidR="00DA67E8" w:rsidRPr="008E3032" w:rsidRDefault="00DA67E8" w:rsidP="008E3032">
            <w:pPr>
              <w:ind w:right="142"/>
              <w:jc w:val="center"/>
              <w:rPr>
                <w:rFonts w:ascii="Arial" w:hAnsi="Arial" w:cs="Arial"/>
                <w:sz w:val="20"/>
                <w:szCs w:val="20"/>
              </w:rPr>
            </w:pPr>
            <w:r w:rsidRPr="008E3032">
              <w:rPr>
                <w:rFonts w:ascii="Arial" w:hAnsi="Arial" w:cs="Arial"/>
                <w:sz w:val="20"/>
                <w:szCs w:val="20"/>
              </w:rPr>
              <w:t>Recurrence of decreased platelet count of CTCAE</w:t>
            </w:r>
            <w:r>
              <w:rPr>
                <w:rFonts w:ascii="Arial" w:hAnsi="Arial" w:cs="Arial"/>
                <w:sz w:val="20"/>
                <w:szCs w:val="20"/>
              </w:rPr>
              <w:t xml:space="preserve"> v4.0</w:t>
            </w:r>
            <w:r w:rsidRPr="008E3032">
              <w:rPr>
                <w:rFonts w:ascii="Arial" w:hAnsi="Arial" w:cs="Arial"/>
                <w:sz w:val="20"/>
                <w:szCs w:val="20"/>
              </w:rPr>
              <w:t xml:space="preserve"> Grade 3 or 4 after 2 dose reductions</w:t>
            </w:r>
          </w:p>
        </w:tc>
        <w:tc>
          <w:tcPr>
            <w:tcW w:w="1704" w:type="dxa"/>
            <w:vAlign w:val="center"/>
          </w:tcPr>
          <w:p w14:paraId="6C3CBDCB"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Discontinue patient from trial</w:t>
            </w:r>
          </w:p>
        </w:tc>
        <w:tc>
          <w:tcPr>
            <w:tcW w:w="1720" w:type="dxa"/>
            <w:vAlign w:val="center"/>
          </w:tcPr>
          <w:p w14:paraId="714A0D74" w14:textId="77777777" w:rsidR="00DA67E8" w:rsidRPr="008E3032" w:rsidRDefault="00DA67E8" w:rsidP="008E3B41">
            <w:pPr>
              <w:ind w:right="142"/>
              <w:jc w:val="center"/>
              <w:rPr>
                <w:rFonts w:ascii="Arial" w:hAnsi="Arial" w:cs="Arial"/>
                <w:sz w:val="20"/>
                <w:szCs w:val="20"/>
              </w:rPr>
            </w:pPr>
            <w:r w:rsidRPr="008E3032">
              <w:rPr>
                <w:rFonts w:ascii="Arial" w:hAnsi="Arial" w:cs="Arial"/>
                <w:sz w:val="20"/>
                <w:szCs w:val="20"/>
              </w:rPr>
              <w:t>Discontinue patient from trial</w:t>
            </w:r>
          </w:p>
        </w:tc>
      </w:tr>
    </w:tbl>
    <w:p w14:paraId="4744E98C" w14:textId="77777777" w:rsidR="00DA67E8" w:rsidRPr="005A6367" w:rsidRDefault="00DA67E8" w:rsidP="005A6367">
      <w:pPr>
        <w:spacing w:after="120"/>
        <w:ind w:right="142"/>
        <w:jc w:val="both"/>
        <w:rPr>
          <w:rFonts w:ascii="Arial" w:hAnsi="Arial" w:cs="Arial"/>
          <w:sz w:val="18"/>
          <w:szCs w:val="18"/>
        </w:rPr>
      </w:pPr>
      <w:r w:rsidRPr="005A6367">
        <w:rPr>
          <w:rFonts w:ascii="Arial" w:hAnsi="Arial" w:cs="Arial"/>
          <w:sz w:val="18"/>
          <w:szCs w:val="18"/>
          <w:vertAlign w:val="superscript"/>
        </w:rPr>
        <w:t>a</w:t>
      </w:r>
      <w:r w:rsidR="008533D3">
        <w:rPr>
          <w:rFonts w:ascii="Arial" w:hAnsi="Arial" w:cs="Arial"/>
          <w:sz w:val="18"/>
          <w:szCs w:val="18"/>
          <w:vertAlign w:val="superscript"/>
        </w:rPr>
        <w:t xml:space="preserve"> </w:t>
      </w:r>
      <w:r w:rsidRPr="005A6367">
        <w:rPr>
          <w:rFonts w:ascii="Arial" w:hAnsi="Arial" w:cs="Arial"/>
          <w:sz w:val="18"/>
          <w:szCs w:val="18"/>
        </w:rPr>
        <w:t>Criteria meet the CTCAE version 4.0 definition of ≥ Grade 3 bleeding.</w:t>
      </w:r>
      <w:r w:rsidR="005A6367" w:rsidRPr="005A6367">
        <w:rPr>
          <w:rFonts w:ascii="Arial" w:hAnsi="Arial" w:cs="Arial"/>
          <w:sz w:val="18"/>
          <w:szCs w:val="18"/>
        </w:rPr>
        <w:t xml:space="preserve"> </w:t>
      </w:r>
      <w:r w:rsidRPr="005A6367">
        <w:rPr>
          <w:rFonts w:ascii="Arial" w:hAnsi="Arial" w:cs="Arial"/>
          <w:sz w:val="18"/>
          <w:szCs w:val="18"/>
        </w:rPr>
        <w:t>Dose reduction is maintained into subsequent cycles.</w:t>
      </w:r>
    </w:p>
    <w:p w14:paraId="39C071D5" w14:textId="77777777" w:rsidR="00DA67E8" w:rsidRPr="003B2AA7" w:rsidRDefault="00DA67E8" w:rsidP="003B2AA7">
      <w:pPr>
        <w:pStyle w:val="Heading4"/>
        <w:ind w:left="1418" w:hanging="1418"/>
        <w:jc w:val="left"/>
        <w:rPr>
          <w:rFonts w:ascii="Arial" w:hAnsi="Arial" w:cs="Arial"/>
          <w:sz w:val="22"/>
          <w:szCs w:val="22"/>
          <w:lang w:val="en-US"/>
        </w:rPr>
      </w:pPr>
      <w:r w:rsidRPr="003B2AA7">
        <w:rPr>
          <w:rFonts w:ascii="Arial" w:hAnsi="Arial" w:cs="Arial"/>
          <w:sz w:val="22"/>
          <w:szCs w:val="22"/>
          <w:lang w:val="en-US"/>
        </w:rPr>
        <w:t>Doses in the presence of Non-</w:t>
      </w:r>
      <w:proofErr w:type="spellStart"/>
      <w:r w:rsidRPr="003B2AA7">
        <w:rPr>
          <w:rFonts w:ascii="Arial" w:hAnsi="Arial" w:cs="Arial"/>
          <w:sz w:val="22"/>
          <w:szCs w:val="22"/>
          <w:lang w:val="en-US"/>
        </w:rPr>
        <w:t>Haematological</w:t>
      </w:r>
      <w:proofErr w:type="spellEnd"/>
      <w:r w:rsidRPr="003B2AA7">
        <w:rPr>
          <w:rFonts w:ascii="Arial" w:hAnsi="Arial" w:cs="Arial"/>
          <w:sz w:val="22"/>
          <w:szCs w:val="22"/>
          <w:lang w:val="en-US"/>
        </w:rPr>
        <w:t xml:space="preserve"> Toxicity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6"/>
        <w:gridCol w:w="2905"/>
        <w:gridCol w:w="2722"/>
      </w:tblGrid>
      <w:tr w:rsidR="00DA67E8" w:rsidRPr="005E2C7F" w14:paraId="2E3F8ECF" w14:textId="77777777" w:rsidTr="007B5DF4">
        <w:trPr>
          <w:jc w:val="center"/>
        </w:trPr>
        <w:tc>
          <w:tcPr>
            <w:tcW w:w="3665" w:type="dxa"/>
          </w:tcPr>
          <w:p w14:paraId="26DBC748" w14:textId="77777777" w:rsidR="00DA67E8" w:rsidRPr="00EF7B65" w:rsidRDefault="00DA67E8" w:rsidP="008E3B41">
            <w:pPr>
              <w:ind w:right="142"/>
              <w:jc w:val="both"/>
              <w:rPr>
                <w:rFonts w:ascii="Arial" w:hAnsi="Arial" w:cs="Arial"/>
                <w:b/>
                <w:sz w:val="20"/>
                <w:szCs w:val="20"/>
              </w:rPr>
            </w:pPr>
          </w:p>
        </w:tc>
        <w:tc>
          <w:tcPr>
            <w:tcW w:w="5764" w:type="dxa"/>
            <w:gridSpan w:val="2"/>
          </w:tcPr>
          <w:p w14:paraId="5878D2E5" w14:textId="77777777" w:rsidR="00DA67E8" w:rsidRPr="00EF7B65" w:rsidRDefault="00DA67E8" w:rsidP="008E3B41">
            <w:pPr>
              <w:ind w:right="142"/>
              <w:jc w:val="both"/>
              <w:rPr>
                <w:rFonts w:ascii="Arial" w:hAnsi="Arial" w:cs="Arial"/>
                <w:b/>
                <w:sz w:val="20"/>
                <w:szCs w:val="20"/>
              </w:rPr>
            </w:pPr>
            <w:r w:rsidRPr="00EF7B65">
              <w:rPr>
                <w:rFonts w:ascii="Arial" w:hAnsi="Arial" w:cs="Arial"/>
                <w:b/>
                <w:sz w:val="20"/>
                <w:szCs w:val="20"/>
              </w:rPr>
              <w:t>Day 1 (% of previous dose)</w:t>
            </w:r>
          </w:p>
        </w:tc>
      </w:tr>
      <w:tr w:rsidR="00DA67E8" w:rsidRPr="005E2C7F" w14:paraId="375A792A" w14:textId="77777777" w:rsidTr="007B5DF4">
        <w:trPr>
          <w:jc w:val="center"/>
        </w:trPr>
        <w:tc>
          <w:tcPr>
            <w:tcW w:w="3665" w:type="dxa"/>
          </w:tcPr>
          <w:p w14:paraId="57565917" w14:textId="77777777" w:rsidR="00DA67E8" w:rsidRPr="00EF7B65" w:rsidRDefault="00DA67E8" w:rsidP="008E3B41">
            <w:pPr>
              <w:ind w:right="142"/>
              <w:jc w:val="center"/>
              <w:rPr>
                <w:rFonts w:ascii="Arial" w:hAnsi="Arial" w:cs="Arial"/>
                <w:b/>
                <w:sz w:val="20"/>
                <w:szCs w:val="20"/>
              </w:rPr>
            </w:pPr>
            <w:r w:rsidRPr="00EF7B65">
              <w:rPr>
                <w:rFonts w:ascii="Arial" w:hAnsi="Arial" w:cs="Arial"/>
                <w:b/>
                <w:sz w:val="20"/>
                <w:szCs w:val="20"/>
              </w:rPr>
              <w:t>Grade (CTCAE v 4.0)</w:t>
            </w:r>
          </w:p>
        </w:tc>
        <w:tc>
          <w:tcPr>
            <w:tcW w:w="2985" w:type="dxa"/>
          </w:tcPr>
          <w:p w14:paraId="26A4A28C" w14:textId="77777777" w:rsidR="00DA67E8" w:rsidRPr="00EF7B65" w:rsidRDefault="00DA67E8" w:rsidP="008E3B41">
            <w:pPr>
              <w:ind w:right="142"/>
              <w:jc w:val="center"/>
              <w:rPr>
                <w:rFonts w:ascii="Arial" w:hAnsi="Arial" w:cs="Arial"/>
                <w:b/>
                <w:sz w:val="20"/>
                <w:szCs w:val="20"/>
              </w:rPr>
            </w:pPr>
            <w:r w:rsidRPr="00EF7B65">
              <w:rPr>
                <w:rFonts w:ascii="Arial" w:hAnsi="Arial" w:cs="Arial"/>
                <w:b/>
                <w:sz w:val="20"/>
                <w:szCs w:val="20"/>
              </w:rPr>
              <w:t>Cisplatin</w:t>
            </w:r>
          </w:p>
        </w:tc>
        <w:tc>
          <w:tcPr>
            <w:tcW w:w="2779" w:type="dxa"/>
          </w:tcPr>
          <w:p w14:paraId="14FC8A83" w14:textId="77777777" w:rsidR="00DA67E8" w:rsidRPr="00EF7B65" w:rsidRDefault="00DA67E8" w:rsidP="008E3B41">
            <w:pPr>
              <w:ind w:right="142"/>
              <w:jc w:val="center"/>
              <w:rPr>
                <w:rFonts w:ascii="Arial" w:hAnsi="Arial" w:cs="Arial"/>
                <w:b/>
                <w:sz w:val="20"/>
                <w:szCs w:val="20"/>
              </w:rPr>
            </w:pPr>
            <w:r w:rsidRPr="00EF7B65">
              <w:rPr>
                <w:rFonts w:ascii="Arial" w:hAnsi="Arial" w:cs="Arial"/>
                <w:b/>
                <w:sz w:val="20"/>
                <w:szCs w:val="20"/>
              </w:rPr>
              <w:t>Pemetrexed</w:t>
            </w:r>
          </w:p>
        </w:tc>
      </w:tr>
      <w:tr w:rsidR="00B433C2" w:rsidRPr="005E2C7F" w14:paraId="3549FD20" w14:textId="77777777" w:rsidTr="00B70D01">
        <w:trPr>
          <w:jc w:val="center"/>
        </w:trPr>
        <w:tc>
          <w:tcPr>
            <w:tcW w:w="3665" w:type="dxa"/>
          </w:tcPr>
          <w:p w14:paraId="24E7153A" w14:textId="77777777" w:rsidR="00B433C2" w:rsidRPr="00EF7B65" w:rsidRDefault="00B433C2" w:rsidP="00B433C2">
            <w:pPr>
              <w:jc w:val="center"/>
              <w:rPr>
                <w:rFonts w:ascii="Arial" w:hAnsi="Arial" w:cs="Arial"/>
                <w:sz w:val="20"/>
                <w:szCs w:val="20"/>
              </w:rPr>
            </w:pPr>
            <w:r w:rsidRPr="00EF7B65">
              <w:rPr>
                <w:rFonts w:ascii="Arial" w:hAnsi="Arial" w:cs="Arial"/>
                <w:sz w:val="20"/>
                <w:szCs w:val="20"/>
              </w:rPr>
              <w:sym w:font="Symbol" w:char="F0A3"/>
            </w:r>
            <w:r w:rsidRPr="00EF7B65">
              <w:rPr>
                <w:rFonts w:ascii="Arial" w:hAnsi="Arial" w:cs="Arial"/>
                <w:sz w:val="20"/>
                <w:szCs w:val="20"/>
              </w:rPr>
              <w:t xml:space="preserve"> 2 (Except for nausea/</w:t>
            </w:r>
          </w:p>
          <w:p w14:paraId="50262B29" w14:textId="77777777" w:rsidR="00B433C2" w:rsidRPr="00EF7B65" w:rsidRDefault="00B433C2" w:rsidP="00B433C2">
            <w:pPr>
              <w:jc w:val="center"/>
              <w:rPr>
                <w:rFonts w:ascii="Arial" w:hAnsi="Arial" w:cs="Arial"/>
                <w:sz w:val="20"/>
                <w:szCs w:val="20"/>
              </w:rPr>
            </w:pPr>
            <w:r w:rsidRPr="00EF7B65">
              <w:rPr>
                <w:rFonts w:ascii="Arial" w:hAnsi="Arial" w:cs="Arial"/>
                <w:sz w:val="20"/>
                <w:szCs w:val="20"/>
              </w:rPr>
              <w:t>vomiting and alopecia)</w:t>
            </w:r>
          </w:p>
        </w:tc>
        <w:tc>
          <w:tcPr>
            <w:tcW w:w="2985" w:type="dxa"/>
          </w:tcPr>
          <w:p w14:paraId="63529C9C" w14:textId="77777777" w:rsidR="00B433C2" w:rsidRPr="00EF7B65" w:rsidRDefault="00B433C2" w:rsidP="00B433C2">
            <w:pPr>
              <w:ind w:right="142"/>
              <w:jc w:val="center"/>
              <w:rPr>
                <w:rFonts w:ascii="Arial" w:hAnsi="Arial" w:cs="Arial"/>
                <w:sz w:val="20"/>
                <w:szCs w:val="20"/>
              </w:rPr>
            </w:pPr>
            <w:r w:rsidRPr="00EF7B65">
              <w:rPr>
                <w:rFonts w:ascii="Arial" w:hAnsi="Arial" w:cs="Arial"/>
                <w:sz w:val="20"/>
                <w:szCs w:val="20"/>
              </w:rPr>
              <w:t>100%**</w:t>
            </w:r>
          </w:p>
        </w:tc>
        <w:tc>
          <w:tcPr>
            <w:tcW w:w="2779" w:type="dxa"/>
          </w:tcPr>
          <w:p w14:paraId="734EE8E8" w14:textId="77777777" w:rsidR="00B433C2" w:rsidRPr="00EF7B65" w:rsidRDefault="00B433C2" w:rsidP="00B433C2">
            <w:pPr>
              <w:ind w:right="142"/>
              <w:jc w:val="center"/>
              <w:rPr>
                <w:rFonts w:ascii="Arial" w:hAnsi="Arial" w:cs="Arial"/>
                <w:sz w:val="20"/>
                <w:szCs w:val="20"/>
              </w:rPr>
            </w:pPr>
            <w:r w:rsidRPr="00EF7B65">
              <w:rPr>
                <w:rFonts w:ascii="Arial" w:hAnsi="Arial" w:cs="Arial"/>
                <w:sz w:val="20"/>
                <w:szCs w:val="20"/>
              </w:rPr>
              <w:t>100%**</w:t>
            </w:r>
          </w:p>
        </w:tc>
      </w:tr>
      <w:tr w:rsidR="00B433C2" w:rsidRPr="005E2C7F" w14:paraId="14BB2D64" w14:textId="77777777" w:rsidTr="00B70D01">
        <w:trPr>
          <w:jc w:val="center"/>
        </w:trPr>
        <w:tc>
          <w:tcPr>
            <w:tcW w:w="3665" w:type="dxa"/>
          </w:tcPr>
          <w:p w14:paraId="72807D61" w14:textId="77777777" w:rsidR="00B433C2" w:rsidRPr="00EF7B65" w:rsidRDefault="00B433C2" w:rsidP="00B70D01">
            <w:pPr>
              <w:jc w:val="center"/>
              <w:rPr>
                <w:rFonts w:ascii="Arial" w:hAnsi="Arial" w:cs="Arial"/>
                <w:sz w:val="20"/>
                <w:szCs w:val="20"/>
              </w:rPr>
            </w:pPr>
            <w:r w:rsidRPr="00EF7B65">
              <w:rPr>
                <w:rFonts w:ascii="Arial" w:hAnsi="Arial" w:cs="Arial"/>
                <w:sz w:val="20"/>
                <w:szCs w:val="20"/>
              </w:rPr>
              <w:sym w:font="Symbol" w:char="F0B3"/>
            </w:r>
            <w:r w:rsidRPr="00EF7B65">
              <w:rPr>
                <w:rFonts w:ascii="Arial" w:hAnsi="Arial" w:cs="Arial"/>
                <w:sz w:val="20"/>
                <w:szCs w:val="20"/>
              </w:rPr>
              <w:t xml:space="preserve"> 3 toxicities except:</w:t>
            </w:r>
          </w:p>
          <w:p w14:paraId="4656DA63" w14:textId="77777777" w:rsidR="00B433C2" w:rsidRPr="00EF7B65" w:rsidRDefault="00B433C2" w:rsidP="00B70D01">
            <w:pPr>
              <w:jc w:val="center"/>
              <w:rPr>
                <w:rFonts w:ascii="Arial" w:hAnsi="Arial" w:cs="Arial"/>
                <w:sz w:val="20"/>
                <w:szCs w:val="20"/>
              </w:rPr>
            </w:pPr>
            <w:r w:rsidRPr="00EF7B65">
              <w:rPr>
                <w:rFonts w:ascii="Arial" w:hAnsi="Arial" w:cs="Arial"/>
                <w:sz w:val="20"/>
                <w:szCs w:val="20"/>
              </w:rPr>
              <w:t>(</w:t>
            </w:r>
            <w:proofErr w:type="spellStart"/>
            <w:r w:rsidRPr="00EF7B65">
              <w:rPr>
                <w:rFonts w:ascii="Arial" w:hAnsi="Arial" w:cs="Arial"/>
                <w:sz w:val="20"/>
                <w:szCs w:val="20"/>
              </w:rPr>
              <w:t>i</w:t>
            </w:r>
            <w:proofErr w:type="spellEnd"/>
            <w:r w:rsidRPr="00EF7B65">
              <w:rPr>
                <w:rFonts w:ascii="Arial" w:hAnsi="Arial" w:cs="Arial"/>
                <w:sz w:val="20"/>
                <w:szCs w:val="20"/>
              </w:rPr>
              <w:t>) mucositis (see box below) (ii) neurotoxicity (see table below)</w:t>
            </w:r>
          </w:p>
          <w:p w14:paraId="0D04F464" w14:textId="77777777" w:rsidR="00B433C2" w:rsidRPr="00EF7B65" w:rsidRDefault="00B433C2" w:rsidP="00B70D01">
            <w:pPr>
              <w:jc w:val="center"/>
              <w:rPr>
                <w:rFonts w:ascii="Arial" w:hAnsi="Arial" w:cs="Arial"/>
                <w:sz w:val="20"/>
                <w:szCs w:val="20"/>
              </w:rPr>
            </w:pPr>
            <w:r w:rsidRPr="00EF7B65">
              <w:rPr>
                <w:rFonts w:ascii="Arial" w:hAnsi="Arial" w:cs="Arial"/>
                <w:sz w:val="20"/>
                <w:szCs w:val="20"/>
              </w:rPr>
              <w:t>(iii) nausea/vomiting and alopecia</w:t>
            </w:r>
          </w:p>
          <w:p w14:paraId="12204D70" w14:textId="77777777" w:rsidR="00B433C2" w:rsidRPr="00EF7B65" w:rsidRDefault="00B433C2" w:rsidP="00B70D01">
            <w:pPr>
              <w:jc w:val="center"/>
              <w:rPr>
                <w:rFonts w:ascii="Arial" w:hAnsi="Arial" w:cs="Arial"/>
                <w:sz w:val="20"/>
                <w:szCs w:val="20"/>
              </w:rPr>
            </w:pPr>
            <w:r w:rsidRPr="00EF7B65">
              <w:rPr>
                <w:rFonts w:ascii="Arial" w:hAnsi="Arial" w:cs="Arial"/>
                <w:sz w:val="20"/>
                <w:szCs w:val="20"/>
              </w:rPr>
              <w:t>and any diarrhoea requiring hospitalisation irrespective of grade</w:t>
            </w:r>
          </w:p>
        </w:tc>
        <w:tc>
          <w:tcPr>
            <w:tcW w:w="2985" w:type="dxa"/>
          </w:tcPr>
          <w:p w14:paraId="7C47827F" w14:textId="77777777" w:rsidR="00B433C2" w:rsidRPr="00B70D01" w:rsidRDefault="00B433C2" w:rsidP="00B433C2">
            <w:pPr>
              <w:jc w:val="center"/>
              <w:rPr>
                <w:rFonts w:ascii="Arial" w:hAnsi="Arial" w:cs="Arial"/>
                <w:sz w:val="20"/>
                <w:szCs w:val="20"/>
              </w:rPr>
            </w:pPr>
            <w:r w:rsidRPr="00EF7B65">
              <w:rPr>
                <w:rFonts w:ascii="Arial" w:hAnsi="Arial" w:cs="Arial"/>
                <w:sz w:val="20"/>
                <w:szCs w:val="20"/>
              </w:rPr>
              <w:t>Delay* until recovery to baseline, then resume treatment at 75% of previous dose</w:t>
            </w:r>
          </w:p>
        </w:tc>
        <w:tc>
          <w:tcPr>
            <w:tcW w:w="2779" w:type="dxa"/>
          </w:tcPr>
          <w:p w14:paraId="5E6646E8" w14:textId="77777777" w:rsidR="00B433C2" w:rsidRPr="00EF7B65" w:rsidRDefault="00B433C2" w:rsidP="00B433C2">
            <w:pPr>
              <w:jc w:val="center"/>
              <w:rPr>
                <w:rFonts w:ascii="Arial" w:hAnsi="Arial" w:cs="Arial"/>
                <w:sz w:val="20"/>
                <w:szCs w:val="20"/>
              </w:rPr>
            </w:pPr>
            <w:r w:rsidRPr="00EF7B65">
              <w:rPr>
                <w:rFonts w:ascii="Arial" w:hAnsi="Arial" w:cs="Arial"/>
                <w:sz w:val="20"/>
                <w:szCs w:val="20"/>
              </w:rPr>
              <w:t>Delay* until recovery to baseline, then resume treatment at 75% of previous dose</w:t>
            </w:r>
          </w:p>
        </w:tc>
      </w:tr>
      <w:tr w:rsidR="00DA67E8" w:rsidRPr="005E2C7F" w14:paraId="494214B6" w14:textId="77777777" w:rsidTr="007B5DF4">
        <w:trPr>
          <w:jc w:val="center"/>
        </w:trPr>
        <w:tc>
          <w:tcPr>
            <w:tcW w:w="3665" w:type="dxa"/>
            <w:vAlign w:val="center"/>
          </w:tcPr>
          <w:p w14:paraId="6BC91983" w14:textId="77777777" w:rsidR="00DA67E8" w:rsidRPr="00EF7B65" w:rsidRDefault="00DA67E8" w:rsidP="008E3B41">
            <w:pPr>
              <w:ind w:right="18"/>
              <w:jc w:val="center"/>
              <w:rPr>
                <w:rFonts w:ascii="Arial" w:hAnsi="Arial" w:cs="Arial"/>
                <w:sz w:val="20"/>
                <w:szCs w:val="20"/>
              </w:rPr>
            </w:pPr>
            <w:r w:rsidRPr="00EF7B65">
              <w:rPr>
                <w:rFonts w:ascii="Arial" w:hAnsi="Arial" w:cs="Arial"/>
                <w:sz w:val="20"/>
                <w:szCs w:val="20"/>
              </w:rPr>
              <w:t>Grade 3 or 4 mucositis</w:t>
            </w:r>
          </w:p>
        </w:tc>
        <w:tc>
          <w:tcPr>
            <w:tcW w:w="2985" w:type="dxa"/>
            <w:vAlign w:val="center"/>
          </w:tcPr>
          <w:p w14:paraId="1CE49BAC" w14:textId="77777777" w:rsidR="00DA67E8" w:rsidRPr="00EF7B65" w:rsidRDefault="00DA67E8" w:rsidP="008E3B41">
            <w:pPr>
              <w:jc w:val="center"/>
              <w:rPr>
                <w:rFonts w:ascii="Arial" w:hAnsi="Arial" w:cs="Arial"/>
                <w:sz w:val="20"/>
                <w:szCs w:val="20"/>
              </w:rPr>
            </w:pPr>
            <w:r w:rsidRPr="00EF7B65">
              <w:rPr>
                <w:rFonts w:ascii="Arial" w:hAnsi="Arial" w:cs="Arial"/>
                <w:sz w:val="20"/>
                <w:szCs w:val="20"/>
              </w:rPr>
              <w:t>100%</w:t>
            </w:r>
          </w:p>
        </w:tc>
        <w:tc>
          <w:tcPr>
            <w:tcW w:w="2779" w:type="dxa"/>
            <w:vAlign w:val="center"/>
          </w:tcPr>
          <w:p w14:paraId="0934CA50" w14:textId="77777777" w:rsidR="00DA67E8" w:rsidRPr="00EF7B65" w:rsidRDefault="00DA67E8" w:rsidP="008E3B41">
            <w:pPr>
              <w:jc w:val="center"/>
              <w:rPr>
                <w:rFonts w:ascii="Arial" w:hAnsi="Arial" w:cs="Arial"/>
                <w:sz w:val="20"/>
                <w:szCs w:val="20"/>
              </w:rPr>
            </w:pPr>
            <w:r w:rsidRPr="00EF7B65">
              <w:rPr>
                <w:rFonts w:ascii="Arial" w:hAnsi="Arial" w:cs="Arial"/>
                <w:sz w:val="20"/>
                <w:szCs w:val="20"/>
              </w:rPr>
              <w:t>50%</w:t>
            </w:r>
          </w:p>
        </w:tc>
      </w:tr>
    </w:tbl>
    <w:p w14:paraId="0721660F" w14:textId="77777777" w:rsidR="00DA67E8" w:rsidRPr="005A6367" w:rsidRDefault="00DA67E8" w:rsidP="008E3032">
      <w:pPr>
        <w:ind w:right="142"/>
        <w:jc w:val="both"/>
        <w:rPr>
          <w:rFonts w:ascii="Arial" w:hAnsi="Arial" w:cs="Arial"/>
          <w:sz w:val="18"/>
          <w:szCs w:val="18"/>
        </w:rPr>
      </w:pPr>
      <w:bookmarkStart w:id="401" w:name="OLE_LINK4"/>
      <w:r w:rsidRPr="005A6367">
        <w:rPr>
          <w:rFonts w:ascii="Arial" w:hAnsi="Arial" w:cs="Arial"/>
          <w:sz w:val="18"/>
          <w:szCs w:val="18"/>
        </w:rPr>
        <w:t>*If delay is &gt;28 days the patient will be withdrawn from the protocol treatment</w:t>
      </w:r>
    </w:p>
    <w:bookmarkEnd w:id="401"/>
    <w:p w14:paraId="2754FC0E" w14:textId="77777777" w:rsidR="00DA67E8" w:rsidRPr="005A6367" w:rsidRDefault="00DA67E8" w:rsidP="008E3032">
      <w:pPr>
        <w:ind w:right="142"/>
        <w:jc w:val="both"/>
        <w:rPr>
          <w:rFonts w:ascii="Arial" w:hAnsi="Arial" w:cs="Arial"/>
          <w:sz w:val="18"/>
          <w:szCs w:val="18"/>
        </w:rPr>
      </w:pPr>
      <w:r w:rsidRPr="005A6367">
        <w:rPr>
          <w:rFonts w:ascii="Arial" w:hAnsi="Arial" w:cs="Arial"/>
          <w:sz w:val="18"/>
          <w:szCs w:val="18"/>
        </w:rPr>
        <w:t>**Investigator discretion to whether a particular non-haematological toxicity requires dose reduction or treatment delay.</w:t>
      </w:r>
    </w:p>
    <w:p w14:paraId="02567E2E" w14:textId="77777777" w:rsidR="00DA67E8" w:rsidRPr="005E2C7F" w:rsidRDefault="00DA67E8" w:rsidP="008E3032">
      <w:pPr>
        <w:ind w:right="142"/>
        <w:jc w:val="both"/>
        <w:rPr>
          <w:rFonts w:cs="Tahoma"/>
        </w:rPr>
      </w:pPr>
    </w:p>
    <w:p w14:paraId="4B335D10" w14:textId="77777777" w:rsidR="00DA67E8" w:rsidRPr="004E69CA" w:rsidRDefault="00DA67E8" w:rsidP="003B2AA7">
      <w:pPr>
        <w:pStyle w:val="Heading4"/>
        <w:ind w:left="1418" w:hanging="1418"/>
        <w:jc w:val="left"/>
        <w:rPr>
          <w:rFonts w:ascii="Arial" w:hAnsi="Arial" w:cs="Arial"/>
          <w:sz w:val="22"/>
          <w:szCs w:val="22"/>
          <w:lang w:val="en-US"/>
        </w:rPr>
      </w:pPr>
      <w:r w:rsidRPr="004E69CA">
        <w:rPr>
          <w:rFonts w:ascii="Arial" w:hAnsi="Arial" w:cs="Arial"/>
          <w:sz w:val="22"/>
          <w:szCs w:val="22"/>
          <w:lang w:val="en-US"/>
        </w:rPr>
        <w:t>Doses in the presence of Neurosensory Toxicity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6"/>
        <w:gridCol w:w="3286"/>
        <w:gridCol w:w="3287"/>
      </w:tblGrid>
      <w:tr w:rsidR="00DA67E8" w:rsidRPr="005E2C7F" w14:paraId="234D57CC" w14:textId="77777777" w:rsidTr="00EF7B65">
        <w:trPr>
          <w:jc w:val="center"/>
        </w:trPr>
        <w:tc>
          <w:tcPr>
            <w:tcW w:w="2426" w:type="dxa"/>
          </w:tcPr>
          <w:p w14:paraId="0C860B0E" w14:textId="77777777" w:rsidR="00DA67E8" w:rsidRPr="00EF7B65" w:rsidRDefault="00DA67E8" w:rsidP="008E3B41">
            <w:pPr>
              <w:ind w:right="142"/>
              <w:jc w:val="both"/>
              <w:rPr>
                <w:rFonts w:ascii="Arial" w:hAnsi="Arial" w:cs="Arial"/>
                <w:b/>
                <w:color w:val="800080"/>
                <w:sz w:val="20"/>
                <w:szCs w:val="20"/>
              </w:rPr>
            </w:pPr>
          </w:p>
        </w:tc>
        <w:tc>
          <w:tcPr>
            <w:tcW w:w="6573" w:type="dxa"/>
            <w:gridSpan w:val="2"/>
          </w:tcPr>
          <w:p w14:paraId="0D62D335" w14:textId="77777777" w:rsidR="00DA67E8" w:rsidRPr="00EF7B65" w:rsidRDefault="00DA67E8" w:rsidP="008E3B41">
            <w:pPr>
              <w:ind w:right="142"/>
              <w:jc w:val="center"/>
              <w:rPr>
                <w:rFonts w:ascii="Arial" w:hAnsi="Arial" w:cs="Arial"/>
                <w:b/>
                <w:color w:val="800080"/>
                <w:sz w:val="20"/>
                <w:szCs w:val="20"/>
              </w:rPr>
            </w:pPr>
            <w:r w:rsidRPr="00EF7B65">
              <w:rPr>
                <w:rFonts w:ascii="Arial" w:hAnsi="Arial" w:cs="Arial"/>
                <w:b/>
                <w:sz w:val="20"/>
                <w:szCs w:val="20"/>
              </w:rPr>
              <w:t>Day 1 (% of previous dose)</w:t>
            </w:r>
          </w:p>
        </w:tc>
      </w:tr>
      <w:tr w:rsidR="00DA67E8" w:rsidRPr="005E2C7F" w14:paraId="13EED1C7" w14:textId="77777777" w:rsidTr="00EF7B65">
        <w:trPr>
          <w:jc w:val="center"/>
        </w:trPr>
        <w:tc>
          <w:tcPr>
            <w:tcW w:w="2426" w:type="dxa"/>
          </w:tcPr>
          <w:p w14:paraId="692DE1C8" w14:textId="77777777" w:rsidR="00DA67E8" w:rsidRPr="00EF7B65" w:rsidRDefault="00DA67E8" w:rsidP="008E3B41">
            <w:pPr>
              <w:ind w:right="142"/>
              <w:jc w:val="both"/>
              <w:rPr>
                <w:rFonts w:ascii="Arial" w:hAnsi="Arial" w:cs="Arial"/>
                <w:b/>
                <w:color w:val="800080"/>
                <w:sz w:val="20"/>
                <w:szCs w:val="20"/>
              </w:rPr>
            </w:pPr>
            <w:r w:rsidRPr="00EF7B65">
              <w:rPr>
                <w:rFonts w:ascii="Arial" w:hAnsi="Arial" w:cs="Arial"/>
                <w:b/>
                <w:sz w:val="20"/>
                <w:szCs w:val="20"/>
              </w:rPr>
              <w:t>Grade (CTCAE v 4.0)</w:t>
            </w:r>
          </w:p>
        </w:tc>
        <w:tc>
          <w:tcPr>
            <w:tcW w:w="3286" w:type="dxa"/>
          </w:tcPr>
          <w:p w14:paraId="203BAA19" w14:textId="77777777" w:rsidR="00DA67E8" w:rsidRPr="00EF7B65" w:rsidRDefault="00DA67E8" w:rsidP="008E3B41">
            <w:pPr>
              <w:ind w:right="142"/>
              <w:jc w:val="center"/>
              <w:rPr>
                <w:rFonts w:ascii="Arial" w:hAnsi="Arial" w:cs="Arial"/>
                <w:b/>
                <w:sz w:val="20"/>
                <w:szCs w:val="20"/>
              </w:rPr>
            </w:pPr>
            <w:r w:rsidRPr="00EF7B65">
              <w:rPr>
                <w:rFonts w:ascii="Arial" w:hAnsi="Arial" w:cs="Arial"/>
                <w:b/>
                <w:sz w:val="20"/>
                <w:szCs w:val="20"/>
              </w:rPr>
              <w:t>Cisplatin</w:t>
            </w:r>
          </w:p>
        </w:tc>
        <w:tc>
          <w:tcPr>
            <w:tcW w:w="3287" w:type="dxa"/>
          </w:tcPr>
          <w:p w14:paraId="2BF93EE6" w14:textId="77777777" w:rsidR="00DA67E8" w:rsidRPr="00EF7B65" w:rsidRDefault="00DA67E8" w:rsidP="008E3B41">
            <w:pPr>
              <w:ind w:right="142"/>
              <w:jc w:val="center"/>
              <w:rPr>
                <w:rFonts w:ascii="Arial" w:hAnsi="Arial" w:cs="Arial"/>
                <w:b/>
                <w:sz w:val="20"/>
                <w:szCs w:val="20"/>
              </w:rPr>
            </w:pPr>
            <w:r w:rsidRPr="00EF7B65">
              <w:rPr>
                <w:rFonts w:ascii="Arial" w:hAnsi="Arial" w:cs="Arial"/>
                <w:b/>
                <w:sz w:val="20"/>
                <w:szCs w:val="20"/>
              </w:rPr>
              <w:t>Pemetrexed</w:t>
            </w:r>
          </w:p>
        </w:tc>
      </w:tr>
      <w:tr w:rsidR="00DA67E8" w:rsidRPr="005E2C7F" w14:paraId="24FCB27B" w14:textId="77777777" w:rsidTr="00EF7B65">
        <w:trPr>
          <w:jc w:val="center"/>
        </w:trPr>
        <w:tc>
          <w:tcPr>
            <w:tcW w:w="2426" w:type="dxa"/>
          </w:tcPr>
          <w:p w14:paraId="4BF27910" w14:textId="77777777" w:rsidR="00DA67E8" w:rsidRPr="00EF7B65" w:rsidRDefault="00DA67E8" w:rsidP="008E3B41">
            <w:pPr>
              <w:ind w:right="142"/>
              <w:jc w:val="both"/>
              <w:rPr>
                <w:rFonts w:ascii="Arial" w:hAnsi="Arial" w:cs="Arial"/>
                <w:sz w:val="20"/>
                <w:szCs w:val="20"/>
              </w:rPr>
            </w:pPr>
            <w:r w:rsidRPr="00EF7B65">
              <w:rPr>
                <w:rFonts w:ascii="Arial" w:hAnsi="Arial" w:cs="Arial"/>
                <w:sz w:val="20"/>
                <w:szCs w:val="20"/>
              </w:rPr>
              <w:t>0-1</w:t>
            </w:r>
          </w:p>
        </w:tc>
        <w:tc>
          <w:tcPr>
            <w:tcW w:w="3286" w:type="dxa"/>
          </w:tcPr>
          <w:p w14:paraId="301B3660" w14:textId="77777777" w:rsidR="00DA67E8" w:rsidRPr="00EF7B65" w:rsidRDefault="00DA67E8" w:rsidP="008E3B41">
            <w:pPr>
              <w:ind w:right="142"/>
              <w:jc w:val="center"/>
              <w:rPr>
                <w:rFonts w:ascii="Arial" w:hAnsi="Arial" w:cs="Arial"/>
                <w:sz w:val="20"/>
                <w:szCs w:val="20"/>
              </w:rPr>
            </w:pPr>
            <w:r w:rsidRPr="00EF7B65">
              <w:rPr>
                <w:rFonts w:ascii="Arial" w:hAnsi="Arial" w:cs="Arial"/>
                <w:sz w:val="20"/>
                <w:szCs w:val="20"/>
              </w:rPr>
              <w:t>100%</w:t>
            </w:r>
          </w:p>
        </w:tc>
        <w:tc>
          <w:tcPr>
            <w:tcW w:w="3287" w:type="dxa"/>
          </w:tcPr>
          <w:p w14:paraId="1F01D95E" w14:textId="77777777" w:rsidR="00DA67E8" w:rsidRPr="00EF7B65" w:rsidRDefault="00DA67E8" w:rsidP="008E3B41">
            <w:pPr>
              <w:ind w:right="142"/>
              <w:jc w:val="center"/>
              <w:rPr>
                <w:rFonts w:ascii="Arial" w:hAnsi="Arial" w:cs="Arial"/>
                <w:sz w:val="20"/>
                <w:szCs w:val="20"/>
              </w:rPr>
            </w:pPr>
            <w:r w:rsidRPr="00EF7B65">
              <w:rPr>
                <w:rFonts w:ascii="Arial" w:hAnsi="Arial" w:cs="Arial"/>
                <w:sz w:val="20"/>
                <w:szCs w:val="20"/>
              </w:rPr>
              <w:t>100%</w:t>
            </w:r>
          </w:p>
        </w:tc>
      </w:tr>
      <w:tr w:rsidR="00DA67E8" w:rsidRPr="005E2C7F" w14:paraId="76E3201B" w14:textId="77777777" w:rsidTr="00EF7B65">
        <w:trPr>
          <w:jc w:val="center"/>
        </w:trPr>
        <w:tc>
          <w:tcPr>
            <w:tcW w:w="2426" w:type="dxa"/>
          </w:tcPr>
          <w:p w14:paraId="0D57EF87" w14:textId="77777777" w:rsidR="00DA67E8" w:rsidRPr="00EF7B65" w:rsidRDefault="00DA67E8" w:rsidP="008E3B41">
            <w:pPr>
              <w:ind w:right="142"/>
              <w:jc w:val="both"/>
              <w:rPr>
                <w:rFonts w:ascii="Arial" w:hAnsi="Arial" w:cs="Arial"/>
                <w:sz w:val="20"/>
                <w:szCs w:val="20"/>
              </w:rPr>
            </w:pPr>
            <w:r w:rsidRPr="00EF7B65">
              <w:rPr>
                <w:rFonts w:ascii="Arial" w:hAnsi="Arial" w:cs="Arial"/>
                <w:sz w:val="20"/>
                <w:szCs w:val="20"/>
              </w:rPr>
              <w:t>2</w:t>
            </w:r>
          </w:p>
        </w:tc>
        <w:tc>
          <w:tcPr>
            <w:tcW w:w="3286" w:type="dxa"/>
            <w:vAlign w:val="center"/>
          </w:tcPr>
          <w:p w14:paraId="018CD587" w14:textId="77777777" w:rsidR="00DA67E8" w:rsidRPr="00EF7B65" w:rsidRDefault="00DA67E8" w:rsidP="008E3B41">
            <w:pPr>
              <w:ind w:right="142"/>
              <w:jc w:val="center"/>
              <w:rPr>
                <w:rFonts w:ascii="Arial" w:hAnsi="Arial" w:cs="Arial"/>
                <w:sz w:val="20"/>
                <w:szCs w:val="20"/>
              </w:rPr>
            </w:pPr>
            <w:r w:rsidRPr="00EF7B65">
              <w:rPr>
                <w:rFonts w:ascii="Arial" w:hAnsi="Arial" w:cs="Arial"/>
                <w:sz w:val="20"/>
                <w:szCs w:val="20"/>
              </w:rPr>
              <w:t>50%</w:t>
            </w:r>
          </w:p>
        </w:tc>
        <w:tc>
          <w:tcPr>
            <w:tcW w:w="3287" w:type="dxa"/>
            <w:vAlign w:val="center"/>
          </w:tcPr>
          <w:p w14:paraId="12E85A76" w14:textId="77777777" w:rsidR="00DA67E8" w:rsidRPr="00EF7B65" w:rsidRDefault="00DA67E8" w:rsidP="008E3B41">
            <w:pPr>
              <w:ind w:right="142"/>
              <w:jc w:val="center"/>
              <w:rPr>
                <w:rFonts w:ascii="Arial" w:hAnsi="Arial" w:cs="Arial"/>
                <w:sz w:val="20"/>
                <w:szCs w:val="20"/>
              </w:rPr>
            </w:pPr>
            <w:r w:rsidRPr="00EF7B65">
              <w:rPr>
                <w:rFonts w:ascii="Arial" w:hAnsi="Arial" w:cs="Arial"/>
                <w:sz w:val="20"/>
                <w:szCs w:val="20"/>
              </w:rPr>
              <w:t>100%</w:t>
            </w:r>
          </w:p>
        </w:tc>
      </w:tr>
      <w:tr w:rsidR="00DA67E8" w:rsidRPr="005E2C7F" w14:paraId="7437346F" w14:textId="77777777" w:rsidTr="00EF7B65">
        <w:trPr>
          <w:jc w:val="center"/>
        </w:trPr>
        <w:tc>
          <w:tcPr>
            <w:tcW w:w="2426" w:type="dxa"/>
          </w:tcPr>
          <w:p w14:paraId="02539CD8" w14:textId="77777777" w:rsidR="00DA67E8" w:rsidRPr="00EF7B65" w:rsidRDefault="00DA67E8" w:rsidP="008E3B41">
            <w:pPr>
              <w:ind w:right="142"/>
              <w:jc w:val="both"/>
              <w:rPr>
                <w:rFonts w:ascii="Arial" w:hAnsi="Arial" w:cs="Arial"/>
                <w:sz w:val="20"/>
                <w:szCs w:val="20"/>
              </w:rPr>
            </w:pPr>
            <w:r w:rsidRPr="00EF7B65">
              <w:rPr>
                <w:rFonts w:ascii="Arial" w:hAnsi="Arial" w:cs="Arial"/>
                <w:sz w:val="20"/>
                <w:szCs w:val="20"/>
              </w:rPr>
              <w:t>3</w:t>
            </w:r>
          </w:p>
        </w:tc>
        <w:tc>
          <w:tcPr>
            <w:tcW w:w="3286" w:type="dxa"/>
            <w:vAlign w:val="center"/>
          </w:tcPr>
          <w:p w14:paraId="5CB4AB10" w14:textId="77777777" w:rsidR="00DA67E8" w:rsidRPr="00EF7B65" w:rsidRDefault="00DA67E8" w:rsidP="008E3B41">
            <w:pPr>
              <w:ind w:right="142"/>
              <w:jc w:val="center"/>
              <w:rPr>
                <w:rFonts w:ascii="Arial" w:hAnsi="Arial" w:cs="Arial"/>
                <w:sz w:val="20"/>
                <w:szCs w:val="20"/>
              </w:rPr>
            </w:pPr>
            <w:r w:rsidRPr="00EF7B65">
              <w:rPr>
                <w:rFonts w:ascii="Arial" w:hAnsi="Arial" w:cs="Arial"/>
                <w:sz w:val="20"/>
                <w:szCs w:val="20"/>
              </w:rPr>
              <w:t>Discontinue</w:t>
            </w:r>
          </w:p>
        </w:tc>
        <w:tc>
          <w:tcPr>
            <w:tcW w:w="3287" w:type="dxa"/>
            <w:vAlign w:val="center"/>
          </w:tcPr>
          <w:p w14:paraId="1A135F2E" w14:textId="77777777" w:rsidR="00DA67E8" w:rsidRPr="00EF7B65" w:rsidRDefault="00DA67E8" w:rsidP="008E3B41">
            <w:pPr>
              <w:ind w:right="142"/>
              <w:jc w:val="center"/>
              <w:rPr>
                <w:rFonts w:ascii="Arial" w:hAnsi="Arial" w:cs="Arial"/>
                <w:sz w:val="20"/>
                <w:szCs w:val="20"/>
              </w:rPr>
            </w:pPr>
            <w:r w:rsidRPr="00EF7B65">
              <w:rPr>
                <w:rFonts w:ascii="Arial" w:hAnsi="Arial" w:cs="Arial"/>
                <w:sz w:val="20"/>
                <w:szCs w:val="20"/>
              </w:rPr>
              <w:t>Discontinue</w:t>
            </w:r>
          </w:p>
        </w:tc>
      </w:tr>
      <w:tr w:rsidR="00DA67E8" w:rsidRPr="005E2C7F" w14:paraId="5343BE20" w14:textId="77777777" w:rsidTr="00EF7B65">
        <w:trPr>
          <w:jc w:val="center"/>
        </w:trPr>
        <w:tc>
          <w:tcPr>
            <w:tcW w:w="2426" w:type="dxa"/>
          </w:tcPr>
          <w:p w14:paraId="04E38688" w14:textId="77777777" w:rsidR="00DA67E8" w:rsidRPr="00EF7B65" w:rsidRDefault="00DA67E8" w:rsidP="008E3B41">
            <w:pPr>
              <w:ind w:right="142"/>
              <w:jc w:val="both"/>
              <w:rPr>
                <w:rFonts w:ascii="Arial" w:hAnsi="Arial" w:cs="Arial"/>
                <w:sz w:val="20"/>
                <w:szCs w:val="20"/>
              </w:rPr>
            </w:pPr>
            <w:r w:rsidRPr="00EF7B65">
              <w:rPr>
                <w:rFonts w:ascii="Arial" w:hAnsi="Arial" w:cs="Arial"/>
                <w:sz w:val="20"/>
                <w:szCs w:val="20"/>
              </w:rPr>
              <w:t>4</w:t>
            </w:r>
          </w:p>
        </w:tc>
        <w:tc>
          <w:tcPr>
            <w:tcW w:w="3286" w:type="dxa"/>
          </w:tcPr>
          <w:p w14:paraId="27ACBACB" w14:textId="77777777" w:rsidR="00DA67E8" w:rsidRPr="00EF7B65" w:rsidRDefault="00DA67E8" w:rsidP="008E3B41">
            <w:pPr>
              <w:ind w:right="142"/>
              <w:jc w:val="center"/>
              <w:rPr>
                <w:rFonts w:ascii="Arial" w:hAnsi="Arial" w:cs="Arial"/>
                <w:sz w:val="20"/>
                <w:szCs w:val="20"/>
              </w:rPr>
            </w:pPr>
            <w:r w:rsidRPr="00EF7B65">
              <w:rPr>
                <w:rFonts w:ascii="Arial" w:hAnsi="Arial" w:cs="Arial"/>
                <w:sz w:val="20"/>
                <w:szCs w:val="20"/>
              </w:rPr>
              <w:t>Discontinue</w:t>
            </w:r>
          </w:p>
        </w:tc>
        <w:tc>
          <w:tcPr>
            <w:tcW w:w="3287" w:type="dxa"/>
          </w:tcPr>
          <w:p w14:paraId="2886B7BE" w14:textId="77777777" w:rsidR="00DA67E8" w:rsidRPr="00EF7B65" w:rsidRDefault="00DA67E8" w:rsidP="008E3B41">
            <w:pPr>
              <w:ind w:right="142"/>
              <w:jc w:val="center"/>
              <w:rPr>
                <w:rFonts w:ascii="Arial" w:hAnsi="Arial" w:cs="Arial"/>
                <w:sz w:val="20"/>
                <w:szCs w:val="20"/>
              </w:rPr>
            </w:pPr>
            <w:r w:rsidRPr="00EF7B65">
              <w:rPr>
                <w:rFonts w:ascii="Arial" w:hAnsi="Arial" w:cs="Arial"/>
                <w:sz w:val="20"/>
                <w:szCs w:val="20"/>
              </w:rPr>
              <w:t>Discontinue</w:t>
            </w:r>
          </w:p>
        </w:tc>
      </w:tr>
    </w:tbl>
    <w:p w14:paraId="68E1C41D" w14:textId="77777777" w:rsidR="00B433C2" w:rsidRPr="005E2C7F" w:rsidRDefault="00B433C2" w:rsidP="00B70D01">
      <w:pPr>
        <w:jc w:val="center"/>
        <w:rPr>
          <w:rFonts w:cs="Tahoma"/>
          <w:color w:val="800080"/>
        </w:rPr>
      </w:pPr>
    </w:p>
    <w:p w14:paraId="382D7B5B" w14:textId="77777777" w:rsidR="00DA67E8" w:rsidRPr="004E69CA" w:rsidRDefault="00DA67E8" w:rsidP="003B2AA7">
      <w:pPr>
        <w:pStyle w:val="Heading4"/>
        <w:ind w:left="1418" w:hanging="1418"/>
        <w:jc w:val="left"/>
        <w:rPr>
          <w:rFonts w:ascii="Arial" w:hAnsi="Arial" w:cs="Arial"/>
          <w:sz w:val="22"/>
          <w:szCs w:val="22"/>
          <w:lang w:val="en-US"/>
        </w:rPr>
      </w:pPr>
      <w:r w:rsidRPr="004E69CA">
        <w:rPr>
          <w:rFonts w:ascii="Arial" w:hAnsi="Arial" w:cs="Arial"/>
          <w:sz w:val="22"/>
          <w:szCs w:val="22"/>
          <w:lang w:val="en-US"/>
        </w:rPr>
        <w:tab/>
        <w:t>Dose Reductions for Cisplatin Induced Ototoxicity</w:t>
      </w:r>
    </w:p>
    <w:p w14:paraId="43E21E56" w14:textId="77777777" w:rsidR="00DA67E8" w:rsidRDefault="00DA67E8" w:rsidP="008E3032">
      <w:pPr>
        <w:ind w:right="142"/>
        <w:jc w:val="both"/>
        <w:rPr>
          <w:rFonts w:ascii="Arial" w:hAnsi="Arial" w:cs="Arial"/>
          <w:sz w:val="22"/>
          <w:szCs w:val="22"/>
        </w:rPr>
      </w:pPr>
      <w:r w:rsidRPr="008E3032">
        <w:rPr>
          <w:rFonts w:ascii="Arial" w:hAnsi="Arial" w:cs="Arial"/>
          <w:sz w:val="22"/>
          <w:szCs w:val="22"/>
        </w:rPr>
        <w:t>In case</w:t>
      </w:r>
      <w:r w:rsidR="00900F0A">
        <w:rPr>
          <w:rFonts w:ascii="Arial" w:hAnsi="Arial" w:cs="Arial"/>
          <w:sz w:val="22"/>
          <w:szCs w:val="22"/>
        </w:rPr>
        <w:t>s</w:t>
      </w:r>
      <w:r w:rsidRPr="008E3032">
        <w:rPr>
          <w:rFonts w:ascii="Arial" w:hAnsi="Arial" w:cs="Arial"/>
          <w:sz w:val="22"/>
          <w:szCs w:val="22"/>
        </w:rPr>
        <w:t xml:space="preserve"> of significant clinical hearing loss, cisplatin therapy should be reduced or stopped.  The clinician will make the decision regarding cisplatin dosing and also whether to continue pemetrexed a</w:t>
      </w:r>
      <w:r w:rsidR="000A0EBA">
        <w:rPr>
          <w:rFonts w:ascii="Arial" w:hAnsi="Arial" w:cs="Arial"/>
          <w:sz w:val="22"/>
          <w:szCs w:val="22"/>
        </w:rPr>
        <w:t>lone or to withdraw the patient</w:t>
      </w:r>
      <w:r w:rsidR="000A0EBA" w:rsidRPr="000A0EBA">
        <w:rPr>
          <w:rFonts w:ascii="Arial" w:hAnsi="Arial" w:cs="Arial"/>
          <w:sz w:val="22"/>
          <w:szCs w:val="22"/>
        </w:rPr>
        <w:t xml:space="preserve">. </w:t>
      </w:r>
      <w:r w:rsidR="000A0EBA">
        <w:rPr>
          <w:rFonts w:ascii="Arial" w:hAnsi="Arial" w:cs="Arial"/>
          <w:sz w:val="22"/>
          <w:szCs w:val="22"/>
        </w:rPr>
        <w:t xml:space="preserve"> A change to carboplatin may be permitted if deemed appropriate by the treating clinician; further treatment with ganetespib will cease.</w:t>
      </w:r>
    </w:p>
    <w:p w14:paraId="54B29FA2" w14:textId="77777777" w:rsidR="000F4751" w:rsidRPr="0030702F" w:rsidRDefault="000F4751" w:rsidP="008E3032">
      <w:pPr>
        <w:ind w:right="142"/>
        <w:jc w:val="both"/>
        <w:rPr>
          <w:rFonts w:ascii="Arial" w:hAnsi="Arial"/>
          <w:sz w:val="22"/>
        </w:rPr>
      </w:pPr>
    </w:p>
    <w:p w14:paraId="63A2F43F" w14:textId="77777777" w:rsidR="000F4751" w:rsidRPr="004E69CA" w:rsidRDefault="000F4751" w:rsidP="003B2AA7">
      <w:pPr>
        <w:pStyle w:val="Heading4"/>
        <w:ind w:left="1418" w:hanging="1418"/>
        <w:jc w:val="left"/>
        <w:rPr>
          <w:rFonts w:ascii="Arial" w:hAnsi="Arial" w:cs="Arial"/>
          <w:sz w:val="22"/>
          <w:szCs w:val="22"/>
          <w:lang w:val="en-US"/>
        </w:rPr>
      </w:pPr>
      <w:r w:rsidRPr="004E69CA">
        <w:rPr>
          <w:rFonts w:ascii="Arial" w:hAnsi="Arial" w:cs="Arial"/>
          <w:sz w:val="22"/>
          <w:szCs w:val="22"/>
          <w:lang w:val="en-US"/>
        </w:rPr>
        <w:tab/>
        <w:t>Dose Reductions for carboplatin</w:t>
      </w:r>
    </w:p>
    <w:p w14:paraId="7D811263" w14:textId="77777777" w:rsidR="000F4751" w:rsidRPr="00DB1388" w:rsidRDefault="00C413DA" w:rsidP="00E328B3">
      <w:pPr>
        <w:ind w:right="142"/>
        <w:jc w:val="both"/>
        <w:rPr>
          <w:rFonts w:ascii="Arial" w:hAnsi="Arial" w:cs="Arial"/>
          <w:sz w:val="22"/>
          <w:szCs w:val="22"/>
        </w:rPr>
      </w:pPr>
      <w:r w:rsidRPr="006420EB">
        <w:rPr>
          <w:rFonts w:ascii="Arial" w:hAnsi="Arial" w:cs="Arial"/>
          <w:sz w:val="22"/>
          <w:szCs w:val="22"/>
        </w:rPr>
        <w:t>The</w:t>
      </w:r>
      <w:r w:rsidR="000F4751" w:rsidRPr="005D0D4F">
        <w:rPr>
          <w:rFonts w:ascii="Arial" w:hAnsi="Arial" w:cs="Arial"/>
          <w:sz w:val="22"/>
          <w:szCs w:val="22"/>
        </w:rPr>
        <w:t xml:space="preserve"> neutrophil count </w:t>
      </w:r>
      <w:r w:rsidRPr="005D0D4F">
        <w:rPr>
          <w:rFonts w:ascii="Arial" w:hAnsi="Arial" w:cs="Arial"/>
          <w:sz w:val="22"/>
          <w:szCs w:val="22"/>
        </w:rPr>
        <w:t xml:space="preserve">should be </w:t>
      </w:r>
      <w:r w:rsidR="000F4751" w:rsidRPr="00FD0F61">
        <w:rPr>
          <w:rFonts w:ascii="Arial" w:hAnsi="Arial" w:cs="Arial"/>
          <w:sz w:val="22"/>
          <w:szCs w:val="22"/>
        </w:rPr>
        <w:t>is at least 2</w:t>
      </w:r>
      <w:r w:rsidR="00EE0C13" w:rsidRPr="00CC7953">
        <w:rPr>
          <w:rFonts w:ascii="Arial" w:hAnsi="Arial" w:cs="Arial"/>
          <w:sz w:val="22"/>
          <w:szCs w:val="22"/>
        </w:rPr>
        <w:t>.0 x10</w:t>
      </w:r>
      <w:r w:rsidR="00EE0C13" w:rsidRPr="00212BE1">
        <w:rPr>
          <w:rFonts w:ascii="Arial" w:hAnsi="Arial" w:cs="Arial"/>
          <w:sz w:val="22"/>
          <w:szCs w:val="22"/>
          <w:vertAlign w:val="superscript"/>
        </w:rPr>
        <w:t>9</w:t>
      </w:r>
      <w:r w:rsidR="00EE0C13" w:rsidRPr="00212BE1">
        <w:rPr>
          <w:rFonts w:ascii="Arial" w:hAnsi="Arial" w:cs="Arial"/>
          <w:sz w:val="22"/>
          <w:szCs w:val="22"/>
        </w:rPr>
        <w:t>/L</w:t>
      </w:r>
      <w:r w:rsidR="00E328B3" w:rsidRPr="00212BE1">
        <w:rPr>
          <w:rFonts w:ascii="Arial" w:hAnsi="Arial" w:cs="Arial"/>
          <w:sz w:val="22"/>
          <w:szCs w:val="22"/>
        </w:rPr>
        <w:t xml:space="preserve"> and the platelet count </w:t>
      </w:r>
      <w:r w:rsidR="000F4751" w:rsidRPr="00033F39">
        <w:rPr>
          <w:rFonts w:ascii="Arial" w:hAnsi="Arial" w:cs="Arial"/>
          <w:sz w:val="22"/>
          <w:szCs w:val="22"/>
        </w:rPr>
        <w:t>at least 100</w:t>
      </w:r>
      <w:r w:rsidR="00EE0C13" w:rsidRPr="00033F39">
        <w:rPr>
          <w:rFonts w:ascii="Arial" w:hAnsi="Arial" w:cs="Arial"/>
          <w:sz w:val="22"/>
          <w:szCs w:val="22"/>
        </w:rPr>
        <w:t xml:space="preserve"> x10</w:t>
      </w:r>
      <w:r w:rsidR="00EE0C13" w:rsidRPr="00033F39">
        <w:rPr>
          <w:rFonts w:ascii="Arial" w:hAnsi="Arial" w:cs="Arial"/>
          <w:sz w:val="22"/>
          <w:szCs w:val="22"/>
          <w:vertAlign w:val="superscript"/>
        </w:rPr>
        <w:t>9</w:t>
      </w:r>
      <w:r w:rsidR="00EE0C13" w:rsidRPr="00DB1388">
        <w:rPr>
          <w:rFonts w:ascii="Arial" w:hAnsi="Arial" w:cs="Arial"/>
          <w:sz w:val="22"/>
          <w:szCs w:val="22"/>
        </w:rPr>
        <w:t>/L prior to each cycle of treatment.</w:t>
      </w:r>
    </w:p>
    <w:p w14:paraId="5BAB69AF" w14:textId="77777777" w:rsidR="00EE0C13" w:rsidRPr="0057562C" w:rsidRDefault="00EE0C13" w:rsidP="00E328B3">
      <w:pPr>
        <w:ind w:right="142"/>
        <w:jc w:val="both"/>
        <w:rPr>
          <w:rFonts w:ascii="Arial" w:hAnsi="Arial" w:cs="Arial"/>
          <w:sz w:val="22"/>
          <w:szCs w:val="22"/>
        </w:rPr>
      </w:pPr>
    </w:p>
    <w:p w14:paraId="5A023304" w14:textId="77777777" w:rsidR="000F4751" w:rsidRPr="006420EB" w:rsidRDefault="00C413DA" w:rsidP="008E3032">
      <w:pPr>
        <w:ind w:right="142"/>
        <w:jc w:val="both"/>
        <w:rPr>
          <w:rFonts w:ascii="Arial" w:hAnsi="Arial" w:cs="Arial"/>
          <w:sz w:val="22"/>
          <w:szCs w:val="22"/>
        </w:rPr>
      </w:pPr>
      <w:r w:rsidRPr="00622649">
        <w:rPr>
          <w:rFonts w:ascii="Arial" w:hAnsi="Arial" w:cs="Arial"/>
          <w:color w:val="000000"/>
          <w:sz w:val="22"/>
          <w:szCs w:val="22"/>
          <w:shd w:val="clear" w:color="auto" w:fill="FFFFFF"/>
        </w:rPr>
        <w:t>In case of a glomerular filtration rate of ≤ 20 ml/min, carboplatin should not be administered at all.</w:t>
      </w:r>
    </w:p>
    <w:p w14:paraId="216C157E" w14:textId="77777777" w:rsidR="000A0EBA" w:rsidRPr="00BF2157" w:rsidRDefault="000A0EBA" w:rsidP="008E3032">
      <w:pPr>
        <w:ind w:right="142"/>
        <w:jc w:val="both"/>
        <w:rPr>
          <w:rFonts w:ascii="Arial" w:hAnsi="Arial" w:cs="Arial"/>
          <w:color w:val="000000"/>
          <w:sz w:val="22"/>
          <w:szCs w:val="22"/>
          <w:shd w:val="clear" w:color="auto" w:fill="FFFFFF"/>
        </w:rPr>
      </w:pPr>
    </w:p>
    <w:p w14:paraId="4A8151F9" w14:textId="77777777" w:rsidR="00BF2157" w:rsidRDefault="00BF2157" w:rsidP="008E3032">
      <w:pPr>
        <w:ind w:right="142"/>
        <w:jc w:val="both"/>
        <w:rPr>
          <w:rFonts w:ascii="Arial" w:hAnsi="Arial" w:cs="Arial"/>
          <w:color w:val="000000"/>
          <w:sz w:val="22"/>
          <w:szCs w:val="22"/>
          <w:shd w:val="clear" w:color="auto" w:fill="FFFFFF"/>
        </w:rPr>
      </w:pPr>
      <w:r w:rsidRPr="00BF2157">
        <w:rPr>
          <w:rFonts w:ascii="Arial" w:hAnsi="Arial" w:cs="Arial"/>
          <w:color w:val="000000"/>
          <w:sz w:val="22"/>
          <w:szCs w:val="22"/>
          <w:shd w:val="clear" w:color="auto" w:fill="FFFFFF"/>
        </w:rPr>
        <w:t xml:space="preserve">Local </w:t>
      </w:r>
      <w:r>
        <w:rPr>
          <w:rFonts w:ascii="Arial" w:hAnsi="Arial" w:cs="Arial"/>
          <w:color w:val="000000"/>
          <w:sz w:val="22"/>
          <w:szCs w:val="22"/>
          <w:shd w:val="clear" w:color="auto" w:fill="FFFFFF"/>
        </w:rPr>
        <w:t>guidelines</w:t>
      </w:r>
      <w:r w:rsidRPr="00BF2157">
        <w:rPr>
          <w:rFonts w:ascii="Arial" w:hAnsi="Arial" w:cs="Arial"/>
          <w:color w:val="000000"/>
          <w:sz w:val="22"/>
          <w:szCs w:val="22"/>
          <w:shd w:val="clear" w:color="auto" w:fill="FFFFFF"/>
        </w:rPr>
        <w:t xml:space="preserve"> should be used for other dose reductions</w:t>
      </w:r>
      <w:r>
        <w:rPr>
          <w:rFonts w:ascii="Arial" w:hAnsi="Arial" w:cs="Arial"/>
          <w:color w:val="000000"/>
          <w:sz w:val="22"/>
          <w:szCs w:val="22"/>
          <w:shd w:val="clear" w:color="auto" w:fill="FFFFFF"/>
        </w:rPr>
        <w:t>.</w:t>
      </w:r>
    </w:p>
    <w:p w14:paraId="5E329712" w14:textId="77777777" w:rsidR="00BF2157" w:rsidRPr="00BF2157" w:rsidRDefault="00BF2157" w:rsidP="008E3032">
      <w:pPr>
        <w:ind w:right="142"/>
        <w:jc w:val="both"/>
        <w:rPr>
          <w:rFonts w:ascii="Arial" w:hAnsi="Arial" w:cs="Arial"/>
          <w:color w:val="000000"/>
          <w:sz w:val="22"/>
          <w:szCs w:val="22"/>
          <w:shd w:val="clear" w:color="auto" w:fill="FFFFFF"/>
        </w:rPr>
      </w:pPr>
    </w:p>
    <w:p w14:paraId="55DA70AB" w14:textId="77777777" w:rsidR="00DA67E8" w:rsidRPr="004E69CA" w:rsidRDefault="00DA67E8" w:rsidP="003B2AA7">
      <w:pPr>
        <w:pStyle w:val="Heading4"/>
        <w:ind w:left="1418" w:hanging="1418"/>
        <w:jc w:val="left"/>
        <w:rPr>
          <w:rFonts w:ascii="Arial" w:hAnsi="Arial" w:cs="Arial"/>
          <w:sz w:val="22"/>
          <w:szCs w:val="22"/>
          <w:lang w:val="en-US"/>
        </w:rPr>
      </w:pPr>
      <w:r w:rsidRPr="004E69CA">
        <w:rPr>
          <w:rFonts w:ascii="Arial" w:hAnsi="Arial" w:cs="Arial"/>
          <w:sz w:val="22"/>
          <w:szCs w:val="22"/>
          <w:lang w:val="en-US"/>
        </w:rPr>
        <w:tab/>
        <w:t>Dose reductions related to changes in patient weight – all drugs</w:t>
      </w:r>
    </w:p>
    <w:p w14:paraId="382135E0" w14:textId="77777777" w:rsidR="00DA67E8" w:rsidRDefault="00DA67E8" w:rsidP="008E3032">
      <w:pPr>
        <w:ind w:right="142"/>
        <w:jc w:val="both"/>
        <w:rPr>
          <w:rFonts w:ascii="Arial" w:hAnsi="Arial" w:cs="Arial"/>
          <w:sz w:val="22"/>
          <w:szCs w:val="22"/>
        </w:rPr>
      </w:pPr>
      <w:r w:rsidRPr="00C307DA">
        <w:rPr>
          <w:rFonts w:ascii="Arial" w:hAnsi="Arial" w:cs="Arial"/>
          <w:sz w:val="22"/>
          <w:szCs w:val="22"/>
        </w:rPr>
        <w:t xml:space="preserve">The doses for all drugs should be re-calculated prior to each cycle of treatment. The amount of </w:t>
      </w:r>
      <w:r w:rsidR="00254AA0">
        <w:rPr>
          <w:rFonts w:ascii="Arial" w:hAnsi="Arial" w:cs="Arial"/>
          <w:sz w:val="22"/>
          <w:szCs w:val="22"/>
        </w:rPr>
        <w:t>drug</w:t>
      </w:r>
      <w:r w:rsidR="00254AA0" w:rsidRPr="00C307DA">
        <w:rPr>
          <w:rFonts w:ascii="Arial" w:hAnsi="Arial" w:cs="Arial"/>
          <w:sz w:val="22"/>
          <w:szCs w:val="22"/>
        </w:rPr>
        <w:t xml:space="preserve"> </w:t>
      </w:r>
      <w:r w:rsidRPr="00C307DA">
        <w:rPr>
          <w:rFonts w:ascii="Arial" w:hAnsi="Arial" w:cs="Arial"/>
          <w:sz w:val="22"/>
          <w:szCs w:val="22"/>
        </w:rPr>
        <w:t>administered will be determined by calculating patient body surface area, and will be recalculated when there is ≥ 10% change in patient weight during the course of the study</w:t>
      </w:r>
    </w:p>
    <w:p w14:paraId="6D1C9F79" w14:textId="77777777" w:rsidR="0003558A" w:rsidRPr="00F333BA" w:rsidRDefault="0003558A" w:rsidP="008E3032">
      <w:pPr>
        <w:ind w:right="142"/>
        <w:jc w:val="both"/>
        <w:rPr>
          <w:rFonts w:cs="Tahoma"/>
          <w:b/>
          <w:sz w:val="22"/>
          <w:szCs w:val="22"/>
        </w:rPr>
      </w:pPr>
    </w:p>
    <w:p w14:paraId="7E1EE1A2" w14:textId="77777777" w:rsidR="00DA67E8" w:rsidRPr="00F333BA" w:rsidRDefault="00125DEE" w:rsidP="00264448">
      <w:pPr>
        <w:ind w:right="142"/>
        <w:jc w:val="both"/>
        <w:rPr>
          <w:rFonts w:ascii="Arial" w:hAnsi="Arial" w:cs="Arial"/>
          <w:b/>
          <w:caps/>
          <w:color w:val="800080"/>
          <w:sz w:val="22"/>
          <w:szCs w:val="22"/>
        </w:rPr>
      </w:pPr>
      <w:r w:rsidRPr="00F333BA">
        <w:rPr>
          <w:rFonts w:ascii="Arial" w:hAnsi="Arial" w:cs="Arial"/>
          <w:b/>
          <w:bCs/>
          <w:sz w:val="22"/>
          <w:szCs w:val="22"/>
        </w:rPr>
        <w:t>D</w:t>
      </w:r>
      <w:r w:rsidR="00DA67E8" w:rsidRPr="00F333BA">
        <w:rPr>
          <w:rFonts w:ascii="Arial" w:hAnsi="Arial" w:cs="Arial"/>
          <w:b/>
          <w:bCs/>
          <w:sz w:val="22"/>
          <w:szCs w:val="22"/>
        </w:rPr>
        <w:t>ose</w:t>
      </w:r>
      <w:r w:rsidRPr="00F333BA">
        <w:rPr>
          <w:rFonts w:ascii="Arial" w:hAnsi="Arial" w:cs="Arial"/>
          <w:b/>
          <w:bCs/>
          <w:sz w:val="22"/>
          <w:szCs w:val="22"/>
        </w:rPr>
        <w:t>s</w:t>
      </w:r>
      <w:r w:rsidR="00DA67E8" w:rsidRPr="00F333BA">
        <w:rPr>
          <w:rFonts w:ascii="Arial" w:hAnsi="Arial" w:cs="Arial"/>
          <w:b/>
          <w:bCs/>
          <w:sz w:val="22"/>
          <w:szCs w:val="22"/>
        </w:rPr>
        <w:t xml:space="preserve"> </w:t>
      </w:r>
      <w:r w:rsidRPr="00F333BA">
        <w:rPr>
          <w:rFonts w:ascii="Arial" w:hAnsi="Arial" w:cs="Arial"/>
          <w:b/>
          <w:bCs/>
          <w:sz w:val="22"/>
          <w:szCs w:val="22"/>
        </w:rPr>
        <w:t xml:space="preserve">will be </w:t>
      </w:r>
      <w:r w:rsidR="00DA67E8" w:rsidRPr="00F333BA">
        <w:rPr>
          <w:rFonts w:ascii="Arial" w:hAnsi="Arial" w:cs="Arial"/>
          <w:b/>
          <w:bCs/>
          <w:sz w:val="22"/>
          <w:szCs w:val="22"/>
        </w:rPr>
        <w:t>capp</w:t>
      </w:r>
      <w:r w:rsidRPr="00F333BA">
        <w:rPr>
          <w:rFonts w:ascii="Arial" w:hAnsi="Arial" w:cs="Arial"/>
          <w:b/>
          <w:bCs/>
          <w:sz w:val="22"/>
          <w:szCs w:val="22"/>
        </w:rPr>
        <w:t>ed</w:t>
      </w:r>
      <w:r w:rsidR="00DA67E8" w:rsidRPr="00F333BA">
        <w:rPr>
          <w:rFonts w:ascii="Arial" w:hAnsi="Arial" w:cs="Arial"/>
          <w:b/>
          <w:bCs/>
          <w:sz w:val="22"/>
          <w:szCs w:val="22"/>
        </w:rPr>
        <w:t xml:space="preserve"> </w:t>
      </w:r>
      <w:r w:rsidRPr="00F333BA">
        <w:rPr>
          <w:rFonts w:ascii="Arial" w:hAnsi="Arial" w:cs="Arial"/>
          <w:b/>
          <w:bCs/>
          <w:sz w:val="22"/>
          <w:szCs w:val="22"/>
        </w:rPr>
        <w:t xml:space="preserve">to a maximum </w:t>
      </w:r>
      <w:r w:rsidR="00390DE4" w:rsidRPr="00F333BA">
        <w:rPr>
          <w:rFonts w:ascii="Arial" w:hAnsi="Arial" w:cs="Arial"/>
          <w:b/>
          <w:bCs/>
          <w:sz w:val="22"/>
          <w:szCs w:val="22"/>
        </w:rPr>
        <w:t>of 2m</w:t>
      </w:r>
      <w:r w:rsidR="00390DE4" w:rsidRPr="00390DE4">
        <w:rPr>
          <w:rFonts w:ascii="Arial" w:hAnsi="Arial" w:cs="Arial"/>
          <w:b/>
          <w:bCs/>
          <w:sz w:val="22"/>
          <w:szCs w:val="22"/>
          <w:vertAlign w:val="superscript"/>
        </w:rPr>
        <w:t>2</w:t>
      </w:r>
      <w:r w:rsidRPr="00F333BA">
        <w:rPr>
          <w:rFonts w:ascii="Arial" w:hAnsi="Arial" w:cs="Arial"/>
          <w:b/>
          <w:bCs/>
          <w:sz w:val="22"/>
          <w:szCs w:val="22"/>
          <w:vertAlign w:val="superscript"/>
        </w:rPr>
        <w:t xml:space="preserve"> </w:t>
      </w:r>
      <w:r w:rsidRPr="00F333BA">
        <w:rPr>
          <w:rFonts w:ascii="Arial" w:hAnsi="Arial" w:cs="Arial"/>
          <w:b/>
          <w:sz w:val="22"/>
          <w:szCs w:val="22"/>
        </w:rPr>
        <w:t>for BSA.</w:t>
      </w:r>
    </w:p>
    <w:p w14:paraId="01C30DA6" w14:textId="77777777" w:rsidR="00DA67E8" w:rsidRPr="00AB00A9" w:rsidRDefault="00642903" w:rsidP="00BF16F9">
      <w:pPr>
        <w:pStyle w:val="Heading2"/>
      </w:pPr>
      <w:bookmarkStart w:id="402" w:name="_Toc333484754"/>
      <w:bookmarkStart w:id="403" w:name="_Toc333484869"/>
      <w:bookmarkEnd w:id="392"/>
      <w:bookmarkEnd w:id="393"/>
      <w:r>
        <w:rPr>
          <w:lang w:val="en-GB"/>
        </w:rPr>
        <w:t xml:space="preserve"> </w:t>
      </w:r>
      <w:bookmarkStart w:id="404" w:name="_Toc351624822"/>
      <w:bookmarkStart w:id="405" w:name="_Toc471826774"/>
      <w:bookmarkStart w:id="406" w:name="_Toc528323540"/>
      <w:r w:rsidR="00DA67E8" w:rsidRPr="00AB00A9">
        <w:t>Drug Interactions</w:t>
      </w:r>
      <w:bookmarkEnd w:id="402"/>
      <w:bookmarkEnd w:id="403"/>
      <w:bookmarkEnd w:id="404"/>
      <w:bookmarkEnd w:id="405"/>
      <w:bookmarkEnd w:id="406"/>
    </w:p>
    <w:p w14:paraId="32EF4E48" w14:textId="77777777" w:rsidR="00DA67E8" w:rsidRPr="00E328B3" w:rsidRDefault="00DA67E8" w:rsidP="00D65DE2">
      <w:pPr>
        <w:pStyle w:val="Heading3"/>
        <w:numPr>
          <w:ilvl w:val="2"/>
          <w:numId w:val="48"/>
        </w:numPr>
      </w:pPr>
      <w:r w:rsidRPr="00E328B3">
        <w:t xml:space="preserve"> </w:t>
      </w:r>
      <w:r w:rsidRPr="00E328B3">
        <w:tab/>
      </w:r>
      <w:bookmarkStart w:id="407" w:name="_Toc471826775"/>
      <w:bookmarkStart w:id="408" w:name="_Toc528323541"/>
      <w:r w:rsidRPr="00E328B3">
        <w:t xml:space="preserve">Interactions Common to all </w:t>
      </w:r>
      <w:proofErr w:type="spellStart"/>
      <w:r w:rsidRPr="00E328B3">
        <w:t>Cytotoxics</w:t>
      </w:r>
      <w:bookmarkEnd w:id="407"/>
      <w:bookmarkEnd w:id="408"/>
      <w:proofErr w:type="spellEnd"/>
    </w:p>
    <w:p w14:paraId="219AE3BF" w14:textId="77777777" w:rsidR="00DA67E8" w:rsidRPr="00AB00A9" w:rsidRDefault="00DA67E8" w:rsidP="00F62DC2">
      <w:pPr>
        <w:ind w:right="1"/>
        <w:jc w:val="both"/>
        <w:rPr>
          <w:rFonts w:ascii="Arial" w:hAnsi="Arial" w:cs="Arial"/>
          <w:sz w:val="22"/>
          <w:szCs w:val="22"/>
        </w:rPr>
      </w:pPr>
      <w:r w:rsidRPr="00AB00A9">
        <w:rPr>
          <w:rFonts w:ascii="Arial" w:hAnsi="Arial" w:cs="Arial"/>
          <w:sz w:val="22"/>
          <w:szCs w:val="22"/>
        </w:rPr>
        <w:t>Due to the increased thrombotic risk in patients with cancer, the use of anticoagulation treatment is frequent. The high intra-individual variability of the coagulation status during diseases and the possibility of interaction between oral anticoagulants and anti-cancer chemotherapy require increased frequency of INR (International Normalised Ratio) monitoring, if it is decided to treat the patient with oral anticoagulants.</w:t>
      </w:r>
    </w:p>
    <w:p w14:paraId="4E1FDAB9" w14:textId="77777777" w:rsidR="00DA67E8" w:rsidRDefault="00DA67E8" w:rsidP="00F62DC2">
      <w:pPr>
        <w:autoSpaceDE w:val="0"/>
        <w:autoSpaceDN w:val="0"/>
        <w:adjustRightInd w:val="0"/>
        <w:jc w:val="both"/>
        <w:rPr>
          <w:rFonts w:ascii="TimesNewRomanPSMT" w:hAnsi="TimesNewRomanPSMT" w:cs="TimesNewRomanPSMT"/>
          <w:lang w:eastAsia="en-GB"/>
        </w:rPr>
      </w:pPr>
    </w:p>
    <w:p w14:paraId="3716B7DC" w14:textId="77777777" w:rsidR="009D4004" w:rsidRPr="009D4004" w:rsidRDefault="009D4004" w:rsidP="009D4004">
      <w:pPr>
        <w:ind w:right="1"/>
        <w:jc w:val="both"/>
        <w:rPr>
          <w:rFonts w:ascii="Arial" w:hAnsi="Arial" w:cs="Arial"/>
          <w:sz w:val="22"/>
          <w:szCs w:val="22"/>
        </w:rPr>
      </w:pPr>
      <w:r w:rsidRPr="009D4004">
        <w:rPr>
          <w:rFonts w:ascii="Arial" w:hAnsi="Arial" w:cs="Arial"/>
          <w:sz w:val="22"/>
          <w:szCs w:val="22"/>
        </w:rPr>
        <w:t>Supportive equipment should</w:t>
      </w:r>
      <w:r>
        <w:rPr>
          <w:rFonts w:ascii="Arial" w:hAnsi="Arial" w:cs="Arial"/>
          <w:sz w:val="22"/>
          <w:szCs w:val="22"/>
        </w:rPr>
        <w:t xml:space="preserve"> </w:t>
      </w:r>
      <w:r w:rsidRPr="009D4004">
        <w:rPr>
          <w:rFonts w:ascii="Arial" w:hAnsi="Arial" w:cs="Arial"/>
          <w:sz w:val="22"/>
          <w:szCs w:val="22"/>
        </w:rPr>
        <w:t>be available</w:t>
      </w:r>
      <w:r>
        <w:rPr>
          <w:rFonts w:ascii="Arial" w:hAnsi="Arial" w:cs="Arial"/>
          <w:sz w:val="22"/>
          <w:szCs w:val="22"/>
        </w:rPr>
        <w:t xml:space="preserve"> </w:t>
      </w:r>
      <w:r w:rsidRPr="009D4004">
        <w:rPr>
          <w:rFonts w:ascii="Arial" w:hAnsi="Arial" w:cs="Arial"/>
          <w:sz w:val="22"/>
          <w:szCs w:val="22"/>
        </w:rPr>
        <w:t>to control anaphylactic reactions</w:t>
      </w:r>
      <w:r>
        <w:rPr>
          <w:rFonts w:ascii="Arial" w:hAnsi="Arial" w:cs="Arial"/>
          <w:sz w:val="22"/>
          <w:szCs w:val="22"/>
        </w:rPr>
        <w:t>.</w:t>
      </w:r>
    </w:p>
    <w:p w14:paraId="7D9845CA" w14:textId="77777777" w:rsidR="00DA67E8" w:rsidRPr="00E328B3" w:rsidRDefault="00DA67E8" w:rsidP="00D65DE2">
      <w:pPr>
        <w:pStyle w:val="Heading3"/>
        <w:numPr>
          <w:ilvl w:val="2"/>
          <w:numId w:val="48"/>
        </w:numPr>
        <w:ind w:left="1418" w:hanging="1418"/>
      </w:pPr>
      <w:r w:rsidRPr="00E328B3">
        <w:tab/>
      </w:r>
      <w:bookmarkStart w:id="409" w:name="_Toc471826776"/>
      <w:bookmarkStart w:id="410" w:name="_Toc528323542"/>
      <w:r w:rsidRPr="00E328B3">
        <w:t xml:space="preserve">Ganetespib (also refer to the latest version of ganetespib Investigator brochure and </w:t>
      </w:r>
      <w:proofErr w:type="spellStart"/>
      <w:r w:rsidRPr="00E328B3">
        <w:t>SoDA</w:t>
      </w:r>
      <w:proofErr w:type="spellEnd"/>
      <w:r w:rsidRPr="00E328B3">
        <w:t>)</w:t>
      </w:r>
      <w:bookmarkEnd w:id="409"/>
      <w:bookmarkEnd w:id="410"/>
    </w:p>
    <w:p w14:paraId="55BA528A" w14:textId="77777777" w:rsidR="0057562C" w:rsidRPr="00D87855" w:rsidRDefault="0057562C" w:rsidP="008568DE">
      <w:pPr>
        <w:ind w:right="1"/>
        <w:jc w:val="both"/>
        <w:rPr>
          <w:rFonts w:ascii="Arial" w:hAnsi="Arial" w:cs="Arial"/>
          <w:sz w:val="22"/>
          <w:szCs w:val="22"/>
        </w:rPr>
      </w:pPr>
      <w:r w:rsidRPr="008568DE">
        <w:rPr>
          <w:rFonts w:ascii="Arial" w:hAnsi="Arial" w:cs="Arial"/>
          <w:sz w:val="22"/>
          <w:szCs w:val="22"/>
        </w:rPr>
        <w:t xml:space="preserve">Substrates of CYP3A4 or CYP2C19 </w:t>
      </w:r>
      <w:r w:rsidRPr="00D87855">
        <w:rPr>
          <w:rFonts w:ascii="Arial" w:hAnsi="Arial" w:cs="Arial"/>
          <w:sz w:val="22"/>
          <w:szCs w:val="22"/>
        </w:rPr>
        <w:t>Results of a clinical drug-drug interactions study, examining the effect of ganetespib on the pharmacokinetics of the CYP2C19-sensitive probe omeprazole, show a modest (20%) increase in omeprazole exposure when co</w:t>
      </w:r>
      <w:r>
        <w:rPr>
          <w:rFonts w:ascii="Arial" w:hAnsi="Arial" w:cs="Arial"/>
          <w:sz w:val="22"/>
          <w:szCs w:val="22"/>
        </w:rPr>
        <w:t>-</w:t>
      </w:r>
      <w:r w:rsidRPr="00D87855">
        <w:rPr>
          <w:rFonts w:ascii="Arial" w:hAnsi="Arial" w:cs="Arial"/>
          <w:sz w:val="22"/>
          <w:szCs w:val="22"/>
        </w:rPr>
        <w:t>administered with ganetespib. In vitro data implies expectation of greater interaction with CYP2C19 substrates than with CYP3A4 substrates. In addition, PK data for docetaxel in combination with ganetespib was comparable to reference literature. Since docetaxel is a sensitive CYP3A4 substrate, an effect of ganetespib on other CYP3A4 substrates is unlikely.</w:t>
      </w:r>
    </w:p>
    <w:p w14:paraId="67FD5138" w14:textId="77777777" w:rsidR="0057562C" w:rsidRPr="00D87855" w:rsidRDefault="0057562C" w:rsidP="008568DE">
      <w:pPr>
        <w:ind w:right="1"/>
        <w:jc w:val="both"/>
        <w:rPr>
          <w:rFonts w:ascii="Arial" w:hAnsi="Arial" w:cs="Arial"/>
          <w:sz w:val="22"/>
          <w:szCs w:val="22"/>
        </w:rPr>
      </w:pPr>
    </w:p>
    <w:p w14:paraId="7C21D06B" w14:textId="77777777" w:rsidR="00DA67E8" w:rsidRDefault="0057562C" w:rsidP="008568DE">
      <w:pPr>
        <w:ind w:right="1"/>
        <w:jc w:val="both"/>
        <w:rPr>
          <w:rFonts w:ascii="Arial" w:hAnsi="Arial" w:cs="Arial"/>
          <w:sz w:val="22"/>
          <w:szCs w:val="22"/>
        </w:rPr>
      </w:pPr>
      <w:r w:rsidRPr="00D87855">
        <w:rPr>
          <w:rFonts w:ascii="Arial" w:hAnsi="Arial" w:cs="Arial"/>
          <w:sz w:val="22"/>
          <w:szCs w:val="22"/>
        </w:rPr>
        <w:t xml:space="preserve">Caution is advised when sensitive narrow therapeutic range CYP3A4 or CYP2C19 substrates are concomitantly administered. </w:t>
      </w:r>
    </w:p>
    <w:p w14:paraId="38459B79" w14:textId="77777777" w:rsidR="00DA67E8" w:rsidRDefault="002F113D" w:rsidP="00F62DC2">
      <w:pPr>
        <w:autoSpaceDE w:val="0"/>
        <w:autoSpaceDN w:val="0"/>
        <w:adjustRightInd w:val="0"/>
        <w:jc w:val="both"/>
        <w:rPr>
          <w:rFonts w:ascii="Arial" w:hAnsi="Arial" w:cs="Arial"/>
          <w:sz w:val="22"/>
          <w:szCs w:val="22"/>
          <w:lang w:eastAsia="en-GB"/>
        </w:rPr>
      </w:pPr>
      <w:r w:rsidRPr="002418EE">
        <w:rPr>
          <w:rFonts w:ascii="Arial" w:hAnsi="Arial" w:cs="Arial"/>
          <w:sz w:val="22"/>
          <w:szCs w:val="22"/>
          <w:lang w:eastAsia="en-GB"/>
        </w:rPr>
        <w:t>In mice, ganetespib did not show marked pharmacokinetic interactions when co</w:t>
      </w:r>
      <w:r>
        <w:rPr>
          <w:rFonts w:ascii="Arial" w:hAnsi="Arial" w:cs="Arial"/>
          <w:sz w:val="22"/>
          <w:szCs w:val="22"/>
          <w:lang w:eastAsia="en-GB"/>
        </w:rPr>
        <w:t>-</w:t>
      </w:r>
      <w:r w:rsidRPr="002418EE">
        <w:rPr>
          <w:rFonts w:ascii="Arial" w:hAnsi="Arial" w:cs="Arial"/>
          <w:sz w:val="22"/>
          <w:szCs w:val="22"/>
          <w:lang w:eastAsia="en-GB"/>
        </w:rPr>
        <w:t xml:space="preserve">administered with paclitaxel, docetaxel, erlotinib, </w:t>
      </w:r>
      <w:proofErr w:type="spellStart"/>
      <w:r w:rsidRPr="002418EE">
        <w:rPr>
          <w:rFonts w:ascii="Arial" w:hAnsi="Arial" w:cs="Arial"/>
          <w:sz w:val="22"/>
          <w:szCs w:val="22"/>
          <w:lang w:eastAsia="en-GB"/>
        </w:rPr>
        <w:t>fulvestrant</w:t>
      </w:r>
      <w:proofErr w:type="spellEnd"/>
      <w:r w:rsidRPr="002418EE">
        <w:rPr>
          <w:rFonts w:ascii="Arial" w:hAnsi="Arial" w:cs="Arial"/>
          <w:sz w:val="22"/>
          <w:szCs w:val="22"/>
          <w:lang w:eastAsia="en-GB"/>
        </w:rPr>
        <w:t>, BEZ235, AZD6244, bortezomib, or irinotecan.</w:t>
      </w:r>
      <w:r>
        <w:rPr>
          <w:rFonts w:ascii="Arial" w:hAnsi="Arial" w:cs="Arial"/>
          <w:sz w:val="22"/>
          <w:szCs w:val="22"/>
          <w:lang w:eastAsia="en-GB"/>
        </w:rPr>
        <w:t xml:space="preserve"> </w:t>
      </w:r>
      <w:r w:rsidRPr="002418EE">
        <w:rPr>
          <w:rFonts w:ascii="Arial" w:hAnsi="Arial" w:cs="Arial"/>
          <w:sz w:val="22"/>
          <w:szCs w:val="22"/>
          <w:lang w:eastAsia="en-GB"/>
        </w:rPr>
        <w:t>Vemurafenib exposure via oral administration was more than 2 fold lower when ganetespib was</w:t>
      </w:r>
      <w:r>
        <w:rPr>
          <w:rFonts w:ascii="Arial" w:hAnsi="Arial" w:cs="Arial"/>
          <w:sz w:val="22"/>
          <w:szCs w:val="22"/>
          <w:lang w:eastAsia="en-GB"/>
        </w:rPr>
        <w:t xml:space="preserve"> c</w:t>
      </w:r>
      <w:r w:rsidRPr="002418EE">
        <w:rPr>
          <w:rFonts w:ascii="Arial" w:hAnsi="Arial" w:cs="Arial"/>
          <w:sz w:val="22"/>
          <w:szCs w:val="22"/>
          <w:lang w:eastAsia="en-GB"/>
        </w:rPr>
        <w:t>o</w:t>
      </w:r>
      <w:r>
        <w:rPr>
          <w:rFonts w:ascii="Arial" w:hAnsi="Arial" w:cs="Arial"/>
          <w:sz w:val="22"/>
          <w:szCs w:val="22"/>
          <w:lang w:eastAsia="en-GB"/>
        </w:rPr>
        <w:t>-</w:t>
      </w:r>
      <w:r w:rsidRPr="002418EE">
        <w:rPr>
          <w:rFonts w:ascii="Arial" w:hAnsi="Arial" w:cs="Arial"/>
          <w:sz w:val="22"/>
          <w:szCs w:val="22"/>
          <w:lang w:eastAsia="en-GB"/>
        </w:rPr>
        <w:t>administered compared to administration of vemurafenib alone to mice.</w:t>
      </w:r>
    </w:p>
    <w:p w14:paraId="616A3B82" w14:textId="77777777" w:rsidR="00DA67E8" w:rsidRPr="002418EE" w:rsidRDefault="00DA67E8" w:rsidP="00F62DC2">
      <w:pPr>
        <w:autoSpaceDE w:val="0"/>
        <w:autoSpaceDN w:val="0"/>
        <w:adjustRightInd w:val="0"/>
        <w:jc w:val="both"/>
        <w:rPr>
          <w:rFonts w:ascii="Arial" w:hAnsi="Arial" w:cs="Arial"/>
          <w:sz w:val="22"/>
          <w:szCs w:val="22"/>
          <w:lang w:eastAsia="en-GB"/>
        </w:rPr>
      </w:pPr>
    </w:p>
    <w:p w14:paraId="4379E02A" w14:textId="77777777" w:rsidR="00DA67E8" w:rsidRDefault="00DA67E8" w:rsidP="00F62DC2">
      <w:pPr>
        <w:pStyle w:val="Normal1"/>
        <w:spacing w:after="240"/>
        <w:rPr>
          <w:rFonts w:cs="Arial"/>
          <w:b/>
          <w:bCs/>
          <w:i/>
          <w:iCs/>
          <w:color w:val="0000FF"/>
          <w:sz w:val="22"/>
          <w:szCs w:val="22"/>
          <w:lang w:val="en-GB"/>
        </w:rPr>
      </w:pPr>
      <w:r w:rsidRPr="002418EE">
        <w:rPr>
          <w:rFonts w:cs="Arial"/>
          <w:sz w:val="22"/>
          <w:szCs w:val="22"/>
          <w:lang w:eastAsia="en-GB"/>
        </w:rPr>
        <w:t xml:space="preserve">Based on the Caco-2 permeability assay, </w:t>
      </w:r>
      <w:proofErr w:type="spellStart"/>
      <w:r w:rsidRPr="002418EE">
        <w:rPr>
          <w:rFonts w:cs="Arial"/>
          <w:sz w:val="22"/>
          <w:szCs w:val="22"/>
          <w:lang w:eastAsia="en-GB"/>
        </w:rPr>
        <w:t>ganetespib</w:t>
      </w:r>
      <w:proofErr w:type="spellEnd"/>
      <w:r w:rsidRPr="002418EE">
        <w:rPr>
          <w:rFonts w:cs="Arial"/>
          <w:sz w:val="22"/>
          <w:szCs w:val="22"/>
          <w:lang w:eastAsia="en-GB"/>
        </w:rPr>
        <w:t xml:space="preserve"> is a P-</w:t>
      </w:r>
      <w:proofErr w:type="spellStart"/>
      <w:r w:rsidRPr="002418EE">
        <w:rPr>
          <w:rFonts w:cs="Arial"/>
          <w:sz w:val="22"/>
          <w:szCs w:val="22"/>
          <w:lang w:eastAsia="en-GB"/>
        </w:rPr>
        <w:t>gp</w:t>
      </w:r>
      <w:proofErr w:type="spellEnd"/>
      <w:r w:rsidRPr="002418EE">
        <w:rPr>
          <w:rFonts w:cs="Arial"/>
          <w:sz w:val="22"/>
          <w:szCs w:val="22"/>
          <w:lang w:eastAsia="en-GB"/>
        </w:rPr>
        <w:t xml:space="preserve"> substrate.</w:t>
      </w:r>
      <w:r w:rsidR="002025D0">
        <w:rPr>
          <w:rFonts w:cs="Arial"/>
          <w:sz w:val="22"/>
          <w:szCs w:val="22"/>
          <w:lang w:eastAsia="en-GB"/>
        </w:rPr>
        <w:t xml:space="preserve"> </w:t>
      </w:r>
      <w:r w:rsidR="002025D0" w:rsidRPr="0027708E">
        <w:rPr>
          <w:rFonts w:cs="Arial"/>
          <w:sz w:val="22"/>
          <w:szCs w:val="22"/>
        </w:rPr>
        <w:t xml:space="preserve">Since </w:t>
      </w:r>
      <w:proofErr w:type="spellStart"/>
      <w:r w:rsidR="002025D0" w:rsidRPr="0027708E">
        <w:rPr>
          <w:rFonts w:cs="Arial"/>
          <w:sz w:val="22"/>
          <w:szCs w:val="22"/>
        </w:rPr>
        <w:t>ganetespib’s</w:t>
      </w:r>
      <w:proofErr w:type="spellEnd"/>
      <w:r w:rsidR="002025D0" w:rsidRPr="0027708E">
        <w:rPr>
          <w:rFonts w:cs="Arial"/>
          <w:sz w:val="22"/>
          <w:szCs w:val="22"/>
        </w:rPr>
        <w:t xml:space="preserve"> potential as a P-</w:t>
      </w:r>
      <w:proofErr w:type="spellStart"/>
      <w:r w:rsidR="002025D0" w:rsidRPr="0027708E">
        <w:rPr>
          <w:rFonts w:cs="Arial"/>
          <w:sz w:val="22"/>
          <w:szCs w:val="22"/>
        </w:rPr>
        <w:t>gp</w:t>
      </w:r>
      <w:proofErr w:type="spellEnd"/>
      <w:r w:rsidR="002025D0" w:rsidRPr="0027708E">
        <w:rPr>
          <w:rFonts w:cs="Arial"/>
          <w:sz w:val="22"/>
          <w:szCs w:val="22"/>
        </w:rPr>
        <w:t xml:space="preserve"> inhibitor has not yet been determined, caution with concomitant P-</w:t>
      </w:r>
      <w:proofErr w:type="spellStart"/>
      <w:r w:rsidR="002025D0" w:rsidRPr="0027708E">
        <w:rPr>
          <w:rFonts w:cs="Arial"/>
          <w:sz w:val="22"/>
          <w:szCs w:val="22"/>
        </w:rPr>
        <w:t>gp</w:t>
      </w:r>
      <w:proofErr w:type="spellEnd"/>
      <w:r w:rsidR="002025D0" w:rsidRPr="0027708E">
        <w:rPr>
          <w:rFonts w:cs="Arial"/>
          <w:sz w:val="22"/>
          <w:szCs w:val="22"/>
        </w:rPr>
        <w:t xml:space="preserve"> substrates is recommended</w:t>
      </w:r>
    </w:p>
    <w:p w14:paraId="3599815A" w14:textId="77777777" w:rsidR="0057562C" w:rsidRPr="004E69CA" w:rsidRDefault="0057562C" w:rsidP="0057562C">
      <w:pPr>
        <w:pStyle w:val="Normal1"/>
        <w:rPr>
          <w:rFonts w:cs="Arial"/>
          <w:b/>
          <w:bCs/>
          <w:iCs/>
          <w:sz w:val="22"/>
          <w:szCs w:val="22"/>
          <w:lang w:val="en-GB"/>
        </w:rPr>
      </w:pPr>
      <w:r w:rsidRPr="004E69CA">
        <w:rPr>
          <w:rFonts w:cs="Arial"/>
          <w:b/>
          <w:bCs/>
          <w:iCs/>
          <w:sz w:val="22"/>
          <w:szCs w:val="22"/>
          <w:lang w:val="en-GB"/>
        </w:rPr>
        <w:t>QTc prolongation</w:t>
      </w:r>
    </w:p>
    <w:p w14:paraId="5D042838" w14:textId="77777777" w:rsidR="0057562C" w:rsidRPr="00D87855" w:rsidRDefault="0057562C" w:rsidP="0057562C">
      <w:pPr>
        <w:autoSpaceDE w:val="0"/>
        <w:autoSpaceDN w:val="0"/>
        <w:adjustRightInd w:val="0"/>
        <w:jc w:val="both"/>
        <w:rPr>
          <w:rFonts w:ascii="Arial" w:hAnsi="Arial" w:cs="Arial"/>
          <w:color w:val="000000"/>
          <w:sz w:val="22"/>
          <w:szCs w:val="22"/>
          <w:lang w:eastAsia="en-GB"/>
        </w:rPr>
      </w:pPr>
      <w:r w:rsidRPr="00783E0E">
        <w:rPr>
          <w:rFonts w:ascii="Arial" w:hAnsi="Arial" w:cs="Arial"/>
          <w:b/>
          <w:color w:val="000000"/>
          <w:sz w:val="22"/>
          <w:szCs w:val="22"/>
          <w:lang w:eastAsia="en-GB"/>
        </w:rPr>
        <w:t xml:space="preserve">The use of any medication that has the potential for QTc prolongation </w:t>
      </w:r>
      <w:r w:rsidRPr="00783E0E">
        <w:rPr>
          <w:rFonts w:ascii="Arial" w:hAnsi="Arial" w:cs="Arial"/>
          <w:b/>
          <w:bCs/>
          <w:color w:val="000000"/>
          <w:sz w:val="22"/>
          <w:szCs w:val="22"/>
          <w:lang w:eastAsia="en-GB"/>
        </w:rPr>
        <w:t xml:space="preserve">and </w:t>
      </w:r>
      <w:r w:rsidRPr="00783E0E">
        <w:rPr>
          <w:rFonts w:ascii="Arial" w:hAnsi="Arial" w:cs="Arial"/>
          <w:b/>
          <w:color w:val="000000"/>
          <w:sz w:val="22"/>
          <w:szCs w:val="22"/>
          <w:lang w:eastAsia="en-GB"/>
        </w:rPr>
        <w:t xml:space="preserve">has been linked to the occurrence of </w:t>
      </w:r>
      <w:proofErr w:type="spellStart"/>
      <w:r w:rsidRPr="00783E0E">
        <w:rPr>
          <w:rFonts w:ascii="Arial" w:hAnsi="Arial" w:cs="Arial"/>
          <w:b/>
          <w:color w:val="000000"/>
          <w:sz w:val="22"/>
          <w:szCs w:val="22"/>
          <w:lang w:eastAsia="en-GB"/>
        </w:rPr>
        <w:t>torsades</w:t>
      </w:r>
      <w:proofErr w:type="spellEnd"/>
      <w:r w:rsidRPr="00783E0E">
        <w:rPr>
          <w:rFonts w:ascii="Arial" w:hAnsi="Arial" w:cs="Arial"/>
          <w:b/>
          <w:color w:val="000000"/>
          <w:sz w:val="22"/>
          <w:szCs w:val="22"/>
          <w:lang w:eastAsia="en-GB"/>
        </w:rPr>
        <w:t xml:space="preserve"> de pointes is strictly prohibited.</w:t>
      </w:r>
      <w:r w:rsidRPr="00D87855">
        <w:rPr>
          <w:rFonts w:ascii="Arial" w:hAnsi="Arial" w:cs="Arial"/>
          <w:color w:val="000000"/>
          <w:sz w:val="22"/>
          <w:szCs w:val="22"/>
          <w:lang w:eastAsia="en-GB"/>
        </w:rPr>
        <w:t xml:space="preserve"> See Appendix </w:t>
      </w:r>
      <w:r>
        <w:rPr>
          <w:rFonts w:ascii="Arial" w:hAnsi="Arial" w:cs="Arial"/>
          <w:color w:val="000000"/>
          <w:sz w:val="22"/>
          <w:szCs w:val="22"/>
          <w:lang w:eastAsia="en-GB"/>
        </w:rPr>
        <w:t>5</w:t>
      </w:r>
      <w:r w:rsidRPr="00D87855">
        <w:rPr>
          <w:rFonts w:ascii="Arial" w:hAnsi="Arial" w:cs="Arial"/>
          <w:color w:val="000000"/>
          <w:sz w:val="22"/>
          <w:szCs w:val="22"/>
          <w:lang w:eastAsia="en-GB"/>
        </w:rPr>
        <w:t xml:space="preserve"> for a list of drugs with a risk of </w:t>
      </w:r>
      <w:proofErr w:type="spellStart"/>
      <w:r w:rsidRPr="00D87855">
        <w:rPr>
          <w:rFonts w:ascii="Arial" w:hAnsi="Arial" w:cs="Arial"/>
          <w:color w:val="000000"/>
          <w:sz w:val="22"/>
          <w:szCs w:val="22"/>
          <w:lang w:eastAsia="en-GB"/>
        </w:rPr>
        <w:t>torsades</w:t>
      </w:r>
      <w:proofErr w:type="spellEnd"/>
      <w:r w:rsidRPr="00D87855">
        <w:rPr>
          <w:rFonts w:ascii="Arial" w:hAnsi="Arial" w:cs="Arial"/>
          <w:color w:val="000000"/>
          <w:sz w:val="22"/>
          <w:szCs w:val="22"/>
          <w:lang w:eastAsia="en-GB"/>
        </w:rPr>
        <w:t xml:space="preserve"> de pointes. Investigators are advised to note that ondansetron has been linked to QTc prolongation and the occurrence of </w:t>
      </w:r>
      <w:proofErr w:type="spellStart"/>
      <w:r w:rsidRPr="00D87855">
        <w:rPr>
          <w:rFonts w:ascii="Arial" w:hAnsi="Arial" w:cs="Arial"/>
          <w:color w:val="000000"/>
          <w:sz w:val="22"/>
          <w:szCs w:val="22"/>
          <w:lang w:eastAsia="en-GB"/>
        </w:rPr>
        <w:t>torsades</w:t>
      </w:r>
      <w:proofErr w:type="spellEnd"/>
      <w:r w:rsidRPr="00D87855">
        <w:rPr>
          <w:rFonts w:ascii="Arial" w:hAnsi="Arial" w:cs="Arial"/>
          <w:color w:val="000000"/>
          <w:sz w:val="22"/>
          <w:szCs w:val="22"/>
          <w:lang w:eastAsia="en-GB"/>
        </w:rPr>
        <w:t xml:space="preserve"> de pointes. Therefore it should not be used in patients being treated with ganetespib. The use of all other serotonin 5 HT3 antagonists is acceptable (</w:t>
      </w:r>
      <w:r w:rsidR="008533D3" w:rsidRPr="00D87855">
        <w:rPr>
          <w:rFonts w:ascii="Arial" w:hAnsi="Arial" w:cs="Arial"/>
          <w:color w:val="000000"/>
          <w:sz w:val="22"/>
          <w:szCs w:val="22"/>
          <w:lang w:eastAsia="en-GB"/>
        </w:rPr>
        <w:t>e.g.</w:t>
      </w:r>
      <w:r w:rsidRPr="00D87855">
        <w:rPr>
          <w:rFonts w:ascii="Arial" w:hAnsi="Arial" w:cs="Arial"/>
          <w:color w:val="000000"/>
          <w:sz w:val="22"/>
          <w:szCs w:val="22"/>
          <w:lang w:eastAsia="en-GB"/>
        </w:rPr>
        <w:t xml:space="preserve">, palonosetron, </w:t>
      </w:r>
      <w:proofErr w:type="spellStart"/>
      <w:r w:rsidRPr="00D87855">
        <w:rPr>
          <w:rFonts w:ascii="Arial" w:hAnsi="Arial" w:cs="Arial"/>
          <w:color w:val="000000"/>
          <w:sz w:val="22"/>
          <w:szCs w:val="22"/>
          <w:lang w:eastAsia="en-GB"/>
        </w:rPr>
        <w:t>granisetron</w:t>
      </w:r>
      <w:proofErr w:type="spellEnd"/>
      <w:r w:rsidRPr="00D87855">
        <w:rPr>
          <w:rFonts w:ascii="Arial" w:hAnsi="Arial" w:cs="Arial"/>
          <w:color w:val="000000"/>
          <w:sz w:val="22"/>
          <w:szCs w:val="22"/>
          <w:lang w:eastAsia="en-GB"/>
        </w:rPr>
        <w:t xml:space="preserve">, </w:t>
      </w:r>
      <w:proofErr w:type="spellStart"/>
      <w:r w:rsidRPr="00D87855">
        <w:rPr>
          <w:rFonts w:ascii="Arial" w:hAnsi="Arial" w:cs="Arial"/>
          <w:color w:val="000000"/>
          <w:sz w:val="22"/>
          <w:szCs w:val="22"/>
          <w:lang w:eastAsia="en-GB"/>
        </w:rPr>
        <w:t>tropisetron</w:t>
      </w:r>
      <w:proofErr w:type="spellEnd"/>
      <w:r w:rsidRPr="00D87855">
        <w:rPr>
          <w:rFonts w:ascii="Arial" w:hAnsi="Arial" w:cs="Arial"/>
          <w:color w:val="000000"/>
          <w:sz w:val="22"/>
          <w:szCs w:val="22"/>
          <w:lang w:eastAsia="en-GB"/>
        </w:rPr>
        <w:t xml:space="preserve">). </w:t>
      </w:r>
    </w:p>
    <w:p w14:paraId="0387D3F9" w14:textId="77777777" w:rsidR="0057562C" w:rsidRDefault="0057562C" w:rsidP="0057562C">
      <w:pPr>
        <w:pStyle w:val="Normal1"/>
        <w:rPr>
          <w:rFonts w:cs="Arial"/>
          <w:color w:val="000000"/>
          <w:sz w:val="22"/>
          <w:szCs w:val="22"/>
          <w:lang w:val="en-GB" w:eastAsia="en-GB"/>
        </w:rPr>
      </w:pPr>
      <w:r w:rsidRPr="00D87855">
        <w:rPr>
          <w:rFonts w:cs="Arial"/>
          <w:color w:val="000000"/>
          <w:sz w:val="22"/>
          <w:szCs w:val="22"/>
          <w:lang w:val="en-GB" w:eastAsia="en-GB"/>
        </w:rPr>
        <w:t xml:space="preserve">Medications that have the potential of prolonging the QT interval but are </w:t>
      </w:r>
      <w:r w:rsidRPr="00D87855">
        <w:rPr>
          <w:rFonts w:cs="Arial"/>
          <w:bCs/>
          <w:color w:val="000000"/>
          <w:sz w:val="22"/>
          <w:szCs w:val="22"/>
          <w:lang w:val="en-GB" w:eastAsia="en-GB"/>
        </w:rPr>
        <w:t xml:space="preserve">not </w:t>
      </w:r>
      <w:r w:rsidRPr="00D87855">
        <w:rPr>
          <w:rFonts w:cs="Arial"/>
          <w:color w:val="000000"/>
          <w:sz w:val="22"/>
          <w:szCs w:val="22"/>
          <w:lang w:val="en-GB" w:eastAsia="en-GB"/>
        </w:rPr>
        <w:t xml:space="preserve">linked to the occurrence of </w:t>
      </w:r>
      <w:proofErr w:type="spellStart"/>
      <w:r w:rsidRPr="00D87855">
        <w:rPr>
          <w:rFonts w:cs="Arial"/>
          <w:color w:val="000000"/>
          <w:sz w:val="22"/>
          <w:szCs w:val="22"/>
          <w:lang w:val="en-GB" w:eastAsia="en-GB"/>
        </w:rPr>
        <w:t>torsades</w:t>
      </w:r>
      <w:proofErr w:type="spellEnd"/>
      <w:r w:rsidRPr="00D87855">
        <w:rPr>
          <w:rFonts w:cs="Arial"/>
          <w:color w:val="000000"/>
          <w:sz w:val="22"/>
          <w:szCs w:val="22"/>
          <w:lang w:val="en-GB" w:eastAsia="en-GB"/>
        </w:rPr>
        <w:t xml:space="preserve"> de pointes should be avoided or used with caution. The decision to use such a medication should be made by the Investigator, taking into consideration the patient’s medical history and current QTc values.</w:t>
      </w:r>
    </w:p>
    <w:p w14:paraId="0CDBB2F4" w14:textId="77777777" w:rsidR="002025D0" w:rsidRPr="00D87855" w:rsidRDefault="002025D0" w:rsidP="0057562C">
      <w:pPr>
        <w:pStyle w:val="Normal1"/>
        <w:rPr>
          <w:rFonts w:cs="Arial"/>
          <w:bCs/>
          <w:iCs/>
          <w:sz w:val="22"/>
          <w:szCs w:val="22"/>
          <w:lang w:val="en-GB"/>
        </w:rPr>
      </w:pPr>
    </w:p>
    <w:p w14:paraId="636CF6A8" w14:textId="77777777" w:rsidR="00DA67E8" w:rsidRPr="0095643D" w:rsidRDefault="00DA67E8" w:rsidP="00F62DC2">
      <w:pPr>
        <w:pStyle w:val="Normal1"/>
        <w:rPr>
          <w:rFonts w:cs="Arial"/>
          <w:b/>
          <w:bCs/>
          <w:iCs/>
          <w:sz w:val="22"/>
          <w:szCs w:val="22"/>
          <w:lang w:val="en-GB"/>
        </w:rPr>
      </w:pPr>
      <w:r w:rsidRPr="0095643D">
        <w:rPr>
          <w:rFonts w:cs="Arial"/>
          <w:b/>
          <w:bCs/>
          <w:iCs/>
          <w:sz w:val="22"/>
          <w:szCs w:val="22"/>
          <w:lang w:val="en-GB"/>
        </w:rPr>
        <w:t>Interaction with potential co-medications</w:t>
      </w:r>
    </w:p>
    <w:p w14:paraId="663F77D3" w14:textId="77777777" w:rsidR="00DA67E8" w:rsidRDefault="002F113D" w:rsidP="00F62DC2">
      <w:pPr>
        <w:autoSpaceDE w:val="0"/>
        <w:autoSpaceDN w:val="0"/>
        <w:adjustRightInd w:val="0"/>
        <w:jc w:val="both"/>
        <w:rPr>
          <w:rFonts w:ascii="Arial" w:hAnsi="Arial" w:cs="Arial"/>
          <w:sz w:val="22"/>
          <w:szCs w:val="22"/>
          <w:lang w:eastAsia="en-GB"/>
        </w:rPr>
      </w:pPr>
      <w:r w:rsidRPr="0095643D">
        <w:rPr>
          <w:rFonts w:ascii="Arial" w:hAnsi="Arial" w:cs="Arial"/>
          <w:sz w:val="22"/>
          <w:szCs w:val="22"/>
          <w:lang w:eastAsia="en-GB"/>
        </w:rPr>
        <w:t>A panel of potential co</w:t>
      </w:r>
      <w:r>
        <w:rPr>
          <w:rFonts w:ascii="Arial" w:hAnsi="Arial" w:cs="Arial"/>
          <w:sz w:val="22"/>
          <w:szCs w:val="22"/>
          <w:lang w:eastAsia="en-GB"/>
        </w:rPr>
        <w:t>-</w:t>
      </w:r>
      <w:r w:rsidRPr="0095643D">
        <w:rPr>
          <w:rFonts w:ascii="Arial" w:hAnsi="Arial" w:cs="Arial"/>
          <w:sz w:val="22"/>
          <w:szCs w:val="22"/>
          <w:lang w:eastAsia="en-GB"/>
        </w:rPr>
        <w:t>medication (atorvastatin, dexamethasone, fentanyl, furosemide, morphine and warfarin) and combination (</w:t>
      </w:r>
      <w:proofErr w:type="spellStart"/>
      <w:r w:rsidRPr="0095643D">
        <w:rPr>
          <w:rFonts w:ascii="Arial" w:hAnsi="Arial" w:cs="Arial"/>
          <w:sz w:val="22"/>
          <w:szCs w:val="22"/>
          <w:lang w:eastAsia="en-GB"/>
        </w:rPr>
        <w:t>fulvestrant</w:t>
      </w:r>
      <w:proofErr w:type="spellEnd"/>
      <w:r w:rsidRPr="0095643D">
        <w:rPr>
          <w:rFonts w:ascii="Arial" w:hAnsi="Arial" w:cs="Arial"/>
          <w:sz w:val="22"/>
          <w:szCs w:val="22"/>
          <w:lang w:eastAsia="en-GB"/>
        </w:rPr>
        <w:t xml:space="preserve"> and 5-fluorouracil) drugs was evaluated for potential drug-drug interactions (DDIs) with ganetespib via hepatic metabolism using human</w:t>
      </w:r>
      <w:r>
        <w:rPr>
          <w:rFonts w:ascii="Arial" w:hAnsi="Arial" w:cs="Arial"/>
          <w:sz w:val="22"/>
          <w:szCs w:val="22"/>
          <w:lang w:eastAsia="en-GB"/>
        </w:rPr>
        <w:t xml:space="preserve"> </w:t>
      </w:r>
      <w:r w:rsidRPr="0095643D">
        <w:rPr>
          <w:rFonts w:ascii="Arial" w:hAnsi="Arial" w:cs="Arial"/>
          <w:sz w:val="22"/>
          <w:szCs w:val="22"/>
          <w:lang w:eastAsia="en-GB"/>
        </w:rPr>
        <w:t>cryopreserve</w:t>
      </w:r>
      <w:r>
        <w:rPr>
          <w:rFonts w:ascii="Arial" w:hAnsi="Arial" w:cs="Arial"/>
          <w:sz w:val="22"/>
          <w:szCs w:val="22"/>
          <w:lang w:eastAsia="en-GB"/>
        </w:rPr>
        <w:t>d hepatocytes suspensions</w:t>
      </w:r>
      <w:r w:rsidRPr="0095643D">
        <w:rPr>
          <w:rFonts w:ascii="Arial" w:hAnsi="Arial" w:cs="Arial"/>
          <w:sz w:val="22"/>
          <w:szCs w:val="22"/>
          <w:lang w:eastAsia="en-GB"/>
        </w:rPr>
        <w:t xml:space="preserve">. </w:t>
      </w:r>
      <w:r w:rsidR="00DA67E8" w:rsidRPr="0095643D">
        <w:rPr>
          <w:rFonts w:ascii="Arial" w:hAnsi="Arial" w:cs="Arial"/>
          <w:sz w:val="22"/>
          <w:szCs w:val="22"/>
          <w:lang w:eastAsia="en-GB"/>
        </w:rPr>
        <w:t xml:space="preserve">Ganetespib CL was not affected by any of </w:t>
      </w:r>
      <w:r w:rsidRPr="0095643D">
        <w:rPr>
          <w:rFonts w:ascii="Arial" w:hAnsi="Arial" w:cs="Arial"/>
          <w:sz w:val="22"/>
          <w:szCs w:val="22"/>
          <w:lang w:eastAsia="en-GB"/>
        </w:rPr>
        <w:t>the</w:t>
      </w:r>
      <w:r>
        <w:rPr>
          <w:rFonts w:ascii="Arial" w:hAnsi="Arial" w:cs="Arial"/>
          <w:sz w:val="22"/>
          <w:szCs w:val="22"/>
          <w:lang w:eastAsia="en-GB"/>
        </w:rPr>
        <w:t xml:space="preserve"> </w:t>
      </w:r>
      <w:r w:rsidRPr="0095643D">
        <w:rPr>
          <w:rFonts w:ascii="Arial" w:hAnsi="Arial" w:cs="Arial"/>
          <w:sz w:val="22"/>
          <w:szCs w:val="22"/>
          <w:lang w:eastAsia="en-GB"/>
        </w:rPr>
        <w:t>co</w:t>
      </w:r>
      <w:r w:rsidR="00DA67E8">
        <w:rPr>
          <w:rFonts w:ascii="Arial" w:hAnsi="Arial" w:cs="Arial"/>
          <w:sz w:val="22"/>
          <w:szCs w:val="22"/>
          <w:lang w:eastAsia="en-GB"/>
        </w:rPr>
        <w:t>-</w:t>
      </w:r>
      <w:r w:rsidR="00DA67E8" w:rsidRPr="0095643D">
        <w:rPr>
          <w:rFonts w:ascii="Arial" w:hAnsi="Arial" w:cs="Arial"/>
          <w:sz w:val="22"/>
          <w:szCs w:val="22"/>
          <w:lang w:eastAsia="en-GB"/>
        </w:rPr>
        <w:t xml:space="preserve">medications tested at clinically relevant dosage. Ganetespib did not markedly affect theCYP3A4-mediated metabolism of atorvastatin, dexamethasone, fentanyl, warfarin </w:t>
      </w:r>
      <w:r w:rsidRPr="0095643D">
        <w:rPr>
          <w:rFonts w:ascii="Arial" w:hAnsi="Arial" w:cs="Arial"/>
          <w:sz w:val="22"/>
          <w:szCs w:val="22"/>
          <w:lang w:eastAsia="en-GB"/>
        </w:rPr>
        <w:t>and</w:t>
      </w:r>
      <w:r>
        <w:rPr>
          <w:rFonts w:ascii="Arial" w:hAnsi="Arial" w:cs="Arial"/>
          <w:sz w:val="22"/>
          <w:szCs w:val="22"/>
          <w:lang w:eastAsia="en-GB"/>
        </w:rPr>
        <w:t xml:space="preserve"> </w:t>
      </w:r>
      <w:proofErr w:type="spellStart"/>
      <w:r w:rsidRPr="0095643D">
        <w:rPr>
          <w:rFonts w:ascii="Arial" w:hAnsi="Arial" w:cs="Arial"/>
          <w:sz w:val="22"/>
          <w:szCs w:val="22"/>
          <w:lang w:eastAsia="en-GB"/>
        </w:rPr>
        <w:t>fulvestrant</w:t>
      </w:r>
      <w:proofErr w:type="spellEnd"/>
      <w:r w:rsidR="00DA67E8" w:rsidRPr="0095643D">
        <w:rPr>
          <w:rFonts w:ascii="Arial" w:hAnsi="Arial" w:cs="Arial"/>
          <w:sz w:val="22"/>
          <w:szCs w:val="22"/>
          <w:lang w:eastAsia="en-GB"/>
        </w:rPr>
        <w:t xml:space="preserve">, CYP2C9-mediated metabolism of warfarin, or </w:t>
      </w:r>
      <w:proofErr w:type="spellStart"/>
      <w:r w:rsidR="00DA67E8" w:rsidRPr="0095643D">
        <w:rPr>
          <w:rFonts w:ascii="Arial" w:hAnsi="Arial" w:cs="Arial"/>
          <w:sz w:val="22"/>
          <w:szCs w:val="22"/>
          <w:lang w:eastAsia="en-GB"/>
        </w:rPr>
        <w:t>dihydropyrimidine</w:t>
      </w:r>
      <w:proofErr w:type="spellEnd"/>
      <w:r w:rsidR="00DA67E8" w:rsidRPr="0095643D">
        <w:rPr>
          <w:rFonts w:ascii="Arial" w:hAnsi="Arial" w:cs="Arial"/>
          <w:sz w:val="22"/>
          <w:szCs w:val="22"/>
          <w:lang w:eastAsia="en-GB"/>
        </w:rPr>
        <w:t xml:space="preserve"> </w:t>
      </w:r>
      <w:r w:rsidRPr="0095643D">
        <w:rPr>
          <w:rFonts w:ascii="Arial" w:hAnsi="Arial" w:cs="Arial"/>
          <w:sz w:val="22"/>
          <w:szCs w:val="22"/>
          <w:lang w:eastAsia="en-GB"/>
        </w:rPr>
        <w:t>dehydrogenase</w:t>
      </w:r>
      <w:r>
        <w:rPr>
          <w:rFonts w:ascii="Arial" w:hAnsi="Arial" w:cs="Arial"/>
          <w:sz w:val="22"/>
          <w:szCs w:val="22"/>
          <w:lang w:eastAsia="en-GB"/>
        </w:rPr>
        <w:t xml:space="preserve"> </w:t>
      </w:r>
      <w:r w:rsidRPr="0095643D">
        <w:rPr>
          <w:rFonts w:ascii="Arial" w:hAnsi="Arial" w:cs="Arial"/>
          <w:sz w:val="22"/>
          <w:szCs w:val="22"/>
          <w:lang w:eastAsia="en-GB"/>
        </w:rPr>
        <w:t>mediated</w:t>
      </w:r>
      <w:r>
        <w:rPr>
          <w:rFonts w:ascii="Arial" w:hAnsi="Arial" w:cs="Arial"/>
          <w:sz w:val="22"/>
          <w:szCs w:val="22"/>
          <w:lang w:eastAsia="en-GB"/>
        </w:rPr>
        <w:t xml:space="preserve"> </w:t>
      </w:r>
      <w:r w:rsidRPr="0095643D">
        <w:rPr>
          <w:rFonts w:ascii="Arial" w:hAnsi="Arial" w:cs="Arial"/>
          <w:sz w:val="22"/>
          <w:szCs w:val="22"/>
          <w:lang w:eastAsia="en-GB"/>
        </w:rPr>
        <w:t>metabolism</w:t>
      </w:r>
      <w:r w:rsidR="00DA67E8" w:rsidRPr="0095643D">
        <w:rPr>
          <w:rFonts w:ascii="Arial" w:hAnsi="Arial" w:cs="Arial"/>
          <w:sz w:val="22"/>
          <w:szCs w:val="22"/>
          <w:lang w:eastAsia="en-GB"/>
        </w:rPr>
        <w:t xml:space="preserve"> of 5</w:t>
      </w:r>
      <w:r w:rsidR="008533D3">
        <w:rPr>
          <w:rFonts w:ascii="Arial" w:hAnsi="Arial" w:cs="Arial"/>
          <w:sz w:val="22"/>
          <w:szCs w:val="22"/>
          <w:lang w:eastAsia="en-GB"/>
        </w:rPr>
        <w:t>-fluorouracil. Ganetespib at 20</w:t>
      </w:r>
      <w:r w:rsidR="00DA67E8" w:rsidRPr="0095643D">
        <w:rPr>
          <w:rFonts w:ascii="Arial" w:hAnsi="Arial" w:cs="Arial"/>
          <w:sz w:val="22"/>
          <w:szCs w:val="22"/>
          <w:lang w:eastAsia="en-GB"/>
        </w:rPr>
        <w:t>μM appeared to inhibit</w:t>
      </w:r>
      <w:r w:rsidR="003220D2">
        <w:rPr>
          <w:rFonts w:ascii="Arial" w:hAnsi="Arial" w:cs="Arial"/>
          <w:sz w:val="22"/>
          <w:szCs w:val="22"/>
          <w:lang w:eastAsia="en-GB"/>
        </w:rPr>
        <w:t xml:space="preserve"> </w:t>
      </w:r>
      <w:r w:rsidR="00DA67E8" w:rsidRPr="0095643D">
        <w:rPr>
          <w:rFonts w:ascii="Arial" w:hAnsi="Arial" w:cs="Arial"/>
          <w:sz w:val="22"/>
          <w:szCs w:val="22"/>
          <w:lang w:eastAsia="en-GB"/>
        </w:rPr>
        <w:t xml:space="preserve">UGT-mediated metabolism of furosemide (UGT1As) and morphine (mainly UGT2B7) </w:t>
      </w:r>
      <w:r w:rsidRPr="0095643D">
        <w:rPr>
          <w:rFonts w:ascii="Arial" w:hAnsi="Arial" w:cs="Arial"/>
          <w:sz w:val="22"/>
          <w:szCs w:val="22"/>
          <w:lang w:eastAsia="en-GB"/>
        </w:rPr>
        <w:t>at clinically</w:t>
      </w:r>
      <w:r w:rsidR="00DA67E8" w:rsidRPr="0095643D">
        <w:rPr>
          <w:rFonts w:ascii="Arial" w:hAnsi="Arial" w:cs="Arial"/>
          <w:sz w:val="22"/>
          <w:szCs w:val="22"/>
          <w:lang w:eastAsia="en-GB"/>
        </w:rPr>
        <w:t xml:space="preserve"> relevant concentrations of these co</w:t>
      </w:r>
      <w:r w:rsidR="00DA67E8">
        <w:rPr>
          <w:rFonts w:ascii="Arial" w:hAnsi="Arial" w:cs="Arial"/>
          <w:sz w:val="22"/>
          <w:szCs w:val="22"/>
          <w:lang w:eastAsia="en-GB"/>
        </w:rPr>
        <w:t>-</w:t>
      </w:r>
      <w:r w:rsidR="00DA67E8" w:rsidRPr="0095643D">
        <w:rPr>
          <w:rFonts w:ascii="Arial" w:hAnsi="Arial" w:cs="Arial"/>
          <w:sz w:val="22"/>
          <w:szCs w:val="22"/>
          <w:lang w:eastAsia="en-GB"/>
        </w:rPr>
        <w:t>medications.</w:t>
      </w:r>
    </w:p>
    <w:p w14:paraId="2BE4CFF7" w14:textId="77777777" w:rsidR="00DA67E8" w:rsidRPr="0095643D" w:rsidRDefault="00DA67E8" w:rsidP="00F62DC2">
      <w:pPr>
        <w:autoSpaceDE w:val="0"/>
        <w:autoSpaceDN w:val="0"/>
        <w:adjustRightInd w:val="0"/>
        <w:jc w:val="both"/>
        <w:rPr>
          <w:rFonts w:ascii="Arial" w:hAnsi="Arial" w:cs="Arial"/>
          <w:sz w:val="22"/>
          <w:szCs w:val="22"/>
          <w:lang w:eastAsia="en-GB"/>
        </w:rPr>
      </w:pPr>
    </w:p>
    <w:p w14:paraId="040B094E" w14:textId="77777777" w:rsidR="00DA67E8" w:rsidRPr="0095643D" w:rsidRDefault="00DA67E8" w:rsidP="00F62DC2">
      <w:pPr>
        <w:autoSpaceDE w:val="0"/>
        <w:autoSpaceDN w:val="0"/>
        <w:adjustRightInd w:val="0"/>
        <w:jc w:val="both"/>
        <w:rPr>
          <w:rFonts w:ascii="Arial" w:hAnsi="Arial" w:cs="Arial"/>
          <w:sz w:val="22"/>
          <w:szCs w:val="22"/>
          <w:lang w:eastAsia="en-GB"/>
        </w:rPr>
      </w:pPr>
      <w:r w:rsidRPr="0095643D">
        <w:rPr>
          <w:rFonts w:ascii="Arial" w:hAnsi="Arial" w:cs="Arial"/>
          <w:i/>
          <w:iCs/>
          <w:sz w:val="22"/>
          <w:szCs w:val="22"/>
          <w:lang w:eastAsia="en-GB"/>
        </w:rPr>
        <w:t xml:space="preserve">In vivo </w:t>
      </w:r>
      <w:r w:rsidRPr="0095643D">
        <w:rPr>
          <w:rFonts w:ascii="Arial" w:hAnsi="Arial" w:cs="Arial"/>
          <w:sz w:val="22"/>
          <w:szCs w:val="22"/>
          <w:lang w:eastAsia="en-GB"/>
        </w:rPr>
        <w:t>DDI potentials between ganetespib and other oncology drugs that are possibly</w:t>
      </w:r>
      <w:r>
        <w:rPr>
          <w:rFonts w:ascii="Arial" w:hAnsi="Arial" w:cs="Arial"/>
          <w:sz w:val="22"/>
          <w:szCs w:val="22"/>
          <w:lang w:eastAsia="en-GB"/>
        </w:rPr>
        <w:t xml:space="preserve"> c</w:t>
      </w:r>
      <w:r w:rsidRPr="0095643D">
        <w:rPr>
          <w:rFonts w:ascii="Arial" w:hAnsi="Arial" w:cs="Arial"/>
          <w:sz w:val="22"/>
          <w:szCs w:val="22"/>
          <w:lang w:eastAsia="en-GB"/>
        </w:rPr>
        <w:t>o</w:t>
      </w:r>
      <w:r>
        <w:rPr>
          <w:rFonts w:ascii="Arial" w:hAnsi="Arial" w:cs="Arial"/>
          <w:sz w:val="22"/>
          <w:szCs w:val="22"/>
          <w:lang w:eastAsia="en-GB"/>
        </w:rPr>
        <w:t>-</w:t>
      </w:r>
      <w:r w:rsidRPr="0095643D">
        <w:rPr>
          <w:rFonts w:ascii="Arial" w:hAnsi="Arial" w:cs="Arial"/>
          <w:sz w:val="22"/>
          <w:szCs w:val="22"/>
          <w:lang w:eastAsia="en-GB"/>
        </w:rPr>
        <w:t xml:space="preserve">administered in clinic (paclitaxel, docetaxel, erlotinib, </w:t>
      </w:r>
      <w:proofErr w:type="spellStart"/>
      <w:r w:rsidRPr="0095643D">
        <w:rPr>
          <w:rFonts w:ascii="Arial" w:hAnsi="Arial" w:cs="Arial"/>
          <w:sz w:val="22"/>
          <w:szCs w:val="22"/>
          <w:lang w:eastAsia="en-GB"/>
        </w:rPr>
        <w:t>fulvestrant</w:t>
      </w:r>
      <w:proofErr w:type="spellEnd"/>
      <w:r w:rsidRPr="0095643D">
        <w:rPr>
          <w:rFonts w:ascii="Arial" w:hAnsi="Arial" w:cs="Arial"/>
          <w:sz w:val="22"/>
          <w:szCs w:val="22"/>
          <w:lang w:eastAsia="en-GB"/>
        </w:rPr>
        <w:t>, BEZ235, AZD6244,</w:t>
      </w:r>
      <w:r w:rsidR="008533D3">
        <w:rPr>
          <w:rFonts w:ascii="Arial" w:hAnsi="Arial" w:cs="Arial"/>
          <w:sz w:val="22"/>
          <w:szCs w:val="22"/>
          <w:lang w:eastAsia="en-GB"/>
        </w:rPr>
        <w:t xml:space="preserve"> </w:t>
      </w:r>
      <w:r w:rsidRPr="0095643D">
        <w:rPr>
          <w:rFonts w:ascii="Arial" w:hAnsi="Arial" w:cs="Arial"/>
          <w:sz w:val="22"/>
          <w:szCs w:val="22"/>
          <w:lang w:eastAsia="en-GB"/>
        </w:rPr>
        <w:t>bortezomib, irinotecan and vemurafenib) were invest</w:t>
      </w:r>
      <w:r>
        <w:rPr>
          <w:rFonts w:ascii="Arial" w:hAnsi="Arial" w:cs="Arial"/>
          <w:sz w:val="22"/>
          <w:szCs w:val="22"/>
          <w:lang w:eastAsia="en-GB"/>
        </w:rPr>
        <w:t>igated in female SCID mice</w:t>
      </w:r>
      <w:r w:rsidRPr="0095643D">
        <w:rPr>
          <w:rFonts w:ascii="Arial" w:hAnsi="Arial" w:cs="Arial"/>
          <w:sz w:val="22"/>
          <w:szCs w:val="22"/>
          <w:lang w:eastAsia="en-GB"/>
        </w:rPr>
        <w:t xml:space="preserve">. </w:t>
      </w:r>
      <w:r w:rsidR="002F113D" w:rsidRPr="0095643D">
        <w:rPr>
          <w:rFonts w:ascii="Arial" w:hAnsi="Arial" w:cs="Arial"/>
          <w:sz w:val="22"/>
          <w:szCs w:val="22"/>
          <w:lang w:eastAsia="en-GB"/>
        </w:rPr>
        <w:t>None of</w:t>
      </w:r>
      <w:r w:rsidRPr="0095643D">
        <w:rPr>
          <w:rFonts w:ascii="Arial" w:hAnsi="Arial" w:cs="Arial"/>
          <w:sz w:val="22"/>
          <w:szCs w:val="22"/>
          <w:lang w:eastAsia="en-GB"/>
        </w:rPr>
        <w:t xml:space="preserve"> these drugs altered the ganetespib pharmacokinetics. </w:t>
      </w:r>
      <w:r w:rsidR="002F113D" w:rsidRPr="0095643D">
        <w:rPr>
          <w:rFonts w:ascii="Arial" w:hAnsi="Arial" w:cs="Arial"/>
          <w:sz w:val="22"/>
          <w:szCs w:val="22"/>
          <w:lang w:eastAsia="en-GB"/>
        </w:rPr>
        <w:t>Similarly, no apparent pharmacokinetic alterations were observed for these co</w:t>
      </w:r>
      <w:r w:rsidR="002F113D">
        <w:rPr>
          <w:rFonts w:ascii="Arial" w:hAnsi="Arial" w:cs="Arial"/>
          <w:sz w:val="22"/>
          <w:szCs w:val="22"/>
          <w:lang w:eastAsia="en-GB"/>
        </w:rPr>
        <w:t>-</w:t>
      </w:r>
      <w:r w:rsidR="002F113D" w:rsidRPr="0095643D">
        <w:rPr>
          <w:rFonts w:ascii="Arial" w:hAnsi="Arial" w:cs="Arial"/>
          <w:sz w:val="22"/>
          <w:szCs w:val="22"/>
          <w:lang w:eastAsia="en-GB"/>
        </w:rPr>
        <w:t xml:space="preserve">administered drugs (differences were within variations), except vemurafenib, with </w:t>
      </w:r>
      <w:proofErr w:type="spellStart"/>
      <w:r w:rsidR="002F113D" w:rsidRPr="0095643D">
        <w:rPr>
          <w:rFonts w:ascii="Arial" w:hAnsi="Arial" w:cs="Arial"/>
          <w:sz w:val="22"/>
          <w:szCs w:val="22"/>
          <w:lang w:eastAsia="en-GB"/>
        </w:rPr>
        <w:t>ganetespib</w:t>
      </w:r>
      <w:proofErr w:type="spellEnd"/>
      <w:r w:rsidR="002F113D" w:rsidRPr="0095643D">
        <w:rPr>
          <w:rFonts w:ascii="Arial" w:hAnsi="Arial" w:cs="Arial"/>
          <w:sz w:val="22"/>
          <w:szCs w:val="22"/>
          <w:lang w:eastAsia="en-GB"/>
        </w:rPr>
        <w:t>, suggesting no pharmacokinetic interactions between</w:t>
      </w:r>
      <w:r w:rsidR="002F113D">
        <w:rPr>
          <w:rFonts w:ascii="Arial" w:hAnsi="Arial" w:cs="Arial"/>
          <w:sz w:val="22"/>
          <w:szCs w:val="22"/>
          <w:lang w:eastAsia="en-GB"/>
        </w:rPr>
        <w:t xml:space="preserve"> </w:t>
      </w:r>
      <w:r w:rsidR="002F113D" w:rsidRPr="0095643D">
        <w:rPr>
          <w:rFonts w:ascii="Arial" w:hAnsi="Arial" w:cs="Arial"/>
          <w:sz w:val="22"/>
          <w:szCs w:val="22"/>
          <w:lang w:eastAsia="en-GB"/>
        </w:rPr>
        <w:t xml:space="preserve">ganetespib and these drugs under the study conditions used. </w:t>
      </w:r>
      <w:r w:rsidRPr="0095643D">
        <w:rPr>
          <w:rFonts w:ascii="Arial" w:hAnsi="Arial" w:cs="Arial"/>
          <w:sz w:val="22"/>
          <w:szCs w:val="22"/>
          <w:lang w:eastAsia="en-GB"/>
        </w:rPr>
        <w:t xml:space="preserve">Vemurafenib exposure via </w:t>
      </w:r>
      <w:r w:rsidR="002F113D" w:rsidRPr="0095643D">
        <w:rPr>
          <w:rFonts w:ascii="Arial" w:hAnsi="Arial" w:cs="Arial"/>
          <w:sz w:val="22"/>
          <w:szCs w:val="22"/>
          <w:lang w:eastAsia="en-GB"/>
        </w:rPr>
        <w:t>oral</w:t>
      </w:r>
      <w:r w:rsidR="002F113D">
        <w:rPr>
          <w:rFonts w:ascii="Arial" w:hAnsi="Arial" w:cs="Arial"/>
          <w:sz w:val="22"/>
          <w:szCs w:val="22"/>
          <w:lang w:eastAsia="en-GB"/>
        </w:rPr>
        <w:t xml:space="preserve"> </w:t>
      </w:r>
      <w:r w:rsidR="002F113D" w:rsidRPr="0095643D">
        <w:rPr>
          <w:rFonts w:ascii="Arial" w:hAnsi="Arial" w:cs="Arial"/>
          <w:sz w:val="22"/>
          <w:szCs w:val="22"/>
          <w:lang w:eastAsia="en-GB"/>
        </w:rPr>
        <w:t>administration</w:t>
      </w:r>
      <w:r w:rsidRPr="0095643D">
        <w:rPr>
          <w:rFonts w:ascii="Arial" w:hAnsi="Arial" w:cs="Arial"/>
          <w:sz w:val="22"/>
          <w:szCs w:val="22"/>
          <w:lang w:eastAsia="en-GB"/>
        </w:rPr>
        <w:t xml:space="preserve"> was more than 2 fold lower when ganetespib was co</w:t>
      </w:r>
      <w:r>
        <w:rPr>
          <w:rFonts w:ascii="Arial" w:hAnsi="Arial" w:cs="Arial"/>
          <w:sz w:val="22"/>
          <w:szCs w:val="22"/>
          <w:lang w:eastAsia="en-GB"/>
        </w:rPr>
        <w:t>-</w:t>
      </w:r>
      <w:r w:rsidRPr="0095643D">
        <w:rPr>
          <w:rFonts w:ascii="Arial" w:hAnsi="Arial" w:cs="Arial"/>
          <w:sz w:val="22"/>
          <w:szCs w:val="22"/>
          <w:lang w:eastAsia="en-GB"/>
        </w:rPr>
        <w:t xml:space="preserve">administered compared </w:t>
      </w:r>
      <w:r w:rsidR="002F113D" w:rsidRPr="0095643D">
        <w:rPr>
          <w:rFonts w:ascii="Arial" w:hAnsi="Arial" w:cs="Arial"/>
          <w:sz w:val="22"/>
          <w:szCs w:val="22"/>
          <w:lang w:eastAsia="en-GB"/>
        </w:rPr>
        <w:t>to</w:t>
      </w:r>
      <w:r w:rsidR="002F113D">
        <w:rPr>
          <w:rFonts w:ascii="Arial" w:hAnsi="Arial" w:cs="Arial"/>
          <w:sz w:val="22"/>
          <w:szCs w:val="22"/>
          <w:lang w:eastAsia="en-GB"/>
        </w:rPr>
        <w:t xml:space="preserve"> </w:t>
      </w:r>
      <w:r w:rsidR="002F113D" w:rsidRPr="0095643D">
        <w:rPr>
          <w:rFonts w:ascii="Arial" w:hAnsi="Arial" w:cs="Arial"/>
          <w:sz w:val="22"/>
          <w:szCs w:val="22"/>
          <w:lang w:eastAsia="en-GB"/>
        </w:rPr>
        <w:t>administration</w:t>
      </w:r>
      <w:r w:rsidRPr="0095643D">
        <w:rPr>
          <w:rFonts w:ascii="Arial" w:hAnsi="Arial" w:cs="Arial"/>
          <w:sz w:val="22"/>
          <w:szCs w:val="22"/>
          <w:lang w:eastAsia="en-GB"/>
        </w:rPr>
        <w:t xml:space="preserve"> of vemurafenib alone to mice.</w:t>
      </w:r>
    </w:p>
    <w:p w14:paraId="3670AF42" w14:textId="77777777" w:rsidR="00DA67E8" w:rsidRPr="00E328B3" w:rsidRDefault="00DA67E8" w:rsidP="00D65DE2">
      <w:pPr>
        <w:pStyle w:val="Heading3"/>
        <w:numPr>
          <w:ilvl w:val="2"/>
          <w:numId w:val="48"/>
        </w:numPr>
      </w:pPr>
      <w:r w:rsidRPr="00E328B3">
        <w:tab/>
      </w:r>
      <w:r w:rsidR="0092585E" w:rsidRPr="00B70D01">
        <w:tab/>
      </w:r>
      <w:bookmarkStart w:id="411" w:name="_Toc471826777"/>
      <w:bookmarkStart w:id="412" w:name="_Toc528323543"/>
      <w:r w:rsidRPr="00E328B3">
        <w:t>Pemetrexed</w:t>
      </w:r>
      <w:bookmarkEnd w:id="411"/>
      <w:bookmarkEnd w:id="412"/>
    </w:p>
    <w:p w14:paraId="1C003A1D" w14:textId="77777777" w:rsidR="00DA67E8" w:rsidRPr="002B7C04" w:rsidRDefault="00DA67E8" w:rsidP="00F62DC2">
      <w:pPr>
        <w:tabs>
          <w:tab w:val="left" w:pos="9781"/>
        </w:tabs>
        <w:ind w:right="142"/>
        <w:jc w:val="both"/>
        <w:rPr>
          <w:rFonts w:ascii="Arial" w:hAnsi="Arial" w:cs="Arial"/>
          <w:sz w:val="22"/>
          <w:szCs w:val="22"/>
        </w:rPr>
      </w:pPr>
      <w:r w:rsidRPr="002B7C04">
        <w:rPr>
          <w:rFonts w:ascii="Arial" w:hAnsi="Arial" w:cs="Arial"/>
          <w:sz w:val="22"/>
          <w:szCs w:val="22"/>
        </w:rPr>
        <w:t xml:space="preserve">Pemetrexed is mainly eliminated unchanged renally by tubular secretion and to a lesser extent by glomerular filtration. Concomitant administration of nephrotoxic drugs (e.g., aminoglycoside, loop diuretics, platinum compounds, cyclosporin) could potentially result in delayed clearance of pemetrexed. This combination should be used with caution. If necessary, creatinine clearance should be closely monitored. </w:t>
      </w:r>
    </w:p>
    <w:p w14:paraId="4FC23AC8" w14:textId="77777777" w:rsidR="00DA67E8" w:rsidRPr="002B7C04" w:rsidRDefault="00DA67E8" w:rsidP="00F62DC2">
      <w:pPr>
        <w:tabs>
          <w:tab w:val="left" w:pos="9781"/>
        </w:tabs>
        <w:spacing w:before="120"/>
        <w:ind w:right="142"/>
        <w:jc w:val="both"/>
        <w:rPr>
          <w:rFonts w:ascii="Arial" w:hAnsi="Arial" w:cs="Arial"/>
          <w:sz w:val="22"/>
          <w:szCs w:val="22"/>
        </w:rPr>
      </w:pPr>
      <w:r w:rsidRPr="002B7C04">
        <w:rPr>
          <w:rFonts w:ascii="Arial" w:hAnsi="Arial" w:cs="Arial"/>
          <w:sz w:val="22"/>
          <w:szCs w:val="22"/>
        </w:rPr>
        <w:lastRenderedPageBreak/>
        <w:t xml:space="preserve">Concomitant administration of substances that are also tubularly secreted (e.g., probenecid, penicillin) could potentially result in delayed clearance of pemetrexed. Caution should be made when these drugs are combined with pemetrexed. If necessary, creatinine clearance should be closely monitored. Creatinine clearance must be </w:t>
      </w:r>
      <w:r w:rsidRPr="002B7C04">
        <w:rPr>
          <w:rFonts w:ascii="Arial" w:hAnsi="Arial" w:cs="Arial"/>
          <w:sz w:val="22"/>
          <w:szCs w:val="22"/>
        </w:rPr>
        <w:sym w:font="Symbol" w:char="F0B3"/>
      </w:r>
      <w:r w:rsidRPr="002B7C04">
        <w:rPr>
          <w:rFonts w:ascii="Arial" w:hAnsi="Arial" w:cs="Arial"/>
          <w:sz w:val="22"/>
          <w:szCs w:val="22"/>
        </w:rPr>
        <w:t xml:space="preserve"> 45ml/min in order for dosing of Pemetrexed.</w:t>
      </w:r>
    </w:p>
    <w:p w14:paraId="6955F919" w14:textId="77777777" w:rsidR="00DA67E8" w:rsidRPr="002B7C04" w:rsidRDefault="00DA67E8" w:rsidP="00F62DC2">
      <w:pPr>
        <w:tabs>
          <w:tab w:val="left" w:pos="9781"/>
        </w:tabs>
        <w:spacing w:before="120"/>
        <w:ind w:right="142"/>
        <w:jc w:val="both"/>
        <w:rPr>
          <w:rFonts w:ascii="Arial" w:hAnsi="Arial" w:cs="Arial"/>
          <w:sz w:val="22"/>
          <w:szCs w:val="22"/>
        </w:rPr>
      </w:pPr>
      <w:r w:rsidRPr="002B7C04">
        <w:rPr>
          <w:rFonts w:ascii="Arial" w:hAnsi="Arial" w:cs="Arial"/>
          <w:sz w:val="22"/>
          <w:szCs w:val="22"/>
        </w:rPr>
        <w:t xml:space="preserve">In patients with </w:t>
      </w:r>
      <w:r w:rsidRPr="002B7C04">
        <w:rPr>
          <w:rFonts w:ascii="Arial" w:hAnsi="Arial" w:cs="Arial"/>
          <w:i/>
          <w:iCs/>
          <w:sz w:val="22"/>
          <w:szCs w:val="22"/>
        </w:rPr>
        <w:t>normal</w:t>
      </w:r>
      <w:r w:rsidR="00457A65">
        <w:rPr>
          <w:rFonts w:ascii="Arial" w:hAnsi="Arial" w:cs="Arial"/>
          <w:i/>
          <w:iCs/>
          <w:sz w:val="22"/>
          <w:szCs w:val="22"/>
        </w:rPr>
        <w:t xml:space="preserve"> </w:t>
      </w:r>
      <w:r w:rsidRPr="002B7C04">
        <w:rPr>
          <w:rFonts w:ascii="Arial" w:hAnsi="Arial" w:cs="Arial"/>
          <w:i/>
          <w:iCs/>
          <w:sz w:val="22"/>
          <w:szCs w:val="22"/>
        </w:rPr>
        <w:t>renal function</w:t>
      </w:r>
      <w:r w:rsidR="0058048E">
        <w:rPr>
          <w:rFonts w:ascii="Arial" w:hAnsi="Arial" w:cs="Arial"/>
          <w:i/>
          <w:iCs/>
          <w:sz w:val="22"/>
          <w:szCs w:val="22"/>
        </w:rPr>
        <w:t xml:space="preserve"> </w:t>
      </w:r>
      <w:r w:rsidR="0058048E" w:rsidRPr="00B70D01">
        <w:rPr>
          <w:rFonts w:ascii="Arial" w:hAnsi="Arial" w:cs="Arial"/>
          <w:sz w:val="22"/>
          <w:szCs w:val="22"/>
        </w:rPr>
        <w:t>(creatinine clearance ≥ 80ml/min)</w:t>
      </w:r>
      <w:r w:rsidRPr="002B7C04">
        <w:rPr>
          <w:rFonts w:ascii="Arial" w:hAnsi="Arial" w:cs="Arial"/>
          <w:sz w:val="22"/>
          <w:szCs w:val="22"/>
        </w:rPr>
        <w:t>, high doses of non-steroidal anti-inflammatory drugs (NSAIDs, such as ibuprofen &gt;1600mg/day) and aspirin at higher dosage (</w:t>
      </w:r>
      <w:bookmarkStart w:id="413" w:name="OLE_LINK11"/>
      <w:r w:rsidRPr="002B7C04">
        <w:rPr>
          <w:rFonts w:ascii="Arial" w:hAnsi="Arial" w:cs="Arial"/>
          <w:sz w:val="22"/>
          <w:szCs w:val="22"/>
        </w:rPr>
        <w:sym w:font="Symbol" w:char="F0B3"/>
      </w:r>
      <w:bookmarkEnd w:id="413"/>
      <w:r w:rsidRPr="002B7C04">
        <w:rPr>
          <w:rFonts w:ascii="Arial" w:hAnsi="Arial" w:cs="Arial"/>
          <w:sz w:val="22"/>
          <w:szCs w:val="22"/>
        </w:rPr>
        <w:t>1.3g daily) may decrease pemetrexed elimination and, consequently, increase the occurrence of pemetrexed adverse events. Therefore, caution should be made when administering higher doses of NSAIDs or aspirin at higher dosage concurrently with pemetrexed to patients with normal function</w:t>
      </w:r>
      <w:r w:rsidR="0058048E">
        <w:rPr>
          <w:rFonts w:ascii="Arial" w:hAnsi="Arial" w:cs="Arial"/>
          <w:sz w:val="22"/>
          <w:szCs w:val="22"/>
        </w:rPr>
        <w:t xml:space="preserve"> </w:t>
      </w:r>
      <w:r w:rsidR="0058048E" w:rsidRPr="00B70D01">
        <w:rPr>
          <w:rFonts w:ascii="Arial" w:hAnsi="Arial" w:cs="Arial"/>
          <w:sz w:val="22"/>
          <w:szCs w:val="22"/>
        </w:rPr>
        <w:t>(creatinine clearance ≥ 80ml/min).</w:t>
      </w:r>
      <w:r w:rsidRPr="002B7C04">
        <w:rPr>
          <w:rFonts w:ascii="Arial" w:hAnsi="Arial" w:cs="Arial"/>
          <w:sz w:val="22"/>
          <w:szCs w:val="22"/>
        </w:rPr>
        <w:t xml:space="preserve"> </w:t>
      </w:r>
    </w:p>
    <w:p w14:paraId="22422A3F" w14:textId="77777777" w:rsidR="00DA67E8" w:rsidRPr="002B7C04" w:rsidRDefault="00DA67E8" w:rsidP="00F62DC2">
      <w:pPr>
        <w:tabs>
          <w:tab w:val="left" w:pos="9781"/>
        </w:tabs>
        <w:spacing w:before="120"/>
        <w:ind w:right="142"/>
        <w:jc w:val="both"/>
        <w:rPr>
          <w:rFonts w:ascii="Arial" w:hAnsi="Arial" w:cs="Arial"/>
          <w:sz w:val="22"/>
          <w:szCs w:val="22"/>
        </w:rPr>
      </w:pPr>
      <w:r w:rsidRPr="002B7C04">
        <w:rPr>
          <w:rFonts w:ascii="Arial" w:hAnsi="Arial" w:cs="Arial"/>
          <w:sz w:val="22"/>
          <w:szCs w:val="22"/>
        </w:rPr>
        <w:t xml:space="preserve">In patients with </w:t>
      </w:r>
      <w:r w:rsidRPr="002B7C04">
        <w:rPr>
          <w:rFonts w:ascii="Arial" w:hAnsi="Arial" w:cs="Arial"/>
          <w:i/>
          <w:iCs/>
          <w:sz w:val="22"/>
          <w:szCs w:val="22"/>
        </w:rPr>
        <w:t>mild to moderate renal insufficiency</w:t>
      </w:r>
      <w:r w:rsidR="0058048E">
        <w:rPr>
          <w:rFonts w:ascii="Arial" w:hAnsi="Arial" w:cs="Arial"/>
          <w:i/>
          <w:iCs/>
          <w:sz w:val="22"/>
          <w:szCs w:val="22"/>
        </w:rPr>
        <w:t xml:space="preserve"> </w:t>
      </w:r>
      <w:r w:rsidR="0058048E" w:rsidRPr="00B70D01">
        <w:rPr>
          <w:rFonts w:ascii="Arial" w:hAnsi="Arial" w:cs="Arial"/>
          <w:sz w:val="22"/>
          <w:szCs w:val="22"/>
        </w:rPr>
        <w:t>(creatinine clearance from 45 to 79ml/min)</w:t>
      </w:r>
      <w:r w:rsidRPr="002B7C04">
        <w:rPr>
          <w:rFonts w:ascii="Arial" w:hAnsi="Arial" w:cs="Arial"/>
          <w:sz w:val="22"/>
          <w:szCs w:val="22"/>
        </w:rPr>
        <w:t xml:space="preserve"> the concomitant administration of pemetrexed with NSAIDs (e.g., ibuprofen) or aspirin at higher dosage should be avoided for 2 days before, on the day of, and 2 days following pemetrexed administration </w:t>
      </w:r>
    </w:p>
    <w:p w14:paraId="5F5B7785" w14:textId="77777777" w:rsidR="00DA67E8" w:rsidRPr="002B7C04" w:rsidRDefault="00DA67E8" w:rsidP="00F62DC2">
      <w:pPr>
        <w:tabs>
          <w:tab w:val="left" w:pos="9781"/>
        </w:tabs>
        <w:spacing w:before="120"/>
        <w:ind w:right="142"/>
        <w:jc w:val="both"/>
        <w:rPr>
          <w:rFonts w:ascii="Arial" w:hAnsi="Arial" w:cs="Arial"/>
          <w:sz w:val="22"/>
          <w:szCs w:val="22"/>
        </w:rPr>
      </w:pPr>
      <w:r w:rsidRPr="002B7C04">
        <w:rPr>
          <w:rFonts w:ascii="Arial" w:hAnsi="Arial" w:cs="Arial"/>
          <w:sz w:val="22"/>
          <w:szCs w:val="22"/>
        </w:rPr>
        <w:t xml:space="preserve">In the absence of data regarding potential interaction with NSAIDs having longer half-lives, such as piroxicam or </w:t>
      </w:r>
      <w:proofErr w:type="spellStart"/>
      <w:r w:rsidRPr="002B7C04">
        <w:rPr>
          <w:rFonts w:ascii="Arial" w:hAnsi="Arial" w:cs="Arial"/>
          <w:sz w:val="22"/>
          <w:szCs w:val="22"/>
        </w:rPr>
        <w:t>rofecoxib</w:t>
      </w:r>
      <w:proofErr w:type="spellEnd"/>
      <w:r w:rsidRPr="002B7C04">
        <w:rPr>
          <w:rFonts w:ascii="Arial" w:hAnsi="Arial" w:cs="Arial"/>
          <w:sz w:val="22"/>
          <w:szCs w:val="22"/>
        </w:rPr>
        <w:t>, the concomitant administration with pemetrexed should be avoided for at least 5 days prior to, on the day, and at least 2 days following pemetrexed administration</w:t>
      </w:r>
      <w:r w:rsidR="0058048E">
        <w:rPr>
          <w:rFonts w:ascii="Arial" w:hAnsi="Arial" w:cs="Arial"/>
          <w:sz w:val="22"/>
          <w:szCs w:val="22"/>
        </w:rPr>
        <w:t xml:space="preserve">. </w:t>
      </w:r>
      <w:r w:rsidR="0058048E" w:rsidRPr="00B70D01">
        <w:rPr>
          <w:rFonts w:ascii="Arial" w:hAnsi="Arial"/>
          <w:sz w:val="22"/>
          <w:szCs w:val="22"/>
        </w:rPr>
        <w:t> </w:t>
      </w:r>
      <w:r w:rsidR="0058048E" w:rsidRPr="00B70D01">
        <w:rPr>
          <w:rFonts w:ascii="Arial" w:hAnsi="Arial" w:cs="Arial"/>
          <w:sz w:val="22"/>
          <w:szCs w:val="22"/>
        </w:rPr>
        <w:t>If concomitant administration of NSAIDs is necessary, patients should be monitored closely for toxicity, especially myelosuppression and gastrointestinal toxicity.</w:t>
      </w:r>
    </w:p>
    <w:p w14:paraId="530511D7" w14:textId="77777777" w:rsidR="00DA67E8" w:rsidRPr="002B7C04" w:rsidRDefault="00DA67E8" w:rsidP="00390DE4">
      <w:pPr>
        <w:tabs>
          <w:tab w:val="left" w:pos="9781"/>
        </w:tabs>
        <w:spacing w:before="120"/>
        <w:ind w:right="142"/>
        <w:rPr>
          <w:rFonts w:ascii="Arial" w:hAnsi="Arial" w:cs="Arial"/>
          <w:sz w:val="22"/>
          <w:szCs w:val="22"/>
        </w:rPr>
      </w:pPr>
      <w:r w:rsidRPr="002B7C04">
        <w:rPr>
          <w:rFonts w:ascii="Arial" w:hAnsi="Arial" w:cs="Arial"/>
          <w:sz w:val="22"/>
          <w:szCs w:val="22"/>
        </w:rPr>
        <w:t>Pemetrexed undergoes limited hepatic metabolism. Results from in vitro studies with human liver microsomes indicated that pemetrexed would not be predicted to cause clinically significant inhibition of the metabolic clearance of drugs metabolised by</w:t>
      </w:r>
      <w:r>
        <w:rPr>
          <w:rFonts w:ascii="Arial" w:hAnsi="Arial" w:cs="Arial"/>
          <w:sz w:val="22"/>
          <w:szCs w:val="22"/>
        </w:rPr>
        <w:t xml:space="preserve"> CYP3A, CYP2D6, </w:t>
      </w:r>
      <w:r w:rsidRPr="002B7C04">
        <w:rPr>
          <w:rFonts w:ascii="Arial" w:hAnsi="Arial" w:cs="Arial"/>
          <w:sz w:val="22"/>
          <w:szCs w:val="22"/>
        </w:rPr>
        <w:t xml:space="preserve">CYP2C9, and CYP1A2. </w:t>
      </w:r>
      <w:r w:rsidRPr="002B7C04">
        <w:rPr>
          <w:rFonts w:ascii="Arial" w:hAnsi="Arial" w:cs="Arial"/>
          <w:sz w:val="22"/>
          <w:szCs w:val="22"/>
        </w:rPr>
        <w:br/>
      </w:r>
    </w:p>
    <w:p w14:paraId="048A4DDC" w14:textId="77777777" w:rsidR="00DA67E8" w:rsidRPr="00CF7ED1" w:rsidRDefault="00DA67E8" w:rsidP="00F62DC2">
      <w:pPr>
        <w:pStyle w:val="NonContentsHeading"/>
        <w:jc w:val="both"/>
        <w:rPr>
          <w:rFonts w:ascii="Arial" w:hAnsi="Arial" w:cs="Arial"/>
          <w:sz w:val="22"/>
          <w:szCs w:val="22"/>
        </w:rPr>
      </w:pPr>
      <w:r w:rsidRPr="00CF7ED1">
        <w:rPr>
          <w:rFonts w:ascii="Arial" w:hAnsi="Arial" w:cs="Arial"/>
          <w:sz w:val="22"/>
          <w:szCs w:val="22"/>
        </w:rPr>
        <w:t>Concomitant Use Contra-Indicated</w:t>
      </w:r>
    </w:p>
    <w:p w14:paraId="48D9A1DA" w14:textId="77777777" w:rsidR="00DA67E8" w:rsidRPr="00CF7ED1" w:rsidRDefault="00DA67E8" w:rsidP="00BB7FBA">
      <w:pPr>
        <w:tabs>
          <w:tab w:val="left" w:pos="9781"/>
        </w:tabs>
        <w:ind w:right="142"/>
        <w:rPr>
          <w:rFonts w:ascii="Arial" w:hAnsi="Arial" w:cs="Arial"/>
          <w:sz w:val="22"/>
          <w:szCs w:val="22"/>
        </w:rPr>
      </w:pPr>
      <w:r w:rsidRPr="00CF7ED1">
        <w:rPr>
          <w:rFonts w:ascii="Arial" w:hAnsi="Arial" w:cs="Arial"/>
          <w:sz w:val="22"/>
          <w:szCs w:val="22"/>
        </w:rPr>
        <w:t xml:space="preserve">Yellow fever vaccine: Risk of fatal generalised </w:t>
      </w:r>
      <w:proofErr w:type="spellStart"/>
      <w:r w:rsidRPr="00CF7ED1">
        <w:rPr>
          <w:rFonts w:ascii="Arial" w:hAnsi="Arial" w:cs="Arial"/>
          <w:sz w:val="22"/>
          <w:szCs w:val="22"/>
        </w:rPr>
        <w:t>vaccinale</w:t>
      </w:r>
      <w:proofErr w:type="spellEnd"/>
      <w:r w:rsidRPr="00CF7ED1">
        <w:rPr>
          <w:rFonts w:ascii="Arial" w:hAnsi="Arial" w:cs="Arial"/>
          <w:sz w:val="22"/>
          <w:szCs w:val="22"/>
        </w:rPr>
        <w:t xml:space="preserve"> disease.  </w:t>
      </w:r>
      <w:r w:rsidRPr="00CF7ED1">
        <w:rPr>
          <w:rFonts w:ascii="Arial" w:hAnsi="Arial" w:cs="Arial"/>
          <w:sz w:val="22"/>
          <w:szCs w:val="22"/>
        </w:rPr>
        <w:br/>
      </w:r>
    </w:p>
    <w:p w14:paraId="6022F31F" w14:textId="77777777" w:rsidR="00DA67E8" w:rsidRPr="00CF7ED1" w:rsidRDefault="00DA67E8" w:rsidP="00F62DC2">
      <w:pPr>
        <w:pStyle w:val="NonContentsHeading"/>
        <w:jc w:val="both"/>
        <w:rPr>
          <w:rFonts w:ascii="Arial" w:hAnsi="Arial" w:cs="Arial"/>
          <w:sz w:val="22"/>
          <w:szCs w:val="22"/>
        </w:rPr>
      </w:pPr>
      <w:r w:rsidRPr="00CF7ED1">
        <w:rPr>
          <w:rFonts w:ascii="Arial" w:hAnsi="Arial" w:cs="Arial"/>
          <w:sz w:val="22"/>
          <w:szCs w:val="22"/>
        </w:rPr>
        <w:t>Concomitant Use Not Recommended</w:t>
      </w:r>
    </w:p>
    <w:p w14:paraId="37D5DEAE" w14:textId="77777777" w:rsidR="00DA67E8" w:rsidRPr="002B7C04" w:rsidRDefault="00DA67E8" w:rsidP="00F62DC2">
      <w:pPr>
        <w:tabs>
          <w:tab w:val="left" w:pos="9781"/>
        </w:tabs>
        <w:ind w:right="142"/>
        <w:jc w:val="both"/>
        <w:rPr>
          <w:rFonts w:ascii="Arial" w:hAnsi="Arial" w:cs="Arial"/>
          <w:sz w:val="22"/>
          <w:szCs w:val="22"/>
        </w:rPr>
      </w:pPr>
      <w:r w:rsidRPr="002B7C04">
        <w:rPr>
          <w:rFonts w:ascii="Arial" w:hAnsi="Arial" w:cs="Arial"/>
          <w:sz w:val="22"/>
          <w:szCs w:val="22"/>
        </w:rPr>
        <w:t xml:space="preserve">Live attenuated vaccines (except yellow fever): Risk of systemic, possibly fatal, disease. The risk is increased in subjects who are already immunosuppressed by their underlying disease. Use an inactivated vaccine where it exists (poliomyelitis). </w:t>
      </w:r>
    </w:p>
    <w:p w14:paraId="22CC7AB3" w14:textId="77777777" w:rsidR="00DA67E8" w:rsidRDefault="00DA67E8" w:rsidP="00F62DC2">
      <w:pPr>
        <w:pStyle w:val="Normal1"/>
        <w:spacing w:after="240"/>
        <w:rPr>
          <w:rFonts w:cs="Arial"/>
          <w:b/>
          <w:bCs/>
          <w:i/>
          <w:iCs/>
          <w:color w:val="0000FF"/>
          <w:sz w:val="22"/>
          <w:szCs w:val="22"/>
          <w:lang w:val="en-GB"/>
        </w:rPr>
      </w:pPr>
    </w:p>
    <w:p w14:paraId="198BF56E" w14:textId="77777777" w:rsidR="00DA67E8" w:rsidRPr="00A664AB" w:rsidRDefault="00EE303A" w:rsidP="00D65DE2">
      <w:pPr>
        <w:pStyle w:val="Heading3"/>
        <w:numPr>
          <w:ilvl w:val="2"/>
          <w:numId w:val="48"/>
        </w:numPr>
        <w:rPr>
          <w:rFonts w:cs="Arial"/>
        </w:rPr>
      </w:pPr>
      <w:r>
        <w:rPr>
          <w:rFonts w:cs="Arial"/>
        </w:rPr>
        <w:tab/>
      </w:r>
      <w:bookmarkStart w:id="414" w:name="_Toc471826778"/>
      <w:bookmarkStart w:id="415" w:name="_Toc528323544"/>
      <w:r w:rsidR="00DA67E8" w:rsidRPr="00A664AB">
        <w:rPr>
          <w:rFonts w:cs="Arial"/>
        </w:rPr>
        <w:t>Cisplatin</w:t>
      </w:r>
      <w:bookmarkEnd w:id="414"/>
      <w:bookmarkEnd w:id="415"/>
    </w:p>
    <w:p w14:paraId="29532C9E" w14:textId="77777777" w:rsidR="00DA67E8" w:rsidRPr="00A664AB" w:rsidRDefault="00DA67E8" w:rsidP="001D66AF">
      <w:pPr>
        <w:tabs>
          <w:tab w:val="left" w:pos="9781"/>
        </w:tabs>
        <w:ind w:right="142"/>
        <w:jc w:val="both"/>
        <w:rPr>
          <w:rFonts w:ascii="Arial" w:hAnsi="Arial" w:cs="Arial"/>
          <w:sz w:val="22"/>
          <w:szCs w:val="22"/>
        </w:rPr>
      </w:pPr>
      <w:r w:rsidRPr="00A664AB">
        <w:rPr>
          <w:rFonts w:ascii="Arial" w:hAnsi="Arial" w:cs="Arial"/>
          <w:sz w:val="22"/>
          <w:szCs w:val="22"/>
        </w:rPr>
        <w:t xml:space="preserve">Concomitant administration of aminoglycoside antibiotics, cephaloridine or frusemide may result in increased ototoxicity or nephrotoxicity. Ototoxicity may be enhanced with prior simultaneous cranial irradiation and may be related to peak plasma concentration of cisplatin. </w:t>
      </w:r>
    </w:p>
    <w:p w14:paraId="76E370F4" w14:textId="77777777" w:rsidR="00DA67E8" w:rsidRPr="00A664AB" w:rsidRDefault="00DA67E8" w:rsidP="00F62DC2">
      <w:pPr>
        <w:tabs>
          <w:tab w:val="left" w:pos="9781"/>
        </w:tabs>
        <w:spacing w:before="120"/>
        <w:ind w:right="142"/>
        <w:jc w:val="both"/>
        <w:rPr>
          <w:rFonts w:ascii="Arial" w:hAnsi="Arial" w:cs="Arial"/>
          <w:sz w:val="22"/>
          <w:szCs w:val="22"/>
        </w:rPr>
      </w:pPr>
      <w:r w:rsidRPr="00A664AB">
        <w:rPr>
          <w:rFonts w:ascii="Arial" w:hAnsi="Arial" w:cs="Arial"/>
          <w:sz w:val="22"/>
          <w:szCs w:val="22"/>
        </w:rPr>
        <w:t xml:space="preserve">Cisplatin causes immunosuppression. Concomitant use of live vaccines may lead to generalised systemic reaction. </w:t>
      </w:r>
    </w:p>
    <w:p w14:paraId="0E712C64" w14:textId="77777777" w:rsidR="00DA67E8" w:rsidRDefault="00DA67E8" w:rsidP="00F62DC2">
      <w:pPr>
        <w:tabs>
          <w:tab w:val="left" w:pos="9781"/>
        </w:tabs>
        <w:spacing w:before="120"/>
        <w:ind w:right="142"/>
        <w:jc w:val="both"/>
        <w:rPr>
          <w:rFonts w:ascii="Arial" w:hAnsi="Arial" w:cs="Arial"/>
          <w:sz w:val="22"/>
          <w:szCs w:val="22"/>
        </w:rPr>
      </w:pPr>
      <w:r w:rsidRPr="00A664AB">
        <w:rPr>
          <w:rFonts w:ascii="Arial" w:hAnsi="Arial" w:cs="Arial"/>
          <w:sz w:val="22"/>
          <w:szCs w:val="22"/>
        </w:rPr>
        <w:t xml:space="preserve">The literature indicates that cisplatin may reduce renal excretion of bleomycin and methotrexate (probably due to cisplatin-induced nephrotoxicity), and thus increase their toxicity. </w:t>
      </w:r>
    </w:p>
    <w:p w14:paraId="26C0B399" w14:textId="77777777" w:rsidR="00DA67E8" w:rsidRPr="00CF7ED1" w:rsidRDefault="0052033F" w:rsidP="00BF16F9">
      <w:pPr>
        <w:pStyle w:val="Heading2"/>
      </w:pPr>
      <w:bookmarkStart w:id="416" w:name="_Toc283031778"/>
      <w:bookmarkStart w:id="417" w:name="_Toc283376313"/>
      <w:r>
        <w:t xml:space="preserve"> </w:t>
      </w:r>
      <w:bookmarkStart w:id="418" w:name="_Toc333484755"/>
      <w:bookmarkStart w:id="419" w:name="_Toc333484870"/>
      <w:bookmarkStart w:id="420" w:name="_Toc351624823"/>
      <w:bookmarkStart w:id="421" w:name="_Toc471826779"/>
      <w:bookmarkStart w:id="422" w:name="_Toc528323545"/>
      <w:r w:rsidR="00DA67E8" w:rsidRPr="00CF7ED1">
        <w:t>Support and Concomitant medication</w:t>
      </w:r>
      <w:bookmarkEnd w:id="416"/>
      <w:bookmarkEnd w:id="417"/>
      <w:bookmarkEnd w:id="418"/>
      <w:bookmarkEnd w:id="419"/>
      <w:bookmarkEnd w:id="420"/>
      <w:bookmarkEnd w:id="421"/>
      <w:bookmarkEnd w:id="422"/>
    </w:p>
    <w:p w14:paraId="49B6C20F" w14:textId="77777777" w:rsidR="00DA67E8" w:rsidRPr="00CF7ED1" w:rsidRDefault="00DA67E8" w:rsidP="00F62DC2">
      <w:pPr>
        <w:pStyle w:val="Normal1"/>
        <w:rPr>
          <w:rFonts w:cs="Arial"/>
          <w:sz w:val="22"/>
          <w:lang w:val="en-GB"/>
        </w:rPr>
      </w:pPr>
      <w:r w:rsidRPr="00CF7ED1">
        <w:rPr>
          <w:rFonts w:cs="Arial"/>
          <w:sz w:val="22"/>
          <w:lang w:val="en-GB"/>
        </w:rPr>
        <w:t>All concomitant medications during the trial will be recorded in the CRF with indication and dates of administration.</w:t>
      </w:r>
    </w:p>
    <w:p w14:paraId="033F8C40" w14:textId="77777777" w:rsidR="00DA67E8" w:rsidRPr="00CF7ED1" w:rsidRDefault="00DA67E8" w:rsidP="00F62DC2">
      <w:pPr>
        <w:pStyle w:val="Normal1"/>
        <w:rPr>
          <w:rFonts w:cs="Arial"/>
          <w:sz w:val="22"/>
          <w:lang w:val="en-GB"/>
        </w:rPr>
      </w:pPr>
    </w:p>
    <w:p w14:paraId="37F41BB6" w14:textId="77777777" w:rsidR="00DA67E8" w:rsidRPr="00CF7ED1" w:rsidRDefault="00DA67E8" w:rsidP="00F62DC2">
      <w:pPr>
        <w:pStyle w:val="Normal1"/>
        <w:rPr>
          <w:rFonts w:cs="Arial"/>
          <w:sz w:val="22"/>
          <w:lang w:val="en-GB"/>
        </w:rPr>
      </w:pPr>
      <w:r w:rsidRPr="00CF7ED1">
        <w:rPr>
          <w:rFonts w:cs="Arial"/>
          <w:sz w:val="22"/>
          <w:lang w:val="en-GB"/>
        </w:rPr>
        <w:lastRenderedPageBreak/>
        <w:t>Appropriate pre-hydration and anti-emetic prophylaxis must be administered prior to each dose of cisplatin</w:t>
      </w:r>
      <w:r w:rsidR="0065592B">
        <w:rPr>
          <w:rFonts w:cs="Arial"/>
          <w:sz w:val="22"/>
          <w:lang w:val="en-GB"/>
        </w:rPr>
        <w:t>/carboplatin</w:t>
      </w:r>
      <w:r w:rsidRPr="00CF7ED1">
        <w:rPr>
          <w:rFonts w:cs="Arial"/>
          <w:sz w:val="22"/>
          <w:lang w:val="en-GB"/>
        </w:rPr>
        <w:t xml:space="preserve">. </w:t>
      </w:r>
    </w:p>
    <w:p w14:paraId="2AD7F242" w14:textId="77777777" w:rsidR="00DA67E8" w:rsidRPr="00CF7ED1" w:rsidRDefault="00DA67E8" w:rsidP="00F62DC2">
      <w:pPr>
        <w:pStyle w:val="Normal1"/>
        <w:rPr>
          <w:rFonts w:cs="Arial"/>
          <w:sz w:val="22"/>
        </w:rPr>
      </w:pPr>
    </w:p>
    <w:p w14:paraId="39758FFD" w14:textId="77777777" w:rsidR="00DA67E8" w:rsidRPr="00CF7ED1" w:rsidRDefault="00DA67E8" w:rsidP="00F62DC2">
      <w:pPr>
        <w:pStyle w:val="Normal1"/>
        <w:rPr>
          <w:rFonts w:cs="Arial"/>
          <w:sz w:val="22"/>
          <w:lang w:val="en-GB"/>
        </w:rPr>
      </w:pPr>
      <w:r w:rsidRPr="00CF7ED1">
        <w:rPr>
          <w:rFonts w:cs="Arial"/>
          <w:sz w:val="22"/>
          <w:lang w:val="en-GB"/>
        </w:rPr>
        <w:t>Full supportive care measures will be offered to treat any emerging DLTs. Supportive care measures including those directed at controlling symptoms resulting from mesothelioma are allowed.</w:t>
      </w:r>
    </w:p>
    <w:p w14:paraId="6E21B7B9" w14:textId="77777777" w:rsidR="00DA67E8" w:rsidRDefault="00DA67E8" w:rsidP="00F62DC2">
      <w:pPr>
        <w:pStyle w:val="Normal1"/>
        <w:rPr>
          <w:rFonts w:cs="Arial"/>
          <w:sz w:val="22"/>
          <w:lang w:val="en-GB"/>
        </w:rPr>
      </w:pPr>
    </w:p>
    <w:p w14:paraId="1E9213BE" w14:textId="77777777" w:rsidR="00DA67E8" w:rsidRPr="00062A40" w:rsidRDefault="00DA67E8" w:rsidP="00F62DC2">
      <w:pPr>
        <w:pStyle w:val="Normal1"/>
        <w:rPr>
          <w:rFonts w:cs="Arial"/>
          <w:sz w:val="22"/>
          <w:szCs w:val="22"/>
          <w:lang w:val="en-GB"/>
        </w:rPr>
      </w:pPr>
      <w:r w:rsidRPr="00062A40">
        <w:rPr>
          <w:sz w:val="22"/>
          <w:szCs w:val="22"/>
        </w:rPr>
        <w:t xml:space="preserve">Any other anticancer therapies should not be given until disease progression or withdrawal from the study medication, e.g., biologic therapy, chemotherapy, and radiation therapy, including palliative radiotherapy for painful metastases. </w:t>
      </w:r>
      <w:r w:rsidRPr="00062A40">
        <w:rPr>
          <w:rFonts w:cs="Arial"/>
          <w:sz w:val="22"/>
          <w:szCs w:val="22"/>
          <w:lang w:val="en-GB"/>
        </w:rPr>
        <w:t>Patients who require radiation therapy for palliative care may be allowed to continue on ganetespib, at the clinician’s discretion.</w:t>
      </w:r>
    </w:p>
    <w:p w14:paraId="650C2A47" w14:textId="77777777" w:rsidR="00DA67E8" w:rsidRPr="00FC20CF" w:rsidRDefault="00DA67E8" w:rsidP="004E69CA">
      <w:pPr>
        <w:pStyle w:val="Heading3"/>
        <w:ind w:left="851" w:hanging="851"/>
        <w:rPr>
          <w:szCs w:val="24"/>
        </w:rPr>
      </w:pPr>
      <w:bookmarkStart w:id="423" w:name="_Toc471826780"/>
      <w:bookmarkStart w:id="424" w:name="_Toc528323546"/>
      <w:r w:rsidRPr="00FC20CF">
        <w:rPr>
          <w:szCs w:val="24"/>
        </w:rPr>
        <w:t>Medications Used with Caution</w:t>
      </w:r>
      <w:bookmarkEnd w:id="423"/>
      <w:bookmarkEnd w:id="424"/>
    </w:p>
    <w:p w14:paraId="1EBEBFDC" w14:textId="77777777" w:rsidR="00DA67E8" w:rsidRPr="007B5DF4" w:rsidRDefault="00DA67E8" w:rsidP="002F600D">
      <w:pPr>
        <w:numPr>
          <w:ilvl w:val="0"/>
          <w:numId w:val="18"/>
        </w:numPr>
        <w:autoSpaceDE w:val="0"/>
        <w:autoSpaceDN w:val="0"/>
        <w:adjustRightInd w:val="0"/>
        <w:spacing w:before="120"/>
        <w:jc w:val="both"/>
        <w:rPr>
          <w:rFonts w:ascii="Arial" w:hAnsi="Arial" w:cs="Arial"/>
          <w:sz w:val="22"/>
          <w:szCs w:val="22"/>
        </w:rPr>
      </w:pPr>
      <w:r w:rsidRPr="007B5DF4">
        <w:rPr>
          <w:rFonts w:ascii="Arial" w:hAnsi="Arial" w:cs="Arial"/>
          <w:sz w:val="22"/>
          <w:szCs w:val="22"/>
        </w:rPr>
        <w:t>Medications associated with QTc prolongation should be used with caution.  The decision whether or not such a medication may be used should be taken in the context of the patient’s medical history and QTc values at screening.</w:t>
      </w:r>
      <w:r w:rsidR="00EA3560">
        <w:rPr>
          <w:rFonts w:ascii="Arial" w:hAnsi="Arial" w:cs="Arial"/>
          <w:sz w:val="22"/>
          <w:szCs w:val="22"/>
        </w:rPr>
        <w:t xml:space="preserve"> Please also refer to appendix 5</w:t>
      </w:r>
    </w:p>
    <w:p w14:paraId="16D31B23" w14:textId="77777777" w:rsidR="00DA67E8" w:rsidRDefault="00DA67E8" w:rsidP="008568DE">
      <w:pPr>
        <w:autoSpaceDE w:val="0"/>
        <w:autoSpaceDN w:val="0"/>
        <w:adjustRightInd w:val="0"/>
        <w:spacing w:before="120"/>
        <w:ind w:left="720"/>
        <w:jc w:val="both"/>
        <w:rPr>
          <w:sz w:val="18"/>
          <w:szCs w:val="18"/>
        </w:rPr>
      </w:pPr>
    </w:p>
    <w:p w14:paraId="3BC4DABE" w14:textId="77777777" w:rsidR="00DA67E8" w:rsidRPr="0027708E" w:rsidRDefault="00DA67E8" w:rsidP="002F600D">
      <w:pPr>
        <w:numPr>
          <w:ilvl w:val="0"/>
          <w:numId w:val="18"/>
        </w:numPr>
        <w:autoSpaceDE w:val="0"/>
        <w:autoSpaceDN w:val="0"/>
        <w:adjustRightInd w:val="0"/>
        <w:spacing w:before="120"/>
        <w:jc w:val="both"/>
        <w:rPr>
          <w:rFonts w:ascii="Arial" w:hAnsi="Arial" w:cs="Arial"/>
          <w:sz w:val="22"/>
          <w:szCs w:val="22"/>
        </w:rPr>
      </w:pPr>
      <w:r w:rsidRPr="0027708E">
        <w:rPr>
          <w:rFonts w:ascii="Arial" w:hAnsi="Arial" w:cs="Arial"/>
          <w:sz w:val="22"/>
          <w:szCs w:val="22"/>
        </w:rPr>
        <w:t>Ganetespib is a substrate of the P-glycoprotein (P-</w:t>
      </w:r>
      <w:proofErr w:type="spellStart"/>
      <w:r w:rsidRPr="0027708E">
        <w:rPr>
          <w:rFonts w:ascii="Arial" w:hAnsi="Arial" w:cs="Arial"/>
          <w:sz w:val="22"/>
          <w:szCs w:val="22"/>
        </w:rPr>
        <w:t>gp</w:t>
      </w:r>
      <w:proofErr w:type="spellEnd"/>
      <w:r w:rsidRPr="0027708E">
        <w:rPr>
          <w:rFonts w:ascii="Arial" w:hAnsi="Arial" w:cs="Arial"/>
          <w:sz w:val="22"/>
          <w:szCs w:val="22"/>
        </w:rPr>
        <w:t xml:space="preserve">) efflux transporter.  Since </w:t>
      </w:r>
      <w:proofErr w:type="spellStart"/>
      <w:r w:rsidRPr="0027708E">
        <w:rPr>
          <w:rFonts w:ascii="Arial" w:hAnsi="Arial" w:cs="Arial"/>
          <w:sz w:val="22"/>
          <w:szCs w:val="22"/>
        </w:rPr>
        <w:t>ganetespib’s</w:t>
      </w:r>
      <w:proofErr w:type="spellEnd"/>
      <w:r w:rsidRPr="0027708E">
        <w:rPr>
          <w:rFonts w:ascii="Arial" w:hAnsi="Arial" w:cs="Arial"/>
          <w:sz w:val="22"/>
          <w:szCs w:val="22"/>
        </w:rPr>
        <w:t xml:space="preserve"> potential as a P-</w:t>
      </w:r>
      <w:proofErr w:type="spellStart"/>
      <w:r w:rsidRPr="0027708E">
        <w:rPr>
          <w:rFonts w:ascii="Arial" w:hAnsi="Arial" w:cs="Arial"/>
          <w:sz w:val="22"/>
          <w:szCs w:val="22"/>
        </w:rPr>
        <w:t>gp</w:t>
      </w:r>
      <w:proofErr w:type="spellEnd"/>
      <w:r w:rsidRPr="0027708E">
        <w:rPr>
          <w:rFonts w:ascii="Arial" w:hAnsi="Arial" w:cs="Arial"/>
          <w:sz w:val="22"/>
          <w:szCs w:val="22"/>
        </w:rPr>
        <w:t xml:space="preserve"> inhibitor has not yet been determined, caution with concomitant P-</w:t>
      </w:r>
      <w:proofErr w:type="spellStart"/>
      <w:r w:rsidRPr="0027708E">
        <w:rPr>
          <w:rFonts w:ascii="Arial" w:hAnsi="Arial" w:cs="Arial"/>
          <w:sz w:val="22"/>
          <w:szCs w:val="22"/>
        </w:rPr>
        <w:t>gp</w:t>
      </w:r>
      <w:proofErr w:type="spellEnd"/>
      <w:r w:rsidRPr="0027708E">
        <w:rPr>
          <w:rFonts w:ascii="Arial" w:hAnsi="Arial" w:cs="Arial"/>
          <w:sz w:val="22"/>
          <w:szCs w:val="22"/>
        </w:rPr>
        <w:t xml:space="preserve"> substrates is recommended.  </w:t>
      </w:r>
    </w:p>
    <w:p w14:paraId="0A087A60" w14:textId="77777777" w:rsidR="00DA67E8" w:rsidRDefault="00DA67E8" w:rsidP="00F62DC2">
      <w:pPr>
        <w:pStyle w:val="Normal1"/>
        <w:rPr>
          <w:rFonts w:cs="Arial"/>
          <w:sz w:val="22"/>
          <w:szCs w:val="22"/>
          <w:lang w:val="en-GB"/>
        </w:rPr>
      </w:pPr>
    </w:p>
    <w:p w14:paraId="024B7611" w14:textId="77777777" w:rsidR="00EA3560" w:rsidRDefault="00EA3560" w:rsidP="002F600D">
      <w:pPr>
        <w:numPr>
          <w:ilvl w:val="0"/>
          <w:numId w:val="18"/>
        </w:numPr>
        <w:autoSpaceDE w:val="0"/>
        <w:autoSpaceDN w:val="0"/>
        <w:adjustRightInd w:val="0"/>
        <w:spacing w:before="120"/>
        <w:jc w:val="both"/>
        <w:rPr>
          <w:rFonts w:ascii="Arial" w:hAnsi="Arial" w:cs="Arial"/>
          <w:color w:val="000000"/>
          <w:sz w:val="22"/>
          <w:szCs w:val="22"/>
          <w:lang w:eastAsia="en-GB"/>
        </w:rPr>
      </w:pPr>
      <w:r w:rsidRPr="00AD125C">
        <w:rPr>
          <w:rFonts w:ascii="Arial" w:hAnsi="Arial" w:cs="Arial"/>
          <w:color w:val="000000"/>
          <w:sz w:val="22"/>
          <w:szCs w:val="22"/>
          <w:lang w:eastAsia="en-GB"/>
        </w:rPr>
        <w:t xml:space="preserve">Caution is advised when sensitive narrow therapeutic range CYP3A4 or CYP2C19 substrates are concomitantly administered. </w:t>
      </w:r>
    </w:p>
    <w:p w14:paraId="23FD1EB4" w14:textId="77777777" w:rsidR="00EA3560" w:rsidRDefault="00EA3560" w:rsidP="00EA3560">
      <w:pPr>
        <w:pStyle w:val="ListParagraph"/>
        <w:rPr>
          <w:rFonts w:ascii="Arial" w:hAnsi="Arial" w:cs="Arial"/>
          <w:sz w:val="22"/>
          <w:szCs w:val="22"/>
        </w:rPr>
      </w:pPr>
    </w:p>
    <w:p w14:paraId="408F9F88" w14:textId="77777777" w:rsidR="0027708E" w:rsidRPr="00EA3560" w:rsidRDefault="0027708E" w:rsidP="002F600D">
      <w:pPr>
        <w:numPr>
          <w:ilvl w:val="0"/>
          <w:numId w:val="18"/>
        </w:numPr>
        <w:autoSpaceDE w:val="0"/>
        <w:autoSpaceDN w:val="0"/>
        <w:adjustRightInd w:val="0"/>
        <w:spacing w:before="120"/>
        <w:jc w:val="both"/>
        <w:rPr>
          <w:rFonts w:ascii="Arial" w:hAnsi="Arial" w:cs="Arial"/>
          <w:color w:val="000000"/>
          <w:sz w:val="22"/>
          <w:szCs w:val="22"/>
          <w:lang w:eastAsia="en-GB"/>
        </w:rPr>
      </w:pPr>
      <w:r w:rsidRPr="00EA3560">
        <w:rPr>
          <w:rFonts w:ascii="Arial" w:hAnsi="Arial" w:cs="Arial"/>
          <w:sz w:val="22"/>
          <w:szCs w:val="22"/>
        </w:rPr>
        <w:t>Refer to the following link for CYP2C19 and CYP3A4, and P-glycoprotein (P-</w:t>
      </w:r>
      <w:proofErr w:type="spellStart"/>
      <w:r w:rsidRPr="00EA3560">
        <w:rPr>
          <w:rFonts w:ascii="Arial" w:hAnsi="Arial" w:cs="Arial"/>
          <w:sz w:val="22"/>
          <w:szCs w:val="22"/>
        </w:rPr>
        <w:t>gp</w:t>
      </w:r>
      <w:proofErr w:type="spellEnd"/>
      <w:r w:rsidRPr="00EA3560">
        <w:rPr>
          <w:rFonts w:ascii="Arial" w:hAnsi="Arial" w:cs="Arial"/>
          <w:sz w:val="22"/>
          <w:szCs w:val="22"/>
        </w:rPr>
        <w:t xml:space="preserve">)  interactions: </w:t>
      </w:r>
      <w:hyperlink r:id="rId29" w:history="1">
        <w:r w:rsidRPr="00EA3560">
          <w:rPr>
            <w:rStyle w:val="Hyperlink"/>
            <w:rFonts w:ascii="Arial" w:hAnsi="Arial" w:cs="Arial"/>
            <w:sz w:val="20"/>
            <w:szCs w:val="20"/>
          </w:rPr>
          <w:t>http://www.pharmacologyweekly.com/content/pages/drug-reference-table-cyp-p450-ugt-enzymes-transporters-ab</w:t>
        </w:r>
      </w:hyperlink>
    </w:p>
    <w:p w14:paraId="60E80177" w14:textId="77777777" w:rsidR="0027708E" w:rsidRPr="00844215" w:rsidRDefault="0027708E" w:rsidP="00F62DC2">
      <w:pPr>
        <w:pStyle w:val="Normal1"/>
        <w:rPr>
          <w:rFonts w:cs="Arial"/>
          <w:sz w:val="22"/>
          <w:szCs w:val="22"/>
          <w:lang w:val="en-GB"/>
        </w:rPr>
      </w:pPr>
    </w:p>
    <w:p w14:paraId="3F8D22FF" w14:textId="77777777" w:rsidR="00DA67E8" w:rsidRPr="00FC20CF" w:rsidRDefault="00DA67E8" w:rsidP="004E69CA">
      <w:pPr>
        <w:pStyle w:val="Heading3"/>
        <w:ind w:left="851" w:hanging="851"/>
        <w:rPr>
          <w:szCs w:val="24"/>
        </w:rPr>
      </w:pPr>
      <w:bookmarkStart w:id="425" w:name="_Toc471826781"/>
      <w:bookmarkStart w:id="426" w:name="_Toc528323547"/>
      <w:r w:rsidRPr="00FC20CF">
        <w:rPr>
          <w:szCs w:val="24"/>
        </w:rPr>
        <w:t>Permitted Concomitant Treatment</w:t>
      </w:r>
      <w:bookmarkEnd w:id="425"/>
      <w:bookmarkEnd w:id="426"/>
    </w:p>
    <w:p w14:paraId="248478A4" w14:textId="77777777" w:rsidR="00DA67E8" w:rsidRPr="00844215" w:rsidRDefault="00DA67E8" w:rsidP="00F62DC2">
      <w:pPr>
        <w:pStyle w:val="C-BodyText"/>
        <w:spacing w:before="0"/>
        <w:jc w:val="both"/>
        <w:rPr>
          <w:rFonts w:ascii="Arial" w:hAnsi="Arial" w:cs="Arial"/>
        </w:rPr>
      </w:pPr>
      <w:r w:rsidRPr="00844215">
        <w:rPr>
          <w:rFonts w:ascii="Arial" w:hAnsi="Arial" w:cs="Arial"/>
        </w:rPr>
        <w:t>After confirmation and documentation that a subject has met all the inclusion criteria and none of the exclusion criteria, supportive care treatments (transfusions, etc.) can be prescribed as medically appropriate.  The following treatments are permitted during the study:</w:t>
      </w:r>
    </w:p>
    <w:p w14:paraId="0914E38E" w14:textId="77777777" w:rsidR="00DA67E8" w:rsidRPr="007B5DF4" w:rsidRDefault="00DA67E8" w:rsidP="002F600D">
      <w:pPr>
        <w:numPr>
          <w:ilvl w:val="0"/>
          <w:numId w:val="18"/>
        </w:numPr>
        <w:autoSpaceDE w:val="0"/>
        <w:autoSpaceDN w:val="0"/>
        <w:adjustRightInd w:val="0"/>
        <w:spacing w:before="120"/>
        <w:jc w:val="both"/>
        <w:rPr>
          <w:rFonts w:ascii="Arial" w:hAnsi="Arial" w:cs="Arial"/>
          <w:sz w:val="22"/>
          <w:szCs w:val="22"/>
        </w:rPr>
      </w:pPr>
      <w:r w:rsidRPr="007B5DF4">
        <w:rPr>
          <w:rFonts w:ascii="Arial" w:hAnsi="Arial" w:cs="Arial"/>
          <w:sz w:val="22"/>
          <w:szCs w:val="22"/>
        </w:rPr>
        <w:t xml:space="preserve">Erythropoietin or other specific red blood cell growth factors. Transfusion of blood products. </w:t>
      </w:r>
    </w:p>
    <w:p w14:paraId="016A6601" w14:textId="77777777" w:rsidR="008568DE" w:rsidRPr="008568DE" w:rsidRDefault="00DA67E8" w:rsidP="008568DE">
      <w:pPr>
        <w:numPr>
          <w:ilvl w:val="0"/>
          <w:numId w:val="18"/>
        </w:numPr>
        <w:autoSpaceDE w:val="0"/>
        <w:autoSpaceDN w:val="0"/>
        <w:adjustRightInd w:val="0"/>
        <w:spacing w:before="120"/>
        <w:jc w:val="both"/>
        <w:rPr>
          <w:rFonts w:ascii="Arial" w:hAnsi="Arial" w:cs="Arial"/>
          <w:sz w:val="22"/>
          <w:szCs w:val="22"/>
        </w:rPr>
      </w:pPr>
      <w:r w:rsidRPr="007B5DF4">
        <w:rPr>
          <w:rFonts w:ascii="Arial" w:hAnsi="Arial" w:cs="Arial"/>
          <w:sz w:val="22"/>
          <w:szCs w:val="22"/>
        </w:rPr>
        <w:t xml:space="preserve">Steroids (inhaled, topical, or for physiologic replacement, or for short term treatment of conditions such as allergic reactions and asthma flares, or for appetite stimulation). A standard 3-5 day course of dexamethasone following the institutions standard of care for the prevention of chemotherapy-induced nausea and vomiting is allowed. In addition glucocorticoid daily doses (oral) </w:t>
      </w:r>
      <w:r w:rsidRPr="007B5DF4">
        <w:rPr>
          <w:rFonts w:ascii="Arial" w:hAnsi="Arial" w:cs="Arial"/>
          <w:sz w:val="22"/>
          <w:szCs w:val="22"/>
        </w:rPr>
        <w:sym w:font="Symbol" w:char="F0A3"/>
      </w:r>
      <w:r w:rsidRPr="007B5DF4">
        <w:rPr>
          <w:rFonts w:ascii="Arial" w:hAnsi="Arial" w:cs="Arial"/>
          <w:sz w:val="22"/>
          <w:szCs w:val="22"/>
        </w:rPr>
        <w:t xml:space="preserve"> 1.5 mg dexamethasone (or equivalent) are allowed.  </w:t>
      </w:r>
    </w:p>
    <w:p w14:paraId="69D7D64E" w14:textId="77777777" w:rsidR="00DA67E8" w:rsidRPr="00844215" w:rsidRDefault="00DA67E8" w:rsidP="008568DE">
      <w:pPr>
        <w:pStyle w:val="C-Bullet"/>
        <w:numPr>
          <w:ilvl w:val="0"/>
          <w:numId w:val="0"/>
        </w:numPr>
        <w:spacing w:after="0" w:line="240" w:lineRule="auto"/>
        <w:jc w:val="both"/>
        <w:rPr>
          <w:rFonts w:ascii="Arial" w:hAnsi="Arial" w:cs="Arial"/>
          <w:sz w:val="22"/>
        </w:rPr>
      </w:pPr>
      <w:r w:rsidRPr="00844215">
        <w:rPr>
          <w:rFonts w:ascii="Arial" w:hAnsi="Arial" w:cs="Arial"/>
          <w:sz w:val="22"/>
        </w:rPr>
        <w:t xml:space="preserve">Other concomitant medications may be given as clinically indicated. Please consult with the </w:t>
      </w:r>
      <w:r w:rsidR="00F86B68">
        <w:rPr>
          <w:rFonts w:ascii="Arial" w:hAnsi="Arial" w:cs="Arial"/>
          <w:sz w:val="22"/>
        </w:rPr>
        <w:t>CTC</w:t>
      </w:r>
      <w:r w:rsidRPr="00844215">
        <w:rPr>
          <w:rFonts w:ascii="Arial" w:hAnsi="Arial" w:cs="Arial"/>
          <w:sz w:val="22"/>
        </w:rPr>
        <w:t xml:space="preserve"> regarding any questions about concomitant medications.</w:t>
      </w:r>
    </w:p>
    <w:p w14:paraId="1845530B" w14:textId="77777777" w:rsidR="00DA67E8" w:rsidRDefault="00DA67E8" w:rsidP="00F62DC2">
      <w:pPr>
        <w:pStyle w:val="Normal1"/>
        <w:rPr>
          <w:rFonts w:cs="Arial"/>
          <w:sz w:val="22"/>
          <w:lang w:val="en-GB"/>
        </w:rPr>
      </w:pPr>
    </w:p>
    <w:p w14:paraId="368F90BB" w14:textId="77777777" w:rsidR="003A7F8F" w:rsidRPr="0092585E" w:rsidRDefault="0092585E" w:rsidP="00BF16F9">
      <w:pPr>
        <w:pStyle w:val="Heading2"/>
      </w:pPr>
      <w:bookmarkStart w:id="427" w:name="_Toc308171508"/>
      <w:r>
        <w:rPr>
          <w:lang w:val="en-GB"/>
        </w:rPr>
        <w:lastRenderedPageBreak/>
        <w:t xml:space="preserve"> </w:t>
      </w:r>
      <w:bookmarkStart w:id="428" w:name="_Toc351624824"/>
      <w:bookmarkStart w:id="429" w:name="_Toc471826782"/>
      <w:bookmarkStart w:id="430" w:name="_Toc528323548"/>
      <w:r w:rsidR="00DA67E8" w:rsidRPr="0083695F">
        <w:t>Management of Events of Special Interest</w:t>
      </w:r>
      <w:bookmarkEnd w:id="427"/>
      <w:r w:rsidR="00DA67E8" w:rsidRPr="0083695F">
        <w:t xml:space="preserve"> associated with ganetespib</w:t>
      </w:r>
      <w:bookmarkStart w:id="431" w:name="_Toc308171509"/>
      <w:bookmarkEnd w:id="428"/>
      <w:bookmarkEnd w:id="429"/>
      <w:bookmarkEnd w:id="430"/>
    </w:p>
    <w:p w14:paraId="3CB03791" w14:textId="77777777" w:rsidR="00DA67E8" w:rsidRPr="00FC20CF" w:rsidRDefault="00DA67E8" w:rsidP="004E69CA">
      <w:pPr>
        <w:pStyle w:val="Heading3"/>
        <w:ind w:left="851" w:hanging="851"/>
        <w:rPr>
          <w:szCs w:val="24"/>
        </w:rPr>
      </w:pPr>
      <w:bookmarkStart w:id="432" w:name="_Toc471826783"/>
      <w:bookmarkStart w:id="433" w:name="_Toc528323549"/>
      <w:r w:rsidRPr="00FC20CF">
        <w:rPr>
          <w:szCs w:val="24"/>
        </w:rPr>
        <w:t>Management of Gastrointestinal Adverse Events</w:t>
      </w:r>
      <w:bookmarkEnd w:id="431"/>
      <w:bookmarkEnd w:id="432"/>
      <w:bookmarkEnd w:id="433"/>
    </w:p>
    <w:p w14:paraId="4F508327" w14:textId="77777777" w:rsidR="00DA67E8" w:rsidRPr="00C20986" w:rsidRDefault="00DA67E8" w:rsidP="00F62DC2">
      <w:pPr>
        <w:pStyle w:val="C-BodyText"/>
        <w:jc w:val="both"/>
        <w:rPr>
          <w:rFonts w:ascii="Arial" w:hAnsi="Arial" w:cs="Arial"/>
        </w:rPr>
      </w:pPr>
      <w:r w:rsidRPr="00C20986">
        <w:rPr>
          <w:rFonts w:ascii="Arial" w:hAnsi="Arial" w:cs="Arial"/>
        </w:rPr>
        <w:t xml:space="preserve">These broad general management principles are necessary to proactively attempt to avoid more serious complications by active management of </w:t>
      </w:r>
      <w:proofErr w:type="spellStart"/>
      <w:r>
        <w:rPr>
          <w:rFonts w:ascii="Arial" w:hAnsi="Arial" w:cs="Arial"/>
        </w:rPr>
        <w:t>diarrhoea</w:t>
      </w:r>
      <w:proofErr w:type="spellEnd"/>
      <w:r>
        <w:rPr>
          <w:rFonts w:ascii="Arial" w:hAnsi="Arial" w:cs="Arial"/>
        </w:rPr>
        <w:t xml:space="preserve"> </w:t>
      </w:r>
      <w:r w:rsidRPr="00C20986">
        <w:rPr>
          <w:rFonts w:ascii="Arial" w:hAnsi="Arial" w:cs="Arial"/>
        </w:rPr>
        <w:t xml:space="preserve">syndrome.  However, guidelines such as these should </w:t>
      </w:r>
      <w:r>
        <w:rPr>
          <w:rFonts w:ascii="Arial" w:hAnsi="Arial" w:cs="Arial"/>
        </w:rPr>
        <w:t>not</w:t>
      </w:r>
      <w:r w:rsidRPr="00C20986">
        <w:rPr>
          <w:rFonts w:ascii="Arial" w:hAnsi="Arial" w:cs="Arial"/>
        </w:rPr>
        <w:t xml:space="preserve"> replace sound clinical judgment. </w:t>
      </w:r>
    </w:p>
    <w:p w14:paraId="5EC441F6" w14:textId="77777777" w:rsidR="00DA67E8" w:rsidRPr="00C20986" w:rsidRDefault="00DA67E8" w:rsidP="00896BF6">
      <w:pPr>
        <w:pStyle w:val="C-BodyText"/>
        <w:jc w:val="both"/>
        <w:rPr>
          <w:rFonts w:ascii="Arial" w:hAnsi="Arial" w:cs="Arial"/>
        </w:rPr>
      </w:pPr>
      <w:r w:rsidRPr="00C20986">
        <w:rPr>
          <w:rFonts w:ascii="Arial" w:hAnsi="Arial" w:cs="Arial"/>
        </w:rPr>
        <w:t xml:space="preserve">Experience suggests that </w:t>
      </w:r>
      <w:proofErr w:type="spellStart"/>
      <w:r>
        <w:rPr>
          <w:rFonts w:ascii="Arial" w:hAnsi="Arial" w:cs="Arial"/>
        </w:rPr>
        <w:t>diarrhoea</w:t>
      </w:r>
      <w:proofErr w:type="spellEnd"/>
      <w:r>
        <w:rPr>
          <w:rFonts w:ascii="Arial" w:hAnsi="Arial" w:cs="Arial"/>
        </w:rPr>
        <w:t xml:space="preserve"> </w:t>
      </w:r>
      <w:r w:rsidRPr="00C20986">
        <w:rPr>
          <w:rFonts w:ascii="Arial" w:hAnsi="Arial" w:cs="Arial"/>
        </w:rPr>
        <w:t xml:space="preserve">is an expected drug class effect for Hsp90 inhibitors and it typically starts 2 to 3 hours following administration of </w:t>
      </w:r>
      <w:proofErr w:type="spellStart"/>
      <w:r w:rsidRPr="00C20986">
        <w:rPr>
          <w:rFonts w:ascii="Arial" w:hAnsi="Arial" w:cs="Arial"/>
        </w:rPr>
        <w:t>ganetespib</w:t>
      </w:r>
      <w:proofErr w:type="spellEnd"/>
      <w:r w:rsidRPr="00C20986">
        <w:rPr>
          <w:rFonts w:ascii="Arial" w:hAnsi="Arial" w:cs="Arial"/>
        </w:rPr>
        <w:t>.  However, when appropriately managed with anti-</w:t>
      </w:r>
      <w:proofErr w:type="spellStart"/>
      <w:r>
        <w:rPr>
          <w:rFonts w:ascii="Arial" w:hAnsi="Arial" w:cs="Arial"/>
        </w:rPr>
        <w:t>diarrhoea</w:t>
      </w:r>
      <w:proofErr w:type="spellEnd"/>
      <w:r>
        <w:rPr>
          <w:rFonts w:ascii="Arial" w:hAnsi="Arial" w:cs="Arial"/>
        </w:rPr>
        <w:t xml:space="preserve"> </w:t>
      </w:r>
      <w:r w:rsidRPr="00C20986">
        <w:rPr>
          <w:rFonts w:ascii="Arial" w:hAnsi="Arial" w:cs="Arial"/>
        </w:rPr>
        <w:t xml:space="preserve">treatment, it is generally mild to moderate and its duration limited to 24 hours. </w:t>
      </w:r>
    </w:p>
    <w:p w14:paraId="2A236F8F" w14:textId="77777777" w:rsidR="00DA67E8" w:rsidRPr="00C20986" w:rsidRDefault="00DA67E8" w:rsidP="00F62DC2">
      <w:pPr>
        <w:pStyle w:val="C-BodyText"/>
        <w:jc w:val="both"/>
        <w:rPr>
          <w:rFonts w:ascii="Arial" w:hAnsi="Arial" w:cs="Arial"/>
          <w:b/>
        </w:rPr>
      </w:pPr>
      <w:r w:rsidRPr="00C20986">
        <w:rPr>
          <w:rFonts w:ascii="Arial" w:hAnsi="Arial" w:cs="Arial"/>
          <w:b/>
        </w:rPr>
        <w:t xml:space="preserve">For all subjects, it is strongly recommended that </w:t>
      </w:r>
      <w:proofErr w:type="spellStart"/>
      <w:r w:rsidRPr="00C20986">
        <w:rPr>
          <w:rFonts w:ascii="Arial" w:hAnsi="Arial" w:cs="Arial"/>
          <w:b/>
        </w:rPr>
        <w:t>diarrh</w:t>
      </w:r>
      <w:r>
        <w:rPr>
          <w:rFonts w:ascii="Arial" w:hAnsi="Arial" w:cs="Arial"/>
          <w:b/>
        </w:rPr>
        <w:t>o</w:t>
      </w:r>
      <w:r w:rsidRPr="00C20986">
        <w:rPr>
          <w:rFonts w:ascii="Arial" w:hAnsi="Arial" w:cs="Arial"/>
          <w:b/>
        </w:rPr>
        <w:t>ea</w:t>
      </w:r>
      <w:proofErr w:type="spellEnd"/>
      <w:r w:rsidRPr="00C20986">
        <w:rPr>
          <w:rFonts w:ascii="Arial" w:hAnsi="Arial" w:cs="Arial"/>
          <w:b/>
        </w:rPr>
        <w:t xml:space="preserve"> be managed proactively to avoid complications or worsening of the subject’s condition. Without appropriate prophylactic treatment, the </w:t>
      </w:r>
      <w:proofErr w:type="spellStart"/>
      <w:r w:rsidRPr="00C20986">
        <w:rPr>
          <w:rFonts w:ascii="Arial" w:hAnsi="Arial" w:cs="Arial"/>
          <w:b/>
        </w:rPr>
        <w:t>diarrh</w:t>
      </w:r>
      <w:r>
        <w:rPr>
          <w:rFonts w:ascii="Arial" w:hAnsi="Arial" w:cs="Arial"/>
          <w:b/>
        </w:rPr>
        <w:t>o</w:t>
      </w:r>
      <w:r w:rsidRPr="00C20986">
        <w:rPr>
          <w:rFonts w:ascii="Arial" w:hAnsi="Arial" w:cs="Arial"/>
          <w:b/>
        </w:rPr>
        <w:t>ea</w:t>
      </w:r>
      <w:proofErr w:type="spellEnd"/>
      <w:r w:rsidRPr="00C20986">
        <w:rPr>
          <w:rFonts w:ascii="Arial" w:hAnsi="Arial" w:cs="Arial"/>
          <w:b/>
        </w:rPr>
        <w:t xml:space="preserve"> can be prolonged and lead to severe dehydration and other complications.</w:t>
      </w:r>
    </w:p>
    <w:p w14:paraId="2C7B77B9" w14:textId="77777777" w:rsidR="00B06349" w:rsidRDefault="00B06349" w:rsidP="00A53D1C">
      <w:pPr>
        <w:pStyle w:val="alltext"/>
        <w:spacing w:after="240"/>
        <w:jc w:val="both"/>
        <w:rPr>
          <w:rFonts w:ascii="Arial" w:hAnsi="Arial" w:cs="Arial"/>
          <w:color w:val="000000"/>
          <w:sz w:val="22"/>
          <w:szCs w:val="22"/>
        </w:rPr>
      </w:pPr>
      <w:r w:rsidRPr="004C62B2">
        <w:rPr>
          <w:rFonts w:ascii="Arial" w:hAnsi="Arial" w:cs="Arial"/>
          <w:b/>
          <w:color w:val="000000"/>
          <w:sz w:val="22"/>
          <w:szCs w:val="22"/>
        </w:rPr>
        <w:t>Loperamide must be given prophylactically</w:t>
      </w:r>
      <w:r>
        <w:rPr>
          <w:rFonts w:ascii="Arial" w:hAnsi="Arial" w:cs="Arial"/>
          <w:color w:val="000000"/>
          <w:sz w:val="22"/>
          <w:szCs w:val="22"/>
        </w:rPr>
        <w:t xml:space="preserve"> at the start of each cycle of treatment</w:t>
      </w:r>
      <w:r w:rsidR="00254AA0">
        <w:rPr>
          <w:rFonts w:ascii="Arial" w:hAnsi="Arial" w:cs="Arial"/>
          <w:color w:val="000000"/>
          <w:sz w:val="22"/>
          <w:szCs w:val="22"/>
        </w:rPr>
        <w:t xml:space="preserve"> (i.e. prior to day 1 and 15 of ganetespib administration)</w:t>
      </w:r>
      <w:r>
        <w:rPr>
          <w:rFonts w:ascii="Arial" w:hAnsi="Arial" w:cs="Arial"/>
          <w:color w:val="000000"/>
          <w:sz w:val="22"/>
          <w:szCs w:val="22"/>
        </w:rPr>
        <w:t xml:space="preserve">. </w:t>
      </w:r>
      <w:r w:rsidRPr="00106E7F">
        <w:rPr>
          <w:rFonts w:ascii="Arial" w:hAnsi="Arial" w:cs="Arial"/>
          <w:color w:val="000000"/>
          <w:sz w:val="22"/>
          <w:szCs w:val="22"/>
        </w:rPr>
        <w:t xml:space="preserve">Loperamide </w:t>
      </w:r>
      <w:r>
        <w:rPr>
          <w:rFonts w:ascii="Arial" w:hAnsi="Arial" w:cs="Arial"/>
          <w:color w:val="000000"/>
          <w:sz w:val="22"/>
          <w:szCs w:val="22"/>
        </w:rPr>
        <w:t>2</w:t>
      </w:r>
      <w:r w:rsidRPr="00106E7F">
        <w:rPr>
          <w:rFonts w:ascii="Arial" w:hAnsi="Arial" w:cs="Arial"/>
          <w:color w:val="000000"/>
          <w:sz w:val="22"/>
          <w:szCs w:val="22"/>
        </w:rPr>
        <w:t xml:space="preserve">mg </w:t>
      </w:r>
      <w:r>
        <w:rPr>
          <w:rFonts w:ascii="Arial" w:hAnsi="Arial" w:cs="Arial"/>
          <w:color w:val="000000"/>
          <w:sz w:val="22"/>
          <w:szCs w:val="22"/>
        </w:rPr>
        <w:t>must be given (</w:t>
      </w:r>
      <w:r w:rsidRPr="00106E7F">
        <w:rPr>
          <w:rFonts w:ascii="Arial" w:hAnsi="Arial" w:cs="Arial"/>
          <w:color w:val="000000"/>
          <w:sz w:val="22"/>
          <w:szCs w:val="22"/>
        </w:rPr>
        <w:t>starting approximately 1-2 hours</w:t>
      </w:r>
      <w:r>
        <w:rPr>
          <w:rFonts w:ascii="Arial" w:hAnsi="Arial" w:cs="Arial"/>
          <w:color w:val="000000"/>
          <w:sz w:val="22"/>
          <w:szCs w:val="22"/>
        </w:rPr>
        <w:t>)</w:t>
      </w:r>
      <w:r w:rsidRPr="00106E7F">
        <w:rPr>
          <w:rFonts w:ascii="Arial" w:hAnsi="Arial" w:cs="Arial"/>
          <w:color w:val="000000"/>
          <w:sz w:val="22"/>
          <w:szCs w:val="22"/>
        </w:rPr>
        <w:t xml:space="preserve"> before ganetespib administration, </w:t>
      </w:r>
      <w:r>
        <w:rPr>
          <w:rFonts w:ascii="Arial" w:hAnsi="Arial" w:cs="Arial"/>
          <w:color w:val="000000"/>
          <w:sz w:val="22"/>
          <w:szCs w:val="22"/>
        </w:rPr>
        <w:t>and</w:t>
      </w:r>
      <w:r w:rsidRPr="00106E7F">
        <w:rPr>
          <w:rFonts w:ascii="Arial" w:hAnsi="Arial" w:cs="Arial"/>
          <w:color w:val="000000"/>
          <w:sz w:val="22"/>
          <w:szCs w:val="22"/>
        </w:rPr>
        <w:t xml:space="preserve"> repeated every 4 hours for the first 12 hours</w:t>
      </w:r>
      <w:r>
        <w:rPr>
          <w:rFonts w:ascii="Arial" w:hAnsi="Arial" w:cs="Arial"/>
          <w:color w:val="000000"/>
          <w:sz w:val="22"/>
          <w:szCs w:val="22"/>
        </w:rPr>
        <w:t>.</w:t>
      </w:r>
      <w:r w:rsidR="00A53D1C" w:rsidRPr="00A53D1C">
        <w:t xml:space="preserve"> </w:t>
      </w:r>
      <w:r w:rsidR="00A53D1C" w:rsidRPr="00A53D1C">
        <w:rPr>
          <w:rFonts w:ascii="Arial" w:hAnsi="Arial" w:cs="Arial"/>
          <w:color w:val="000000"/>
          <w:sz w:val="22"/>
          <w:szCs w:val="22"/>
        </w:rPr>
        <w:t>Due to inter-patient variability, adjustment to this</w:t>
      </w:r>
      <w:r w:rsidR="00A53D1C">
        <w:rPr>
          <w:rFonts w:ascii="Arial" w:hAnsi="Arial" w:cs="Arial"/>
          <w:color w:val="000000"/>
          <w:sz w:val="22"/>
          <w:szCs w:val="22"/>
        </w:rPr>
        <w:t xml:space="preserve"> </w:t>
      </w:r>
      <w:r w:rsidR="00A53D1C" w:rsidRPr="00A53D1C">
        <w:rPr>
          <w:rFonts w:ascii="Arial" w:hAnsi="Arial" w:cs="Arial"/>
          <w:color w:val="000000"/>
          <w:sz w:val="22"/>
          <w:szCs w:val="22"/>
        </w:rPr>
        <w:t>regimen should be made on a case-by-case basis.</w:t>
      </w:r>
    </w:p>
    <w:p w14:paraId="17ACC595" w14:textId="77777777" w:rsidR="00DC16AE" w:rsidRPr="00106E7F" w:rsidRDefault="00DC16AE" w:rsidP="00F62DC2">
      <w:pPr>
        <w:pStyle w:val="alltext"/>
        <w:spacing w:after="240"/>
        <w:jc w:val="both"/>
        <w:rPr>
          <w:rFonts w:ascii="Arial" w:hAnsi="Arial" w:cs="Arial"/>
          <w:color w:val="000000"/>
          <w:sz w:val="22"/>
          <w:szCs w:val="22"/>
        </w:rPr>
      </w:pPr>
      <w:r w:rsidRPr="00106E7F">
        <w:rPr>
          <w:rFonts w:ascii="Arial" w:hAnsi="Arial" w:cs="Arial"/>
          <w:color w:val="000000"/>
          <w:sz w:val="22"/>
          <w:szCs w:val="22"/>
        </w:rPr>
        <w:t xml:space="preserve">In the event of diarrhoea, patients should take loperamide at an initial 4 mg </w:t>
      </w:r>
      <w:r w:rsidR="00796CDF" w:rsidRPr="00106E7F">
        <w:rPr>
          <w:rFonts w:ascii="Arial" w:hAnsi="Arial" w:cs="Arial"/>
          <w:color w:val="000000"/>
          <w:sz w:val="22"/>
          <w:szCs w:val="22"/>
        </w:rPr>
        <w:t>dose</w:t>
      </w:r>
      <w:r w:rsidR="00796CDF">
        <w:rPr>
          <w:rFonts w:ascii="Arial" w:hAnsi="Arial" w:cs="Arial"/>
          <w:color w:val="000000"/>
          <w:sz w:val="22"/>
          <w:szCs w:val="22"/>
        </w:rPr>
        <w:t xml:space="preserve"> (</w:t>
      </w:r>
      <w:r w:rsidR="00F86B68">
        <w:rPr>
          <w:rFonts w:ascii="Arial" w:hAnsi="Arial" w:cs="Arial"/>
          <w:color w:val="000000"/>
          <w:sz w:val="22"/>
          <w:szCs w:val="22"/>
        </w:rPr>
        <w:t>irrespective of the timing of the last prophylactic dose)</w:t>
      </w:r>
      <w:r w:rsidRPr="00106E7F">
        <w:rPr>
          <w:rFonts w:ascii="Arial" w:hAnsi="Arial" w:cs="Arial"/>
          <w:color w:val="000000"/>
          <w:sz w:val="22"/>
          <w:szCs w:val="22"/>
        </w:rPr>
        <w:t xml:space="preserve">, followed by 2 mg doses every 4 hours.  In the presence of uncomplicated grade 1 or 2 </w:t>
      </w:r>
      <w:r w:rsidR="00E15609">
        <w:rPr>
          <w:rFonts w:ascii="Arial" w:hAnsi="Arial" w:cs="Arial"/>
          <w:color w:val="000000"/>
          <w:sz w:val="22"/>
          <w:szCs w:val="22"/>
        </w:rPr>
        <w:t>diarrhoea</w:t>
      </w:r>
      <w:r w:rsidRPr="00106E7F">
        <w:rPr>
          <w:rFonts w:ascii="Arial" w:hAnsi="Arial" w:cs="Arial"/>
          <w:color w:val="000000"/>
          <w:sz w:val="22"/>
          <w:szCs w:val="22"/>
        </w:rPr>
        <w:t xml:space="preserve">, loperamide should be continued until the patient is free from </w:t>
      </w:r>
      <w:r w:rsidR="00E15609">
        <w:rPr>
          <w:rFonts w:ascii="Arial" w:hAnsi="Arial" w:cs="Arial"/>
          <w:color w:val="000000"/>
          <w:sz w:val="22"/>
          <w:szCs w:val="22"/>
        </w:rPr>
        <w:t>diarrhoea</w:t>
      </w:r>
      <w:r w:rsidRPr="00106E7F">
        <w:rPr>
          <w:rFonts w:ascii="Arial" w:hAnsi="Arial" w:cs="Arial"/>
          <w:color w:val="000000"/>
          <w:sz w:val="22"/>
          <w:szCs w:val="22"/>
        </w:rPr>
        <w:t xml:space="preserve"> for 12 hours. Total daily dose should not exceed 16mg (eight capsules). </w:t>
      </w:r>
    </w:p>
    <w:p w14:paraId="5A24A2A5" w14:textId="77777777" w:rsidR="00DC16AE" w:rsidRDefault="00DC16AE" w:rsidP="00F62DC2">
      <w:pPr>
        <w:pStyle w:val="alltext"/>
        <w:spacing w:before="0" w:beforeAutospacing="0" w:after="240" w:afterAutospacing="0"/>
        <w:jc w:val="both"/>
        <w:rPr>
          <w:rFonts w:ascii="Arial" w:hAnsi="Arial" w:cs="Arial"/>
          <w:color w:val="000000"/>
          <w:sz w:val="22"/>
          <w:szCs w:val="22"/>
        </w:rPr>
      </w:pPr>
      <w:r w:rsidRPr="00106E7F">
        <w:rPr>
          <w:rFonts w:ascii="Arial" w:hAnsi="Arial" w:cs="Arial"/>
          <w:color w:val="000000"/>
          <w:sz w:val="22"/>
          <w:szCs w:val="22"/>
        </w:rPr>
        <w:t>For Grade 3 or 4 diarrhoea or complicated Grade 1 or 2 (severe cramping, severe nausea/vomiting, decreased performance status, fever, sepsis, Grade 3 or 4 neutropenia, frank bleeding, dehydration), IV fluids should be used, as well as prophylactic antibiotics.</w:t>
      </w:r>
      <w:r w:rsidRPr="003D3EA9">
        <w:rPr>
          <w:rFonts w:ascii="Arial" w:hAnsi="Arial" w:cs="Arial"/>
          <w:color w:val="000000"/>
          <w:sz w:val="22"/>
          <w:szCs w:val="22"/>
        </w:rPr>
        <w:t xml:space="preserve"> </w:t>
      </w:r>
      <w:r w:rsidR="00E86CE6" w:rsidRPr="00AD125C">
        <w:rPr>
          <w:rFonts w:ascii="Arial" w:hAnsi="Arial" w:cs="Arial"/>
          <w:sz w:val="22"/>
          <w:szCs w:val="22"/>
        </w:rPr>
        <w:t>Hospitalisation is recommended.</w:t>
      </w:r>
    </w:p>
    <w:p w14:paraId="4A8072A7" w14:textId="77777777" w:rsidR="00E86CE6" w:rsidRDefault="00E86CE6" w:rsidP="00E86CE6">
      <w:pPr>
        <w:autoSpaceDE w:val="0"/>
        <w:autoSpaceDN w:val="0"/>
        <w:adjustRightInd w:val="0"/>
        <w:jc w:val="both"/>
        <w:rPr>
          <w:rFonts w:ascii="Arial" w:hAnsi="Arial" w:cs="Arial"/>
          <w:color w:val="000000"/>
          <w:sz w:val="22"/>
          <w:szCs w:val="22"/>
        </w:rPr>
      </w:pPr>
      <w:r w:rsidRPr="00217FA9">
        <w:rPr>
          <w:rFonts w:ascii="Arial" w:hAnsi="Arial" w:cs="Arial"/>
          <w:b/>
          <w:color w:val="000000"/>
          <w:sz w:val="22"/>
          <w:szCs w:val="22"/>
        </w:rPr>
        <w:t>Nausea/vomiting:</w:t>
      </w:r>
      <w:r w:rsidRPr="003D3EA9">
        <w:rPr>
          <w:rFonts w:ascii="Arial" w:hAnsi="Arial" w:cs="Arial"/>
          <w:color w:val="000000"/>
          <w:sz w:val="22"/>
          <w:szCs w:val="22"/>
        </w:rPr>
        <w:t xml:space="preserve">  Nausea and vomiting should be treated aggressively, and strong consideration should be given to the administration of prophylactic antiemetic therapy according to standard institutional practice. </w:t>
      </w:r>
      <w:r w:rsidRPr="00BF16F9">
        <w:rPr>
          <w:rFonts w:ascii="Arial" w:hAnsi="Arial"/>
          <w:color w:val="000000"/>
          <w:sz w:val="22"/>
        </w:rPr>
        <w:t xml:space="preserve">In </w:t>
      </w:r>
      <w:r w:rsidRPr="003D3EA9">
        <w:rPr>
          <w:rFonts w:ascii="Arial" w:hAnsi="Arial" w:cs="Arial"/>
          <w:color w:val="000000"/>
          <w:sz w:val="22"/>
          <w:szCs w:val="22"/>
        </w:rPr>
        <w:t xml:space="preserve">particular, the use of antiemetics including 5HT3 antagonists and/or </w:t>
      </w:r>
      <w:proofErr w:type="spellStart"/>
      <w:r w:rsidRPr="003D3EA9">
        <w:rPr>
          <w:rFonts w:ascii="Arial" w:hAnsi="Arial" w:cs="Arial"/>
          <w:color w:val="000000"/>
          <w:sz w:val="22"/>
          <w:szCs w:val="22"/>
        </w:rPr>
        <w:t>aprepitant</w:t>
      </w:r>
      <w:proofErr w:type="spellEnd"/>
      <w:r w:rsidRPr="003D3EA9">
        <w:rPr>
          <w:rFonts w:ascii="Arial" w:hAnsi="Arial" w:cs="Arial"/>
          <w:color w:val="000000"/>
          <w:sz w:val="22"/>
          <w:szCs w:val="22"/>
        </w:rPr>
        <w:t xml:space="preserve"> plus dexamethasone is encouraged</w:t>
      </w:r>
      <w:r>
        <w:rPr>
          <w:rFonts w:ascii="Arial" w:hAnsi="Arial" w:cs="Arial"/>
          <w:color w:val="000000"/>
          <w:sz w:val="22"/>
          <w:szCs w:val="22"/>
        </w:rPr>
        <w:t xml:space="preserve">. </w:t>
      </w:r>
      <w:r w:rsidRPr="003D3EA9">
        <w:rPr>
          <w:rFonts w:ascii="Arial" w:hAnsi="Arial" w:cs="Arial"/>
          <w:color w:val="000000"/>
          <w:sz w:val="22"/>
          <w:szCs w:val="22"/>
        </w:rPr>
        <w:t>Patients should be strongly encouraged to maintain liberal oral fluid intake during therapy, especially during the initial 14 days of each treatment cycle.</w:t>
      </w:r>
    </w:p>
    <w:p w14:paraId="3CBB3AEC" w14:textId="77777777" w:rsidR="00E86CE6" w:rsidRPr="00AD125C" w:rsidRDefault="00E86CE6" w:rsidP="00E86CE6">
      <w:pPr>
        <w:pStyle w:val="alltext"/>
        <w:spacing w:before="0" w:beforeAutospacing="0" w:after="240" w:afterAutospacing="0"/>
        <w:jc w:val="both"/>
        <w:rPr>
          <w:rFonts w:ascii="Arial" w:hAnsi="Arial" w:cs="Arial"/>
          <w:color w:val="000000"/>
          <w:sz w:val="22"/>
          <w:szCs w:val="22"/>
        </w:rPr>
      </w:pPr>
    </w:p>
    <w:p w14:paraId="75D049CC" w14:textId="77777777" w:rsidR="00E86CE6" w:rsidRPr="00FC20CF" w:rsidRDefault="00E86CE6" w:rsidP="004E69CA">
      <w:pPr>
        <w:pStyle w:val="Heading3"/>
        <w:ind w:left="851" w:hanging="851"/>
        <w:rPr>
          <w:szCs w:val="24"/>
        </w:rPr>
      </w:pPr>
      <w:bookmarkStart w:id="434" w:name="_Toc471826784"/>
      <w:bookmarkStart w:id="435" w:name="_Toc528323550"/>
      <w:r w:rsidRPr="00FC20CF">
        <w:rPr>
          <w:szCs w:val="24"/>
        </w:rPr>
        <w:t>Management of Neutropenia</w:t>
      </w:r>
      <w:bookmarkEnd w:id="434"/>
      <w:bookmarkEnd w:id="435"/>
    </w:p>
    <w:p w14:paraId="52ABFDAF" w14:textId="77777777" w:rsidR="00E86CE6" w:rsidRPr="008A515D" w:rsidRDefault="00E86CE6" w:rsidP="00E86CE6">
      <w:pPr>
        <w:pStyle w:val="alltext"/>
        <w:spacing w:before="0" w:beforeAutospacing="0" w:after="240" w:afterAutospacing="0"/>
        <w:jc w:val="both"/>
        <w:rPr>
          <w:rFonts w:ascii="Arial" w:hAnsi="Arial" w:cs="Arial"/>
          <w:color w:val="000000"/>
          <w:sz w:val="22"/>
          <w:szCs w:val="22"/>
        </w:rPr>
      </w:pPr>
      <w:r w:rsidRPr="00AD125C">
        <w:rPr>
          <w:rFonts w:ascii="Arial" w:hAnsi="Arial" w:cs="Arial"/>
          <w:b/>
          <w:sz w:val="22"/>
          <w:szCs w:val="22"/>
        </w:rPr>
        <w:t>Neutropenia:</w:t>
      </w:r>
      <w:r>
        <w:rPr>
          <w:rFonts w:ascii="Arial" w:hAnsi="Arial" w:cs="Arial"/>
          <w:sz w:val="22"/>
          <w:szCs w:val="22"/>
        </w:rPr>
        <w:t xml:space="preserve"> </w:t>
      </w:r>
      <w:r w:rsidRPr="0061689A">
        <w:rPr>
          <w:rFonts w:ascii="Arial" w:hAnsi="Arial" w:cs="Arial"/>
          <w:sz w:val="22"/>
          <w:szCs w:val="22"/>
        </w:rPr>
        <w:t>If an Investigator determines a patient is at risk for severe neutropenia or febrile neutropenia, granulocyte-colony stimulating factor (G-CSF) may be used prophylactically beginning with the first cycle. Granulocyte colony stimulating factor (G-CSF) prophylactic use is recommended during subsequent treatment cycles in case of neutropenia lasting more than 7 days, febrile neutropenia, or documented infection with neutropenia</w:t>
      </w:r>
      <w:r w:rsidR="008533D3" w:rsidRPr="0061689A">
        <w:rPr>
          <w:rFonts w:ascii="Arial" w:hAnsi="Arial" w:cs="Arial"/>
          <w:sz w:val="22"/>
          <w:szCs w:val="22"/>
        </w:rPr>
        <w:t>.</w:t>
      </w:r>
    </w:p>
    <w:p w14:paraId="2B30160A" w14:textId="77777777" w:rsidR="00E86CE6" w:rsidRPr="008A515D" w:rsidRDefault="00E86CE6" w:rsidP="00E86CE6">
      <w:pPr>
        <w:pStyle w:val="alltext"/>
        <w:spacing w:before="0" w:beforeAutospacing="0" w:after="240" w:afterAutospacing="0"/>
        <w:jc w:val="both"/>
        <w:rPr>
          <w:rFonts w:ascii="Arial" w:hAnsi="Arial" w:cs="Arial"/>
          <w:color w:val="000000"/>
          <w:sz w:val="22"/>
          <w:szCs w:val="22"/>
        </w:rPr>
      </w:pPr>
      <w:r>
        <w:rPr>
          <w:rFonts w:ascii="Arial" w:hAnsi="Arial" w:cs="Arial"/>
          <w:color w:val="000000"/>
          <w:sz w:val="22"/>
          <w:szCs w:val="22"/>
        </w:rPr>
        <w:lastRenderedPageBreak/>
        <w:t>A</w:t>
      </w:r>
      <w:r w:rsidRPr="008A515D">
        <w:rPr>
          <w:rFonts w:ascii="Arial" w:hAnsi="Arial" w:cs="Arial"/>
          <w:color w:val="000000"/>
          <w:sz w:val="22"/>
          <w:szCs w:val="22"/>
        </w:rPr>
        <w:t xml:space="preserve">ssessments </w:t>
      </w:r>
      <w:r>
        <w:rPr>
          <w:rFonts w:ascii="Arial" w:hAnsi="Arial" w:cs="Arial"/>
          <w:color w:val="000000"/>
          <w:sz w:val="22"/>
          <w:szCs w:val="22"/>
        </w:rPr>
        <w:t xml:space="preserve">during treatment cycles should </w:t>
      </w:r>
      <w:r w:rsidRPr="008A515D">
        <w:rPr>
          <w:rFonts w:ascii="Arial" w:hAnsi="Arial" w:cs="Arial"/>
          <w:color w:val="000000"/>
          <w:sz w:val="22"/>
          <w:szCs w:val="22"/>
        </w:rPr>
        <w:t>evaluate peripheral blood cell counts on Day 1 and Day 15 of each cycle. If severe neutropenia (Grade 3 or 4) is found on any of these days, it is very likely that neutropenia has lasted more than 7 days and, therefore, the use of prophylactic G-CSF in subsequent cycles is recommended.</w:t>
      </w:r>
      <w:r>
        <w:rPr>
          <w:rFonts w:ascii="Arial" w:hAnsi="Arial" w:cs="Arial"/>
          <w:color w:val="000000"/>
          <w:sz w:val="22"/>
          <w:szCs w:val="22"/>
        </w:rPr>
        <w:t xml:space="preserve"> </w:t>
      </w:r>
    </w:p>
    <w:p w14:paraId="6ECA53F3" w14:textId="77777777" w:rsidR="005A2C67" w:rsidRPr="00FC20CF" w:rsidRDefault="005A2C67" w:rsidP="004E69CA">
      <w:pPr>
        <w:pStyle w:val="Heading3"/>
        <w:ind w:left="851" w:hanging="851"/>
        <w:rPr>
          <w:szCs w:val="24"/>
        </w:rPr>
      </w:pPr>
      <w:bookmarkStart w:id="436" w:name="_Toc471826785"/>
      <w:bookmarkStart w:id="437" w:name="_Toc528323551"/>
      <w:r w:rsidRPr="00FC20CF">
        <w:rPr>
          <w:szCs w:val="24"/>
        </w:rPr>
        <w:t>Severe or Complicated Neutropenia:</w:t>
      </w:r>
      <w:bookmarkEnd w:id="436"/>
      <w:bookmarkEnd w:id="437"/>
    </w:p>
    <w:p w14:paraId="630374B5" w14:textId="77777777" w:rsidR="005A2C67" w:rsidRDefault="005A2C67" w:rsidP="005A2C67">
      <w:p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For treatment of febrile neutropenia, guidance is provided below, or consider using widely used and accepted guidance such as: </w:t>
      </w:r>
    </w:p>
    <w:p w14:paraId="16A11F18" w14:textId="77777777" w:rsidR="005A2C67" w:rsidRDefault="005A2C67" w:rsidP="005A2C67">
      <w:pPr>
        <w:autoSpaceDE w:val="0"/>
        <w:autoSpaceDN w:val="0"/>
        <w:adjustRightInd w:val="0"/>
        <w:jc w:val="both"/>
        <w:rPr>
          <w:rFonts w:ascii="Arial" w:hAnsi="Arial" w:cs="Arial"/>
          <w:color w:val="000000"/>
          <w:sz w:val="22"/>
          <w:szCs w:val="22"/>
          <w:lang w:eastAsia="en-GB"/>
        </w:rPr>
      </w:pPr>
    </w:p>
    <w:p w14:paraId="3E329F4E" w14:textId="77777777" w:rsidR="005A2C67" w:rsidRPr="0061689A" w:rsidRDefault="005A2C67" w:rsidP="005A2C67">
      <w:pPr>
        <w:autoSpaceDE w:val="0"/>
        <w:autoSpaceDN w:val="0"/>
        <w:adjustRightInd w:val="0"/>
        <w:jc w:val="both"/>
        <w:rPr>
          <w:rFonts w:ascii="Arial" w:hAnsi="Arial" w:cs="Arial"/>
          <w:i/>
          <w:color w:val="000000"/>
          <w:sz w:val="22"/>
          <w:szCs w:val="22"/>
          <w:lang w:eastAsia="en-GB"/>
        </w:rPr>
      </w:pPr>
      <w:r w:rsidRPr="0061689A">
        <w:rPr>
          <w:rFonts w:ascii="Arial" w:hAnsi="Arial" w:cs="Arial"/>
          <w:i/>
          <w:color w:val="000000"/>
          <w:sz w:val="22"/>
          <w:szCs w:val="22"/>
          <w:lang w:eastAsia="en-GB"/>
        </w:rPr>
        <w:t xml:space="preserve">Management of Febrile Neutropenia: ESMO Clinical Practice Guidelines. De </w:t>
      </w:r>
      <w:proofErr w:type="spellStart"/>
      <w:r w:rsidRPr="0061689A">
        <w:rPr>
          <w:rFonts w:ascii="Arial" w:hAnsi="Arial" w:cs="Arial"/>
          <w:i/>
          <w:color w:val="000000"/>
          <w:sz w:val="22"/>
          <w:szCs w:val="22"/>
          <w:lang w:eastAsia="en-GB"/>
        </w:rPr>
        <w:t>Naurois</w:t>
      </w:r>
      <w:proofErr w:type="spellEnd"/>
      <w:r w:rsidRPr="0061689A">
        <w:rPr>
          <w:rFonts w:ascii="Arial" w:hAnsi="Arial" w:cs="Arial"/>
          <w:i/>
          <w:color w:val="000000"/>
          <w:sz w:val="22"/>
          <w:szCs w:val="22"/>
          <w:lang w:eastAsia="en-GB"/>
        </w:rPr>
        <w:t xml:space="preserve"> J, </w:t>
      </w:r>
      <w:proofErr w:type="spellStart"/>
      <w:r w:rsidRPr="0061689A">
        <w:rPr>
          <w:rFonts w:ascii="Arial" w:hAnsi="Arial" w:cs="Arial"/>
          <w:i/>
          <w:color w:val="000000"/>
          <w:sz w:val="22"/>
          <w:szCs w:val="22"/>
          <w:lang w:eastAsia="en-GB"/>
        </w:rPr>
        <w:t>Novitzky</w:t>
      </w:r>
      <w:proofErr w:type="spellEnd"/>
      <w:r w:rsidRPr="0061689A">
        <w:rPr>
          <w:rFonts w:ascii="Arial" w:hAnsi="Arial" w:cs="Arial"/>
          <w:i/>
          <w:color w:val="000000"/>
          <w:sz w:val="22"/>
          <w:szCs w:val="22"/>
          <w:lang w:eastAsia="en-GB"/>
        </w:rPr>
        <w:t xml:space="preserve">-Basso I, Gill MJ, Marti F, Cullen MH, and </w:t>
      </w:r>
      <w:proofErr w:type="spellStart"/>
      <w:r w:rsidRPr="0061689A">
        <w:rPr>
          <w:rFonts w:ascii="Arial" w:hAnsi="Arial" w:cs="Arial"/>
          <w:i/>
          <w:color w:val="000000"/>
          <w:sz w:val="22"/>
          <w:szCs w:val="22"/>
          <w:lang w:eastAsia="en-GB"/>
        </w:rPr>
        <w:t>Roila</w:t>
      </w:r>
      <w:proofErr w:type="spellEnd"/>
      <w:r w:rsidRPr="0061689A">
        <w:rPr>
          <w:rFonts w:ascii="Arial" w:hAnsi="Arial" w:cs="Arial"/>
          <w:i/>
          <w:color w:val="000000"/>
          <w:sz w:val="22"/>
          <w:szCs w:val="22"/>
          <w:lang w:eastAsia="en-GB"/>
        </w:rPr>
        <w:t xml:space="preserve"> F, on behalf of the ESMO Guidelines Working Group. Management of febrile neutropenia: ESMO Clinical Practice Guidelines. Annals of Oncology 21 (Supp 5): v252-256, 2010; NCCN Clinical Practice Guidelines in Oncology, Myeloid Growth Factors, Version 2.2013, </w:t>
      </w:r>
      <w:hyperlink r:id="rId30" w:history="1">
        <w:r w:rsidRPr="0061689A">
          <w:rPr>
            <w:rStyle w:val="Hyperlink"/>
            <w:rFonts w:ascii="Arial" w:hAnsi="Arial" w:cs="Arial"/>
            <w:i/>
            <w:sz w:val="22"/>
            <w:szCs w:val="22"/>
            <w:lang w:eastAsia="en-GB"/>
          </w:rPr>
          <w:t>www.nccn.org</w:t>
        </w:r>
      </w:hyperlink>
      <w:r w:rsidRPr="0061689A">
        <w:rPr>
          <w:rFonts w:ascii="Arial" w:hAnsi="Arial" w:cs="Arial"/>
          <w:i/>
          <w:color w:val="000000"/>
          <w:sz w:val="22"/>
          <w:szCs w:val="22"/>
          <w:lang w:eastAsia="en-GB"/>
        </w:rPr>
        <w:t xml:space="preserve">. </w:t>
      </w:r>
    </w:p>
    <w:p w14:paraId="37164708" w14:textId="77777777" w:rsidR="005A2C67" w:rsidRPr="0061689A" w:rsidRDefault="005A2C67" w:rsidP="005A2C67">
      <w:pPr>
        <w:autoSpaceDE w:val="0"/>
        <w:autoSpaceDN w:val="0"/>
        <w:adjustRightInd w:val="0"/>
        <w:jc w:val="both"/>
        <w:rPr>
          <w:rFonts w:ascii="Arial" w:hAnsi="Arial" w:cs="Arial"/>
          <w:color w:val="000000"/>
          <w:sz w:val="22"/>
          <w:szCs w:val="22"/>
          <w:lang w:eastAsia="en-GB"/>
        </w:rPr>
      </w:pPr>
    </w:p>
    <w:p w14:paraId="6CAFD39F" w14:textId="77777777" w:rsidR="005A2C67" w:rsidRDefault="005A2C67" w:rsidP="005A2C67">
      <w:pPr>
        <w:autoSpaceDE w:val="0"/>
        <w:autoSpaceDN w:val="0"/>
        <w:adjustRightInd w:val="0"/>
        <w:spacing w:after="69"/>
        <w:jc w:val="both"/>
        <w:rPr>
          <w:rFonts w:ascii="Arial" w:hAnsi="Arial" w:cs="Arial"/>
          <w:b/>
          <w:bCs/>
          <w:color w:val="000000"/>
          <w:sz w:val="22"/>
          <w:szCs w:val="22"/>
          <w:lang w:eastAsia="en-GB"/>
        </w:rPr>
      </w:pPr>
      <w:r w:rsidRPr="0061689A">
        <w:rPr>
          <w:rFonts w:ascii="Arial" w:hAnsi="Arial" w:cs="Arial"/>
          <w:color w:val="000000"/>
          <w:sz w:val="22"/>
          <w:szCs w:val="22"/>
          <w:lang w:eastAsia="en-GB"/>
        </w:rPr>
        <w:t xml:space="preserve">Occurrence of Grade 2, Grade 3, or Grade 4 neutropenia (ANC ≤1500/mm³) on </w:t>
      </w:r>
      <w:r>
        <w:rPr>
          <w:rFonts w:ascii="Arial" w:hAnsi="Arial" w:cs="Arial"/>
          <w:b/>
          <w:bCs/>
          <w:color w:val="000000"/>
          <w:sz w:val="22"/>
          <w:szCs w:val="22"/>
          <w:lang w:eastAsia="en-GB"/>
        </w:rPr>
        <w:t>Day 1 (any cycle)</w:t>
      </w:r>
    </w:p>
    <w:p w14:paraId="3056732C" w14:textId="77777777" w:rsidR="005A2C67" w:rsidRPr="0061689A" w:rsidRDefault="005A2C67"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61689A">
        <w:rPr>
          <w:rFonts w:ascii="Arial" w:hAnsi="Arial" w:cs="Arial"/>
          <w:color w:val="000000"/>
          <w:sz w:val="22"/>
          <w:szCs w:val="22"/>
          <w:lang w:eastAsia="en-GB"/>
        </w:rPr>
        <w:t>Delay ganetespib dosing until neutrophil recovery to at least Grade 1. Use of G-CSF is recommended. Re</w:t>
      </w:r>
      <w:r>
        <w:rPr>
          <w:rFonts w:ascii="Arial" w:hAnsi="Arial" w:cs="Arial"/>
          <w:color w:val="000000"/>
          <w:sz w:val="22"/>
          <w:szCs w:val="22"/>
          <w:lang w:eastAsia="en-GB"/>
        </w:rPr>
        <w:t>-</w:t>
      </w:r>
      <w:r w:rsidRPr="0061689A">
        <w:rPr>
          <w:rFonts w:ascii="Arial" w:hAnsi="Arial" w:cs="Arial"/>
          <w:color w:val="000000"/>
          <w:sz w:val="22"/>
          <w:szCs w:val="22"/>
          <w:lang w:eastAsia="en-GB"/>
        </w:rPr>
        <w:t xml:space="preserve">evaluate in 1 week. </w:t>
      </w:r>
    </w:p>
    <w:p w14:paraId="7F8D34EC" w14:textId="77777777" w:rsidR="005A2C67" w:rsidRPr="0061689A" w:rsidRDefault="005A2C67" w:rsidP="00D65DE2">
      <w:pPr>
        <w:numPr>
          <w:ilvl w:val="0"/>
          <w:numId w:val="35"/>
        </w:num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Use of prophylactic G-CSF in subsequent cycles is recommended. </w:t>
      </w:r>
    </w:p>
    <w:p w14:paraId="67344F0C" w14:textId="77777777" w:rsidR="005A2C67" w:rsidRPr="0061689A" w:rsidRDefault="005A2C67" w:rsidP="005A2C67">
      <w:pPr>
        <w:autoSpaceDE w:val="0"/>
        <w:autoSpaceDN w:val="0"/>
        <w:adjustRightInd w:val="0"/>
        <w:jc w:val="both"/>
        <w:rPr>
          <w:rFonts w:ascii="Arial" w:hAnsi="Arial" w:cs="Arial"/>
          <w:color w:val="000000"/>
          <w:sz w:val="22"/>
          <w:szCs w:val="22"/>
          <w:lang w:eastAsia="en-GB"/>
        </w:rPr>
      </w:pPr>
    </w:p>
    <w:p w14:paraId="5CC96F60" w14:textId="77777777" w:rsidR="005A2C67" w:rsidRDefault="005A2C67" w:rsidP="005A2C67">
      <w:p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Grade 2 and Grade 3 neutropenia (ANC 500 -</w:t>
      </w:r>
      <w:r>
        <w:rPr>
          <w:rFonts w:ascii="Arial" w:hAnsi="Arial" w:cs="Arial"/>
          <w:color w:val="000000"/>
          <w:sz w:val="22"/>
          <w:szCs w:val="22"/>
          <w:lang w:eastAsia="en-GB"/>
        </w:rPr>
        <w:t xml:space="preserve"> </w:t>
      </w:r>
      <w:r w:rsidRPr="0061689A">
        <w:rPr>
          <w:rFonts w:ascii="Arial" w:hAnsi="Arial" w:cs="Arial"/>
          <w:color w:val="000000"/>
          <w:sz w:val="22"/>
          <w:szCs w:val="22"/>
          <w:lang w:eastAsia="en-GB"/>
        </w:rPr>
        <w:t xml:space="preserve">1500/mm³) on </w:t>
      </w:r>
      <w:r>
        <w:rPr>
          <w:rFonts w:ascii="Arial" w:hAnsi="Arial" w:cs="Arial"/>
          <w:b/>
          <w:bCs/>
          <w:color w:val="000000"/>
          <w:sz w:val="22"/>
          <w:szCs w:val="22"/>
          <w:lang w:eastAsia="en-GB"/>
        </w:rPr>
        <w:t>Day 15 (any cycle)</w:t>
      </w:r>
      <w:r w:rsidRPr="0061689A">
        <w:rPr>
          <w:rFonts w:ascii="Arial" w:hAnsi="Arial" w:cs="Arial"/>
          <w:color w:val="000000"/>
          <w:sz w:val="22"/>
          <w:szCs w:val="22"/>
          <w:lang w:eastAsia="en-GB"/>
        </w:rPr>
        <w:t xml:space="preserve"> </w:t>
      </w:r>
    </w:p>
    <w:p w14:paraId="36C2A4EB" w14:textId="77777777" w:rsidR="005A2C67" w:rsidRPr="0061689A" w:rsidRDefault="005A2C67" w:rsidP="00D65DE2">
      <w:pPr>
        <w:numPr>
          <w:ilvl w:val="0"/>
          <w:numId w:val="35"/>
        </w:num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Administer ganetespib without delay or dose modification </w:t>
      </w:r>
    </w:p>
    <w:p w14:paraId="643DAC8D" w14:textId="77777777" w:rsidR="005A2C67" w:rsidRPr="0061689A" w:rsidRDefault="005A2C67" w:rsidP="005A2C67">
      <w:pPr>
        <w:autoSpaceDE w:val="0"/>
        <w:autoSpaceDN w:val="0"/>
        <w:adjustRightInd w:val="0"/>
        <w:jc w:val="both"/>
        <w:rPr>
          <w:rFonts w:ascii="Arial" w:hAnsi="Arial" w:cs="Arial"/>
          <w:color w:val="000000"/>
          <w:sz w:val="22"/>
          <w:szCs w:val="22"/>
          <w:lang w:eastAsia="en-GB"/>
        </w:rPr>
      </w:pPr>
    </w:p>
    <w:p w14:paraId="2D118D9E" w14:textId="77777777" w:rsidR="005A2C67" w:rsidRDefault="005A2C67" w:rsidP="005A2C67">
      <w:p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Occurrence of Grade 4 neutropenia (ANC&lt;500/mm³) on </w:t>
      </w:r>
      <w:r w:rsidRPr="0061689A">
        <w:rPr>
          <w:rFonts w:ascii="Arial" w:hAnsi="Arial" w:cs="Arial"/>
          <w:b/>
          <w:bCs/>
          <w:color w:val="000000"/>
          <w:sz w:val="22"/>
          <w:szCs w:val="22"/>
          <w:lang w:eastAsia="en-GB"/>
        </w:rPr>
        <w:t xml:space="preserve">Day 15 (any cycle) </w:t>
      </w:r>
      <w:r w:rsidRPr="0061689A">
        <w:rPr>
          <w:rFonts w:ascii="Arial" w:hAnsi="Arial" w:cs="Arial"/>
          <w:color w:val="000000"/>
          <w:sz w:val="22"/>
          <w:szCs w:val="22"/>
          <w:lang w:eastAsia="en-GB"/>
        </w:rPr>
        <w:t>or febrile neutropenia defined as follows: neutropenia: ANC&lt;1000/mm3 with a single temperature of &gt;38.3°C (101°F) or a sustained temperature of ≥38°C (100.4°F) for more than 1 hour. Grade 4 febrile neutropenia: Life-threatening consequences; u</w:t>
      </w:r>
      <w:r>
        <w:rPr>
          <w:rFonts w:ascii="Arial" w:hAnsi="Arial" w:cs="Arial"/>
          <w:color w:val="000000"/>
          <w:sz w:val="22"/>
          <w:szCs w:val="22"/>
          <w:lang w:eastAsia="en-GB"/>
        </w:rPr>
        <w:t xml:space="preserve">rgent intervention indicated. </w:t>
      </w:r>
    </w:p>
    <w:p w14:paraId="1572AB8F" w14:textId="77777777" w:rsidR="005A2C67" w:rsidRDefault="005A2C67" w:rsidP="00D65DE2">
      <w:pPr>
        <w:numPr>
          <w:ilvl w:val="0"/>
          <w:numId w:val="49"/>
        </w:num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Delay ganetespib dosing until neutrophil recovery to at least Grade 3. Use of G-CSF on Day 15 is recommended, followed by re-evaluation in 2-3 days. If neutropenia improves to ≤Grade 3, administer ganetespib as delayed Day 15 dose. If neutropenia is still Grade 4, skip ganetespib Day 15 dose. </w:t>
      </w:r>
    </w:p>
    <w:p w14:paraId="6B2C5986" w14:textId="77777777" w:rsidR="005A2C67" w:rsidRDefault="005A2C67" w:rsidP="005A2C67">
      <w:pPr>
        <w:autoSpaceDE w:val="0"/>
        <w:autoSpaceDN w:val="0"/>
        <w:adjustRightInd w:val="0"/>
        <w:ind w:left="720"/>
        <w:jc w:val="both"/>
        <w:rPr>
          <w:rFonts w:ascii="Arial" w:hAnsi="Arial" w:cs="Arial"/>
          <w:color w:val="000000"/>
          <w:sz w:val="22"/>
          <w:szCs w:val="22"/>
          <w:lang w:eastAsia="en-GB"/>
        </w:rPr>
      </w:pPr>
    </w:p>
    <w:p w14:paraId="1F735BF3" w14:textId="77777777" w:rsidR="005A2C67" w:rsidRPr="005A2C67" w:rsidRDefault="005A2C67" w:rsidP="005A2C67">
      <w:pPr>
        <w:autoSpaceDE w:val="0"/>
        <w:autoSpaceDN w:val="0"/>
        <w:adjustRightInd w:val="0"/>
        <w:jc w:val="both"/>
        <w:rPr>
          <w:rFonts w:ascii="Arial" w:hAnsi="Arial" w:cs="Arial"/>
          <w:color w:val="000000"/>
          <w:sz w:val="22"/>
          <w:szCs w:val="22"/>
          <w:lang w:eastAsia="en-GB"/>
        </w:rPr>
      </w:pPr>
      <w:r w:rsidRPr="005A2C67">
        <w:rPr>
          <w:rFonts w:ascii="Arial" w:hAnsi="Arial" w:cs="Arial"/>
          <w:color w:val="000000"/>
          <w:sz w:val="22"/>
          <w:szCs w:val="22"/>
          <w:lang w:eastAsia="en-GB"/>
        </w:rPr>
        <w:t xml:space="preserve">If necessary, delay the start of the next treatment cycle by up to 3 days </w:t>
      </w:r>
    </w:p>
    <w:p w14:paraId="279B2CE8" w14:textId="77777777" w:rsidR="005A2C67" w:rsidRPr="0061689A" w:rsidRDefault="005A2C67" w:rsidP="005A2C67">
      <w:pPr>
        <w:autoSpaceDE w:val="0"/>
        <w:autoSpaceDN w:val="0"/>
        <w:adjustRightInd w:val="0"/>
        <w:jc w:val="both"/>
        <w:rPr>
          <w:rFonts w:ascii="Arial" w:hAnsi="Arial" w:cs="Arial"/>
          <w:color w:val="000000"/>
          <w:sz w:val="22"/>
          <w:szCs w:val="22"/>
          <w:lang w:eastAsia="en-GB"/>
        </w:rPr>
      </w:pPr>
      <w:r w:rsidRPr="0061689A">
        <w:rPr>
          <w:rFonts w:ascii="Arial" w:hAnsi="Arial" w:cs="Arial"/>
          <w:color w:val="000000"/>
          <w:sz w:val="22"/>
          <w:szCs w:val="22"/>
          <w:lang w:eastAsia="en-GB"/>
        </w:rPr>
        <w:t xml:space="preserve">Use of prophylactic G-CSF in subsequent cycles is recommended. </w:t>
      </w:r>
    </w:p>
    <w:p w14:paraId="07167988" w14:textId="77777777" w:rsidR="00DA67E8" w:rsidRPr="00FC20CF" w:rsidRDefault="00DA67E8" w:rsidP="00FC20CF">
      <w:pPr>
        <w:pStyle w:val="Heading3"/>
        <w:ind w:left="851" w:right="-143" w:hanging="851"/>
        <w:rPr>
          <w:szCs w:val="24"/>
        </w:rPr>
      </w:pPr>
      <w:bookmarkStart w:id="438" w:name="_Toc308171510"/>
      <w:bookmarkStart w:id="439" w:name="_Toc471826786"/>
      <w:bookmarkStart w:id="440" w:name="_Toc528323552"/>
      <w:r w:rsidRPr="00FC20CF">
        <w:rPr>
          <w:szCs w:val="24"/>
        </w:rPr>
        <w:t>Ganetespib Premedication and Management of Hypersensitivity Reactions</w:t>
      </w:r>
      <w:bookmarkEnd w:id="438"/>
      <w:bookmarkEnd w:id="439"/>
      <w:bookmarkEnd w:id="440"/>
    </w:p>
    <w:p w14:paraId="04410132" w14:textId="77777777" w:rsidR="00E86CE6" w:rsidRPr="008568DE" w:rsidRDefault="00E86CE6" w:rsidP="008568DE">
      <w:pPr>
        <w:autoSpaceDE w:val="0"/>
        <w:autoSpaceDN w:val="0"/>
        <w:adjustRightInd w:val="0"/>
        <w:jc w:val="both"/>
        <w:rPr>
          <w:rFonts w:ascii="Arial" w:hAnsi="Arial" w:cs="Arial"/>
          <w:color w:val="000000"/>
          <w:sz w:val="22"/>
          <w:szCs w:val="22"/>
          <w:lang w:eastAsia="en-GB"/>
        </w:rPr>
      </w:pPr>
      <w:r w:rsidRPr="008568DE">
        <w:rPr>
          <w:rFonts w:ascii="Arial" w:hAnsi="Arial" w:cs="Arial"/>
          <w:color w:val="000000"/>
          <w:sz w:val="22"/>
          <w:szCs w:val="22"/>
          <w:lang w:eastAsia="en-GB"/>
        </w:rPr>
        <w:t xml:space="preserve">The use of the 3-day corticosteroid premedication regimen is strongly recommended for all patients </w:t>
      </w:r>
    </w:p>
    <w:p w14:paraId="4CD783C6" w14:textId="77777777" w:rsidR="00DA67E8" w:rsidRPr="008568DE" w:rsidRDefault="00DA67E8" w:rsidP="008568DE">
      <w:pPr>
        <w:autoSpaceDE w:val="0"/>
        <w:autoSpaceDN w:val="0"/>
        <w:adjustRightInd w:val="0"/>
        <w:jc w:val="both"/>
        <w:rPr>
          <w:rFonts w:ascii="Arial" w:hAnsi="Arial" w:cs="Arial"/>
          <w:color w:val="000000"/>
          <w:sz w:val="22"/>
          <w:szCs w:val="22"/>
          <w:lang w:eastAsia="en-GB"/>
        </w:rPr>
      </w:pPr>
      <w:r w:rsidRPr="008568DE">
        <w:rPr>
          <w:rFonts w:ascii="Arial" w:hAnsi="Arial" w:cs="Arial"/>
          <w:color w:val="000000"/>
          <w:sz w:val="22"/>
          <w:szCs w:val="22"/>
          <w:lang w:eastAsia="en-GB"/>
        </w:rPr>
        <w:t xml:space="preserve">Generally, ganetespib does not require premedication for hypersensitivity reactions.  However, ganetespib contains a surfactant (polysorbate 80) that has been associated with hypersensitivity reactions in other medications administered by infusion.  Symptoms have included pruritus, flushing, shortness of breath, chest tightness, dizziness, headache, increased systolic blood pressure and heart rate. </w:t>
      </w:r>
    </w:p>
    <w:p w14:paraId="02E72E02" w14:textId="77777777" w:rsidR="00DA67E8" w:rsidRPr="008568DE" w:rsidRDefault="00DA67E8" w:rsidP="008568DE">
      <w:pPr>
        <w:autoSpaceDE w:val="0"/>
        <w:autoSpaceDN w:val="0"/>
        <w:adjustRightInd w:val="0"/>
        <w:jc w:val="both"/>
        <w:rPr>
          <w:rFonts w:ascii="Arial" w:hAnsi="Arial" w:cs="Arial"/>
          <w:color w:val="000000"/>
          <w:sz w:val="22"/>
          <w:szCs w:val="22"/>
          <w:lang w:eastAsia="en-GB"/>
        </w:rPr>
      </w:pPr>
      <w:r w:rsidRPr="008568DE">
        <w:rPr>
          <w:rFonts w:ascii="Arial" w:hAnsi="Arial" w:cs="Arial"/>
          <w:color w:val="000000"/>
          <w:sz w:val="22"/>
          <w:szCs w:val="22"/>
          <w:lang w:eastAsia="en-GB"/>
        </w:rPr>
        <w:t xml:space="preserve">If an infusion reaction is suspected, the following is provided as guidance only; treatment should be based on clinical presentation.  Institution specific premedication and/or treatment procedures and regimens may also be appropriate in lieu of these guidelines: </w:t>
      </w:r>
    </w:p>
    <w:p w14:paraId="79DCA57D" w14:textId="77777777" w:rsidR="00DA67E8" w:rsidRPr="008568DE" w:rsidRDefault="00DA67E8" w:rsidP="00F62DC2">
      <w:pPr>
        <w:pStyle w:val="C-BodyText"/>
        <w:jc w:val="both"/>
        <w:rPr>
          <w:rFonts w:ascii="Arial" w:hAnsi="Arial" w:cs="Arial"/>
        </w:rPr>
      </w:pPr>
      <w:r w:rsidRPr="008568DE">
        <w:rPr>
          <w:rFonts w:ascii="Arial" w:hAnsi="Arial" w:cs="Arial"/>
          <w:b/>
        </w:rPr>
        <w:t>Mild or moderate symptoms</w:t>
      </w:r>
      <w:r w:rsidRPr="008568DE">
        <w:rPr>
          <w:rFonts w:ascii="Arial" w:hAnsi="Arial" w:cs="Arial"/>
        </w:rPr>
        <w:t xml:space="preserve">:  </w:t>
      </w:r>
    </w:p>
    <w:p w14:paraId="20C5B768" w14:textId="77777777" w:rsidR="00DA67E8" w:rsidRPr="008568DE" w:rsidRDefault="00DA67E8"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8568DE">
        <w:rPr>
          <w:rFonts w:ascii="Arial" w:hAnsi="Arial" w:cs="Arial"/>
          <w:color w:val="000000"/>
          <w:sz w:val="22"/>
          <w:szCs w:val="22"/>
          <w:lang w:eastAsia="en-GB"/>
        </w:rPr>
        <w:t xml:space="preserve">Stop ganetespib administration </w:t>
      </w:r>
    </w:p>
    <w:p w14:paraId="5C19D916" w14:textId="77777777" w:rsidR="00DA67E8" w:rsidRPr="008568DE" w:rsidRDefault="00DA67E8"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8568DE">
        <w:rPr>
          <w:rFonts w:ascii="Arial" w:hAnsi="Arial" w:cs="Arial"/>
          <w:color w:val="000000"/>
          <w:sz w:val="22"/>
          <w:szCs w:val="22"/>
          <w:lang w:eastAsia="en-GB"/>
        </w:rPr>
        <w:lastRenderedPageBreak/>
        <w:t xml:space="preserve">Give IV dexamethasone and </w:t>
      </w:r>
      <w:r w:rsidR="00254AA0" w:rsidRPr="008568DE">
        <w:rPr>
          <w:rFonts w:ascii="Arial" w:hAnsi="Arial" w:cs="Arial"/>
          <w:color w:val="000000"/>
          <w:sz w:val="22"/>
          <w:szCs w:val="22"/>
          <w:lang w:eastAsia="en-GB"/>
        </w:rPr>
        <w:t>chlorphenamine/</w:t>
      </w:r>
      <w:r w:rsidRPr="008568DE">
        <w:rPr>
          <w:rFonts w:ascii="Arial" w:hAnsi="Arial" w:cs="Arial"/>
          <w:color w:val="000000"/>
          <w:sz w:val="22"/>
          <w:szCs w:val="22"/>
          <w:lang w:eastAsia="en-GB"/>
        </w:rPr>
        <w:t xml:space="preserve">diphenhydramine HCl </w:t>
      </w:r>
      <w:r w:rsidR="00E86CE6" w:rsidRPr="008568DE">
        <w:rPr>
          <w:rFonts w:ascii="Arial" w:hAnsi="Arial" w:cs="Arial"/>
          <w:color w:val="000000"/>
          <w:sz w:val="22"/>
          <w:szCs w:val="22"/>
          <w:lang w:eastAsia="en-GB"/>
        </w:rPr>
        <w:t xml:space="preserve">or therapeutic equivalent </w:t>
      </w:r>
    </w:p>
    <w:p w14:paraId="66AA05B2" w14:textId="77777777" w:rsidR="002025D0" w:rsidRDefault="00E86CE6"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8568DE">
        <w:rPr>
          <w:rFonts w:ascii="Arial" w:hAnsi="Arial" w:cs="Arial"/>
          <w:color w:val="000000"/>
          <w:sz w:val="22"/>
          <w:szCs w:val="22"/>
          <w:lang w:eastAsia="en-GB"/>
        </w:rPr>
        <w:t>After recovery from symptoms, resume ganetespib infusion; a reduced flow rate may be considered</w:t>
      </w:r>
      <w:r w:rsidRPr="008568DE" w:rsidDel="00E86CE6">
        <w:rPr>
          <w:rFonts w:ascii="Arial" w:hAnsi="Arial" w:cs="Arial"/>
          <w:color w:val="000000"/>
          <w:sz w:val="22"/>
          <w:szCs w:val="22"/>
          <w:lang w:eastAsia="en-GB"/>
        </w:rPr>
        <w:t xml:space="preserve"> </w:t>
      </w:r>
    </w:p>
    <w:p w14:paraId="23A95C4D" w14:textId="77777777" w:rsidR="00D65C3A" w:rsidRPr="00D65C3A" w:rsidRDefault="00D65C3A" w:rsidP="00D65C3A">
      <w:pPr>
        <w:numPr>
          <w:ilvl w:val="0"/>
          <w:numId w:val="35"/>
        </w:numPr>
        <w:autoSpaceDE w:val="0"/>
        <w:autoSpaceDN w:val="0"/>
        <w:adjustRightInd w:val="0"/>
        <w:spacing w:after="69"/>
        <w:jc w:val="both"/>
        <w:rPr>
          <w:rFonts w:ascii="Arial" w:hAnsi="Arial" w:cs="Arial"/>
          <w:color w:val="000000"/>
          <w:sz w:val="22"/>
          <w:szCs w:val="22"/>
          <w:lang w:eastAsia="en-GB"/>
        </w:rPr>
      </w:pPr>
      <w:r w:rsidRPr="00D65C3A">
        <w:rPr>
          <w:rFonts w:ascii="Arial" w:hAnsi="Arial" w:cs="Arial"/>
          <w:color w:val="000000"/>
          <w:sz w:val="22"/>
          <w:szCs w:val="22"/>
          <w:lang w:eastAsia="en-GB"/>
        </w:rPr>
        <w:t>In subsequent cycles, consider optimi</w:t>
      </w:r>
      <w:r>
        <w:rPr>
          <w:rFonts w:ascii="Arial" w:hAnsi="Arial" w:cs="Arial"/>
          <w:color w:val="000000"/>
          <w:sz w:val="22"/>
          <w:szCs w:val="22"/>
          <w:lang w:eastAsia="en-GB"/>
        </w:rPr>
        <w:t>s</w:t>
      </w:r>
      <w:r w:rsidRPr="00D65C3A">
        <w:rPr>
          <w:rFonts w:ascii="Arial" w:hAnsi="Arial" w:cs="Arial"/>
          <w:color w:val="000000"/>
          <w:sz w:val="22"/>
          <w:szCs w:val="22"/>
          <w:lang w:eastAsia="en-GB"/>
        </w:rPr>
        <w:t>ing the premedication regimen (</w:t>
      </w:r>
      <w:proofErr w:type="spellStart"/>
      <w:r w:rsidRPr="00D65C3A">
        <w:rPr>
          <w:rFonts w:ascii="Arial" w:hAnsi="Arial" w:cs="Arial"/>
          <w:color w:val="000000"/>
          <w:sz w:val="22"/>
          <w:szCs w:val="22"/>
          <w:lang w:eastAsia="en-GB"/>
        </w:rPr>
        <w:t>e</w:t>
      </w:r>
      <w:r>
        <w:rPr>
          <w:rFonts w:ascii="Arial" w:hAnsi="Arial" w:cs="Arial"/>
          <w:color w:val="000000"/>
          <w:sz w:val="22"/>
          <w:szCs w:val="22"/>
          <w:lang w:eastAsia="en-GB"/>
        </w:rPr>
        <w:t>.</w:t>
      </w:r>
      <w:r w:rsidRPr="00D65C3A">
        <w:rPr>
          <w:rFonts w:ascii="Arial" w:hAnsi="Arial" w:cs="Arial"/>
          <w:color w:val="000000"/>
          <w:sz w:val="22"/>
          <w:szCs w:val="22"/>
          <w:lang w:eastAsia="en-GB"/>
        </w:rPr>
        <w:t>g</w:t>
      </w:r>
      <w:proofErr w:type="spellEnd"/>
      <w:r w:rsidRPr="00D65C3A">
        <w:rPr>
          <w:rFonts w:ascii="Arial" w:hAnsi="Arial" w:cs="Arial"/>
          <w:color w:val="000000"/>
          <w:sz w:val="22"/>
          <w:szCs w:val="22"/>
          <w:lang w:eastAsia="en-GB"/>
        </w:rPr>
        <w:t>, begin</w:t>
      </w:r>
      <w:r>
        <w:rPr>
          <w:rFonts w:ascii="Arial" w:hAnsi="Arial" w:cs="Arial"/>
          <w:color w:val="000000"/>
          <w:sz w:val="22"/>
          <w:szCs w:val="22"/>
          <w:lang w:eastAsia="en-GB"/>
        </w:rPr>
        <w:t xml:space="preserve"> </w:t>
      </w:r>
      <w:r w:rsidRPr="00D65C3A">
        <w:rPr>
          <w:rFonts w:ascii="Arial" w:hAnsi="Arial" w:cs="Arial"/>
          <w:color w:val="000000"/>
          <w:sz w:val="22"/>
          <w:szCs w:val="22"/>
          <w:lang w:eastAsia="en-GB"/>
        </w:rPr>
        <w:t>steroids the day before infusion or increase the dose of steroids)</w:t>
      </w:r>
    </w:p>
    <w:p w14:paraId="3346B942" w14:textId="77777777" w:rsidR="008568DE" w:rsidRPr="008568DE" w:rsidRDefault="008568DE" w:rsidP="008568DE">
      <w:pPr>
        <w:autoSpaceDE w:val="0"/>
        <w:autoSpaceDN w:val="0"/>
        <w:adjustRightInd w:val="0"/>
        <w:spacing w:after="69"/>
        <w:ind w:left="780"/>
        <w:jc w:val="both"/>
        <w:rPr>
          <w:rFonts w:ascii="Arial" w:hAnsi="Arial" w:cs="Arial"/>
          <w:color w:val="000000"/>
          <w:sz w:val="22"/>
          <w:szCs w:val="22"/>
          <w:lang w:eastAsia="en-GB"/>
        </w:rPr>
      </w:pPr>
    </w:p>
    <w:p w14:paraId="3B3DF729" w14:textId="77777777" w:rsidR="00DA67E8" w:rsidRDefault="00DA67E8" w:rsidP="008568DE">
      <w:pPr>
        <w:autoSpaceDE w:val="0"/>
        <w:autoSpaceDN w:val="0"/>
        <w:adjustRightInd w:val="0"/>
        <w:jc w:val="both"/>
        <w:rPr>
          <w:rFonts w:ascii="Arial" w:hAnsi="Arial" w:cs="Arial"/>
          <w:color w:val="000000"/>
          <w:sz w:val="22"/>
          <w:szCs w:val="22"/>
          <w:lang w:eastAsia="en-GB"/>
        </w:rPr>
      </w:pPr>
      <w:r w:rsidRPr="008568DE">
        <w:rPr>
          <w:rFonts w:ascii="Arial" w:hAnsi="Arial" w:cs="Arial"/>
          <w:b/>
          <w:color w:val="000000"/>
          <w:sz w:val="22"/>
          <w:szCs w:val="22"/>
          <w:lang w:eastAsia="en-GB"/>
        </w:rPr>
        <w:t>Severe symptoms</w:t>
      </w:r>
      <w:r w:rsidRPr="008568DE">
        <w:rPr>
          <w:rFonts w:ascii="Arial" w:hAnsi="Arial" w:cs="Arial"/>
          <w:color w:val="000000"/>
          <w:sz w:val="22"/>
          <w:szCs w:val="22"/>
          <w:lang w:eastAsia="en-GB"/>
        </w:rPr>
        <w:t xml:space="preserve"> (such as hypotension requiring pressor therapy or IV fluids, angioedema, respiratory distress requiring bron</w:t>
      </w:r>
      <w:r w:rsidR="003220D2" w:rsidRPr="008568DE">
        <w:rPr>
          <w:rFonts w:ascii="Arial" w:hAnsi="Arial" w:cs="Arial"/>
          <w:color w:val="000000"/>
          <w:sz w:val="22"/>
          <w:szCs w:val="22"/>
          <w:lang w:eastAsia="en-GB"/>
        </w:rPr>
        <w:t>chodilator therapy, or generalis</w:t>
      </w:r>
      <w:r w:rsidRPr="008568DE">
        <w:rPr>
          <w:rFonts w:ascii="Arial" w:hAnsi="Arial" w:cs="Arial"/>
          <w:color w:val="000000"/>
          <w:sz w:val="22"/>
          <w:szCs w:val="22"/>
          <w:lang w:eastAsia="en-GB"/>
        </w:rPr>
        <w:t>ed urticaria):</w:t>
      </w:r>
    </w:p>
    <w:p w14:paraId="533FC619" w14:textId="77777777" w:rsidR="008568DE" w:rsidRPr="008568DE" w:rsidRDefault="008568DE" w:rsidP="008568DE">
      <w:pPr>
        <w:autoSpaceDE w:val="0"/>
        <w:autoSpaceDN w:val="0"/>
        <w:adjustRightInd w:val="0"/>
        <w:jc w:val="both"/>
        <w:rPr>
          <w:rFonts w:ascii="Arial" w:hAnsi="Arial" w:cs="Arial"/>
          <w:color w:val="000000"/>
          <w:sz w:val="22"/>
          <w:szCs w:val="22"/>
          <w:lang w:eastAsia="en-GB"/>
        </w:rPr>
      </w:pPr>
    </w:p>
    <w:p w14:paraId="509F7DA1" w14:textId="77777777" w:rsidR="00DA67E8" w:rsidRPr="008568DE" w:rsidRDefault="00DA67E8"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8568DE">
        <w:rPr>
          <w:rFonts w:ascii="Arial" w:hAnsi="Arial" w:cs="Arial"/>
          <w:color w:val="000000"/>
          <w:sz w:val="22"/>
          <w:szCs w:val="22"/>
          <w:lang w:eastAsia="en-GB"/>
        </w:rPr>
        <w:t xml:space="preserve">Stop ganetespib administration </w:t>
      </w:r>
    </w:p>
    <w:p w14:paraId="11A36D72" w14:textId="77777777" w:rsidR="002025D0" w:rsidRPr="008568DE" w:rsidRDefault="00DA67E8"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8568DE">
        <w:rPr>
          <w:rFonts w:ascii="Arial" w:hAnsi="Arial" w:cs="Arial"/>
          <w:color w:val="000000"/>
          <w:sz w:val="22"/>
          <w:szCs w:val="22"/>
          <w:lang w:eastAsia="en-GB"/>
        </w:rPr>
        <w:t xml:space="preserve">Give IV dexamethasone and </w:t>
      </w:r>
      <w:r w:rsidR="00254AA0" w:rsidRPr="008568DE">
        <w:rPr>
          <w:rFonts w:ascii="Arial" w:hAnsi="Arial" w:cs="Arial"/>
          <w:color w:val="000000"/>
          <w:sz w:val="22"/>
          <w:szCs w:val="22"/>
          <w:lang w:eastAsia="en-GB"/>
        </w:rPr>
        <w:t>chlorphenamine/</w:t>
      </w:r>
      <w:r w:rsidRPr="008568DE">
        <w:rPr>
          <w:rFonts w:ascii="Arial" w:hAnsi="Arial" w:cs="Arial"/>
          <w:color w:val="000000"/>
          <w:sz w:val="22"/>
          <w:szCs w:val="22"/>
          <w:lang w:eastAsia="en-GB"/>
        </w:rPr>
        <w:t xml:space="preserve">diphenhydramine HCl </w:t>
      </w:r>
      <w:r w:rsidR="00E86CE6" w:rsidRPr="008568DE">
        <w:rPr>
          <w:rFonts w:ascii="Arial" w:hAnsi="Arial" w:cs="Arial"/>
          <w:color w:val="000000"/>
          <w:sz w:val="22"/>
          <w:szCs w:val="22"/>
          <w:lang w:eastAsia="en-GB"/>
        </w:rPr>
        <w:t xml:space="preserve">or therapeutic equivalent </w:t>
      </w:r>
    </w:p>
    <w:p w14:paraId="45AA6DBA" w14:textId="77777777" w:rsidR="00DA67E8" w:rsidRPr="008568DE" w:rsidRDefault="00DA67E8"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8568DE">
        <w:rPr>
          <w:rFonts w:ascii="Arial" w:hAnsi="Arial" w:cs="Arial"/>
          <w:color w:val="000000"/>
          <w:sz w:val="22"/>
          <w:szCs w:val="22"/>
          <w:lang w:eastAsia="en-GB"/>
        </w:rPr>
        <w:t xml:space="preserve">Add adrenaline (1:1000) or bronchodilators as indicated </w:t>
      </w:r>
    </w:p>
    <w:p w14:paraId="36406511" w14:textId="77777777" w:rsidR="00E86CE6" w:rsidRDefault="00E86CE6"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527310">
        <w:rPr>
          <w:rFonts w:ascii="Arial" w:hAnsi="Arial" w:cs="Arial"/>
          <w:color w:val="000000"/>
          <w:sz w:val="22"/>
          <w:szCs w:val="22"/>
          <w:lang w:eastAsia="en-GB"/>
        </w:rPr>
        <w:t xml:space="preserve">Reschedule dose administration for the following day </w:t>
      </w:r>
    </w:p>
    <w:p w14:paraId="5F72179D" w14:textId="77777777" w:rsidR="00E86CE6" w:rsidRPr="00E86CE6" w:rsidRDefault="00E86CE6" w:rsidP="00D65DE2">
      <w:pPr>
        <w:numPr>
          <w:ilvl w:val="0"/>
          <w:numId w:val="35"/>
        </w:numPr>
        <w:autoSpaceDE w:val="0"/>
        <w:autoSpaceDN w:val="0"/>
        <w:adjustRightInd w:val="0"/>
        <w:spacing w:after="69"/>
        <w:jc w:val="both"/>
        <w:rPr>
          <w:rFonts w:ascii="Arial" w:hAnsi="Arial" w:cs="Arial"/>
          <w:color w:val="000000"/>
          <w:sz w:val="22"/>
          <w:szCs w:val="22"/>
          <w:lang w:eastAsia="en-GB"/>
        </w:rPr>
      </w:pPr>
      <w:r w:rsidRPr="00527310">
        <w:rPr>
          <w:rFonts w:ascii="Arial" w:hAnsi="Arial" w:cs="Arial"/>
          <w:color w:val="000000"/>
          <w:sz w:val="22"/>
          <w:szCs w:val="22"/>
          <w:lang w:eastAsia="en-GB"/>
        </w:rPr>
        <w:t xml:space="preserve">In subsequent cycles, </w:t>
      </w:r>
      <w:r>
        <w:rPr>
          <w:rFonts w:ascii="Arial" w:hAnsi="Arial" w:cs="Arial"/>
          <w:color w:val="000000"/>
          <w:sz w:val="22"/>
          <w:szCs w:val="22"/>
          <w:lang w:eastAsia="en-GB"/>
        </w:rPr>
        <w:t>optimis</w:t>
      </w:r>
      <w:r w:rsidRPr="00527310">
        <w:rPr>
          <w:rFonts w:ascii="Arial" w:hAnsi="Arial" w:cs="Arial"/>
          <w:color w:val="000000"/>
          <w:sz w:val="22"/>
          <w:szCs w:val="22"/>
          <w:lang w:eastAsia="en-GB"/>
        </w:rPr>
        <w:t>e the premedication regimen (</w:t>
      </w:r>
      <w:r w:rsidR="008533D3" w:rsidRPr="00527310">
        <w:rPr>
          <w:rFonts w:ascii="Arial" w:hAnsi="Arial" w:cs="Arial"/>
          <w:color w:val="000000"/>
          <w:sz w:val="22"/>
          <w:szCs w:val="22"/>
          <w:lang w:eastAsia="en-GB"/>
        </w:rPr>
        <w:t>e.g.</w:t>
      </w:r>
      <w:r w:rsidRPr="00527310">
        <w:rPr>
          <w:rFonts w:ascii="Arial" w:hAnsi="Arial" w:cs="Arial"/>
          <w:color w:val="000000"/>
          <w:sz w:val="22"/>
          <w:szCs w:val="22"/>
          <w:lang w:eastAsia="en-GB"/>
        </w:rPr>
        <w:t>, begin steroids the day before infusion or increase the dose of steroids) and reduce the flow rate of the ganetespib infusion</w:t>
      </w:r>
    </w:p>
    <w:p w14:paraId="3700C517" w14:textId="77777777" w:rsidR="008568DE" w:rsidRDefault="008568DE" w:rsidP="008568DE">
      <w:pPr>
        <w:autoSpaceDE w:val="0"/>
        <w:autoSpaceDN w:val="0"/>
        <w:adjustRightInd w:val="0"/>
        <w:jc w:val="both"/>
        <w:rPr>
          <w:rFonts w:ascii="Arial" w:hAnsi="Arial" w:cs="Arial"/>
          <w:color w:val="000000"/>
          <w:sz w:val="22"/>
          <w:szCs w:val="22"/>
          <w:lang w:eastAsia="en-GB"/>
        </w:rPr>
      </w:pPr>
    </w:p>
    <w:p w14:paraId="3395E224" w14:textId="77777777" w:rsidR="00DA67E8" w:rsidRPr="008568DE" w:rsidRDefault="00DA67E8" w:rsidP="008568DE">
      <w:pPr>
        <w:autoSpaceDE w:val="0"/>
        <w:autoSpaceDN w:val="0"/>
        <w:adjustRightInd w:val="0"/>
        <w:jc w:val="both"/>
        <w:rPr>
          <w:rFonts w:ascii="Arial" w:hAnsi="Arial" w:cs="Arial"/>
          <w:color w:val="000000"/>
          <w:sz w:val="22"/>
          <w:szCs w:val="22"/>
          <w:lang w:eastAsia="en-GB"/>
        </w:rPr>
      </w:pPr>
      <w:r w:rsidRPr="008568DE">
        <w:rPr>
          <w:rFonts w:ascii="Arial" w:hAnsi="Arial" w:cs="Arial"/>
          <w:color w:val="000000"/>
          <w:sz w:val="22"/>
          <w:szCs w:val="22"/>
          <w:lang w:eastAsia="en-GB"/>
        </w:rPr>
        <w:t xml:space="preserve">If severe symptoms recur with </w:t>
      </w:r>
      <w:r w:rsidR="00035DF3" w:rsidRPr="008568DE">
        <w:rPr>
          <w:rFonts w:ascii="Arial" w:hAnsi="Arial" w:cs="Arial"/>
          <w:color w:val="000000"/>
          <w:sz w:val="22"/>
          <w:szCs w:val="22"/>
          <w:lang w:eastAsia="en-GB"/>
        </w:rPr>
        <w:t xml:space="preserve">optimal </w:t>
      </w:r>
      <w:r w:rsidRPr="008568DE">
        <w:rPr>
          <w:rFonts w:ascii="Arial" w:hAnsi="Arial" w:cs="Arial"/>
          <w:color w:val="000000"/>
          <w:sz w:val="22"/>
          <w:szCs w:val="22"/>
          <w:lang w:eastAsia="en-GB"/>
        </w:rPr>
        <w:t xml:space="preserve">premedication, treatment with ganetespib should be discontinued.  </w:t>
      </w:r>
    </w:p>
    <w:p w14:paraId="1811504E" w14:textId="77777777" w:rsidR="00DA67E8" w:rsidRPr="008568DE" w:rsidRDefault="00DA67E8" w:rsidP="008568DE">
      <w:pPr>
        <w:autoSpaceDE w:val="0"/>
        <w:autoSpaceDN w:val="0"/>
        <w:adjustRightInd w:val="0"/>
        <w:jc w:val="both"/>
        <w:rPr>
          <w:rFonts w:ascii="Arial" w:hAnsi="Arial" w:cs="Arial"/>
          <w:color w:val="000000"/>
          <w:sz w:val="22"/>
          <w:szCs w:val="22"/>
          <w:lang w:eastAsia="en-GB"/>
        </w:rPr>
      </w:pPr>
      <w:r w:rsidRPr="008568DE">
        <w:rPr>
          <w:rFonts w:ascii="Arial" w:hAnsi="Arial" w:cs="Arial"/>
          <w:color w:val="000000"/>
          <w:sz w:val="22"/>
          <w:szCs w:val="22"/>
          <w:lang w:eastAsia="en-GB"/>
        </w:rPr>
        <w:t xml:space="preserve">Example of infusion premedication regimen: </w:t>
      </w:r>
    </w:p>
    <w:p w14:paraId="6B426FEA" w14:textId="77777777" w:rsidR="000A51AE" w:rsidRDefault="00DA67E8" w:rsidP="00D65C3A">
      <w:pPr>
        <w:pStyle w:val="C-Bullet"/>
        <w:numPr>
          <w:ilvl w:val="0"/>
          <w:numId w:val="32"/>
        </w:numPr>
        <w:jc w:val="both"/>
        <w:rPr>
          <w:rFonts w:ascii="Arial" w:hAnsi="Arial" w:cs="Arial"/>
        </w:rPr>
      </w:pPr>
      <w:r w:rsidRPr="00C20986">
        <w:rPr>
          <w:rFonts w:ascii="Arial" w:hAnsi="Arial" w:cs="Arial"/>
          <w:sz w:val="22"/>
        </w:rPr>
        <w:t xml:space="preserve">Dexamethasone 12 mg by mouth (PO) and diphenhydramine HCl 25-50 mg PO approximately 12 to 24 hours prior to the next dose of study </w:t>
      </w:r>
      <w:r w:rsidR="000A51AE" w:rsidRPr="00C20986">
        <w:rPr>
          <w:rFonts w:ascii="Arial" w:hAnsi="Arial" w:cs="Arial"/>
          <w:sz w:val="22"/>
        </w:rPr>
        <w:t>drug</w:t>
      </w:r>
      <w:r w:rsidR="000A51AE" w:rsidRPr="00D65C3A">
        <w:rPr>
          <w:rFonts w:ascii="Arial" w:hAnsi="Arial" w:cs="Arial"/>
        </w:rPr>
        <w:t xml:space="preserve"> </w:t>
      </w:r>
    </w:p>
    <w:p w14:paraId="6ECC4AF5" w14:textId="77777777" w:rsidR="00DA67E8" w:rsidRPr="00D65C3A" w:rsidRDefault="000A51AE" w:rsidP="00D65C3A">
      <w:pPr>
        <w:pStyle w:val="C-Bullet"/>
        <w:numPr>
          <w:ilvl w:val="0"/>
          <w:numId w:val="32"/>
        </w:numPr>
        <w:jc w:val="both"/>
        <w:rPr>
          <w:rFonts w:ascii="Arial" w:hAnsi="Arial" w:cs="Arial"/>
        </w:rPr>
      </w:pPr>
      <w:r w:rsidRPr="00D65C3A">
        <w:rPr>
          <w:rFonts w:ascii="Arial" w:hAnsi="Arial" w:cs="Arial"/>
        </w:rPr>
        <w:t>Repeat</w:t>
      </w:r>
      <w:r w:rsidR="00DA67E8" w:rsidRPr="00D65C3A">
        <w:rPr>
          <w:rFonts w:ascii="Arial" w:hAnsi="Arial" w:cs="Arial"/>
        </w:rPr>
        <w:t xml:space="preserve"> dexamethasone 12 mg PO and diphenhydramine HCl 25 to 50 mg PO approximately 4 to 6 hours prior to the re-challenge</w:t>
      </w:r>
    </w:p>
    <w:p w14:paraId="2E648906" w14:textId="77777777" w:rsidR="00FE4213" w:rsidRPr="00FE4213" w:rsidRDefault="00390DE4" w:rsidP="00BF16F9">
      <w:pPr>
        <w:pStyle w:val="Heading2"/>
      </w:pPr>
      <w:r>
        <w:t xml:space="preserve">  </w:t>
      </w:r>
      <w:bookmarkStart w:id="441" w:name="_Toc333484756"/>
      <w:bookmarkStart w:id="442" w:name="_Toc333484871"/>
      <w:bookmarkStart w:id="443" w:name="_Toc351624825"/>
      <w:bookmarkStart w:id="444" w:name="_Toc471826787"/>
      <w:bookmarkStart w:id="445" w:name="_Toc528323553"/>
      <w:r w:rsidR="00DA67E8">
        <w:t>Medical d</w:t>
      </w:r>
      <w:r w:rsidR="00DA67E8" w:rsidRPr="005B2324">
        <w:t>rug-specific advice</w:t>
      </w:r>
      <w:r w:rsidR="00DA67E8">
        <w:t xml:space="preserve"> for ganetespib (24 hours)</w:t>
      </w:r>
      <w:bookmarkEnd w:id="441"/>
      <w:bookmarkEnd w:id="442"/>
      <w:bookmarkEnd w:id="443"/>
      <w:bookmarkEnd w:id="444"/>
      <w:bookmarkEnd w:id="445"/>
    </w:p>
    <w:tbl>
      <w:tblPr>
        <w:tblW w:w="9498" w:type="dxa"/>
        <w:tblInd w:w="108" w:type="dxa"/>
        <w:tblBorders>
          <w:top w:val="single" w:sz="12" w:space="0" w:color="FF0000"/>
          <w:left w:val="single" w:sz="12" w:space="0" w:color="FF0000"/>
          <w:bottom w:val="single" w:sz="12" w:space="0" w:color="FF0000"/>
          <w:right w:val="single" w:sz="12" w:space="0" w:color="FF0000"/>
        </w:tblBorders>
        <w:tblLook w:val="0000" w:firstRow="0" w:lastRow="0" w:firstColumn="0" w:lastColumn="0" w:noHBand="0" w:noVBand="0"/>
      </w:tblPr>
      <w:tblGrid>
        <w:gridCol w:w="1708"/>
        <w:gridCol w:w="3836"/>
        <w:gridCol w:w="3954"/>
      </w:tblGrid>
      <w:tr w:rsidR="00DA67E8" w:rsidRPr="009A26F4" w14:paraId="338E2FF7" w14:textId="77777777" w:rsidTr="009A26F4">
        <w:trPr>
          <w:cantSplit/>
          <w:trHeight w:val="932"/>
        </w:trPr>
        <w:tc>
          <w:tcPr>
            <w:tcW w:w="1708" w:type="dxa"/>
            <w:tcBorders>
              <w:top w:val="single" w:sz="12" w:space="0" w:color="FF0000"/>
            </w:tcBorders>
          </w:tcPr>
          <w:p w14:paraId="61E973EF" w14:textId="77777777" w:rsidR="00DA67E8" w:rsidRPr="009A26F4" w:rsidRDefault="00DA67E8" w:rsidP="00101378">
            <w:pPr>
              <w:rPr>
                <w:rFonts w:ascii="Arial" w:hAnsi="Arial" w:cs="Arial"/>
                <w:b/>
                <w:sz w:val="22"/>
                <w:szCs w:val="22"/>
              </w:rPr>
            </w:pPr>
            <w:r w:rsidRPr="009A26F4">
              <w:rPr>
                <w:rFonts w:ascii="Arial" w:hAnsi="Arial" w:cs="Arial"/>
                <w:b/>
                <w:sz w:val="22"/>
                <w:szCs w:val="22"/>
              </w:rPr>
              <w:t>Ganetespib</w:t>
            </w:r>
          </w:p>
        </w:tc>
        <w:tc>
          <w:tcPr>
            <w:tcW w:w="3836" w:type="dxa"/>
            <w:tcBorders>
              <w:top w:val="single" w:sz="12" w:space="0" w:color="FF0000"/>
            </w:tcBorders>
          </w:tcPr>
          <w:p w14:paraId="54117FF9" w14:textId="77777777" w:rsidR="00DA67E8" w:rsidRPr="009A26F4" w:rsidRDefault="00DA67E8" w:rsidP="00101378">
            <w:pPr>
              <w:rPr>
                <w:rFonts w:ascii="Arial" w:hAnsi="Arial" w:cs="Arial"/>
                <w:b/>
                <w:sz w:val="22"/>
                <w:szCs w:val="22"/>
              </w:rPr>
            </w:pPr>
            <w:r w:rsidRPr="009A26F4">
              <w:rPr>
                <w:rFonts w:ascii="Arial" w:hAnsi="Arial" w:cs="Arial"/>
                <w:b/>
                <w:sz w:val="22"/>
                <w:szCs w:val="22"/>
              </w:rPr>
              <w:t>Office hours</w:t>
            </w:r>
          </w:p>
          <w:p w14:paraId="3E675FBB" w14:textId="77777777" w:rsidR="00DA67E8" w:rsidRPr="009A26F4" w:rsidRDefault="00DA67E8" w:rsidP="00101378">
            <w:pPr>
              <w:rPr>
                <w:rFonts w:ascii="Arial" w:hAnsi="Arial" w:cs="Arial"/>
                <w:sz w:val="22"/>
                <w:szCs w:val="22"/>
              </w:rPr>
            </w:pPr>
            <w:r w:rsidRPr="009A26F4">
              <w:rPr>
                <w:rFonts w:ascii="Arial" w:hAnsi="Arial" w:cs="Arial"/>
                <w:sz w:val="22"/>
                <w:szCs w:val="22"/>
              </w:rPr>
              <w:t>09:00 to 17:00 Monday to Friday, excluding Bank Holidays</w:t>
            </w:r>
          </w:p>
        </w:tc>
        <w:tc>
          <w:tcPr>
            <w:tcW w:w="3954" w:type="dxa"/>
            <w:tcBorders>
              <w:top w:val="single" w:sz="12" w:space="0" w:color="FF0000"/>
            </w:tcBorders>
          </w:tcPr>
          <w:p w14:paraId="1ED04E78" w14:textId="77777777" w:rsidR="00DA67E8" w:rsidRPr="009A26F4" w:rsidRDefault="00DA67E8" w:rsidP="00101378">
            <w:pPr>
              <w:pStyle w:val="Header"/>
              <w:tabs>
                <w:tab w:val="clear" w:pos="4153"/>
                <w:tab w:val="clear" w:pos="8306"/>
              </w:tabs>
              <w:rPr>
                <w:rFonts w:ascii="Arial" w:hAnsi="Arial" w:cs="Arial"/>
                <w:b/>
                <w:sz w:val="22"/>
                <w:szCs w:val="22"/>
                <w:lang w:val="en-GB"/>
              </w:rPr>
            </w:pPr>
            <w:r w:rsidRPr="009A26F4">
              <w:rPr>
                <w:rFonts w:ascii="Arial" w:hAnsi="Arial" w:cs="Arial"/>
                <w:b/>
                <w:sz w:val="22"/>
                <w:szCs w:val="22"/>
                <w:lang w:val="en-GB"/>
              </w:rPr>
              <w:t>All other times</w:t>
            </w:r>
          </w:p>
          <w:p w14:paraId="385F1AA6" w14:textId="7A11ED0E" w:rsidR="00DA67E8" w:rsidRPr="009A26F4" w:rsidRDefault="00855641" w:rsidP="007936E1">
            <w:pPr>
              <w:pStyle w:val="Header"/>
              <w:tabs>
                <w:tab w:val="clear" w:pos="4153"/>
                <w:tab w:val="clear" w:pos="8306"/>
              </w:tabs>
              <w:rPr>
                <w:rFonts w:ascii="Arial" w:hAnsi="Arial" w:cs="Arial"/>
                <w:color w:val="FF0000"/>
                <w:sz w:val="22"/>
                <w:szCs w:val="22"/>
                <w:lang w:val="en-GB"/>
              </w:rPr>
            </w:pPr>
            <w:r w:rsidRPr="00855641">
              <w:rPr>
                <w:rFonts w:ascii="Arial" w:hAnsi="Arial" w:cs="Arial"/>
                <w:sz w:val="22"/>
                <w:szCs w:val="22"/>
                <w:lang w:val="en-GB"/>
              </w:rPr>
              <w:t>Madrigal Pharmaceuticals Inc</w:t>
            </w:r>
            <w:r w:rsidR="007936E1">
              <w:rPr>
                <w:rFonts w:ascii="Arial" w:hAnsi="Arial" w:cs="Arial"/>
                <w:sz w:val="22"/>
                <w:szCs w:val="22"/>
                <w:lang w:val="en-GB"/>
              </w:rPr>
              <w:t>.</w:t>
            </w:r>
            <w:r w:rsidRPr="00855641">
              <w:rPr>
                <w:rFonts w:ascii="Arial" w:hAnsi="Arial" w:cs="Arial"/>
                <w:sz w:val="22"/>
                <w:szCs w:val="22"/>
                <w:lang w:val="en-GB"/>
              </w:rPr>
              <w:t xml:space="preserve"> (formerly </w:t>
            </w:r>
            <w:proofErr w:type="spellStart"/>
            <w:r w:rsidRPr="00855641">
              <w:rPr>
                <w:rFonts w:ascii="Arial" w:hAnsi="Arial" w:cs="Arial"/>
                <w:sz w:val="22"/>
                <w:szCs w:val="22"/>
                <w:lang w:val="en-GB"/>
              </w:rPr>
              <w:t>Synta</w:t>
            </w:r>
            <w:proofErr w:type="spellEnd"/>
            <w:r w:rsidRPr="00855641">
              <w:rPr>
                <w:rFonts w:ascii="Arial" w:hAnsi="Arial" w:cs="Arial"/>
                <w:sz w:val="22"/>
                <w:szCs w:val="22"/>
                <w:lang w:val="en-GB"/>
              </w:rPr>
              <w:t xml:space="preserve"> Pharmaceuticals Corp</w:t>
            </w:r>
            <w:r w:rsidR="007936E1">
              <w:rPr>
                <w:rFonts w:ascii="Arial" w:hAnsi="Arial" w:cs="Arial"/>
                <w:sz w:val="22"/>
                <w:szCs w:val="22"/>
                <w:lang w:val="en-GB"/>
              </w:rPr>
              <w:t>.</w:t>
            </w:r>
            <w:r w:rsidRPr="00855641">
              <w:rPr>
                <w:rFonts w:ascii="Arial" w:hAnsi="Arial" w:cs="Arial"/>
                <w:sz w:val="22"/>
                <w:szCs w:val="22"/>
                <w:lang w:val="en-GB"/>
              </w:rPr>
              <w:t>)</w:t>
            </w:r>
          </w:p>
        </w:tc>
      </w:tr>
      <w:tr w:rsidR="00DA67E8" w:rsidRPr="009A26F4" w14:paraId="7E128761" w14:textId="77777777" w:rsidTr="009A26F4">
        <w:trPr>
          <w:cantSplit/>
          <w:trHeight w:val="845"/>
        </w:trPr>
        <w:tc>
          <w:tcPr>
            <w:tcW w:w="1708" w:type="dxa"/>
            <w:tcBorders>
              <w:bottom w:val="single" w:sz="12" w:space="0" w:color="FF0000"/>
            </w:tcBorders>
          </w:tcPr>
          <w:p w14:paraId="70D2F284" w14:textId="77777777" w:rsidR="00DA67E8" w:rsidRPr="009A26F4" w:rsidRDefault="00DA67E8" w:rsidP="00101378">
            <w:pPr>
              <w:rPr>
                <w:rFonts w:ascii="Arial" w:hAnsi="Arial" w:cs="Arial"/>
                <w:b/>
                <w:sz w:val="22"/>
                <w:szCs w:val="22"/>
              </w:rPr>
            </w:pPr>
          </w:p>
        </w:tc>
        <w:tc>
          <w:tcPr>
            <w:tcW w:w="3836" w:type="dxa"/>
            <w:tcBorders>
              <w:bottom w:val="single" w:sz="12" w:space="0" w:color="FF0000"/>
            </w:tcBorders>
          </w:tcPr>
          <w:p w14:paraId="67AE9F59" w14:textId="77777777" w:rsidR="00DA67E8" w:rsidRPr="009A26F4" w:rsidRDefault="00F17A43" w:rsidP="00F17A43">
            <w:pPr>
              <w:rPr>
                <w:rFonts w:ascii="Arial" w:hAnsi="Arial" w:cs="Arial"/>
                <w:sz w:val="22"/>
                <w:szCs w:val="22"/>
              </w:rPr>
            </w:pPr>
            <w:r w:rsidRPr="009A26F4">
              <w:rPr>
                <w:rFonts w:ascii="Arial" w:hAnsi="Arial" w:cs="Arial"/>
                <w:sz w:val="22"/>
                <w:szCs w:val="22"/>
              </w:rPr>
              <w:t>UCL CTC</w:t>
            </w:r>
          </w:p>
          <w:p w14:paraId="3123FAAA" w14:textId="77777777" w:rsidR="00F17A43" w:rsidRPr="009A26F4" w:rsidRDefault="00F17A43" w:rsidP="00F17A43">
            <w:pPr>
              <w:rPr>
                <w:rFonts w:ascii="Arial" w:hAnsi="Arial" w:cs="Arial"/>
                <w:color w:val="FF0000"/>
                <w:sz w:val="22"/>
                <w:szCs w:val="22"/>
              </w:rPr>
            </w:pPr>
            <w:r w:rsidRPr="009A26F4">
              <w:rPr>
                <w:rFonts w:ascii="Arial" w:hAnsi="Arial" w:cs="Arial"/>
                <w:sz w:val="22"/>
                <w:szCs w:val="22"/>
              </w:rPr>
              <w:t>020 7679 9</w:t>
            </w:r>
            <w:r w:rsidR="009553CD" w:rsidRPr="009A26F4">
              <w:rPr>
                <w:rFonts w:ascii="Arial" w:hAnsi="Arial" w:cs="Arial"/>
                <w:sz w:val="22"/>
                <w:szCs w:val="22"/>
              </w:rPr>
              <w:t>105</w:t>
            </w:r>
          </w:p>
        </w:tc>
        <w:tc>
          <w:tcPr>
            <w:tcW w:w="3954" w:type="dxa"/>
            <w:tcBorders>
              <w:bottom w:val="single" w:sz="12" w:space="0" w:color="FF0000"/>
            </w:tcBorders>
          </w:tcPr>
          <w:p w14:paraId="4C5423B9" w14:textId="4F1E8233" w:rsidR="009B6657" w:rsidRPr="009A26F4" w:rsidRDefault="00C867B7" w:rsidP="00D65DE2">
            <w:pPr>
              <w:pStyle w:val="Header"/>
              <w:numPr>
                <w:ilvl w:val="0"/>
                <w:numId w:val="32"/>
              </w:numPr>
              <w:tabs>
                <w:tab w:val="clear" w:pos="4153"/>
                <w:tab w:val="clear" w:pos="8306"/>
              </w:tabs>
              <w:ind w:left="269" w:hanging="265"/>
              <w:rPr>
                <w:rFonts w:ascii="Arial" w:hAnsi="Arial" w:cs="Arial"/>
                <w:sz w:val="22"/>
                <w:szCs w:val="22"/>
                <w:lang w:val="en-GB"/>
              </w:rPr>
            </w:pPr>
            <w:r>
              <w:rPr>
                <w:rFonts w:ascii="Arial" w:hAnsi="Arial" w:cs="Arial"/>
                <w:sz w:val="22"/>
                <w:szCs w:val="22"/>
                <w:lang w:val="en-GB"/>
              </w:rPr>
              <w:t>001-</w:t>
            </w:r>
            <w:r w:rsidR="00325A9B" w:rsidRPr="009A26F4">
              <w:rPr>
                <w:rFonts w:ascii="Arial" w:hAnsi="Arial" w:cs="Arial"/>
                <w:sz w:val="22"/>
                <w:szCs w:val="22"/>
                <w:lang w:val="en-GB"/>
              </w:rPr>
              <w:t>7</w:t>
            </w:r>
            <w:r w:rsidR="00766325">
              <w:rPr>
                <w:rFonts w:ascii="Arial" w:hAnsi="Arial" w:cs="Arial"/>
                <w:sz w:val="22"/>
                <w:szCs w:val="22"/>
                <w:lang w:val="en-GB"/>
              </w:rPr>
              <w:t>70</w:t>
            </w:r>
            <w:r w:rsidR="00325A9B" w:rsidRPr="009A26F4">
              <w:rPr>
                <w:rFonts w:ascii="Arial" w:hAnsi="Arial" w:cs="Arial"/>
                <w:sz w:val="22"/>
                <w:szCs w:val="22"/>
                <w:lang w:val="en-GB"/>
              </w:rPr>
              <w:t>-41</w:t>
            </w:r>
            <w:r w:rsidR="00766325">
              <w:rPr>
                <w:rFonts w:ascii="Arial" w:hAnsi="Arial" w:cs="Arial"/>
                <w:sz w:val="22"/>
                <w:szCs w:val="22"/>
                <w:lang w:val="en-GB"/>
              </w:rPr>
              <w:t>9</w:t>
            </w:r>
            <w:r w:rsidR="00325A9B" w:rsidRPr="009A26F4">
              <w:rPr>
                <w:rFonts w:ascii="Arial" w:hAnsi="Arial" w:cs="Arial"/>
                <w:sz w:val="22"/>
                <w:szCs w:val="22"/>
                <w:lang w:val="en-GB"/>
              </w:rPr>
              <w:t>-</w:t>
            </w:r>
            <w:r w:rsidR="00766325">
              <w:rPr>
                <w:rFonts w:ascii="Arial" w:hAnsi="Arial" w:cs="Arial"/>
                <w:sz w:val="22"/>
                <w:szCs w:val="22"/>
                <w:lang w:val="en-GB"/>
              </w:rPr>
              <w:t>1025</w:t>
            </w:r>
          </w:p>
          <w:p w14:paraId="52EB537C" w14:textId="495EC4E8" w:rsidR="009A26F4" w:rsidRPr="009A26F4" w:rsidRDefault="009A26F4" w:rsidP="00D65DE2">
            <w:pPr>
              <w:pStyle w:val="Header"/>
              <w:numPr>
                <w:ilvl w:val="0"/>
                <w:numId w:val="32"/>
              </w:numPr>
              <w:tabs>
                <w:tab w:val="clear" w:pos="4153"/>
                <w:tab w:val="clear" w:pos="8306"/>
              </w:tabs>
              <w:ind w:left="269" w:hanging="265"/>
              <w:rPr>
                <w:rFonts w:ascii="Arial" w:hAnsi="Arial" w:cs="Arial"/>
                <w:sz w:val="22"/>
                <w:szCs w:val="22"/>
                <w:lang w:val="en-GB"/>
              </w:rPr>
            </w:pPr>
            <w:r w:rsidRPr="009A26F4">
              <w:rPr>
                <w:rFonts w:ascii="Arial" w:hAnsi="Arial" w:cs="Arial"/>
                <w:sz w:val="22"/>
                <w:szCs w:val="22"/>
                <w:lang w:val="en-GB"/>
              </w:rPr>
              <w:t>001-</w:t>
            </w:r>
            <w:r w:rsidR="00766325">
              <w:rPr>
                <w:rFonts w:ascii="Arial" w:hAnsi="Arial" w:cs="Arial"/>
                <w:sz w:val="22"/>
                <w:szCs w:val="22"/>
                <w:lang w:val="en-GB"/>
              </w:rPr>
              <w:t>404</w:t>
            </w:r>
            <w:r w:rsidRPr="009A26F4">
              <w:rPr>
                <w:rFonts w:ascii="Arial" w:hAnsi="Arial" w:cs="Arial"/>
                <w:sz w:val="22"/>
                <w:szCs w:val="22"/>
                <w:lang w:val="en-GB"/>
              </w:rPr>
              <w:t>-</w:t>
            </w:r>
            <w:r w:rsidR="00766325">
              <w:rPr>
                <w:rFonts w:ascii="Arial" w:hAnsi="Arial" w:cs="Arial"/>
                <w:sz w:val="22"/>
                <w:szCs w:val="22"/>
                <w:lang w:val="en-GB"/>
              </w:rPr>
              <w:t>723</w:t>
            </w:r>
            <w:r w:rsidRPr="009A26F4">
              <w:rPr>
                <w:rFonts w:ascii="Arial" w:hAnsi="Arial" w:cs="Arial"/>
                <w:sz w:val="22"/>
                <w:szCs w:val="22"/>
                <w:lang w:val="en-GB"/>
              </w:rPr>
              <w:t>-</w:t>
            </w:r>
            <w:r w:rsidR="00766325">
              <w:rPr>
                <w:rFonts w:ascii="Arial" w:hAnsi="Arial" w:cs="Arial"/>
                <w:sz w:val="22"/>
                <w:szCs w:val="22"/>
                <w:lang w:val="en-GB"/>
              </w:rPr>
              <w:t>27</w:t>
            </w:r>
            <w:r w:rsidRPr="009A26F4">
              <w:rPr>
                <w:rFonts w:ascii="Arial" w:hAnsi="Arial" w:cs="Arial"/>
                <w:sz w:val="22"/>
                <w:szCs w:val="22"/>
                <w:lang w:val="en-GB"/>
              </w:rPr>
              <w:t>54</w:t>
            </w:r>
          </w:p>
          <w:p w14:paraId="67D8AA84" w14:textId="0C8B10A9" w:rsidR="009A26F4" w:rsidRPr="009A26F4" w:rsidRDefault="009A26F4" w:rsidP="007936E1">
            <w:pPr>
              <w:pStyle w:val="Header"/>
              <w:tabs>
                <w:tab w:val="clear" w:pos="4153"/>
                <w:tab w:val="clear" w:pos="8306"/>
              </w:tabs>
              <w:ind w:left="269"/>
              <w:rPr>
                <w:rFonts w:ascii="Arial" w:hAnsi="Arial" w:cs="Arial"/>
                <w:sz w:val="22"/>
                <w:szCs w:val="22"/>
                <w:lang w:val="en-GB"/>
              </w:rPr>
            </w:pPr>
          </w:p>
        </w:tc>
      </w:tr>
    </w:tbl>
    <w:p w14:paraId="27E096FD" w14:textId="77777777" w:rsidR="00DA67E8" w:rsidRDefault="00390DE4" w:rsidP="00BF16F9">
      <w:pPr>
        <w:pStyle w:val="Heading2"/>
      </w:pPr>
      <w:bookmarkStart w:id="446" w:name="_Toc283031781"/>
      <w:bookmarkStart w:id="447" w:name="_Toc283376316"/>
      <w:r>
        <w:t xml:space="preserve">  </w:t>
      </w:r>
      <w:bookmarkStart w:id="448" w:name="_Toc333484757"/>
      <w:bookmarkStart w:id="449" w:name="_Toc333484872"/>
      <w:bookmarkStart w:id="450" w:name="_Toc351624826"/>
      <w:bookmarkStart w:id="451" w:name="_Toc471826788"/>
      <w:bookmarkStart w:id="452" w:name="_Toc528323554"/>
      <w:r w:rsidR="00DA67E8">
        <w:t>Clinical m</w:t>
      </w:r>
      <w:r w:rsidR="00DA67E8" w:rsidRPr="00A23D8C">
        <w:t xml:space="preserve">anagement after treatment </w:t>
      </w:r>
      <w:bookmarkEnd w:id="446"/>
      <w:bookmarkEnd w:id="447"/>
      <w:r w:rsidR="00DA67E8">
        <w:t>discontinuation</w:t>
      </w:r>
      <w:bookmarkEnd w:id="448"/>
      <w:bookmarkEnd w:id="449"/>
      <w:bookmarkEnd w:id="450"/>
      <w:bookmarkEnd w:id="451"/>
      <w:bookmarkEnd w:id="452"/>
    </w:p>
    <w:p w14:paraId="6E0D4066" w14:textId="77777777" w:rsidR="00DA67E8" w:rsidRPr="00A154FB" w:rsidRDefault="00DA67E8" w:rsidP="00F62DC2">
      <w:pPr>
        <w:ind w:right="142"/>
        <w:jc w:val="both"/>
        <w:rPr>
          <w:rFonts w:ascii="Arial" w:hAnsi="Arial" w:cs="Arial"/>
          <w:sz w:val="22"/>
          <w:szCs w:val="22"/>
        </w:rPr>
      </w:pPr>
      <w:r w:rsidRPr="00A154FB">
        <w:rPr>
          <w:rFonts w:ascii="Arial" w:hAnsi="Arial" w:cs="Arial"/>
          <w:sz w:val="22"/>
          <w:szCs w:val="22"/>
        </w:rPr>
        <w:t xml:space="preserve">The management and subsequent treatment of patients who withdraw consent, stop protocol treatment early due to toxicity or any other reason, or </w:t>
      </w:r>
      <w:r>
        <w:rPr>
          <w:rFonts w:ascii="Arial" w:hAnsi="Arial" w:cs="Arial"/>
          <w:sz w:val="22"/>
          <w:szCs w:val="22"/>
        </w:rPr>
        <w:t xml:space="preserve">on </w:t>
      </w:r>
      <w:r w:rsidRPr="00A154FB">
        <w:rPr>
          <w:rFonts w:ascii="Arial" w:hAnsi="Arial" w:cs="Arial"/>
          <w:sz w:val="22"/>
          <w:szCs w:val="22"/>
        </w:rPr>
        <w:t xml:space="preserve">completion of protocol chemotherapy, will be left to the discretion of the clinician. Any additional treatment should be documented on the ‘Additional treatment’ CRF. Please refer </w:t>
      </w:r>
      <w:r w:rsidRPr="00097793">
        <w:rPr>
          <w:rFonts w:ascii="Arial" w:hAnsi="Arial" w:cs="Arial"/>
          <w:sz w:val="22"/>
          <w:szCs w:val="22"/>
        </w:rPr>
        <w:t>to section 13 (Withdrawal of Patients) for further details.</w:t>
      </w:r>
      <w:r w:rsidR="009D4948">
        <w:rPr>
          <w:rFonts w:ascii="Arial" w:hAnsi="Arial" w:cs="Arial"/>
          <w:sz w:val="22"/>
          <w:szCs w:val="22"/>
        </w:rPr>
        <w:t xml:space="preserve"> </w:t>
      </w:r>
    </w:p>
    <w:p w14:paraId="0D6C76C1" w14:textId="77777777" w:rsidR="00DA67E8" w:rsidRPr="00A154FB" w:rsidRDefault="00DA67E8" w:rsidP="00F62DC2">
      <w:pPr>
        <w:ind w:right="142"/>
        <w:jc w:val="both"/>
        <w:rPr>
          <w:rFonts w:ascii="Arial" w:hAnsi="Arial" w:cs="Arial"/>
          <w:sz w:val="22"/>
          <w:szCs w:val="22"/>
        </w:rPr>
      </w:pPr>
    </w:p>
    <w:p w14:paraId="15147A98" w14:textId="77777777" w:rsidR="00DA67E8" w:rsidRDefault="00390DE4" w:rsidP="00BF16F9">
      <w:pPr>
        <w:pStyle w:val="Heading2"/>
      </w:pPr>
      <w:bookmarkStart w:id="453" w:name="_Toc283376317"/>
      <w:r>
        <w:lastRenderedPageBreak/>
        <w:t xml:space="preserve">  </w:t>
      </w:r>
      <w:bookmarkStart w:id="454" w:name="_Toc333484758"/>
      <w:bookmarkStart w:id="455" w:name="_Toc333484873"/>
      <w:bookmarkStart w:id="456" w:name="_Toc351624827"/>
      <w:bookmarkStart w:id="457" w:name="_Toc471826789"/>
      <w:bookmarkStart w:id="458" w:name="_Toc528323555"/>
      <w:r w:rsidR="00DA67E8" w:rsidRPr="000276C6">
        <w:t>Drug provision after the end of the trial</w:t>
      </w:r>
      <w:bookmarkEnd w:id="453"/>
      <w:bookmarkEnd w:id="454"/>
      <w:bookmarkEnd w:id="455"/>
      <w:bookmarkEnd w:id="456"/>
      <w:bookmarkEnd w:id="457"/>
      <w:bookmarkEnd w:id="458"/>
    </w:p>
    <w:p w14:paraId="4DAFE0B3" w14:textId="77777777" w:rsidR="00DA67E8" w:rsidRDefault="00437602" w:rsidP="008568DE">
      <w:pPr>
        <w:jc w:val="both"/>
      </w:pPr>
      <w:bookmarkStart w:id="459" w:name="_Toc283031782"/>
      <w:bookmarkStart w:id="460" w:name="_Toc283376318"/>
      <w:r w:rsidRPr="00437602">
        <w:rPr>
          <w:rFonts w:ascii="Arial" w:hAnsi="Arial" w:cs="Arial"/>
          <w:sz w:val="22"/>
          <w:szCs w:val="22"/>
        </w:rPr>
        <w:t xml:space="preserve">Subsequent </w:t>
      </w:r>
      <w:r>
        <w:rPr>
          <w:rFonts w:ascii="Arial" w:hAnsi="Arial" w:cs="Arial"/>
          <w:sz w:val="22"/>
          <w:szCs w:val="22"/>
        </w:rPr>
        <w:t>treatment</w:t>
      </w:r>
      <w:r w:rsidRPr="00437602">
        <w:rPr>
          <w:rFonts w:ascii="Arial" w:hAnsi="Arial" w:cs="Arial"/>
          <w:sz w:val="22"/>
          <w:szCs w:val="22"/>
        </w:rPr>
        <w:t xml:space="preserve"> after discontinuation or completion of </w:t>
      </w:r>
      <w:r>
        <w:rPr>
          <w:rFonts w:ascii="Arial" w:hAnsi="Arial" w:cs="Arial"/>
          <w:sz w:val="22"/>
          <w:szCs w:val="22"/>
        </w:rPr>
        <w:t>trial treatment</w:t>
      </w:r>
      <w:r w:rsidRPr="00437602">
        <w:rPr>
          <w:rFonts w:ascii="Arial" w:hAnsi="Arial" w:cs="Arial"/>
          <w:sz w:val="22"/>
          <w:szCs w:val="22"/>
        </w:rPr>
        <w:t>, and subsequent therapy of any kind should that occur, will be left to the discretion of the clinician. Any additional treatment must be documented on the ‘Additional treatment’ CRF.</w:t>
      </w:r>
      <w:r>
        <w:rPr>
          <w:rFonts w:cs="Arial"/>
          <w:sz w:val="22"/>
          <w:szCs w:val="22"/>
        </w:rPr>
        <w:br w:type="page"/>
      </w:r>
      <w:bookmarkEnd w:id="459"/>
      <w:bookmarkEnd w:id="460"/>
    </w:p>
    <w:p w14:paraId="6F4C17CE" w14:textId="77777777" w:rsidR="00BF16F9" w:rsidRPr="009400C8" w:rsidRDefault="004E69CA" w:rsidP="009400C8">
      <w:pPr>
        <w:pStyle w:val="Heading1"/>
      </w:pPr>
      <w:bookmarkStart w:id="461" w:name="_Toc333484759"/>
      <w:bookmarkStart w:id="462" w:name="_Toc333484874"/>
      <w:bookmarkStart w:id="463" w:name="_Toc351624828"/>
      <w:bookmarkStart w:id="464" w:name="_Toc471826790"/>
      <w:bookmarkStart w:id="465" w:name="_Toc528323556"/>
      <w:bookmarkStart w:id="466" w:name="_Toc333484760"/>
      <w:bookmarkStart w:id="467" w:name="_Toc333484875"/>
      <w:bookmarkStart w:id="468" w:name="_Toc351624829"/>
      <w:r w:rsidRPr="009400C8">
        <w:lastRenderedPageBreak/>
        <w:t>Assessments</w:t>
      </w:r>
      <w:r w:rsidR="008568DE">
        <w:rPr>
          <w:lang w:val="en-GB"/>
        </w:rPr>
        <w:t xml:space="preserve"> -</w:t>
      </w:r>
      <w:r w:rsidRPr="009400C8">
        <w:t xml:space="preserve"> Appendices 2 and 3</w:t>
      </w:r>
      <w:bookmarkEnd w:id="461"/>
      <w:bookmarkEnd w:id="462"/>
      <w:bookmarkEnd w:id="463"/>
      <w:bookmarkEnd w:id="464"/>
      <w:bookmarkEnd w:id="465"/>
    </w:p>
    <w:p w14:paraId="553A1F70" w14:textId="77777777" w:rsidR="00DA67E8" w:rsidRPr="00CE1B85" w:rsidRDefault="00DA67E8" w:rsidP="00BF16F9">
      <w:pPr>
        <w:pStyle w:val="Heading2"/>
      </w:pPr>
      <w:bookmarkStart w:id="469" w:name="_Toc471826791"/>
      <w:bookmarkStart w:id="470" w:name="_Toc528323557"/>
      <w:r>
        <w:t>Pre-registration (phase I) / pre-randomisation (phase II) a</w:t>
      </w:r>
      <w:r w:rsidRPr="00CE1B85">
        <w:t>ssessments</w:t>
      </w:r>
      <w:bookmarkEnd w:id="466"/>
      <w:bookmarkEnd w:id="467"/>
      <w:bookmarkEnd w:id="468"/>
      <w:bookmarkEnd w:id="469"/>
      <w:bookmarkEnd w:id="470"/>
      <w:r w:rsidRPr="00CE1B85">
        <w:t xml:space="preserve"> </w:t>
      </w:r>
    </w:p>
    <w:p w14:paraId="31D4F137" w14:textId="77777777" w:rsidR="00DA67E8" w:rsidRPr="00E67FDA" w:rsidRDefault="00DA67E8" w:rsidP="00E67FDA">
      <w:pPr>
        <w:pStyle w:val="Normal1"/>
        <w:rPr>
          <w:rFonts w:cs="Arial"/>
          <w:sz w:val="22"/>
          <w:szCs w:val="22"/>
        </w:rPr>
      </w:pPr>
      <w:r w:rsidRPr="00E67FDA">
        <w:rPr>
          <w:rFonts w:cs="Arial"/>
          <w:sz w:val="22"/>
          <w:szCs w:val="22"/>
        </w:rPr>
        <w:t>The following assessments or procedures are required prior to patient entry.</w:t>
      </w:r>
    </w:p>
    <w:p w14:paraId="5136A98A" w14:textId="77777777" w:rsidR="00DA67E8" w:rsidRPr="00E67FDA" w:rsidRDefault="00DA67E8" w:rsidP="00E67FDA">
      <w:pPr>
        <w:pStyle w:val="Normal1"/>
        <w:rPr>
          <w:rFonts w:cs="Arial"/>
          <w:sz w:val="22"/>
          <w:szCs w:val="22"/>
        </w:rPr>
      </w:pPr>
    </w:p>
    <w:p w14:paraId="3912F5D0" w14:textId="77777777" w:rsidR="00DA67E8" w:rsidRPr="008568DE" w:rsidRDefault="00DA67E8" w:rsidP="00E67FDA">
      <w:pPr>
        <w:pStyle w:val="Normal1"/>
        <w:rPr>
          <w:rFonts w:cs="Arial"/>
          <w:sz w:val="22"/>
          <w:szCs w:val="22"/>
        </w:rPr>
      </w:pPr>
      <w:r w:rsidRPr="008568DE">
        <w:rPr>
          <w:rFonts w:cs="Arial"/>
          <w:sz w:val="22"/>
          <w:szCs w:val="22"/>
        </w:rPr>
        <w:t>The CT scan must be performed no more than 28 days prior to registration/randomisation. All other screening procedures should be performed within 7 days before registration/randomisation.</w:t>
      </w:r>
    </w:p>
    <w:p w14:paraId="276D0EDF" w14:textId="77777777" w:rsidR="00DA67E8" w:rsidRPr="00E67FDA" w:rsidRDefault="00DA67E8" w:rsidP="00E67FDA">
      <w:pPr>
        <w:pStyle w:val="Normal1"/>
        <w:rPr>
          <w:rFonts w:cs="Arial"/>
          <w:color w:val="FF0000"/>
          <w:sz w:val="22"/>
          <w:szCs w:val="22"/>
        </w:rPr>
      </w:pPr>
    </w:p>
    <w:p w14:paraId="1DE0407A" w14:textId="77777777" w:rsidR="00DA67E8" w:rsidRPr="00E67FDA" w:rsidRDefault="00DA67E8" w:rsidP="002F600D">
      <w:pPr>
        <w:pStyle w:val="Normal1"/>
        <w:numPr>
          <w:ilvl w:val="0"/>
          <w:numId w:val="20"/>
        </w:numPr>
        <w:rPr>
          <w:rFonts w:cs="Arial"/>
          <w:sz w:val="22"/>
          <w:szCs w:val="22"/>
        </w:rPr>
      </w:pPr>
      <w:r w:rsidRPr="00E67FDA">
        <w:rPr>
          <w:rFonts w:cs="Arial"/>
          <w:sz w:val="22"/>
          <w:szCs w:val="24"/>
        </w:rPr>
        <w:t>Pathological confirmation of malignant pleural mesothelioma</w:t>
      </w:r>
    </w:p>
    <w:p w14:paraId="3F165C64" w14:textId="77777777" w:rsidR="00DA67E8" w:rsidRPr="00E67FDA" w:rsidRDefault="00DA67E8" w:rsidP="002F600D">
      <w:pPr>
        <w:pStyle w:val="Normal1"/>
        <w:numPr>
          <w:ilvl w:val="0"/>
          <w:numId w:val="20"/>
        </w:numPr>
        <w:rPr>
          <w:rFonts w:cs="Arial"/>
          <w:sz w:val="22"/>
          <w:szCs w:val="22"/>
        </w:rPr>
      </w:pPr>
      <w:r w:rsidRPr="00E67FDA">
        <w:rPr>
          <w:rFonts w:cs="Arial"/>
          <w:sz w:val="22"/>
          <w:lang w:val="en-GB"/>
        </w:rPr>
        <w:t>Complete physical examination and medical history</w:t>
      </w:r>
    </w:p>
    <w:p w14:paraId="57E33A86" w14:textId="77777777" w:rsidR="00DA67E8" w:rsidRPr="00E67FDA" w:rsidRDefault="00DA67E8" w:rsidP="002F600D">
      <w:pPr>
        <w:pStyle w:val="Normal1"/>
        <w:numPr>
          <w:ilvl w:val="0"/>
          <w:numId w:val="20"/>
        </w:numPr>
        <w:rPr>
          <w:rFonts w:cs="Arial"/>
          <w:sz w:val="22"/>
          <w:lang w:val="en-GB"/>
        </w:rPr>
      </w:pPr>
      <w:r w:rsidRPr="00E67FDA">
        <w:rPr>
          <w:rFonts w:cs="Arial"/>
          <w:sz w:val="22"/>
          <w:lang w:val="en-GB"/>
        </w:rPr>
        <w:t>Concomitant medication check</w:t>
      </w:r>
    </w:p>
    <w:p w14:paraId="43490A7C" w14:textId="77777777" w:rsidR="00DA67E8" w:rsidRPr="00E67FDA" w:rsidRDefault="00DA67E8" w:rsidP="002F600D">
      <w:pPr>
        <w:pStyle w:val="Normal1"/>
        <w:numPr>
          <w:ilvl w:val="0"/>
          <w:numId w:val="20"/>
        </w:numPr>
        <w:rPr>
          <w:rFonts w:cs="Arial"/>
          <w:sz w:val="22"/>
          <w:szCs w:val="22"/>
        </w:rPr>
      </w:pPr>
      <w:r w:rsidRPr="00E67FDA">
        <w:rPr>
          <w:rFonts w:cs="Arial"/>
          <w:sz w:val="22"/>
          <w:szCs w:val="22"/>
        </w:rPr>
        <w:t xml:space="preserve">Vital signs, including </w:t>
      </w:r>
      <w:r w:rsidRPr="00E67FDA">
        <w:rPr>
          <w:rFonts w:cs="Arial"/>
          <w:sz w:val="22"/>
          <w:lang w:val="en-GB"/>
        </w:rPr>
        <w:t>heart rate, respiratory rate, blood pressure and body temperature</w:t>
      </w:r>
    </w:p>
    <w:p w14:paraId="64240EC9" w14:textId="77777777" w:rsidR="00DA67E8" w:rsidRPr="00E67FDA" w:rsidRDefault="00DA67E8" w:rsidP="002F600D">
      <w:pPr>
        <w:pStyle w:val="Normal1"/>
        <w:numPr>
          <w:ilvl w:val="0"/>
          <w:numId w:val="20"/>
        </w:numPr>
        <w:rPr>
          <w:rFonts w:cs="Arial"/>
          <w:sz w:val="22"/>
          <w:szCs w:val="22"/>
        </w:rPr>
      </w:pPr>
      <w:r w:rsidRPr="00E67FDA">
        <w:rPr>
          <w:rFonts w:cs="Arial"/>
          <w:sz w:val="22"/>
          <w:lang w:val="en-GB"/>
        </w:rPr>
        <w:t>Height and body weight</w:t>
      </w:r>
    </w:p>
    <w:p w14:paraId="565829C2" w14:textId="77777777" w:rsidR="00DA67E8" w:rsidRPr="00E67FDA" w:rsidRDefault="00DA67E8" w:rsidP="002F600D">
      <w:pPr>
        <w:pStyle w:val="Normal1"/>
        <w:numPr>
          <w:ilvl w:val="0"/>
          <w:numId w:val="20"/>
        </w:numPr>
        <w:rPr>
          <w:rFonts w:cs="Arial"/>
          <w:sz w:val="22"/>
        </w:rPr>
      </w:pPr>
      <w:r w:rsidRPr="00E67FDA">
        <w:rPr>
          <w:rFonts w:cs="Arial"/>
          <w:sz w:val="22"/>
        </w:rPr>
        <w:t xml:space="preserve">ECOG Performance status </w:t>
      </w:r>
    </w:p>
    <w:p w14:paraId="0F46D12B" w14:textId="77777777" w:rsidR="00C1292A" w:rsidRPr="00316EBE" w:rsidRDefault="00C1292A" w:rsidP="002F600D">
      <w:pPr>
        <w:numPr>
          <w:ilvl w:val="0"/>
          <w:numId w:val="20"/>
        </w:numPr>
        <w:jc w:val="both"/>
        <w:rPr>
          <w:rFonts w:ascii="Arial" w:hAnsi="Arial" w:cs="Arial"/>
          <w:sz w:val="22"/>
          <w:szCs w:val="22"/>
        </w:rPr>
      </w:pPr>
      <w:r w:rsidRPr="00316EBE">
        <w:rPr>
          <w:rFonts w:ascii="Arial" w:hAnsi="Arial" w:cs="Arial"/>
          <w:sz w:val="22"/>
          <w:szCs w:val="22"/>
        </w:rPr>
        <w:t xml:space="preserve">Oncological profile </w:t>
      </w:r>
      <w:r w:rsidRPr="00316EBE">
        <w:rPr>
          <w:rFonts w:ascii="Arial" w:hAnsi="Arial" w:cs="Arial"/>
          <w:sz w:val="22"/>
        </w:rPr>
        <w:t xml:space="preserve">including FBC, </w:t>
      </w:r>
      <w:r w:rsidR="00DC639D" w:rsidRPr="00316EBE">
        <w:rPr>
          <w:rFonts w:ascii="Arial" w:hAnsi="Arial" w:cs="Arial"/>
          <w:sz w:val="22"/>
        </w:rPr>
        <w:t>h</w:t>
      </w:r>
      <w:r w:rsidRPr="00316EBE">
        <w:rPr>
          <w:rFonts w:ascii="Arial" w:hAnsi="Arial" w:cs="Arial"/>
          <w:sz w:val="22"/>
        </w:rPr>
        <w:t>aematocrit, haemoglobin, RCC, white cell count with differential, platelets, sodium, potassium, urea, creatinine, chloride, bicarbonate, bilirubin, ALP, AST or ALT, LDH, albumin, total protein, calcium, phosphate, magnesium</w:t>
      </w:r>
    </w:p>
    <w:p w14:paraId="2AD3225C" w14:textId="77777777" w:rsidR="00DA67E8" w:rsidRPr="00E67FDA" w:rsidRDefault="00DA67E8" w:rsidP="002F600D">
      <w:pPr>
        <w:pStyle w:val="Normal1"/>
        <w:numPr>
          <w:ilvl w:val="0"/>
          <w:numId w:val="20"/>
        </w:numPr>
        <w:rPr>
          <w:rFonts w:cs="Arial"/>
          <w:sz w:val="22"/>
          <w:szCs w:val="22"/>
        </w:rPr>
      </w:pPr>
      <w:r w:rsidRPr="00E67FDA">
        <w:rPr>
          <w:rFonts w:cs="Arial"/>
          <w:sz w:val="22"/>
          <w:szCs w:val="22"/>
          <w:lang w:val="en-GB"/>
        </w:rPr>
        <w:t>U</w:t>
      </w:r>
      <w:r w:rsidRPr="00E67FDA">
        <w:rPr>
          <w:rFonts w:cs="Arial"/>
          <w:sz w:val="22"/>
          <w:lang w:val="en-GB"/>
        </w:rPr>
        <w:t>rinalysis (pH, protei</w:t>
      </w:r>
      <w:r w:rsidRPr="00E67FDA">
        <w:rPr>
          <w:rFonts w:cs="Arial"/>
          <w:sz w:val="22"/>
          <w:szCs w:val="22"/>
          <w:lang w:val="en-GB"/>
        </w:rPr>
        <w:t>n</w:t>
      </w:r>
      <w:r w:rsidRPr="00E67FDA">
        <w:rPr>
          <w:rFonts w:cs="Arial"/>
          <w:sz w:val="22"/>
          <w:lang w:val="en-GB"/>
        </w:rPr>
        <w:t>, blood, ketones, glucose)</w:t>
      </w:r>
    </w:p>
    <w:p w14:paraId="00D9DEB2" w14:textId="77777777" w:rsidR="00DA67E8" w:rsidRPr="00E67FDA" w:rsidRDefault="00DA67E8" w:rsidP="002F600D">
      <w:pPr>
        <w:pStyle w:val="Normal1"/>
        <w:numPr>
          <w:ilvl w:val="0"/>
          <w:numId w:val="20"/>
        </w:numPr>
        <w:rPr>
          <w:rFonts w:cs="Arial"/>
          <w:sz w:val="22"/>
          <w:szCs w:val="22"/>
        </w:rPr>
      </w:pPr>
      <w:r w:rsidRPr="00E67FDA">
        <w:rPr>
          <w:rFonts w:cs="Arial"/>
          <w:sz w:val="22"/>
          <w:szCs w:val="22"/>
        </w:rPr>
        <w:t>12 lead Electrocardiogram</w:t>
      </w:r>
      <w:r>
        <w:rPr>
          <w:rFonts w:cs="Arial"/>
          <w:sz w:val="22"/>
          <w:szCs w:val="22"/>
        </w:rPr>
        <w:t xml:space="preserve"> (ECG)</w:t>
      </w:r>
      <w:r w:rsidR="00B04417">
        <w:rPr>
          <w:rFonts w:cs="Arial"/>
          <w:sz w:val="22"/>
          <w:szCs w:val="22"/>
        </w:rPr>
        <w:t>, this is the baseline ECG value</w:t>
      </w:r>
      <w:r>
        <w:rPr>
          <w:rFonts w:cs="Arial"/>
          <w:sz w:val="22"/>
          <w:szCs w:val="22"/>
        </w:rPr>
        <w:t xml:space="preserve"> – see below</w:t>
      </w:r>
    </w:p>
    <w:p w14:paraId="4140F9C7" w14:textId="77777777" w:rsidR="00DA67E8" w:rsidRPr="00E67FDA" w:rsidRDefault="00DA67E8" w:rsidP="002F600D">
      <w:pPr>
        <w:pStyle w:val="Normal1"/>
        <w:numPr>
          <w:ilvl w:val="0"/>
          <w:numId w:val="20"/>
        </w:numPr>
        <w:rPr>
          <w:rFonts w:cs="Arial"/>
          <w:sz w:val="22"/>
          <w:szCs w:val="22"/>
        </w:rPr>
      </w:pPr>
      <w:r w:rsidRPr="00E67FDA">
        <w:rPr>
          <w:rFonts w:cs="Arial"/>
          <w:sz w:val="22"/>
          <w:szCs w:val="22"/>
        </w:rPr>
        <w:t>Adverse event check</w:t>
      </w:r>
    </w:p>
    <w:p w14:paraId="74BB1A16" w14:textId="77777777" w:rsidR="00DA67E8" w:rsidRPr="00E67FDA" w:rsidRDefault="00DA67E8" w:rsidP="002F600D">
      <w:pPr>
        <w:pStyle w:val="Normal1"/>
        <w:numPr>
          <w:ilvl w:val="0"/>
          <w:numId w:val="20"/>
        </w:numPr>
        <w:rPr>
          <w:rFonts w:cs="Arial"/>
          <w:sz w:val="22"/>
          <w:szCs w:val="22"/>
        </w:rPr>
      </w:pPr>
      <w:r w:rsidRPr="00E67FDA">
        <w:rPr>
          <w:rFonts w:cs="Arial"/>
          <w:sz w:val="22"/>
          <w:szCs w:val="22"/>
        </w:rPr>
        <w:t>CT scan (chest and abdomen)</w:t>
      </w:r>
      <w:r w:rsidR="00B042D2">
        <w:rPr>
          <w:rFonts w:cs="Arial"/>
          <w:sz w:val="22"/>
          <w:szCs w:val="22"/>
        </w:rPr>
        <w:t>. Scan within 28 days of registration/randomi</w:t>
      </w:r>
      <w:r w:rsidR="009177FF">
        <w:rPr>
          <w:rFonts w:cs="Arial"/>
          <w:sz w:val="22"/>
          <w:szCs w:val="22"/>
        </w:rPr>
        <w:t>s</w:t>
      </w:r>
      <w:r w:rsidR="00B042D2">
        <w:rPr>
          <w:rFonts w:cs="Arial"/>
          <w:sz w:val="22"/>
          <w:szCs w:val="22"/>
        </w:rPr>
        <w:t>ation.</w:t>
      </w:r>
    </w:p>
    <w:p w14:paraId="48E4BEA5" w14:textId="2F0A506C" w:rsidR="00DA67E8" w:rsidRPr="00097793" w:rsidRDefault="00DA67E8" w:rsidP="002F600D">
      <w:pPr>
        <w:pStyle w:val="Normal1"/>
        <w:numPr>
          <w:ilvl w:val="0"/>
          <w:numId w:val="20"/>
        </w:numPr>
        <w:rPr>
          <w:rFonts w:cs="Arial"/>
          <w:sz w:val="22"/>
          <w:szCs w:val="22"/>
        </w:rPr>
      </w:pPr>
      <w:r w:rsidRPr="00E67FDA">
        <w:rPr>
          <w:rFonts w:cs="Arial"/>
          <w:sz w:val="22"/>
          <w:szCs w:val="24"/>
        </w:rPr>
        <w:t>If female</w:t>
      </w:r>
      <w:r w:rsidR="00896FE8">
        <w:rPr>
          <w:rFonts w:cs="Arial"/>
          <w:sz w:val="22"/>
          <w:szCs w:val="24"/>
        </w:rPr>
        <w:t xml:space="preserve"> </w:t>
      </w:r>
      <w:r w:rsidR="00896FE8">
        <w:rPr>
          <w:rFonts w:cs="Arial"/>
          <w:sz w:val="22"/>
          <w:szCs w:val="22"/>
        </w:rPr>
        <w:t xml:space="preserve">and </w:t>
      </w:r>
      <w:r w:rsidR="00896FE8" w:rsidRPr="00EE713E">
        <w:rPr>
          <w:rFonts w:cs="Arial"/>
          <w:sz w:val="22"/>
          <w:szCs w:val="22"/>
        </w:rPr>
        <w:t xml:space="preserve">of </w:t>
      </w:r>
      <w:r w:rsidR="005956A6">
        <w:rPr>
          <w:rFonts w:cs="Arial"/>
          <w:sz w:val="22"/>
          <w:szCs w:val="22"/>
        </w:rPr>
        <w:t xml:space="preserve">child-bearing </w:t>
      </w:r>
      <w:r w:rsidR="00896FE8" w:rsidRPr="00097793">
        <w:rPr>
          <w:rFonts w:cs="Arial"/>
          <w:sz w:val="22"/>
          <w:szCs w:val="22"/>
        </w:rPr>
        <w:t>potential</w:t>
      </w:r>
      <w:r w:rsidRPr="00097793">
        <w:rPr>
          <w:rFonts w:cs="Arial"/>
          <w:sz w:val="22"/>
          <w:szCs w:val="24"/>
        </w:rPr>
        <w:t xml:space="preserve">, a negative serum pregnancy test </w:t>
      </w:r>
      <w:r w:rsidRPr="00097793">
        <w:rPr>
          <w:rFonts w:cs="Arial"/>
          <w:bCs/>
          <w:sz w:val="22"/>
          <w:szCs w:val="24"/>
        </w:rPr>
        <w:t>(See Section</w:t>
      </w:r>
      <w:r w:rsidR="00B042D2">
        <w:rPr>
          <w:rFonts w:cs="Arial"/>
          <w:bCs/>
          <w:sz w:val="22"/>
          <w:szCs w:val="24"/>
        </w:rPr>
        <w:t xml:space="preserve"> </w:t>
      </w:r>
      <w:r w:rsidR="004C02C9" w:rsidRPr="00097793">
        <w:rPr>
          <w:rFonts w:cs="Arial"/>
          <w:bCs/>
          <w:sz w:val="22"/>
          <w:szCs w:val="24"/>
        </w:rPr>
        <w:t>5.6</w:t>
      </w:r>
      <w:r w:rsidRPr="00097793">
        <w:rPr>
          <w:rFonts w:cs="Arial"/>
          <w:bCs/>
          <w:sz w:val="22"/>
          <w:szCs w:val="24"/>
        </w:rPr>
        <w:t>)</w:t>
      </w:r>
    </w:p>
    <w:p w14:paraId="0A729523" w14:textId="77777777" w:rsidR="00DA67E8" w:rsidRDefault="00DA67E8" w:rsidP="002F600D">
      <w:pPr>
        <w:numPr>
          <w:ilvl w:val="0"/>
          <w:numId w:val="20"/>
        </w:numPr>
        <w:jc w:val="both"/>
        <w:rPr>
          <w:rFonts w:ascii="Arial" w:hAnsi="Arial" w:cs="Arial"/>
          <w:sz w:val="22"/>
          <w:szCs w:val="22"/>
        </w:rPr>
      </w:pPr>
      <w:r w:rsidRPr="00097793">
        <w:rPr>
          <w:rFonts w:ascii="Arial" w:hAnsi="Arial" w:cs="Arial"/>
          <w:iCs/>
          <w:sz w:val="22"/>
          <w:szCs w:val="22"/>
        </w:rPr>
        <w:t>Collection of archival paraffin embedded</w:t>
      </w:r>
      <w:r w:rsidRPr="00E67FDA">
        <w:rPr>
          <w:rFonts w:ascii="Arial" w:hAnsi="Arial" w:cs="Arial"/>
          <w:iCs/>
          <w:sz w:val="22"/>
          <w:szCs w:val="22"/>
        </w:rPr>
        <w:t xml:space="preserve"> formalin fixed diagnostic tissue is mandatory for this trial. </w:t>
      </w:r>
      <w:r w:rsidRPr="00E67FDA">
        <w:rPr>
          <w:rFonts w:ascii="Arial" w:hAnsi="Arial" w:cs="Arial"/>
          <w:sz w:val="22"/>
          <w:szCs w:val="22"/>
        </w:rPr>
        <w:t xml:space="preserve">All tissue blocks will be analysed centrally for RNA/DNA extraction, as well as generation of a virtual tissue library and tissue microarray to facilitate biomarker discovery and assessment of </w:t>
      </w:r>
      <w:r w:rsidRPr="00E67FDA">
        <w:rPr>
          <w:rFonts w:ascii="Arial" w:hAnsi="Arial" w:cs="Arial"/>
          <w:iCs/>
          <w:sz w:val="22"/>
          <w:szCs w:val="22"/>
        </w:rPr>
        <w:t>chemoresistance</w:t>
      </w:r>
      <w:r w:rsidRPr="00E67FDA">
        <w:rPr>
          <w:rFonts w:ascii="Arial" w:hAnsi="Arial" w:cs="Arial"/>
          <w:sz w:val="22"/>
          <w:szCs w:val="22"/>
        </w:rPr>
        <w:t xml:space="preserve">. </w:t>
      </w:r>
      <w:r w:rsidRPr="00097793">
        <w:rPr>
          <w:rFonts w:ascii="Arial" w:hAnsi="Arial" w:cs="Arial"/>
          <w:sz w:val="22"/>
          <w:szCs w:val="22"/>
        </w:rPr>
        <w:t xml:space="preserve">See Section </w:t>
      </w:r>
      <w:r w:rsidR="004C02C9" w:rsidRPr="00097793">
        <w:rPr>
          <w:rFonts w:ascii="Arial" w:hAnsi="Arial" w:cs="Arial"/>
          <w:sz w:val="22"/>
          <w:szCs w:val="22"/>
        </w:rPr>
        <w:t>20</w:t>
      </w:r>
      <w:r w:rsidRPr="00097793">
        <w:rPr>
          <w:rFonts w:ascii="Arial" w:hAnsi="Arial" w:cs="Arial"/>
          <w:sz w:val="22"/>
          <w:szCs w:val="22"/>
        </w:rPr>
        <w:t xml:space="preserve"> for details of sending the tissue sample to the central laboratory.</w:t>
      </w:r>
    </w:p>
    <w:p w14:paraId="68D02758" w14:textId="77777777" w:rsidR="00C62DF7" w:rsidRPr="00097793" w:rsidRDefault="00C62DF7" w:rsidP="002F600D">
      <w:pPr>
        <w:numPr>
          <w:ilvl w:val="0"/>
          <w:numId w:val="20"/>
        </w:numPr>
        <w:jc w:val="both"/>
        <w:rPr>
          <w:rFonts w:ascii="Arial" w:hAnsi="Arial" w:cs="Arial"/>
          <w:sz w:val="22"/>
          <w:szCs w:val="22"/>
        </w:rPr>
      </w:pPr>
      <w:r>
        <w:rPr>
          <w:rFonts w:ascii="Arial" w:hAnsi="Arial" w:cs="Arial"/>
          <w:sz w:val="22"/>
          <w:szCs w:val="22"/>
        </w:rPr>
        <w:t>Blood sample for translation research (</w:t>
      </w:r>
      <w:r w:rsidR="007E66C4">
        <w:rPr>
          <w:rFonts w:ascii="Arial" w:hAnsi="Arial" w:cs="Arial"/>
          <w:sz w:val="22"/>
          <w:szCs w:val="22"/>
        </w:rPr>
        <w:t>Phase I: only patients in cisplatin cohort used to confirm MTD and cohort treated with carboplatin run in parallel. P</w:t>
      </w:r>
      <w:r>
        <w:rPr>
          <w:rFonts w:ascii="Arial" w:hAnsi="Arial" w:cs="Arial"/>
          <w:sz w:val="22"/>
          <w:szCs w:val="22"/>
        </w:rPr>
        <w:t>hase II</w:t>
      </w:r>
      <w:r w:rsidR="007E66C4">
        <w:rPr>
          <w:rFonts w:ascii="Arial" w:hAnsi="Arial" w:cs="Arial"/>
          <w:sz w:val="22"/>
          <w:szCs w:val="22"/>
        </w:rPr>
        <w:t>: all patients</w:t>
      </w:r>
      <w:r>
        <w:rPr>
          <w:rFonts w:ascii="Arial" w:hAnsi="Arial" w:cs="Arial"/>
          <w:sz w:val="22"/>
          <w:szCs w:val="22"/>
        </w:rPr>
        <w:t xml:space="preserve">). </w:t>
      </w:r>
      <w:r w:rsidRPr="00097793">
        <w:rPr>
          <w:rFonts w:ascii="Arial" w:hAnsi="Arial" w:cs="Arial"/>
          <w:sz w:val="22"/>
          <w:szCs w:val="22"/>
        </w:rPr>
        <w:t>See Section 20 for details</w:t>
      </w:r>
    </w:p>
    <w:p w14:paraId="14824DB0" w14:textId="77777777" w:rsidR="00DA67E8" w:rsidRDefault="00DA67E8" w:rsidP="004D6869">
      <w:pPr>
        <w:jc w:val="both"/>
        <w:rPr>
          <w:rFonts w:ascii="Arial" w:hAnsi="Arial" w:cs="Arial"/>
          <w:sz w:val="22"/>
          <w:szCs w:val="22"/>
        </w:rPr>
      </w:pPr>
    </w:p>
    <w:p w14:paraId="65EB0FEF" w14:textId="77777777" w:rsidR="00DA67E8" w:rsidRPr="004D6869" w:rsidRDefault="00DA67E8" w:rsidP="00C1292A">
      <w:pPr>
        <w:pStyle w:val="C-Bullet"/>
        <w:numPr>
          <w:ilvl w:val="0"/>
          <w:numId w:val="0"/>
        </w:numPr>
        <w:rPr>
          <w:rFonts w:ascii="Arial" w:hAnsi="Arial" w:cs="Arial"/>
          <w:i/>
          <w:sz w:val="22"/>
        </w:rPr>
      </w:pPr>
      <w:r w:rsidRPr="004D6869">
        <w:rPr>
          <w:rFonts w:ascii="Arial" w:hAnsi="Arial" w:cs="Arial"/>
          <w:i/>
          <w:sz w:val="22"/>
        </w:rPr>
        <w:t>12-lead electrocardiogram (ECG)</w:t>
      </w:r>
    </w:p>
    <w:p w14:paraId="05CF2A1B" w14:textId="77777777" w:rsidR="00DA67E8" w:rsidRPr="00DC16AE" w:rsidRDefault="00DA67E8" w:rsidP="002F600D">
      <w:pPr>
        <w:numPr>
          <w:ilvl w:val="0"/>
          <w:numId w:val="20"/>
        </w:numPr>
        <w:jc w:val="both"/>
        <w:rPr>
          <w:rFonts w:ascii="Arial" w:hAnsi="Arial" w:cs="Arial"/>
          <w:iCs/>
          <w:sz w:val="22"/>
          <w:szCs w:val="22"/>
        </w:rPr>
      </w:pPr>
      <w:r w:rsidRPr="00DC16AE">
        <w:rPr>
          <w:rFonts w:ascii="Arial" w:hAnsi="Arial" w:cs="Arial"/>
          <w:iCs/>
          <w:sz w:val="22"/>
          <w:szCs w:val="22"/>
        </w:rPr>
        <w:t>If the</w:t>
      </w:r>
      <w:r w:rsidR="008533D3">
        <w:rPr>
          <w:rFonts w:ascii="Arial" w:hAnsi="Arial" w:cs="Arial"/>
          <w:iCs/>
          <w:sz w:val="22"/>
          <w:szCs w:val="22"/>
        </w:rPr>
        <w:t xml:space="preserve"> first test results in QTc &gt;470</w:t>
      </w:r>
      <w:r w:rsidRPr="00DC16AE">
        <w:rPr>
          <w:rFonts w:ascii="Arial" w:hAnsi="Arial" w:cs="Arial"/>
          <w:iCs/>
          <w:sz w:val="22"/>
          <w:szCs w:val="22"/>
        </w:rPr>
        <w:t xml:space="preserve">msec, repeat ECGs </w:t>
      </w:r>
      <w:r w:rsidR="001362A8">
        <w:rPr>
          <w:rFonts w:ascii="Arial" w:hAnsi="Arial" w:cs="Arial"/>
          <w:iCs/>
          <w:sz w:val="22"/>
          <w:szCs w:val="22"/>
        </w:rPr>
        <w:t>as</w:t>
      </w:r>
      <w:r w:rsidR="001362A8" w:rsidRPr="00DC16AE">
        <w:rPr>
          <w:rFonts w:ascii="Arial" w:hAnsi="Arial" w:cs="Arial"/>
          <w:iCs/>
          <w:sz w:val="22"/>
          <w:szCs w:val="22"/>
        </w:rPr>
        <w:t xml:space="preserve"> </w:t>
      </w:r>
      <w:r w:rsidRPr="00DC16AE">
        <w:rPr>
          <w:rFonts w:ascii="Arial" w:hAnsi="Arial" w:cs="Arial"/>
          <w:iCs/>
          <w:sz w:val="22"/>
          <w:szCs w:val="22"/>
        </w:rPr>
        <w:t xml:space="preserve">necessary to determine eligibility </w:t>
      </w:r>
    </w:p>
    <w:p w14:paraId="778EFEF5" w14:textId="77777777" w:rsidR="00DA67E8" w:rsidRPr="00E67FDA" w:rsidRDefault="00DA67E8" w:rsidP="004D6869">
      <w:pPr>
        <w:jc w:val="both"/>
        <w:rPr>
          <w:rFonts w:ascii="Arial" w:hAnsi="Arial" w:cs="Arial"/>
          <w:sz w:val="22"/>
          <w:szCs w:val="22"/>
        </w:rPr>
      </w:pPr>
    </w:p>
    <w:p w14:paraId="43D80333" w14:textId="77777777" w:rsidR="00DA67E8" w:rsidRDefault="00DA67E8" w:rsidP="00BF16F9">
      <w:pPr>
        <w:pStyle w:val="Heading2"/>
      </w:pPr>
      <w:bookmarkStart w:id="471" w:name="_Toc333484761"/>
      <w:bookmarkStart w:id="472" w:name="_Toc333484876"/>
      <w:bookmarkStart w:id="473" w:name="_Toc351624830"/>
      <w:bookmarkStart w:id="474" w:name="_Toc471826792"/>
      <w:bookmarkStart w:id="475" w:name="_Toc528323558"/>
      <w:bookmarkStart w:id="476" w:name="_Toc283031783"/>
      <w:bookmarkStart w:id="477" w:name="_Toc283376319"/>
      <w:r w:rsidRPr="00CE1B85">
        <w:t xml:space="preserve">Assessments </w:t>
      </w:r>
      <w:r>
        <w:t>during treatment (phase I and phase II)</w:t>
      </w:r>
      <w:bookmarkEnd w:id="471"/>
      <w:bookmarkEnd w:id="472"/>
      <w:bookmarkEnd w:id="473"/>
      <w:bookmarkEnd w:id="474"/>
      <w:bookmarkEnd w:id="475"/>
    </w:p>
    <w:bookmarkEnd w:id="476"/>
    <w:bookmarkEnd w:id="477"/>
    <w:p w14:paraId="50FFA1A7" w14:textId="77777777" w:rsidR="00DA67E8" w:rsidRDefault="00DA67E8" w:rsidP="00F62DC2">
      <w:pPr>
        <w:jc w:val="both"/>
        <w:rPr>
          <w:rFonts w:ascii="Arial" w:hAnsi="Arial" w:cs="Arial"/>
          <w:sz w:val="22"/>
          <w:szCs w:val="22"/>
        </w:rPr>
      </w:pPr>
      <w:r w:rsidRPr="00202C02">
        <w:rPr>
          <w:rFonts w:ascii="Arial" w:hAnsi="Arial" w:cs="Arial"/>
          <w:sz w:val="22"/>
          <w:szCs w:val="22"/>
        </w:rPr>
        <w:t>The assessments detailed below must be performed at the beginning o</w:t>
      </w:r>
      <w:r>
        <w:rPr>
          <w:rFonts w:ascii="Arial" w:hAnsi="Arial" w:cs="Arial"/>
          <w:sz w:val="22"/>
          <w:szCs w:val="22"/>
        </w:rPr>
        <w:t>f each cycle, before starting ganetespib:</w:t>
      </w:r>
    </w:p>
    <w:p w14:paraId="79E9739C" w14:textId="77777777" w:rsidR="00DA67E8" w:rsidRPr="00202C02" w:rsidRDefault="00DA67E8" w:rsidP="00F62DC2">
      <w:pPr>
        <w:jc w:val="both"/>
        <w:rPr>
          <w:rFonts w:ascii="Arial" w:hAnsi="Arial" w:cs="Arial"/>
          <w:sz w:val="22"/>
          <w:szCs w:val="22"/>
        </w:rPr>
      </w:pPr>
    </w:p>
    <w:p w14:paraId="0C050FC0" w14:textId="77777777" w:rsidR="00DA67E8" w:rsidRDefault="00DA67E8" w:rsidP="002F600D">
      <w:pPr>
        <w:numPr>
          <w:ilvl w:val="0"/>
          <w:numId w:val="21"/>
        </w:numPr>
        <w:jc w:val="both"/>
        <w:rPr>
          <w:rFonts w:ascii="Arial" w:hAnsi="Arial" w:cs="Arial"/>
          <w:sz w:val="22"/>
          <w:szCs w:val="22"/>
        </w:rPr>
      </w:pPr>
      <w:r w:rsidRPr="00202C02">
        <w:rPr>
          <w:rFonts w:ascii="Arial" w:hAnsi="Arial" w:cs="Arial"/>
          <w:sz w:val="22"/>
          <w:szCs w:val="22"/>
        </w:rPr>
        <w:t xml:space="preserve">Physical examination </w:t>
      </w:r>
    </w:p>
    <w:p w14:paraId="3939F7C4" w14:textId="77777777" w:rsidR="005872AD" w:rsidRPr="00025E88" w:rsidRDefault="005872AD" w:rsidP="002F600D">
      <w:pPr>
        <w:numPr>
          <w:ilvl w:val="0"/>
          <w:numId w:val="21"/>
        </w:numPr>
        <w:jc w:val="both"/>
        <w:rPr>
          <w:rFonts w:ascii="Arial" w:hAnsi="Arial" w:cs="Arial"/>
          <w:sz w:val="22"/>
          <w:szCs w:val="22"/>
        </w:rPr>
      </w:pPr>
      <w:r>
        <w:rPr>
          <w:rFonts w:ascii="Arial" w:hAnsi="Arial" w:cs="Arial"/>
          <w:sz w:val="22"/>
          <w:szCs w:val="22"/>
        </w:rPr>
        <w:t>ECOG Performance status</w:t>
      </w:r>
    </w:p>
    <w:p w14:paraId="7FE2EAD3" w14:textId="77777777" w:rsidR="00DA67E8" w:rsidRDefault="00DA67E8" w:rsidP="002F600D">
      <w:pPr>
        <w:numPr>
          <w:ilvl w:val="0"/>
          <w:numId w:val="21"/>
        </w:numPr>
        <w:jc w:val="both"/>
        <w:rPr>
          <w:rFonts w:ascii="Arial" w:hAnsi="Arial" w:cs="Arial"/>
          <w:sz w:val="22"/>
          <w:szCs w:val="22"/>
        </w:rPr>
      </w:pPr>
      <w:r>
        <w:rPr>
          <w:rFonts w:ascii="Arial" w:hAnsi="Arial" w:cs="Arial"/>
          <w:sz w:val="22"/>
          <w:szCs w:val="22"/>
        </w:rPr>
        <w:t>Concomitant medication check</w:t>
      </w:r>
    </w:p>
    <w:p w14:paraId="3F578B93" w14:textId="77777777" w:rsidR="00DA67E8" w:rsidRPr="00025E88" w:rsidRDefault="00DA67E8" w:rsidP="002F600D">
      <w:pPr>
        <w:numPr>
          <w:ilvl w:val="0"/>
          <w:numId w:val="21"/>
        </w:numPr>
        <w:jc w:val="both"/>
        <w:rPr>
          <w:rFonts w:ascii="Arial" w:hAnsi="Arial" w:cs="Arial"/>
          <w:sz w:val="22"/>
          <w:szCs w:val="22"/>
        </w:rPr>
      </w:pPr>
      <w:r w:rsidRPr="00202C02">
        <w:rPr>
          <w:rFonts w:ascii="Arial" w:hAnsi="Arial" w:cs="Arial"/>
          <w:sz w:val="22"/>
          <w:szCs w:val="22"/>
        </w:rPr>
        <w:t xml:space="preserve">Vital signs, including heart rate, respiratory rate, blood pressure and </w:t>
      </w:r>
      <w:r>
        <w:rPr>
          <w:rFonts w:ascii="Arial" w:hAnsi="Arial" w:cs="Arial"/>
          <w:sz w:val="22"/>
          <w:szCs w:val="22"/>
        </w:rPr>
        <w:t xml:space="preserve">body </w:t>
      </w:r>
      <w:r w:rsidRPr="00202C02">
        <w:rPr>
          <w:rFonts w:ascii="Arial" w:hAnsi="Arial" w:cs="Arial"/>
          <w:sz w:val="22"/>
          <w:szCs w:val="22"/>
        </w:rPr>
        <w:t xml:space="preserve">temperature </w:t>
      </w:r>
    </w:p>
    <w:p w14:paraId="1C926809" w14:textId="77777777" w:rsidR="00DA67E8" w:rsidRPr="00025E88" w:rsidRDefault="00DA67E8" w:rsidP="002F600D">
      <w:pPr>
        <w:pStyle w:val="Normal1"/>
        <w:numPr>
          <w:ilvl w:val="0"/>
          <w:numId w:val="21"/>
        </w:numPr>
        <w:rPr>
          <w:rFonts w:cs="Arial"/>
          <w:sz w:val="22"/>
          <w:szCs w:val="22"/>
        </w:rPr>
      </w:pPr>
      <w:r w:rsidRPr="00E67FDA">
        <w:rPr>
          <w:rFonts w:cs="Arial"/>
          <w:sz w:val="22"/>
          <w:lang w:val="en-GB"/>
        </w:rPr>
        <w:t>Height and body weight</w:t>
      </w:r>
    </w:p>
    <w:p w14:paraId="37ADEEBF" w14:textId="77777777" w:rsidR="000F57A3" w:rsidRPr="000F57A3" w:rsidRDefault="00C1292A" w:rsidP="002F600D">
      <w:pPr>
        <w:numPr>
          <w:ilvl w:val="0"/>
          <w:numId w:val="21"/>
        </w:numPr>
        <w:jc w:val="both"/>
        <w:rPr>
          <w:rFonts w:ascii="Arial" w:hAnsi="Arial" w:cs="Arial"/>
          <w:sz w:val="22"/>
          <w:szCs w:val="22"/>
        </w:rPr>
      </w:pPr>
      <w:r w:rsidRPr="005643E2">
        <w:rPr>
          <w:rFonts w:ascii="Arial" w:hAnsi="Arial" w:cs="Arial"/>
          <w:sz w:val="22"/>
          <w:szCs w:val="22"/>
        </w:rPr>
        <w:lastRenderedPageBreak/>
        <w:t xml:space="preserve">Oncological profile </w:t>
      </w:r>
      <w:r w:rsidRPr="005643E2">
        <w:rPr>
          <w:rFonts w:ascii="Arial" w:hAnsi="Arial" w:cs="Arial"/>
          <w:sz w:val="22"/>
        </w:rPr>
        <w:t xml:space="preserve">including FBC, </w:t>
      </w:r>
      <w:r w:rsidR="00DC639D" w:rsidRPr="005643E2">
        <w:rPr>
          <w:rFonts w:ascii="Arial" w:hAnsi="Arial" w:cs="Arial"/>
          <w:sz w:val="22"/>
        </w:rPr>
        <w:t>h</w:t>
      </w:r>
      <w:r w:rsidRPr="005643E2">
        <w:rPr>
          <w:rFonts w:ascii="Arial" w:hAnsi="Arial" w:cs="Arial"/>
          <w:sz w:val="22"/>
        </w:rPr>
        <w:t>aematocrit, haemoglobin, RCC, white cell count with differential, platelets, sodium, potassium, urea, creatinine, chloride, bicarbonate, bilirubin, ALP, AST or ALT, LDH, albumin, total protein, calcium, phosphate, magnesium</w:t>
      </w:r>
      <w:r w:rsidR="00DC639D" w:rsidRPr="005643E2">
        <w:rPr>
          <w:rFonts w:ascii="Arial" w:hAnsi="Arial" w:cs="Arial"/>
          <w:sz w:val="22"/>
        </w:rPr>
        <w:t xml:space="preserve">. </w:t>
      </w:r>
    </w:p>
    <w:p w14:paraId="26ACE82F" w14:textId="77777777" w:rsidR="000F57A3" w:rsidRPr="00C874F5" w:rsidRDefault="00DC639D" w:rsidP="00C874F5">
      <w:pPr>
        <w:numPr>
          <w:ilvl w:val="1"/>
          <w:numId w:val="21"/>
        </w:numPr>
        <w:jc w:val="both"/>
        <w:rPr>
          <w:rFonts w:ascii="Arial" w:hAnsi="Arial" w:cs="Arial"/>
          <w:sz w:val="22"/>
          <w:szCs w:val="22"/>
        </w:rPr>
      </w:pPr>
      <w:r w:rsidRPr="005643E2">
        <w:rPr>
          <w:rFonts w:ascii="Arial" w:hAnsi="Arial" w:cs="Arial"/>
          <w:b/>
          <w:sz w:val="22"/>
          <w:szCs w:val="22"/>
        </w:rPr>
        <w:t>The ANC must be ≥</w:t>
      </w:r>
      <w:r w:rsidR="000F57A3">
        <w:rPr>
          <w:rFonts w:ascii="Arial" w:hAnsi="Arial" w:cs="Arial"/>
          <w:b/>
          <w:sz w:val="22"/>
          <w:szCs w:val="22"/>
        </w:rPr>
        <w:t>2</w:t>
      </w:r>
      <w:r w:rsidRPr="005643E2">
        <w:rPr>
          <w:rFonts w:ascii="Arial" w:hAnsi="Arial" w:cs="Arial"/>
          <w:b/>
          <w:sz w:val="22"/>
          <w:szCs w:val="22"/>
        </w:rPr>
        <w:t>.</w:t>
      </w:r>
      <w:r w:rsidR="000F57A3">
        <w:rPr>
          <w:rFonts w:ascii="Arial" w:hAnsi="Arial" w:cs="Arial"/>
          <w:b/>
          <w:sz w:val="22"/>
          <w:szCs w:val="22"/>
        </w:rPr>
        <w:t>0</w:t>
      </w:r>
      <w:r w:rsidRPr="005643E2">
        <w:rPr>
          <w:rFonts w:ascii="Arial" w:hAnsi="Arial" w:cs="Arial"/>
          <w:b/>
          <w:sz w:val="22"/>
          <w:szCs w:val="22"/>
        </w:rPr>
        <w:t xml:space="preserve"> x 10</w:t>
      </w:r>
      <w:r w:rsidRPr="005643E2">
        <w:rPr>
          <w:rFonts w:ascii="Arial" w:hAnsi="Arial" w:cs="Arial"/>
          <w:b/>
          <w:sz w:val="22"/>
          <w:szCs w:val="22"/>
          <w:vertAlign w:val="superscript"/>
        </w:rPr>
        <w:t>9</w:t>
      </w:r>
      <w:r w:rsidRPr="005643E2">
        <w:rPr>
          <w:rFonts w:ascii="Arial" w:hAnsi="Arial" w:cs="Arial"/>
          <w:b/>
          <w:sz w:val="22"/>
          <w:szCs w:val="22"/>
        </w:rPr>
        <w:t>/L, and platelets must be ≥100 x 10</w:t>
      </w:r>
      <w:r w:rsidRPr="005643E2">
        <w:rPr>
          <w:rFonts w:ascii="Arial" w:hAnsi="Arial" w:cs="Arial"/>
          <w:b/>
          <w:sz w:val="22"/>
          <w:szCs w:val="22"/>
          <w:vertAlign w:val="superscript"/>
        </w:rPr>
        <w:t>9</w:t>
      </w:r>
      <w:r w:rsidRPr="005643E2">
        <w:rPr>
          <w:rFonts w:ascii="Arial" w:hAnsi="Arial" w:cs="Arial"/>
          <w:b/>
          <w:sz w:val="22"/>
          <w:szCs w:val="22"/>
        </w:rPr>
        <w:t xml:space="preserve">/L before the start of cycle 1. </w:t>
      </w:r>
    </w:p>
    <w:p w14:paraId="525421E6" w14:textId="77777777" w:rsidR="000F57A3" w:rsidRDefault="00DC639D" w:rsidP="00C874F5">
      <w:pPr>
        <w:numPr>
          <w:ilvl w:val="1"/>
          <w:numId w:val="21"/>
        </w:numPr>
        <w:jc w:val="both"/>
        <w:rPr>
          <w:rFonts w:ascii="Arial" w:hAnsi="Arial" w:cs="Arial"/>
          <w:sz w:val="22"/>
          <w:szCs w:val="22"/>
        </w:rPr>
      </w:pPr>
      <w:r w:rsidRPr="005643E2">
        <w:rPr>
          <w:rFonts w:ascii="Arial" w:hAnsi="Arial" w:cs="Arial"/>
          <w:sz w:val="22"/>
          <w:szCs w:val="22"/>
        </w:rPr>
        <w:t>Haematocrit, haemoglobin, red cell count, white cell count with differential, platelet count</w:t>
      </w:r>
      <w:r w:rsidRPr="005643E2">
        <w:rPr>
          <w:rFonts w:ascii="Arial" w:hAnsi="Arial" w:cs="Arial"/>
          <w:iCs/>
          <w:sz w:val="22"/>
          <w:szCs w:val="22"/>
        </w:rPr>
        <w:t xml:space="preserve"> a</w:t>
      </w:r>
      <w:r w:rsidRPr="005643E2">
        <w:rPr>
          <w:rFonts w:ascii="Arial" w:hAnsi="Arial" w:cs="Arial"/>
          <w:sz w:val="22"/>
          <w:szCs w:val="22"/>
        </w:rPr>
        <w:t xml:space="preserve">lso required on </w:t>
      </w:r>
      <w:r w:rsidR="00782B5E">
        <w:rPr>
          <w:rFonts w:ascii="Arial" w:hAnsi="Arial" w:cs="Arial"/>
          <w:sz w:val="22"/>
          <w:szCs w:val="22"/>
        </w:rPr>
        <w:t>Day 15</w:t>
      </w:r>
      <w:r w:rsidRPr="005643E2">
        <w:rPr>
          <w:rFonts w:ascii="Arial" w:hAnsi="Arial" w:cs="Arial"/>
          <w:sz w:val="22"/>
          <w:szCs w:val="22"/>
        </w:rPr>
        <w:t xml:space="preserve"> of Cycles 1 and 2 only.</w:t>
      </w:r>
      <w:r w:rsidRPr="005643E2">
        <w:rPr>
          <w:rFonts w:ascii="Arial" w:hAnsi="Arial" w:cs="Arial"/>
          <w:iCs/>
          <w:sz w:val="22"/>
          <w:szCs w:val="22"/>
        </w:rPr>
        <w:t xml:space="preserve"> </w:t>
      </w:r>
      <w:r w:rsidR="000F57A3" w:rsidRPr="00282E5B">
        <w:rPr>
          <w:rFonts w:ascii="Arial" w:hAnsi="Arial" w:cs="Arial"/>
          <w:sz w:val="22"/>
          <w:szCs w:val="22"/>
        </w:rPr>
        <w:t>Day 15 bloods are not required for subsequent cycle</w:t>
      </w:r>
      <w:r w:rsidR="000F57A3">
        <w:rPr>
          <w:rFonts w:ascii="Arial" w:hAnsi="Arial" w:cs="Arial"/>
          <w:sz w:val="22"/>
          <w:szCs w:val="22"/>
        </w:rPr>
        <w:t>s</w:t>
      </w:r>
      <w:r w:rsidR="000F57A3" w:rsidRPr="00282E5B">
        <w:rPr>
          <w:rFonts w:ascii="Arial" w:hAnsi="Arial" w:cs="Arial"/>
          <w:sz w:val="22"/>
          <w:szCs w:val="22"/>
        </w:rPr>
        <w:t xml:space="preserve"> unless clinica</w:t>
      </w:r>
      <w:r w:rsidR="000F57A3">
        <w:rPr>
          <w:rFonts w:ascii="Arial" w:hAnsi="Arial" w:cs="Arial"/>
          <w:sz w:val="22"/>
          <w:szCs w:val="22"/>
        </w:rPr>
        <w:t>l</w:t>
      </w:r>
      <w:r w:rsidR="000F57A3" w:rsidRPr="00282E5B">
        <w:rPr>
          <w:rFonts w:ascii="Arial" w:hAnsi="Arial" w:cs="Arial"/>
          <w:sz w:val="22"/>
          <w:szCs w:val="22"/>
        </w:rPr>
        <w:t>l</w:t>
      </w:r>
      <w:r w:rsidR="000F57A3">
        <w:rPr>
          <w:rFonts w:ascii="Arial" w:hAnsi="Arial" w:cs="Arial"/>
          <w:sz w:val="22"/>
          <w:szCs w:val="22"/>
        </w:rPr>
        <w:t>y</w:t>
      </w:r>
      <w:r w:rsidR="000F57A3" w:rsidRPr="00282E5B">
        <w:rPr>
          <w:rFonts w:ascii="Arial" w:hAnsi="Arial" w:cs="Arial"/>
          <w:sz w:val="22"/>
          <w:szCs w:val="22"/>
        </w:rPr>
        <w:t xml:space="preserve"> indicated.</w:t>
      </w:r>
    </w:p>
    <w:p w14:paraId="00A551B2" w14:textId="77777777" w:rsidR="00DC639D" w:rsidRPr="005643E2" w:rsidRDefault="00DC639D" w:rsidP="00C874F5">
      <w:pPr>
        <w:numPr>
          <w:ilvl w:val="1"/>
          <w:numId w:val="21"/>
        </w:numPr>
        <w:jc w:val="both"/>
        <w:rPr>
          <w:rFonts w:ascii="Arial" w:hAnsi="Arial" w:cs="Arial"/>
          <w:sz w:val="22"/>
          <w:szCs w:val="22"/>
        </w:rPr>
      </w:pPr>
      <w:r w:rsidRPr="005643E2">
        <w:rPr>
          <w:rFonts w:ascii="Arial" w:hAnsi="Arial" w:cs="Arial"/>
          <w:sz w:val="22"/>
          <w:szCs w:val="22"/>
        </w:rPr>
        <w:t>Bloods may be taken up to 2 days prior to treatment.</w:t>
      </w:r>
    </w:p>
    <w:p w14:paraId="613BC4AC" w14:textId="39BC13AE" w:rsidR="00E71AEB" w:rsidRPr="005643E2" w:rsidRDefault="00E71AEB" w:rsidP="002F600D">
      <w:pPr>
        <w:numPr>
          <w:ilvl w:val="0"/>
          <w:numId w:val="21"/>
        </w:numPr>
        <w:jc w:val="both"/>
        <w:rPr>
          <w:rFonts w:ascii="Arial" w:hAnsi="Arial" w:cs="Arial"/>
          <w:sz w:val="22"/>
          <w:szCs w:val="22"/>
        </w:rPr>
      </w:pPr>
      <w:r w:rsidRPr="005643E2">
        <w:rPr>
          <w:rFonts w:ascii="Arial" w:hAnsi="Arial" w:cs="Arial"/>
          <w:sz w:val="22"/>
        </w:rPr>
        <w:t xml:space="preserve">If female </w:t>
      </w:r>
      <w:r w:rsidRPr="005643E2">
        <w:rPr>
          <w:rFonts w:ascii="Arial" w:hAnsi="Arial" w:cs="Arial"/>
          <w:sz w:val="22"/>
          <w:szCs w:val="22"/>
        </w:rPr>
        <w:t xml:space="preserve">and of </w:t>
      </w:r>
      <w:r w:rsidR="005956A6">
        <w:rPr>
          <w:rFonts w:ascii="Arial" w:hAnsi="Arial" w:cs="Arial"/>
          <w:sz w:val="22"/>
          <w:szCs w:val="22"/>
        </w:rPr>
        <w:t xml:space="preserve">child-bearing </w:t>
      </w:r>
      <w:r w:rsidRPr="005643E2">
        <w:rPr>
          <w:rFonts w:ascii="Arial" w:hAnsi="Arial" w:cs="Arial"/>
          <w:sz w:val="22"/>
          <w:szCs w:val="22"/>
        </w:rPr>
        <w:t xml:space="preserve"> potential</w:t>
      </w:r>
      <w:r w:rsidRPr="005643E2">
        <w:rPr>
          <w:rFonts w:ascii="Arial" w:hAnsi="Arial" w:cs="Arial"/>
          <w:sz w:val="22"/>
        </w:rPr>
        <w:t>, a serum pregnancy test if test at baseline taken &gt;1 week prior to 1</w:t>
      </w:r>
      <w:r w:rsidRPr="005643E2">
        <w:rPr>
          <w:rFonts w:ascii="Arial" w:hAnsi="Arial" w:cs="Arial"/>
          <w:sz w:val="22"/>
          <w:vertAlign w:val="superscript"/>
        </w:rPr>
        <w:t>st</w:t>
      </w:r>
      <w:r w:rsidRPr="005643E2">
        <w:rPr>
          <w:rFonts w:ascii="Arial" w:hAnsi="Arial" w:cs="Arial"/>
          <w:sz w:val="22"/>
        </w:rPr>
        <w:t xml:space="preserve"> dose of ganetespib</w:t>
      </w:r>
    </w:p>
    <w:p w14:paraId="4CF4DE5D" w14:textId="77777777" w:rsidR="00DA67E8" w:rsidRPr="005643E2" w:rsidRDefault="00DA67E8" w:rsidP="002F600D">
      <w:pPr>
        <w:numPr>
          <w:ilvl w:val="0"/>
          <w:numId w:val="21"/>
        </w:numPr>
        <w:jc w:val="both"/>
        <w:rPr>
          <w:rFonts w:ascii="Arial" w:hAnsi="Arial" w:cs="Arial"/>
          <w:b/>
          <w:sz w:val="22"/>
          <w:szCs w:val="22"/>
        </w:rPr>
      </w:pPr>
      <w:r w:rsidRPr="005643E2">
        <w:rPr>
          <w:rFonts w:ascii="Arial" w:hAnsi="Arial" w:cs="Arial"/>
          <w:sz w:val="22"/>
          <w:szCs w:val="22"/>
        </w:rPr>
        <w:t>Urinalysis (</w:t>
      </w:r>
      <w:r w:rsidR="00BD2457" w:rsidRPr="005643E2">
        <w:rPr>
          <w:rFonts w:ascii="Arial" w:hAnsi="Arial" w:cs="Arial"/>
          <w:sz w:val="22"/>
        </w:rPr>
        <w:t>pH, protei</w:t>
      </w:r>
      <w:r w:rsidR="00BD2457" w:rsidRPr="005643E2">
        <w:rPr>
          <w:rFonts w:ascii="Arial" w:hAnsi="Arial" w:cs="Arial"/>
          <w:sz w:val="22"/>
          <w:szCs w:val="22"/>
        </w:rPr>
        <w:t>n</w:t>
      </w:r>
      <w:r w:rsidR="00BD2457" w:rsidRPr="005643E2">
        <w:rPr>
          <w:rFonts w:ascii="Arial" w:hAnsi="Arial" w:cs="Arial"/>
          <w:sz w:val="22"/>
        </w:rPr>
        <w:t>, blood, ketones, glucose, glucose)</w:t>
      </w:r>
      <w:r w:rsidR="00C92611" w:rsidRPr="005643E2">
        <w:rPr>
          <w:rFonts w:ascii="Arial" w:hAnsi="Arial" w:cs="Arial"/>
          <w:sz w:val="22"/>
        </w:rPr>
        <w:t>.</w:t>
      </w:r>
      <w:r w:rsidR="00C1292A" w:rsidRPr="005643E2">
        <w:rPr>
          <w:rFonts w:ascii="Arial" w:hAnsi="Arial" w:cs="Arial"/>
          <w:sz w:val="22"/>
        </w:rPr>
        <w:t xml:space="preserve"> </w:t>
      </w:r>
      <w:r w:rsidRPr="005643E2">
        <w:rPr>
          <w:rFonts w:ascii="Arial" w:hAnsi="Arial" w:cs="Arial"/>
          <w:b/>
          <w:sz w:val="22"/>
          <w:szCs w:val="22"/>
        </w:rPr>
        <w:t xml:space="preserve">Urinalysis also required on </w:t>
      </w:r>
      <w:r w:rsidR="00782B5E">
        <w:rPr>
          <w:rFonts w:ascii="Arial" w:hAnsi="Arial" w:cs="Arial"/>
          <w:b/>
          <w:sz w:val="22"/>
          <w:szCs w:val="22"/>
        </w:rPr>
        <w:t>Day 15</w:t>
      </w:r>
      <w:r w:rsidRPr="005643E2">
        <w:rPr>
          <w:rFonts w:ascii="Arial" w:hAnsi="Arial" w:cs="Arial"/>
          <w:b/>
          <w:sz w:val="22"/>
          <w:szCs w:val="22"/>
        </w:rPr>
        <w:t xml:space="preserve"> of Cycle 1 only in the Phase I trial.</w:t>
      </w:r>
    </w:p>
    <w:p w14:paraId="69037FF5" w14:textId="77777777" w:rsidR="00DA67E8" w:rsidRPr="005643E2" w:rsidRDefault="00DA67E8" w:rsidP="002F600D">
      <w:pPr>
        <w:numPr>
          <w:ilvl w:val="0"/>
          <w:numId w:val="21"/>
        </w:numPr>
        <w:jc w:val="both"/>
        <w:rPr>
          <w:rFonts w:ascii="Arial" w:hAnsi="Arial" w:cs="Arial"/>
          <w:sz w:val="22"/>
          <w:szCs w:val="22"/>
        </w:rPr>
      </w:pPr>
      <w:r w:rsidRPr="005643E2">
        <w:rPr>
          <w:rFonts w:ascii="Arial" w:hAnsi="Arial" w:cs="Arial"/>
          <w:sz w:val="22"/>
          <w:szCs w:val="22"/>
        </w:rPr>
        <w:t xml:space="preserve">Assessment of </w:t>
      </w:r>
      <w:r w:rsidR="00BD2457" w:rsidRPr="005643E2">
        <w:rPr>
          <w:rFonts w:ascii="Arial" w:hAnsi="Arial" w:cs="Arial"/>
          <w:sz w:val="22"/>
          <w:szCs w:val="22"/>
        </w:rPr>
        <w:t xml:space="preserve">adverse </w:t>
      </w:r>
      <w:r w:rsidRPr="005643E2">
        <w:rPr>
          <w:rFonts w:ascii="Arial" w:hAnsi="Arial" w:cs="Arial"/>
          <w:sz w:val="22"/>
          <w:szCs w:val="22"/>
        </w:rPr>
        <w:t>events, which have occurred since pre-registration/randomisation or the start of the previous treatment cycle.</w:t>
      </w:r>
    </w:p>
    <w:p w14:paraId="4650C29B" w14:textId="77777777" w:rsidR="005C7B72" w:rsidRDefault="00DA67E8" w:rsidP="002F600D">
      <w:pPr>
        <w:numPr>
          <w:ilvl w:val="0"/>
          <w:numId w:val="21"/>
        </w:numPr>
        <w:jc w:val="both"/>
        <w:rPr>
          <w:rFonts w:ascii="Arial" w:hAnsi="Arial" w:cs="Arial"/>
          <w:sz w:val="22"/>
          <w:szCs w:val="22"/>
        </w:rPr>
      </w:pPr>
      <w:r w:rsidRPr="005643E2">
        <w:rPr>
          <w:rFonts w:ascii="Arial" w:hAnsi="Arial" w:cs="Arial"/>
          <w:sz w:val="22"/>
          <w:szCs w:val="22"/>
        </w:rPr>
        <w:t xml:space="preserve">12-lead ECG performed pre-dose on Day 1 of </w:t>
      </w:r>
      <w:r w:rsidR="00475D77">
        <w:rPr>
          <w:rFonts w:ascii="Arial" w:hAnsi="Arial" w:cs="Arial"/>
          <w:sz w:val="22"/>
          <w:szCs w:val="22"/>
        </w:rPr>
        <w:t>every</w:t>
      </w:r>
      <w:r w:rsidR="00475D77" w:rsidRPr="005643E2">
        <w:rPr>
          <w:rFonts w:ascii="Arial" w:hAnsi="Arial" w:cs="Arial"/>
          <w:sz w:val="22"/>
          <w:szCs w:val="22"/>
        </w:rPr>
        <w:t xml:space="preserve"> </w:t>
      </w:r>
      <w:r w:rsidRPr="005643E2">
        <w:rPr>
          <w:rFonts w:ascii="Arial" w:hAnsi="Arial" w:cs="Arial"/>
          <w:sz w:val="22"/>
          <w:szCs w:val="22"/>
        </w:rPr>
        <w:t xml:space="preserve">treatment cycle. </w:t>
      </w:r>
    </w:p>
    <w:p w14:paraId="23467DAA" w14:textId="77777777" w:rsidR="00DA67E8" w:rsidRDefault="005C7B72" w:rsidP="002F600D">
      <w:pPr>
        <w:numPr>
          <w:ilvl w:val="0"/>
          <w:numId w:val="21"/>
        </w:numPr>
        <w:jc w:val="both"/>
        <w:rPr>
          <w:rFonts w:ascii="Arial" w:hAnsi="Arial" w:cs="Arial"/>
          <w:sz w:val="22"/>
          <w:szCs w:val="22"/>
        </w:rPr>
      </w:pPr>
      <w:r>
        <w:rPr>
          <w:rFonts w:ascii="Arial" w:hAnsi="Arial" w:cs="Arial"/>
          <w:sz w:val="22"/>
          <w:szCs w:val="22"/>
        </w:rPr>
        <w:t xml:space="preserve">For Cycle 1, ECG </w:t>
      </w:r>
      <w:r w:rsidR="00475D77">
        <w:rPr>
          <w:rFonts w:ascii="Arial" w:hAnsi="Arial" w:cs="Arial"/>
          <w:sz w:val="22"/>
          <w:szCs w:val="22"/>
        </w:rPr>
        <w:t xml:space="preserve">also </w:t>
      </w:r>
      <w:r>
        <w:rPr>
          <w:rFonts w:ascii="Arial" w:hAnsi="Arial" w:cs="Arial"/>
          <w:sz w:val="22"/>
          <w:szCs w:val="22"/>
        </w:rPr>
        <w:t>performed approximately 24 hours (±2 hours) after ganet</w:t>
      </w:r>
      <w:r w:rsidR="00B04417">
        <w:rPr>
          <w:rFonts w:ascii="Arial" w:hAnsi="Arial" w:cs="Arial"/>
          <w:sz w:val="22"/>
          <w:szCs w:val="22"/>
        </w:rPr>
        <w:t>e</w:t>
      </w:r>
      <w:r>
        <w:rPr>
          <w:rFonts w:ascii="Arial" w:hAnsi="Arial" w:cs="Arial"/>
          <w:sz w:val="22"/>
          <w:szCs w:val="22"/>
        </w:rPr>
        <w:t xml:space="preserve">spib administration. </w:t>
      </w:r>
      <w:r w:rsidR="00DA67E8" w:rsidRPr="005643E2">
        <w:rPr>
          <w:rFonts w:ascii="Arial" w:hAnsi="Arial" w:cs="Arial"/>
          <w:sz w:val="22"/>
          <w:szCs w:val="22"/>
        </w:rPr>
        <w:t xml:space="preserve">If </w:t>
      </w:r>
      <w:r>
        <w:rPr>
          <w:rFonts w:ascii="Arial" w:hAnsi="Arial" w:cs="Arial"/>
          <w:sz w:val="22"/>
          <w:szCs w:val="22"/>
        </w:rPr>
        <w:t xml:space="preserve">there is </w:t>
      </w:r>
      <w:r w:rsidR="00DA67E8" w:rsidRPr="005643E2">
        <w:rPr>
          <w:rFonts w:ascii="Arial" w:hAnsi="Arial" w:cs="Arial"/>
          <w:sz w:val="22"/>
          <w:szCs w:val="22"/>
        </w:rPr>
        <w:t>QTc prolongation &gt;</w:t>
      </w:r>
      <w:r>
        <w:rPr>
          <w:rFonts w:ascii="Arial" w:hAnsi="Arial" w:cs="Arial"/>
          <w:sz w:val="22"/>
          <w:szCs w:val="22"/>
        </w:rPr>
        <w:t>500</w:t>
      </w:r>
      <w:r w:rsidR="00DA67E8" w:rsidRPr="005643E2">
        <w:rPr>
          <w:rFonts w:ascii="Arial" w:hAnsi="Arial" w:cs="Arial"/>
          <w:sz w:val="22"/>
          <w:szCs w:val="22"/>
        </w:rPr>
        <w:t>msec</w:t>
      </w:r>
      <w:r w:rsidR="00D61BE1">
        <w:rPr>
          <w:rFonts w:ascii="Arial" w:hAnsi="Arial" w:cs="Arial"/>
          <w:sz w:val="22"/>
          <w:szCs w:val="22"/>
        </w:rPr>
        <w:t xml:space="preserve">, </w:t>
      </w:r>
      <w:r w:rsidR="00B04417">
        <w:rPr>
          <w:rFonts w:ascii="Arial" w:hAnsi="Arial" w:cs="Arial"/>
          <w:sz w:val="22"/>
          <w:szCs w:val="22"/>
        </w:rPr>
        <w:t>a</w:t>
      </w:r>
      <w:r w:rsidR="00D61BE1">
        <w:rPr>
          <w:rFonts w:ascii="Arial" w:hAnsi="Arial" w:cs="Arial"/>
          <w:sz w:val="22"/>
          <w:szCs w:val="22"/>
        </w:rPr>
        <w:t xml:space="preserve"> post-infusion ECG should be done at 24 hours </w:t>
      </w:r>
      <w:r w:rsidR="00B04417">
        <w:rPr>
          <w:rFonts w:ascii="Arial" w:hAnsi="Arial" w:cs="Arial"/>
          <w:sz w:val="22"/>
          <w:szCs w:val="22"/>
        </w:rPr>
        <w:t xml:space="preserve">(±2 hours) </w:t>
      </w:r>
      <w:r w:rsidR="00D61BE1">
        <w:rPr>
          <w:rFonts w:ascii="Arial" w:hAnsi="Arial" w:cs="Arial"/>
          <w:sz w:val="22"/>
          <w:szCs w:val="22"/>
        </w:rPr>
        <w:t>for all subsequent cycles until the ECG returns to baseline. If there is no prolongation, the 24-hour ECG is not required</w:t>
      </w:r>
      <w:r w:rsidR="00B04417">
        <w:rPr>
          <w:rFonts w:ascii="Arial" w:hAnsi="Arial" w:cs="Arial"/>
          <w:sz w:val="22"/>
          <w:szCs w:val="22"/>
        </w:rPr>
        <w:t xml:space="preserve"> at subsequent cycles</w:t>
      </w:r>
      <w:r w:rsidR="00D61BE1">
        <w:rPr>
          <w:rFonts w:ascii="Arial" w:hAnsi="Arial" w:cs="Arial"/>
          <w:sz w:val="22"/>
          <w:szCs w:val="22"/>
        </w:rPr>
        <w:t>.</w:t>
      </w:r>
      <w:r w:rsidR="00DA67E8" w:rsidRPr="005643E2">
        <w:rPr>
          <w:rFonts w:ascii="Arial" w:hAnsi="Arial" w:cs="Arial"/>
          <w:sz w:val="22"/>
          <w:szCs w:val="22"/>
        </w:rPr>
        <w:t xml:space="preserve"> </w:t>
      </w:r>
    </w:p>
    <w:p w14:paraId="624FB5ED" w14:textId="77777777" w:rsidR="00DA67E8" w:rsidRPr="005643E2" w:rsidRDefault="00DA67E8" w:rsidP="002F600D">
      <w:pPr>
        <w:numPr>
          <w:ilvl w:val="0"/>
          <w:numId w:val="21"/>
        </w:numPr>
        <w:jc w:val="both"/>
        <w:rPr>
          <w:rFonts w:ascii="Arial" w:hAnsi="Arial" w:cs="Arial"/>
          <w:sz w:val="22"/>
          <w:szCs w:val="22"/>
        </w:rPr>
      </w:pPr>
      <w:r w:rsidRPr="005643E2">
        <w:rPr>
          <w:rFonts w:ascii="Arial" w:hAnsi="Arial" w:cs="Arial"/>
          <w:sz w:val="22"/>
          <w:szCs w:val="22"/>
        </w:rPr>
        <w:t>Chest x-ray (except where CT is performed), post cycle 1, 3 and 5.</w:t>
      </w:r>
    </w:p>
    <w:p w14:paraId="270336C4" w14:textId="7F4BC8E2" w:rsidR="00DA67E8" w:rsidRPr="005643E2" w:rsidRDefault="00E62A7E" w:rsidP="002F600D">
      <w:pPr>
        <w:numPr>
          <w:ilvl w:val="0"/>
          <w:numId w:val="21"/>
        </w:numPr>
        <w:jc w:val="both"/>
        <w:rPr>
          <w:rFonts w:ascii="Arial" w:hAnsi="Arial" w:cs="Arial"/>
          <w:sz w:val="22"/>
          <w:szCs w:val="22"/>
        </w:rPr>
      </w:pPr>
      <w:r>
        <w:rPr>
          <w:rFonts w:ascii="Arial" w:hAnsi="Arial" w:cs="Arial"/>
          <w:sz w:val="22"/>
          <w:szCs w:val="22"/>
        </w:rPr>
        <w:t xml:space="preserve">CT- chest and abdomen </w:t>
      </w:r>
      <w:r w:rsidR="00DA67E8" w:rsidRPr="005643E2">
        <w:rPr>
          <w:rFonts w:ascii="Arial" w:hAnsi="Arial" w:cs="Arial"/>
          <w:sz w:val="22"/>
          <w:szCs w:val="22"/>
        </w:rPr>
        <w:t>post cycle 2, 4, 6 only</w:t>
      </w:r>
      <w:r>
        <w:rPr>
          <w:rFonts w:ascii="Arial" w:hAnsi="Arial" w:cs="Arial"/>
          <w:sz w:val="22"/>
          <w:szCs w:val="22"/>
        </w:rPr>
        <w:t>. CT scans should then be completed every 6 weeks</w:t>
      </w:r>
      <w:r w:rsidR="00DA67E8" w:rsidRPr="005643E2">
        <w:rPr>
          <w:rFonts w:ascii="Arial" w:hAnsi="Arial" w:cs="Arial"/>
          <w:sz w:val="22"/>
          <w:szCs w:val="22"/>
        </w:rPr>
        <w:t xml:space="preserve"> </w:t>
      </w:r>
      <w:r>
        <w:rPr>
          <w:rFonts w:ascii="Arial" w:hAnsi="Arial" w:cs="Arial"/>
          <w:bCs/>
          <w:sz w:val="22"/>
          <w:szCs w:val="22"/>
        </w:rPr>
        <w:t xml:space="preserve">for the first year (i.e. 12 months from Day 1 of chemotherapy), then 12 weekly thereafter. </w:t>
      </w:r>
      <w:r>
        <w:rPr>
          <w:rFonts w:ascii="Arial" w:hAnsi="Arial" w:cs="Arial"/>
          <w:sz w:val="22"/>
          <w:szCs w:val="22"/>
        </w:rPr>
        <w:t>T</w:t>
      </w:r>
      <w:r w:rsidR="00DA67E8" w:rsidRPr="005643E2">
        <w:rPr>
          <w:rFonts w:ascii="Arial" w:hAnsi="Arial" w:cs="Arial"/>
          <w:sz w:val="22"/>
          <w:szCs w:val="22"/>
        </w:rPr>
        <w:t>umour response to be evaluated by Chest CT scan. Response assessments will be based on the meso-modified RECIST criteria</w:t>
      </w:r>
      <w:r w:rsidR="00ED0E45">
        <w:rPr>
          <w:rFonts w:ascii="Arial" w:hAnsi="Arial" w:cs="Arial"/>
          <w:sz w:val="22"/>
          <w:szCs w:val="22"/>
        </w:rPr>
        <w:t xml:space="preserve"> (appendix 6</w:t>
      </w:r>
      <w:r w:rsidR="00DA67E8" w:rsidRPr="005643E2">
        <w:rPr>
          <w:rFonts w:ascii="Arial" w:hAnsi="Arial" w:cs="Arial"/>
          <w:sz w:val="22"/>
          <w:szCs w:val="22"/>
        </w:rPr>
        <w:t>)</w:t>
      </w:r>
      <w:r w:rsidR="00AC34AE">
        <w:rPr>
          <w:rFonts w:ascii="Arial" w:hAnsi="Arial" w:cs="Arial"/>
          <w:sz w:val="22"/>
          <w:szCs w:val="22"/>
        </w:rPr>
        <w:t>.</w:t>
      </w:r>
      <w:r w:rsidR="005956A6">
        <w:rPr>
          <w:rFonts w:ascii="Arial" w:hAnsi="Arial" w:cs="Arial"/>
          <w:sz w:val="22"/>
          <w:szCs w:val="22"/>
        </w:rPr>
        <w:t xml:space="preserve">  CT scans may be requested from sites in pseudo-anonymised form to supplement </w:t>
      </w:r>
      <w:r w:rsidR="00D0024C">
        <w:rPr>
          <w:rFonts w:ascii="Arial" w:hAnsi="Arial" w:cs="Arial"/>
          <w:sz w:val="22"/>
          <w:szCs w:val="22"/>
        </w:rPr>
        <w:t>tumour measurement</w:t>
      </w:r>
      <w:r w:rsidR="005956A6">
        <w:rPr>
          <w:rFonts w:ascii="Arial" w:hAnsi="Arial" w:cs="Arial"/>
          <w:sz w:val="22"/>
          <w:szCs w:val="22"/>
        </w:rPr>
        <w:t xml:space="preserve"> data for overall examination of objective tumour response according t</w:t>
      </w:r>
      <w:r w:rsidR="00D0024C">
        <w:rPr>
          <w:rFonts w:ascii="Arial" w:hAnsi="Arial" w:cs="Arial"/>
          <w:sz w:val="22"/>
          <w:szCs w:val="22"/>
        </w:rPr>
        <w:t>o meso-modified RECIST criteria</w:t>
      </w:r>
      <w:r w:rsidR="005956A6">
        <w:rPr>
          <w:rFonts w:ascii="Arial" w:hAnsi="Arial" w:cs="Arial"/>
          <w:sz w:val="22"/>
          <w:szCs w:val="22"/>
        </w:rPr>
        <w:t xml:space="preserve">. </w:t>
      </w:r>
    </w:p>
    <w:p w14:paraId="4158C5BC" w14:textId="77777777" w:rsidR="00DA67E8" w:rsidRDefault="00DA67E8" w:rsidP="00F62DC2">
      <w:pPr>
        <w:ind w:left="720"/>
        <w:jc w:val="both"/>
        <w:rPr>
          <w:rFonts w:ascii="Arial" w:hAnsi="Arial" w:cs="Arial"/>
          <w:sz w:val="22"/>
          <w:szCs w:val="22"/>
        </w:rPr>
      </w:pPr>
    </w:p>
    <w:p w14:paraId="548EED90" w14:textId="341A3EAC" w:rsidR="001129DC" w:rsidRPr="00B4232D" w:rsidRDefault="001129DC" w:rsidP="001129DC">
      <w:pPr>
        <w:autoSpaceDE w:val="0"/>
        <w:autoSpaceDN w:val="0"/>
        <w:adjustRightInd w:val="0"/>
        <w:jc w:val="both"/>
        <w:rPr>
          <w:rFonts w:ascii="Arial" w:hAnsi="Arial" w:cs="Arial"/>
          <w:sz w:val="22"/>
          <w:szCs w:val="22"/>
        </w:rPr>
      </w:pPr>
      <w:r w:rsidRPr="00B4232D">
        <w:rPr>
          <w:rFonts w:ascii="Arial" w:hAnsi="Arial" w:cs="Arial"/>
          <w:sz w:val="22"/>
          <w:szCs w:val="22"/>
        </w:rPr>
        <w:t xml:space="preserve">If a patient has a reported Grade 3 QTc prolongation (QTc ≥501 </w:t>
      </w:r>
      <w:proofErr w:type="spellStart"/>
      <w:r w:rsidRPr="00B4232D">
        <w:rPr>
          <w:rFonts w:ascii="Arial" w:hAnsi="Arial" w:cs="Arial"/>
          <w:sz w:val="22"/>
          <w:szCs w:val="22"/>
        </w:rPr>
        <w:t>ms</w:t>
      </w:r>
      <w:proofErr w:type="spellEnd"/>
      <w:r w:rsidRPr="00B4232D">
        <w:rPr>
          <w:rFonts w:ascii="Arial" w:hAnsi="Arial" w:cs="Arial"/>
          <w:sz w:val="22"/>
          <w:szCs w:val="22"/>
        </w:rPr>
        <w:t xml:space="preserve">) of any ECG (an average of triplicate recordings), the patient may continue ganetespib treatment at a reduced dose of 80% after the QTc has decreased to at least &lt;470 </w:t>
      </w:r>
      <w:proofErr w:type="spellStart"/>
      <w:r w:rsidRPr="00B4232D">
        <w:rPr>
          <w:rFonts w:ascii="Arial" w:hAnsi="Arial" w:cs="Arial"/>
          <w:sz w:val="22"/>
          <w:szCs w:val="22"/>
        </w:rPr>
        <w:t>ms</w:t>
      </w:r>
      <w:proofErr w:type="spellEnd"/>
      <w:r w:rsidRPr="00B4232D">
        <w:rPr>
          <w:rFonts w:ascii="Arial" w:hAnsi="Arial" w:cs="Arial"/>
          <w:sz w:val="22"/>
          <w:szCs w:val="22"/>
        </w:rPr>
        <w:t>.</w:t>
      </w:r>
    </w:p>
    <w:p w14:paraId="0A3C90AC" w14:textId="77777777" w:rsidR="001129DC" w:rsidRPr="00B4232D" w:rsidRDefault="001129DC" w:rsidP="001129DC">
      <w:pPr>
        <w:autoSpaceDE w:val="0"/>
        <w:autoSpaceDN w:val="0"/>
        <w:adjustRightInd w:val="0"/>
        <w:jc w:val="both"/>
        <w:rPr>
          <w:rFonts w:ascii="Arial" w:hAnsi="Arial" w:cs="Arial"/>
          <w:sz w:val="22"/>
          <w:szCs w:val="22"/>
        </w:rPr>
      </w:pPr>
      <w:r w:rsidRPr="00B4232D">
        <w:rPr>
          <w:rFonts w:ascii="Arial" w:hAnsi="Arial" w:cs="Arial"/>
          <w:sz w:val="22"/>
          <w:szCs w:val="22"/>
        </w:rPr>
        <w:t xml:space="preserve"> </w:t>
      </w:r>
    </w:p>
    <w:p w14:paraId="5086C46A" w14:textId="77777777" w:rsidR="001129DC" w:rsidRPr="00B4232D" w:rsidRDefault="001129DC" w:rsidP="001129DC">
      <w:pPr>
        <w:autoSpaceDE w:val="0"/>
        <w:autoSpaceDN w:val="0"/>
        <w:adjustRightInd w:val="0"/>
        <w:jc w:val="both"/>
        <w:rPr>
          <w:rFonts w:ascii="Arial" w:hAnsi="Arial" w:cs="Arial"/>
          <w:sz w:val="22"/>
          <w:szCs w:val="22"/>
        </w:rPr>
      </w:pPr>
      <w:r w:rsidRPr="00B4232D">
        <w:rPr>
          <w:rFonts w:ascii="Arial" w:hAnsi="Arial" w:cs="Arial"/>
          <w:sz w:val="22"/>
          <w:szCs w:val="22"/>
        </w:rPr>
        <w:t xml:space="preserve">If a patient has a reported Grade 4 QTc prolongation (QTc ≥501 </w:t>
      </w:r>
      <w:proofErr w:type="spellStart"/>
      <w:r w:rsidRPr="00B4232D">
        <w:rPr>
          <w:rFonts w:ascii="Arial" w:hAnsi="Arial" w:cs="Arial"/>
          <w:sz w:val="22"/>
          <w:szCs w:val="22"/>
        </w:rPr>
        <w:t>ms</w:t>
      </w:r>
      <w:proofErr w:type="spellEnd"/>
      <w:r w:rsidRPr="00B4232D">
        <w:rPr>
          <w:rFonts w:ascii="Arial" w:hAnsi="Arial" w:cs="Arial"/>
          <w:sz w:val="22"/>
          <w:szCs w:val="22"/>
        </w:rPr>
        <w:t xml:space="preserve"> or &gt;60 </w:t>
      </w:r>
      <w:proofErr w:type="spellStart"/>
      <w:r w:rsidRPr="00B4232D">
        <w:rPr>
          <w:rFonts w:ascii="Arial" w:hAnsi="Arial" w:cs="Arial"/>
          <w:sz w:val="22"/>
          <w:szCs w:val="22"/>
        </w:rPr>
        <w:t>ms</w:t>
      </w:r>
      <w:proofErr w:type="spellEnd"/>
      <w:r w:rsidRPr="00B4232D">
        <w:rPr>
          <w:rFonts w:ascii="Arial" w:hAnsi="Arial" w:cs="Arial"/>
          <w:sz w:val="22"/>
          <w:szCs w:val="22"/>
        </w:rPr>
        <w:t xml:space="preserve"> change from baseline and </w:t>
      </w:r>
      <w:proofErr w:type="spellStart"/>
      <w:r w:rsidRPr="00B4232D">
        <w:rPr>
          <w:rFonts w:ascii="Arial" w:hAnsi="Arial" w:cs="Arial"/>
          <w:sz w:val="22"/>
          <w:szCs w:val="22"/>
        </w:rPr>
        <w:t>torsades</w:t>
      </w:r>
      <w:proofErr w:type="spellEnd"/>
      <w:r w:rsidRPr="00B4232D">
        <w:rPr>
          <w:rFonts w:ascii="Arial" w:hAnsi="Arial" w:cs="Arial"/>
          <w:sz w:val="22"/>
          <w:szCs w:val="22"/>
        </w:rPr>
        <w:t xml:space="preserve"> de pointes, or polymorphic ventricular tachycardia, or signs/symptoms of serious arrhythmia) or repeated Grade 3 or higher QTc prolongation, the patient must discontinue treatment with ganetespib.</w:t>
      </w:r>
    </w:p>
    <w:p w14:paraId="5D29FD9C" w14:textId="77777777" w:rsidR="001129DC" w:rsidRPr="00B4232D" w:rsidRDefault="001129DC" w:rsidP="001129DC">
      <w:pPr>
        <w:autoSpaceDE w:val="0"/>
        <w:autoSpaceDN w:val="0"/>
        <w:adjustRightInd w:val="0"/>
        <w:jc w:val="both"/>
        <w:rPr>
          <w:rFonts w:ascii="Arial" w:hAnsi="Arial" w:cs="Arial"/>
          <w:sz w:val="22"/>
          <w:szCs w:val="22"/>
        </w:rPr>
      </w:pPr>
      <w:r w:rsidRPr="00B4232D">
        <w:rPr>
          <w:rFonts w:ascii="Arial" w:hAnsi="Arial" w:cs="Arial"/>
          <w:sz w:val="22"/>
          <w:szCs w:val="22"/>
        </w:rPr>
        <w:t xml:space="preserve"> </w:t>
      </w:r>
    </w:p>
    <w:p w14:paraId="2EF3211D" w14:textId="0EAB80AF" w:rsidR="001129DC" w:rsidRPr="00B4232D" w:rsidRDefault="001129DC" w:rsidP="001129DC">
      <w:pPr>
        <w:autoSpaceDE w:val="0"/>
        <w:autoSpaceDN w:val="0"/>
        <w:adjustRightInd w:val="0"/>
        <w:jc w:val="both"/>
        <w:rPr>
          <w:rFonts w:ascii="Arial" w:hAnsi="Arial" w:cs="Arial"/>
          <w:sz w:val="22"/>
          <w:szCs w:val="22"/>
        </w:rPr>
      </w:pPr>
      <w:r w:rsidRPr="00B4232D">
        <w:rPr>
          <w:rFonts w:ascii="Arial" w:hAnsi="Arial" w:cs="Arial"/>
          <w:sz w:val="22"/>
          <w:szCs w:val="22"/>
        </w:rPr>
        <w:t>Patients with QTc prolongation of Grade 3 severity or higher should be closely monitored during the first 72 hours post ganetespib infusion (i.e</w:t>
      </w:r>
      <w:r w:rsidR="00DC7621">
        <w:rPr>
          <w:rFonts w:ascii="Arial" w:hAnsi="Arial" w:cs="Arial"/>
          <w:sz w:val="22"/>
          <w:szCs w:val="22"/>
        </w:rPr>
        <w:t>.</w:t>
      </w:r>
      <w:r w:rsidRPr="00B4232D">
        <w:rPr>
          <w:rFonts w:ascii="Arial" w:hAnsi="Arial" w:cs="Arial"/>
          <w:sz w:val="22"/>
          <w:szCs w:val="22"/>
        </w:rPr>
        <w:t>, electrolytes, concom</w:t>
      </w:r>
      <w:r>
        <w:rPr>
          <w:rFonts w:ascii="Arial" w:hAnsi="Arial" w:cs="Arial"/>
          <w:sz w:val="22"/>
          <w:szCs w:val="22"/>
        </w:rPr>
        <w:t>ita</w:t>
      </w:r>
      <w:r w:rsidRPr="00B4232D">
        <w:rPr>
          <w:rFonts w:ascii="Arial" w:hAnsi="Arial" w:cs="Arial"/>
          <w:sz w:val="22"/>
          <w:szCs w:val="22"/>
        </w:rPr>
        <w:t>nt medications) and at subsequent cycles of ganetespib treatment.</w:t>
      </w:r>
    </w:p>
    <w:p w14:paraId="404A2E67" w14:textId="77777777" w:rsidR="001129DC" w:rsidRPr="00B4232D" w:rsidRDefault="001129DC" w:rsidP="001129DC">
      <w:pPr>
        <w:autoSpaceDE w:val="0"/>
        <w:autoSpaceDN w:val="0"/>
        <w:adjustRightInd w:val="0"/>
        <w:jc w:val="both"/>
        <w:rPr>
          <w:rFonts w:ascii="Arial" w:hAnsi="Arial" w:cs="Arial"/>
          <w:sz w:val="22"/>
          <w:szCs w:val="22"/>
        </w:rPr>
      </w:pPr>
      <w:r w:rsidRPr="00B4232D">
        <w:rPr>
          <w:rFonts w:ascii="Arial" w:hAnsi="Arial" w:cs="Arial"/>
          <w:sz w:val="22"/>
          <w:szCs w:val="22"/>
        </w:rPr>
        <w:t xml:space="preserve"> </w:t>
      </w:r>
    </w:p>
    <w:p w14:paraId="78E2E93A" w14:textId="6DE315D6" w:rsidR="001129DC" w:rsidRDefault="001129DC" w:rsidP="001129DC">
      <w:pPr>
        <w:autoSpaceDE w:val="0"/>
        <w:autoSpaceDN w:val="0"/>
        <w:adjustRightInd w:val="0"/>
        <w:jc w:val="both"/>
        <w:rPr>
          <w:rFonts w:ascii="Arial" w:hAnsi="Arial" w:cs="Arial"/>
          <w:sz w:val="22"/>
          <w:szCs w:val="22"/>
        </w:rPr>
      </w:pPr>
      <w:r w:rsidRPr="00B4232D">
        <w:rPr>
          <w:rFonts w:ascii="Arial" w:hAnsi="Arial" w:cs="Arial"/>
          <w:sz w:val="22"/>
          <w:szCs w:val="22"/>
        </w:rPr>
        <w:t>While the QTc prolongation is Grade 3 or higher, patients will have ECGs performed in triplicate until the QTc i</w:t>
      </w:r>
      <w:r>
        <w:rPr>
          <w:rFonts w:ascii="Arial" w:hAnsi="Arial" w:cs="Arial"/>
          <w:sz w:val="22"/>
          <w:szCs w:val="22"/>
        </w:rPr>
        <w:t xml:space="preserve">nterval returns to baseline or </w:t>
      </w:r>
      <w:r w:rsidRPr="00B4232D">
        <w:rPr>
          <w:rFonts w:ascii="Arial" w:hAnsi="Arial" w:cs="Arial"/>
          <w:sz w:val="22"/>
          <w:szCs w:val="22"/>
        </w:rPr>
        <w:t>≤ Grade 2</w:t>
      </w:r>
      <w:r>
        <w:rPr>
          <w:rFonts w:ascii="Arial" w:hAnsi="Arial" w:cs="Arial"/>
          <w:sz w:val="22"/>
          <w:szCs w:val="22"/>
        </w:rPr>
        <w:t>.</w:t>
      </w:r>
    </w:p>
    <w:p w14:paraId="5B2D35A5" w14:textId="77777777" w:rsidR="001129DC" w:rsidRDefault="001129DC" w:rsidP="00277882">
      <w:pPr>
        <w:ind w:left="360"/>
        <w:jc w:val="both"/>
        <w:rPr>
          <w:rFonts w:ascii="Times New Roman" w:hAnsi="Times New Roman"/>
          <w:color w:val="000000"/>
          <w:sz w:val="23"/>
          <w:szCs w:val="23"/>
          <w:lang w:eastAsia="en-GB"/>
        </w:rPr>
      </w:pPr>
    </w:p>
    <w:p w14:paraId="185AEF0C" w14:textId="77777777" w:rsidR="00277882" w:rsidRDefault="00277882" w:rsidP="00F62DC2">
      <w:pPr>
        <w:ind w:left="720"/>
        <w:jc w:val="both"/>
        <w:rPr>
          <w:rFonts w:ascii="Arial" w:hAnsi="Arial" w:cs="Arial"/>
          <w:sz w:val="22"/>
          <w:szCs w:val="22"/>
        </w:rPr>
      </w:pPr>
    </w:p>
    <w:p w14:paraId="73915B39" w14:textId="77777777" w:rsidR="00DA67E8" w:rsidRDefault="00DA67E8" w:rsidP="00F62DC2">
      <w:pPr>
        <w:pStyle w:val="ProtTempparagraph"/>
        <w:spacing w:after="240"/>
        <w:rPr>
          <w:sz w:val="22"/>
          <w:szCs w:val="22"/>
        </w:rPr>
      </w:pPr>
      <w:r>
        <w:rPr>
          <w:sz w:val="22"/>
          <w:szCs w:val="22"/>
        </w:rPr>
        <w:t xml:space="preserve">The end of treatment assessments should be done on </w:t>
      </w:r>
      <w:r w:rsidRPr="00E034F7">
        <w:rPr>
          <w:sz w:val="22"/>
          <w:szCs w:val="22"/>
        </w:rPr>
        <w:t xml:space="preserve">Day 21 </w:t>
      </w:r>
      <w:r w:rsidR="0030702F" w:rsidRPr="00E034F7">
        <w:rPr>
          <w:sz w:val="22"/>
          <w:szCs w:val="22"/>
        </w:rPr>
        <w:t>(</w:t>
      </w:r>
      <w:r w:rsidR="0030702F" w:rsidRPr="00B80D79">
        <w:rPr>
          <w:sz w:val="22"/>
          <w:szCs w:val="22"/>
        </w:rPr>
        <w:t xml:space="preserve">± 3 days) </w:t>
      </w:r>
      <w:r w:rsidRPr="00B80D79">
        <w:rPr>
          <w:sz w:val="22"/>
          <w:szCs w:val="22"/>
        </w:rPr>
        <w:t>of the</w:t>
      </w:r>
      <w:r>
        <w:rPr>
          <w:sz w:val="22"/>
          <w:szCs w:val="22"/>
        </w:rPr>
        <w:t xml:space="preserve"> last </w:t>
      </w:r>
      <w:r w:rsidR="00AC34AE">
        <w:rPr>
          <w:sz w:val="22"/>
          <w:szCs w:val="22"/>
        </w:rPr>
        <w:t xml:space="preserve">treatment </w:t>
      </w:r>
      <w:r>
        <w:rPr>
          <w:sz w:val="22"/>
          <w:szCs w:val="22"/>
        </w:rPr>
        <w:t>cycle.</w:t>
      </w:r>
    </w:p>
    <w:p w14:paraId="2A659EEE" w14:textId="77777777" w:rsidR="00DA67E8" w:rsidRDefault="00DA67E8" w:rsidP="00BF16F9">
      <w:pPr>
        <w:pStyle w:val="Heading2"/>
      </w:pPr>
      <w:bookmarkStart w:id="478" w:name="_Toc333484762"/>
      <w:bookmarkStart w:id="479" w:name="_Toc333484877"/>
      <w:bookmarkStart w:id="480" w:name="_Toc351624831"/>
      <w:bookmarkStart w:id="481" w:name="_Toc471826793"/>
      <w:bookmarkStart w:id="482" w:name="_Toc528323559"/>
      <w:r w:rsidRPr="00CE1B85">
        <w:lastRenderedPageBreak/>
        <w:t xml:space="preserve">Assessments </w:t>
      </w:r>
      <w:r>
        <w:t>following completion of trial treatment (phase I only)</w:t>
      </w:r>
      <w:bookmarkEnd w:id="478"/>
      <w:bookmarkEnd w:id="479"/>
      <w:bookmarkEnd w:id="480"/>
      <w:bookmarkEnd w:id="481"/>
      <w:bookmarkEnd w:id="482"/>
      <w:r>
        <w:t xml:space="preserve"> </w:t>
      </w:r>
    </w:p>
    <w:p w14:paraId="178EE8CE" w14:textId="77777777" w:rsidR="00DA67E8" w:rsidRDefault="00DA67E8" w:rsidP="00F62DC2">
      <w:pPr>
        <w:jc w:val="both"/>
        <w:rPr>
          <w:rFonts w:ascii="Arial" w:hAnsi="Arial" w:cs="Arial"/>
          <w:b/>
          <w:bCs/>
          <w:sz w:val="22"/>
        </w:rPr>
      </w:pPr>
      <w:r w:rsidRPr="008E3B41">
        <w:rPr>
          <w:rFonts w:ascii="Arial" w:hAnsi="Arial" w:cs="Arial"/>
          <w:bCs/>
          <w:sz w:val="22"/>
          <w:szCs w:val="22"/>
        </w:rPr>
        <w:t xml:space="preserve">All patients should attend </w:t>
      </w:r>
      <w:r>
        <w:rPr>
          <w:rFonts w:ascii="Arial" w:hAnsi="Arial" w:cs="Arial"/>
          <w:bCs/>
          <w:sz w:val="22"/>
          <w:szCs w:val="22"/>
        </w:rPr>
        <w:t>their final trial visit 30</w:t>
      </w:r>
      <w:r w:rsidRPr="008E3B41">
        <w:rPr>
          <w:rFonts w:ascii="Arial" w:hAnsi="Arial" w:cs="Arial"/>
          <w:bCs/>
          <w:sz w:val="22"/>
          <w:szCs w:val="22"/>
        </w:rPr>
        <w:t xml:space="preserve"> days </w:t>
      </w:r>
      <w:r w:rsidR="0030702F" w:rsidRPr="00E034F7">
        <w:rPr>
          <w:rFonts w:ascii="Arial" w:hAnsi="Arial" w:cs="Arial"/>
          <w:sz w:val="22"/>
          <w:szCs w:val="22"/>
        </w:rPr>
        <w:t>(± 7 days)</w:t>
      </w:r>
      <w:r w:rsidR="0030702F">
        <w:rPr>
          <w:sz w:val="22"/>
          <w:szCs w:val="22"/>
        </w:rPr>
        <w:t xml:space="preserve"> </w:t>
      </w:r>
      <w:r w:rsidRPr="008E3B41">
        <w:rPr>
          <w:rFonts w:ascii="Arial" w:hAnsi="Arial" w:cs="Arial"/>
          <w:bCs/>
          <w:sz w:val="22"/>
          <w:szCs w:val="22"/>
        </w:rPr>
        <w:t>af</w:t>
      </w:r>
      <w:r>
        <w:rPr>
          <w:rFonts w:ascii="Arial" w:hAnsi="Arial" w:cs="Arial"/>
          <w:bCs/>
          <w:sz w:val="22"/>
          <w:szCs w:val="22"/>
        </w:rPr>
        <w:t xml:space="preserve">ter </w:t>
      </w:r>
      <w:r>
        <w:rPr>
          <w:rFonts w:ascii="Arial" w:hAnsi="Arial" w:cs="Arial"/>
          <w:sz w:val="22"/>
        </w:rPr>
        <w:t xml:space="preserve">Day 21 of the last </w:t>
      </w:r>
      <w:r w:rsidR="00AC34AE">
        <w:rPr>
          <w:rFonts w:ascii="Arial" w:hAnsi="Arial" w:cs="Arial"/>
          <w:sz w:val="22"/>
        </w:rPr>
        <w:t>cycle of treatment</w:t>
      </w:r>
      <w:r w:rsidRPr="008E3B41">
        <w:rPr>
          <w:rFonts w:ascii="Arial" w:hAnsi="Arial" w:cs="Arial"/>
          <w:bCs/>
          <w:sz w:val="22"/>
          <w:szCs w:val="22"/>
        </w:rPr>
        <w:t xml:space="preserve">, </w:t>
      </w:r>
      <w:r>
        <w:rPr>
          <w:rFonts w:ascii="Arial" w:hAnsi="Arial" w:cs="Arial"/>
          <w:bCs/>
          <w:sz w:val="22"/>
          <w:szCs w:val="22"/>
        </w:rPr>
        <w:t>for the following investigations:</w:t>
      </w:r>
    </w:p>
    <w:p w14:paraId="6085E03B" w14:textId="77777777" w:rsidR="00DA67E8" w:rsidRDefault="00DA67E8" w:rsidP="00F62DC2">
      <w:pPr>
        <w:jc w:val="both"/>
        <w:rPr>
          <w:rFonts w:ascii="Arial" w:hAnsi="Arial" w:cs="Arial"/>
          <w:b/>
          <w:bCs/>
          <w:sz w:val="22"/>
        </w:rPr>
      </w:pPr>
    </w:p>
    <w:p w14:paraId="0AF81685" w14:textId="77777777" w:rsidR="00DA67E8" w:rsidRPr="00193F4B" w:rsidRDefault="00DA67E8" w:rsidP="002F600D">
      <w:pPr>
        <w:numPr>
          <w:ilvl w:val="0"/>
          <w:numId w:val="21"/>
        </w:numPr>
        <w:jc w:val="both"/>
        <w:rPr>
          <w:rFonts w:ascii="Arial" w:hAnsi="Arial" w:cs="Arial"/>
          <w:sz w:val="22"/>
          <w:szCs w:val="22"/>
        </w:rPr>
      </w:pPr>
      <w:r w:rsidRPr="00193F4B">
        <w:rPr>
          <w:rFonts w:ascii="Arial" w:hAnsi="Arial" w:cs="Arial"/>
          <w:sz w:val="22"/>
          <w:szCs w:val="22"/>
        </w:rPr>
        <w:t xml:space="preserve">Physical examination </w:t>
      </w:r>
    </w:p>
    <w:p w14:paraId="6A84B30C" w14:textId="77777777" w:rsidR="00DA67E8" w:rsidRPr="00193F4B" w:rsidRDefault="00DA67E8" w:rsidP="002F600D">
      <w:pPr>
        <w:numPr>
          <w:ilvl w:val="0"/>
          <w:numId w:val="21"/>
        </w:numPr>
        <w:jc w:val="both"/>
        <w:rPr>
          <w:rFonts w:ascii="Arial" w:hAnsi="Arial" w:cs="Arial"/>
          <w:sz w:val="22"/>
          <w:szCs w:val="22"/>
        </w:rPr>
      </w:pPr>
      <w:r w:rsidRPr="00193F4B">
        <w:rPr>
          <w:rFonts w:ascii="Arial" w:hAnsi="Arial" w:cs="Arial"/>
          <w:sz w:val="22"/>
          <w:szCs w:val="22"/>
        </w:rPr>
        <w:t>Concomitant medication check</w:t>
      </w:r>
    </w:p>
    <w:p w14:paraId="7FD5BF2D" w14:textId="77777777" w:rsidR="00DA67E8" w:rsidRPr="00193F4B" w:rsidRDefault="00DA67E8" w:rsidP="002F600D">
      <w:pPr>
        <w:numPr>
          <w:ilvl w:val="0"/>
          <w:numId w:val="21"/>
        </w:numPr>
        <w:jc w:val="both"/>
        <w:rPr>
          <w:rFonts w:ascii="Arial" w:hAnsi="Arial" w:cs="Arial"/>
          <w:sz w:val="22"/>
          <w:szCs w:val="22"/>
        </w:rPr>
      </w:pPr>
      <w:r w:rsidRPr="00193F4B">
        <w:rPr>
          <w:rFonts w:ascii="Arial" w:hAnsi="Arial" w:cs="Arial"/>
          <w:sz w:val="22"/>
          <w:szCs w:val="22"/>
        </w:rPr>
        <w:t xml:space="preserve">Vital signs, </w:t>
      </w:r>
      <w:r w:rsidR="00E62A7E">
        <w:rPr>
          <w:rFonts w:ascii="Arial" w:hAnsi="Arial" w:cs="Arial"/>
          <w:sz w:val="22"/>
          <w:szCs w:val="22"/>
        </w:rPr>
        <w:t>includ</w:t>
      </w:r>
      <w:r w:rsidRPr="00193F4B">
        <w:rPr>
          <w:rFonts w:ascii="Arial" w:hAnsi="Arial" w:cs="Arial"/>
          <w:sz w:val="22"/>
          <w:szCs w:val="22"/>
        </w:rPr>
        <w:t xml:space="preserve">ing heart rate, respiratory rate, blood pressure and body temperature </w:t>
      </w:r>
    </w:p>
    <w:p w14:paraId="46143029" w14:textId="77777777" w:rsidR="00DA67E8" w:rsidRPr="00193F4B" w:rsidRDefault="00DA67E8" w:rsidP="002F600D">
      <w:pPr>
        <w:pStyle w:val="Normal1"/>
        <w:numPr>
          <w:ilvl w:val="0"/>
          <w:numId w:val="21"/>
        </w:numPr>
        <w:rPr>
          <w:rFonts w:cs="Arial"/>
          <w:sz w:val="22"/>
          <w:szCs w:val="22"/>
        </w:rPr>
      </w:pPr>
      <w:r w:rsidRPr="00193F4B">
        <w:rPr>
          <w:rFonts w:cs="Arial"/>
          <w:sz w:val="22"/>
          <w:lang w:val="en-GB"/>
        </w:rPr>
        <w:t>Height and body weight</w:t>
      </w:r>
    </w:p>
    <w:p w14:paraId="0F8876D4" w14:textId="77777777" w:rsidR="00DA67E8" w:rsidRPr="00193F4B" w:rsidRDefault="00DA67E8" w:rsidP="002F600D">
      <w:pPr>
        <w:pStyle w:val="Normal1"/>
        <w:numPr>
          <w:ilvl w:val="0"/>
          <w:numId w:val="21"/>
        </w:numPr>
        <w:rPr>
          <w:rFonts w:cs="Arial"/>
          <w:sz w:val="22"/>
          <w:szCs w:val="22"/>
        </w:rPr>
      </w:pPr>
      <w:r w:rsidRPr="00193F4B">
        <w:rPr>
          <w:rFonts w:cs="Arial"/>
          <w:sz w:val="22"/>
          <w:lang w:val="en-GB"/>
        </w:rPr>
        <w:t xml:space="preserve">ECOG Performance status </w:t>
      </w:r>
    </w:p>
    <w:p w14:paraId="01436601" w14:textId="77777777" w:rsidR="00DA67E8" w:rsidRPr="00193F4B" w:rsidRDefault="00DA67E8" w:rsidP="002F600D">
      <w:pPr>
        <w:numPr>
          <w:ilvl w:val="0"/>
          <w:numId w:val="21"/>
        </w:numPr>
        <w:jc w:val="both"/>
        <w:rPr>
          <w:rFonts w:ascii="Arial" w:hAnsi="Arial" w:cs="Arial"/>
          <w:sz w:val="22"/>
          <w:szCs w:val="22"/>
        </w:rPr>
      </w:pPr>
      <w:r w:rsidRPr="00193F4B">
        <w:rPr>
          <w:rFonts w:ascii="Arial" w:hAnsi="Arial" w:cs="Arial"/>
          <w:sz w:val="22"/>
          <w:szCs w:val="22"/>
        </w:rPr>
        <w:t xml:space="preserve">Oncological profile </w:t>
      </w:r>
      <w:r w:rsidR="00C1292A" w:rsidRPr="00193F4B">
        <w:rPr>
          <w:rFonts w:ascii="Arial" w:hAnsi="Arial" w:cs="Arial"/>
          <w:sz w:val="22"/>
        </w:rPr>
        <w:t>including FBC, Haematocrit, haemoglobin, RCC, white cell count with differential, platelets, sodium, potassium, urea, creatinine, chloride, bicarbonate, bilirubin, ALP, AST or ALT, LDH, albumin, total protein, calcium, phosphate, magnesium</w:t>
      </w:r>
    </w:p>
    <w:p w14:paraId="11ACF6AE" w14:textId="77777777" w:rsidR="00DA67E8" w:rsidRPr="00193F4B" w:rsidRDefault="00DA67E8" w:rsidP="002F600D">
      <w:pPr>
        <w:numPr>
          <w:ilvl w:val="0"/>
          <w:numId w:val="21"/>
        </w:numPr>
        <w:jc w:val="both"/>
        <w:rPr>
          <w:rFonts w:ascii="Arial" w:hAnsi="Arial" w:cs="Arial"/>
          <w:sz w:val="22"/>
          <w:szCs w:val="22"/>
        </w:rPr>
      </w:pPr>
      <w:r w:rsidRPr="00193F4B">
        <w:rPr>
          <w:rFonts w:ascii="Arial" w:hAnsi="Arial" w:cs="Arial"/>
          <w:sz w:val="22"/>
          <w:szCs w:val="22"/>
        </w:rPr>
        <w:t>Urinalysis (including pH, protein, blood, ketones, glucose).</w:t>
      </w:r>
    </w:p>
    <w:p w14:paraId="33801B2C" w14:textId="77777777" w:rsidR="00DA67E8" w:rsidRDefault="00DA67E8" w:rsidP="002F600D">
      <w:pPr>
        <w:numPr>
          <w:ilvl w:val="0"/>
          <w:numId w:val="21"/>
        </w:numPr>
        <w:jc w:val="both"/>
        <w:rPr>
          <w:rFonts w:ascii="Arial" w:hAnsi="Arial" w:cs="Arial"/>
          <w:sz w:val="22"/>
          <w:szCs w:val="22"/>
        </w:rPr>
      </w:pPr>
      <w:r w:rsidRPr="00193F4B">
        <w:rPr>
          <w:rFonts w:ascii="Arial" w:hAnsi="Arial" w:cs="Arial"/>
          <w:sz w:val="22"/>
          <w:szCs w:val="22"/>
        </w:rPr>
        <w:t>Assessment of Adverse events, which have occurred since the start of the previous treatment cycle.</w:t>
      </w:r>
    </w:p>
    <w:p w14:paraId="549F4189" w14:textId="77777777" w:rsidR="007E66C4" w:rsidRPr="00DC2D6D" w:rsidRDefault="007E66C4" w:rsidP="002F600D">
      <w:pPr>
        <w:numPr>
          <w:ilvl w:val="0"/>
          <w:numId w:val="21"/>
        </w:numPr>
        <w:jc w:val="both"/>
        <w:rPr>
          <w:rFonts w:ascii="Arial" w:hAnsi="Arial" w:cs="Arial"/>
          <w:sz w:val="22"/>
          <w:szCs w:val="22"/>
        </w:rPr>
      </w:pPr>
      <w:r>
        <w:rPr>
          <w:rFonts w:ascii="Arial" w:hAnsi="Arial" w:cs="Arial"/>
          <w:sz w:val="22"/>
          <w:szCs w:val="22"/>
        </w:rPr>
        <w:t xml:space="preserve">Blood sample for translation research (cisplatin </w:t>
      </w:r>
      <w:r w:rsidR="0030702F">
        <w:rPr>
          <w:rFonts w:ascii="Arial" w:hAnsi="Arial" w:cs="Arial"/>
          <w:sz w:val="22"/>
          <w:szCs w:val="22"/>
        </w:rPr>
        <w:t xml:space="preserve">and carboplatin </w:t>
      </w:r>
      <w:r>
        <w:rPr>
          <w:rFonts w:ascii="Arial" w:hAnsi="Arial" w:cs="Arial"/>
          <w:sz w:val="22"/>
          <w:szCs w:val="22"/>
        </w:rPr>
        <w:t xml:space="preserve">cohort used to confirm MTD only). </w:t>
      </w:r>
      <w:r w:rsidRPr="00097793">
        <w:rPr>
          <w:rFonts w:ascii="Arial" w:hAnsi="Arial" w:cs="Arial"/>
          <w:sz w:val="22"/>
          <w:szCs w:val="22"/>
        </w:rPr>
        <w:t>See Section 20 for details</w:t>
      </w:r>
    </w:p>
    <w:p w14:paraId="7CA1FF18" w14:textId="77777777" w:rsidR="00DA67E8" w:rsidRDefault="00DA67E8" w:rsidP="00BF16F9">
      <w:pPr>
        <w:pStyle w:val="Heading2"/>
      </w:pPr>
      <w:bookmarkStart w:id="483" w:name="_Toc333484763"/>
      <w:bookmarkStart w:id="484" w:name="_Toc333484878"/>
      <w:bookmarkStart w:id="485" w:name="_Toc351624832"/>
      <w:bookmarkStart w:id="486" w:name="_Toc471826794"/>
      <w:bookmarkStart w:id="487" w:name="_Toc528323560"/>
      <w:r w:rsidRPr="00CE1B85">
        <w:t xml:space="preserve">Assessments </w:t>
      </w:r>
      <w:r w:rsidR="00AC34AE">
        <w:t xml:space="preserve">following completion of trial treatment </w:t>
      </w:r>
      <w:r>
        <w:t>(phase II only)</w:t>
      </w:r>
      <w:bookmarkEnd w:id="483"/>
      <w:bookmarkEnd w:id="484"/>
      <w:bookmarkEnd w:id="485"/>
      <w:bookmarkEnd w:id="486"/>
      <w:bookmarkEnd w:id="487"/>
      <w:r>
        <w:t xml:space="preserve"> </w:t>
      </w:r>
    </w:p>
    <w:p w14:paraId="6DC42777" w14:textId="77777777" w:rsidR="00DA67E8" w:rsidRDefault="00DA67E8" w:rsidP="00F62DC2">
      <w:pPr>
        <w:jc w:val="both"/>
        <w:rPr>
          <w:rFonts w:ascii="Arial" w:hAnsi="Arial" w:cs="Arial"/>
          <w:sz w:val="22"/>
          <w:szCs w:val="22"/>
        </w:rPr>
      </w:pPr>
      <w:r>
        <w:rPr>
          <w:rFonts w:ascii="Arial" w:hAnsi="Arial" w:cs="Arial"/>
          <w:bCs/>
          <w:sz w:val="22"/>
          <w:szCs w:val="22"/>
        </w:rPr>
        <w:t>Follow up assessments start 6 weeks after Day 21 of the last cycle</w:t>
      </w:r>
      <w:r w:rsidR="00AC34AE">
        <w:rPr>
          <w:rFonts w:ascii="Arial" w:hAnsi="Arial" w:cs="Arial"/>
          <w:bCs/>
          <w:sz w:val="22"/>
          <w:szCs w:val="22"/>
        </w:rPr>
        <w:t xml:space="preserve"> of treatment</w:t>
      </w:r>
      <w:r>
        <w:rPr>
          <w:rFonts w:ascii="Arial" w:hAnsi="Arial" w:cs="Arial"/>
          <w:bCs/>
          <w:sz w:val="22"/>
          <w:szCs w:val="22"/>
        </w:rPr>
        <w:t xml:space="preserve">. These 6-weekly </w:t>
      </w:r>
      <w:r w:rsidR="00E034F7" w:rsidRPr="00E034F7">
        <w:rPr>
          <w:rFonts w:ascii="Arial" w:hAnsi="Arial" w:cs="Arial"/>
          <w:sz w:val="22"/>
          <w:szCs w:val="22"/>
        </w:rPr>
        <w:t xml:space="preserve">(± 7 days) </w:t>
      </w:r>
      <w:r w:rsidRPr="00E034F7">
        <w:rPr>
          <w:rFonts w:ascii="Arial" w:hAnsi="Arial" w:cs="Arial"/>
          <w:bCs/>
          <w:sz w:val="22"/>
          <w:szCs w:val="22"/>
        </w:rPr>
        <w:t xml:space="preserve">assessments occur during the first year (since the start of treatment, i.e. 12 months from Day 1 of chemotherapy Cycle 1). </w:t>
      </w:r>
      <w:r w:rsidRPr="00E034F7">
        <w:rPr>
          <w:rFonts w:ascii="Arial" w:hAnsi="Arial" w:cs="Arial"/>
          <w:sz w:val="22"/>
          <w:szCs w:val="22"/>
        </w:rPr>
        <w:t xml:space="preserve">For </w:t>
      </w:r>
      <w:r w:rsidRPr="00B80D79">
        <w:rPr>
          <w:rFonts w:ascii="Arial" w:hAnsi="Arial" w:cs="Arial"/>
          <w:sz w:val="22"/>
          <w:szCs w:val="22"/>
        </w:rPr>
        <w:t>patients</w:t>
      </w:r>
      <w:r w:rsidRPr="00E034F7">
        <w:rPr>
          <w:rFonts w:ascii="Arial" w:hAnsi="Arial" w:cs="Arial"/>
          <w:sz w:val="22"/>
          <w:szCs w:val="22"/>
        </w:rPr>
        <w:t xml:space="preserve"> who survive to 12 months, follow up will be every 12 weeks </w:t>
      </w:r>
      <w:r w:rsidR="00E034F7" w:rsidRPr="00E034F7">
        <w:rPr>
          <w:rFonts w:ascii="Arial" w:hAnsi="Arial" w:cs="Arial"/>
          <w:sz w:val="22"/>
          <w:szCs w:val="22"/>
        </w:rPr>
        <w:t>(± 7 days)</w:t>
      </w:r>
      <w:r w:rsidR="00E034F7">
        <w:rPr>
          <w:sz w:val="22"/>
          <w:szCs w:val="22"/>
        </w:rPr>
        <w:t xml:space="preserve"> </w:t>
      </w:r>
      <w:r w:rsidRPr="00CE3943">
        <w:rPr>
          <w:rFonts w:ascii="Arial" w:hAnsi="Arial" w:cs="Arial"/>
          <w:sz w:val="22"/>
          <w:szCs w:val="22"/>
        </w:rPr>
        <w:t xml:space="preserve">thereafter until death or until the trial results are </w:t>
      </w:r>
      <w:r>
        <w:rPr>
          <w:rFonts w:ascii="Arial" w:hAnsi="Arial" w:cs="Arial"/>
          <w:sz w:val="22"/>
          <w:szCs w:val="22"/>
        </w:rPr>
        <w:t>available</w:t>
      </w:r>
      <w:r w:rsidRPr="00CE3943">
        <w:rPr>
          <w:rFonts w:ascii="Arial" w:hAnsi="Arial" w:cs="Arial"/>
          <w:sz w:val="22"/>
          <w:szCs w:val="22"/>
        </w:rPr>
        <w:t xml:space="preserve">, whichever is sooner. </w:t>
      </w:r>
    </w:p>
    <w:p w14:paraId="192AE1DD" w14:textId="77777777" w:rsidR="00DA67E8" w:rsidRDefault="00DA67E8" w:rsidP="00F62DC2">
      <w:pPr>
        <w:jc w:val="both"/>
        <w:rPr>
          <w:rFonts w:ascii="Arial" w:hAnsi="Arial" w:cs="Arial"/>
          <w:sz w:val="22"/>
        </w:rPr>
      </w:pPr>
    </w:p>
    <w:p w14:paraId="1D27A8D7" w14:textId="77777777" w:rsidR="00DA67E8" w:rsidRPr="00CE3943" w:rsidRDefault="00DA67E8" w:rsidP="002F600D">
      <w:pPr>
        <w:numPr>
          <w:ilvl w:val="0"/>
          <w:numId w:val="21"/>
        </w:numPr>
        <w:jc w:val="both"/>
        <w:rPr>
          <w:rFonts w:ascii="Arial" w:hAnsi="Arial" w:cs="Arial"/>
          <w:sz w:val="22"/>
        </w:rPr>
      </w:pPr>
      <w:r w:rsidRPr="008E3B41">
        <w:rPr>
          <w:rFonts w:ascii="Arial" w:hAnsi="Arial" w:cs="Arial"/>
          <w:sz w:val="22"/>
        </w:rPr>
        <w:t xml:space="preserve">Physical examination </w:t>
      </w:r>
    </w:p>
    <w:p w14:paraId="1584F382" w14:textId="77777777" w:rsidR="00DA67E8" w:rsidRDefault="00DA67E8" w:rsidP="002F600D">
      <w:pPr>
        <w:numPr>
          <w:ilvl w:val="0"/>
          <w:numId w:val="21"/>
        </w:numPr>
        <w:jc w:val="both"/>
        <w:rPr>
          <w:rFonts w:ascii="Arial" w:hAnsi="Arial" w:cs="Arial"/>
          <w:sz w:val="22"/>
        </w:rPr>
      </w:pPr>
      <w:r>
        <w:rPr>
          <w:rFonts w:ascii="Arial" w:hAnsi="Arial" w:cs="Arial"/>
          <w:sz w:val="22"/>
        </w:rPr>
        <w:t>Concomitant medication check</w:t>
      </w:r>
    </w:p>
    <w:p w14:paraId="287E8CEF" w14:textId="77777777" w:rsidR="00DA67E8" w:rsidRDefault="00DA67E8" w:rsidP="002F600D">
      <w:pPr>
        <w:numPr>
          <w:ilvl w:val="0"/>
          <w:numId w:val="21"/>
        </w:numPr>
        <w:jc w:val="both"/>
        <w:rPr>
          <w:rFonts w:ascii="Arial" w:hAnsi="Arial" w:cs="Arial"/>
          <w:sz w:val="22"/>
        </w:rPr>
      </w:pPr>
      <w:r w:rsidRPr="008E3B41">
        <w:rPr>
          <w:rFonts w:ascii="Arial" w:hAnsi="Arial" w:cs="Arial"/>
          <w:sz w:val="22"/>
        </w:rPr>
        <w:t xml:space="preserve">Vital signs, including heart rate, respiratory rate, blood pressure and temperature </w:t>
      </w:r>
    </w:p>
    <w:p w14:paraId="19F163F9" w14:textId="77777777" w:rsidR="00DA67E8" w:rsidRDefault="00DA67E8" w:rsidP="002F600D">
      <w:pPr>
        <w:numPr>
          <w:ilvl w:val="0"/>
          <w:numId w:val="21"/>
        </w:numPr>
        <w:jc w:val="both"/>
        <w:rPr>
          <w:rFonts w:ascii="Arial" w:hAnsi="Arial" w:cs="Arial"/>
          <w:sz w:val="22"/>
        </w:rPr>
      </w:pPr>
      <w:r w:rsidRPr="008E3B41">
        <w:rPr>
          <w:rFonts w:ascii="Arial" w:hAnsi="Arial" w:cs="Arial"/>
          <w:sz w:val="22"/>
        </w:rPr>
        <w:t>ECOG Performance Status</w:t>
      </w:r>
    </w:p>
    <w:p w14:paraId="5C95154E" w14:textId="77777777" w:rsidR="00DA67E8" w:rsidRPr="008E3B41" w:rsidRDefault="00DA67E8" w:rsidP="002F600D">
      <w:pPr>
        <w:numPr>
          <w:ilvl w:val="0"/>
          <w:numId w:val="21"/>
        </w:numPr>
        <w:jc w:val="both"/>
        <w:rPr>
          <w:rFonts w:ascii="Arial" w:hAnsi="Arial" w:cs="Arial"/>
          <w:sz w:val="22"/>
        </w:rPr>
      </w:pPr>
      <w:r w:rsidRPr="008E3B41">
        <w:rPr>
          <w:rFonts w:ascii="Arial" w:hAnsi="Arial" w:cs="Arial"/>
          <w:sz w:val="22"/>
        </w:rPr>
        <w:t xml:space="preserve">Assessment of Adverse events, which have occurred since </w:t>
      </w:r>
      <w:r>
        <w:rPr>
          <w:rFonts w:ascii="Arial" w:hAnsi="Arial" w:cs="Arial"/>
          <w:sz w:val="22"/>
        </w:rPr>
        <w:t>previous follow up visit</w:t>
      </w:r>
      <w:r w:rsidRPr="008E3B41">
        <w:rPr>
          <w:rFonts w:ascii="Arial" w:hAnsi="Arial" w:cs="Arial"/>
          <w:sz w:val="22"/>
        </w:rPr>
        <w:t>.</w:t>
      </w:r>
    </w:p>
    <w:p w14:paraId="3B81775A" w14:textId="77777777" w:rsidR="0073088B" w:rsidRDefault="00DA67E8" w:rsidP="002F600D">
      <w:pPr>
        <w:numPr>
          <w:ilvl w:val="0"/>
          <w:numId w:val="21"/>
        </w:numPr>
        <w:jc w:val="both"/>
        <w:rPr>
          <w:rFonts w:ascii="Arial" w:hAnsi="Arial" w:cs="Arial"/>
          <w:sz w:val="22"/>
          <w:szCs w:val="22"/>
        </w:rPr>
      </w:pPr>
      <w:r w:rsidRPr="00202C02">
        <w:rPr>
          <w:rFonts w:ascii="Arial" w:hAnsi="Arial" w:cs="Arial"/>
          <w:sz w:val="22"/>
          <w:szCs w:val="22"/>
        </w:rPr>
        <w:t>CT- chest and abdomen</w:t>
      </w:r>
      <w:r>
        <w:rPr>
          <w:rFonts w:ascii="Arial" w:hAnsi="Arial" w:cs="Arial"/>
          <w:sz w:val="22"/>
          <w:szCs w:val="22"/>
        </w:rPr>
        <w:t xml:space="preserve"> and tumour </w:t>
      </w:r>
      <w:r w:rsidR="002F113D">
        <w:rPr>
          <w:rFonts w:ascii="Arial" w:hAnsi="Arial" w:cs="Arial"/>
          <w:sz w:val="22"/>
          <w:szCs w:val="22"/>
        </w:rPr>
        <w:t>response. Response</w:t>
      </w:r>
      <w:r>
        <w:rPr>
          <w:rFonts w:ascii="Arial" w:hAnsi="Arial" w:cs="Arial"/>
          <w:sz w:val="22"/>
          <w:szCs w:val="22"/>
        </w:rPr>
        <w:t xml:space="preserve"> assessment</w:t>
      </w:r>
      <w:r w:rsidRPr="00202C02">
        <w:rPr>
          <w:rFonts w:ascii="Arial" w:hAnsi="Arial" w:cs="Arial"/>
          <w:sz w:val="22"/>
          <w:szCs w:val="22"/>
        </w:rPr>
        <w:t xml:space="preserve"> will be based on th</w:t>
      </w:r>
      <w:r>
        <w:rPr>
          <w:rFonts w:ascii="Arial" w:hAnsi="Arial" w:cs="Arial"/>
          <w:sz w:val="22"/>
          <w:szCs w:val="22"/>
        </w:rPr>
        <w:t>e meso-modified RECIST criteria</w:t>
      </w:r>
      <w:r w:rsidR="00ED0E45">
        <w:rPr>
          <w:rFonts w:ascii="Arial" w:hAnsi="Arial" w:cs="Arial"/>
          <w:sz w:val="22"/>
          <w:szCs w:val="22"/>
        </w:rPr>
        <w:t xml:space="preserve"> (appendix 6)</w:t>
      </w:r>
      <w:r>
        <w:rPr>
          <w:rFonts w:ascii="Arial" w:hAnsi="Arial" w:cs="Arial"/>
          <w:sz w:val="22"/>
          <w:szCs w:val="22"/>
        </w:rPr>
        <w:t>.</w:t>
      </w:r>
      <w:r w:rsidR="00D0024C">
        <w:rPr>
          <w:rFonts w:ascii="Arial" w:hAnsi="Arial" w:cs="Arial"/>
          <w:sz w:val="22"/>
          <w:szCs w:val="22"/>
        </w:rPr>
        <w:t xml:space="preserve"> CT scans may be requested from sites in pseudo-anonymised form to supplement tumour measurement data for overall examination of objective tumour response according to</w:t>
      </w:r>
      <w:r w:rsidR="0073088B">
        <w:rPr>
          <w:rFonts w:ascii="Arial" w:hAnsi="Arial" w:cs="Arial"/>
          <w:sz w:val="22"/>
          <w:szCs w:val="22"/>
        </w:rPr>
        <w:t xml:space="preserve"> meso-modified RECIST criteria.</w:t>
      </w:r>
    </w:p>
    <w:p w14:paraId="08329F0B" w14:textId="1EEE6ABC" w:rsidR="00C62DF7" w:rsidRPr="00097793" w:rsidRDefault="00C62DF7" w:rsidP="002F600D">
      <w:pPr>
        <w:numPr>
          <w:ilvl w:val="0"/>
          <w:numId w:val="21"/>
        </w:numPr>
        <w:jc w:val="both"/>
        <w:rPr>
          <w:rFonts w:ascii="Arial" w:hAnsi="Arial" w:cs="Arial"/>
          <w:sz w:val="22"/>
          <w:szCs w:val="22"/>
        </w:rPr>
      </w:pPr>
      <w:r>
        <w:rPr>
          <w:rFonts w:ascii="Arial" w:hAnsi="Arial" w:cs="Arial"/>
          <w:sz w:val="22"/>
          <w:szCs w:val="22"/>
        </w:rPr>
        <w:t>Blood sample for translation research (</w:t>
      </w:r>
      <w:r w:rsidR="00DC2D6D">
        <w:rPr>
          <w:rFonts w:ascii="Arial" w:hAnsi="Arial" w:cs="Arial"/>
          <w:sz w:val="22"/>
          <w:szCs w:val="22"/>
        </w:rPr>
        <w:t xml:space="preserve">all </w:t>
      </w:r>
      <w:r>
        <w:rPr>
          <w:rFonts w:ascii="Arial" w:hAnsi="Arial" w:cs="Arial"/>
          <w:sz w:val="22"/>
          <w:szCs w:val="22"/>
        </w:rPr>
        <w:t xml:space="preserve">phase II </w:t>
      </w:r>
      <w:r w:rsidR="00DC2D6D">
        <w:rPr>
          <w:rFonts w:ascii="Arial" w:hAnsi="Arial" w:cs="Arial"/>
          <w:sz w:val="22"/>
          <w:szCs w:val="22"/>
        </w:rPr>
        <w:t>patients</w:t>
      </w:r>
      <w:r>
        <w:rPr>
          <w:rFonts w:ascii="Arial" w:hAnsi="Arial" w:cs="Arial"/>
          <w:sz w:val="22"/>
          <w:szCs w:val="22"/>
        </w:rPr>
        <w:t xml:space="preserve">). </w:t>
      </w:r>
      <w:r w:rsidRPr="00097793">
        <w:rPr>
          <w:rFonts w:ascii="Arial" w:hAnsi="Arial" w:cs="Arial"/>
          <w:sz w:val="22"/>
          <w:szCs w:val="22"/>
        </w:rPr>
        <w:t>See Section 20 for details</w:t>
      </w:r>
    </w:p>
    <w:p w14:paraId="190C21A5" w14:textId="77777777" w:rsidR="00C62DF7" w:rsidRPr="00F55C1B" w:rsidRDefault="00C62DF7" w:rsidP="00C62DF7">
      <w:pPr>
        <w:ind w:left="720"/>
        <w:jc w:val="both"/>
        <w:rPr>
          <w:rFonts w:ascii="Arial" w:hAnsi="Arial" w:cs="Arial"/>
          <w:sz w:val="22"/>
          <w:szCs w:val="22"/>
        </w:rPr>
      </w:pPr>
    </w:p>
    <w:p w14:paraId="017376B6" w14:textId="77777777" w:rsidR="00DA67E8" w:rsidRPr="008E3B41" w:rsidRDefault="00DA67E8" w:rsidP="00F62DC2">
      <w:pPr>
        <w:jc w:val="both"/>
        <w:rPr>
          <w:rFonts w:ascii="Arial" w:hAnsi="Arial" w:cs="Arial"/>
          <w:sz w:val="22"/>
        </w:rPr>
      </w:pPr>
    </w:p>
    <w:p w14:paraId="459DC755" w14:textId="77777777" w:rsidR="00DA67E8" w:rsidRPr="00F55C1B" w:rsidRDefault="00DA67E8" w:rsidP="00F62DC2">
      <w:pPr>
        <w:pStyle w:val="ProtTempparagraph"/>
        <w:spacing w:after="240"/>
        <w:rPr>
          <w:b/>
          <w:bCs/>
          <w:i/>
          <w:iCs/>
          <w:color w:val="0000FF"/>
          <w:sz w:val="22"/>
          <w:szCs w:val="22"/>
        </w:rPr>
      </w:pPr>
      <w:r w:rsidRPr="00F55C1B">
        <w:rPr>
          <w:sz w:val="22"/>
          <w:szCs w:val="22"/>
        </w:rPr>
        <w:t>All efforts should be made by the Site to contact the patient’s GP to assess their condition, if a patient fails to attend a clinic or cannot be followed up at site.</w:t>
      </w:r>
    </w:p>
    <w:p w14:paraId="50F4EFF4" w14:textId="77777777" w:rsidR="00DA67E8" w:rsidRPr="00F55C1B" w:rsidRDefault="00DA67E8" w:rsidP="00F62DC2">
      <w:pPr>
        <w:jc w:val="both"/>
        <w:rPr>
          <w:rFonts w:ascii="Arial" w:hAnsi="Arial" w:cs="Arial"/>
          <w:bCs/>
          <w:sz w:val="22"/>
          <w:szCs w:val="22"/>
        </w:rPr>
      </w:pPr>
      <w:r w:rsidRPr="00F55C1B">
        <w:rPr>
          <w:rFonts w:ascii="Arial" w:hAnsi="Arial" w:cs="Arial"/>
          <w:bCs/>
          <w:sz w:val="22"/>
          <w:szCs w:val="22"/>
        </w:rPr>
        <w:t>Progression may be determined clinically or radiologically, but sites are encouraged to have documented radiological progression.</w:t>
      </w:r>
    </w:p>
    <w:p w14:paraId="5FA65468" w14:textId="77777777" w:rsidR="00DA67E8" w:rsidRPr="008E3B41" w:rsidRDefault="00DA67E8" w:rsidP="00F62DC2">
      <w:pPr>
        <w:jc w:val="both"/>
      </w:pPr>
    </w:p>
    <w:p w14:paraId="0B0101C9" w14:textId="77777777" w:rsidR="00DA67E8" w:rsidRDefault="00DA67E8" w:rsidP="00F62DC2">
      <w:pPr>
        <w:spacing w:after="240"/>
        <w:jc w:val="both"/>
        <w:rPr>
          <w:rFonts w:ascii="Arial" w:hAnsi="Arial" w:cs="Arial"/>
          <w:b/>
          <w:bCs/>
          <w:kern w:val="32"/>
          <w:sz w:val="32"/>
          <w:szCs w:val="32"/>
        </w:rPr>
      </w:pPr>
    </w:p>
    <w:p w14:paraId="40AE33FE" w14:textId="77777777" w:rsidR="00DA67E8" w:rsidRPr="004E69CA" w:rsidRDefault="00DA67E8" w:rsidP="004E69CA">
      <w:pPr>
        <w:pStyle w:val="ListParagraph"/>
        <w:keepNext/>
        <w:numPr>
          <w:ilvl w:val="0"/>
          <w:numId w:val="6"/>
        </w:numPr>
        <w:spacing w:before="240" w:after="240"/>
        <w:outlineLvl w:val="0"/>
        <w:rPr>
          <w:rFonts w:ascii="Arial" w:hAnsi="Arial" w:cs="Arial"/>
          <w:b/>
          <w:sz w:val="32"/>
          <w:szCs w:val="32"/>
        </w:rPr>
      </w:pPr>
      <w:bookmarkStart w:id="488" w:name="_Toc283031786"/>
      <w:bookmarkStart w:id="489" w:name="_Toc283376322"/>
      <w:r>
        <w:br w:type="page"/>
      </w:r>
      <w:bookmarkStart w:id="490" w:name="_Toc333484764"/>
      <w:bookmarkStart w:id="491" w:name="_Toc333484879"/>
      <w:bookmarkStart w:id="492" w:name="_Toc351624833"/>
      <w:bookmarkStart w:id="493" w:name="_Toc471826795"/>
      <w:bookmarkStart w:id="494" w:name="_Toc528323561"/>
      <w:r w:rsidRPr="004E69CA">
        <w:rPr>
          <w:rFonts w:ascii="Arial" w:hAnsi="Arial" w:cs="Arial"/>
          <w:b/>
          <w:sz w:val="32"/>
          <w:szCs w:val="32"/>
        </w:rPr>
        <w:lastRenderedPageBreak/>
        <w:t xml:space="preserve">Data Management </w:t>
      </w:r>
      <w:r w:rsidR="00071FF9" w:rsidRPr="004E69CA">
        <w:rPr>
          <w:rFonts w:ascii="Arial" w:hAnsi="Arial" w:cs="Arial"/>
          <w:b/>
          <w:sz w:val="32"/>
          <w:szCs w:val="32"/>
        </w:rPr>
        <w:t xml:space="preserve">and Data Handling </w:t>
      </w:r>
      <w:r w:rsidRPr="004E69CA">
        <w:rPr>
          <w:rFonts w:ascii="Arial" w:hAnsi="Arial" w:cs="Arial"/>
          <w:b/>
          <w:sz w:val="32"/>
          <w:szCs w:val="32"/>
        </w:rPr>
        <w:t>Guidelines</w:t>
      </w:r>
      <w:bookmarkEnd w:id="488"/>
      <w:bookmarkEnd w:id="489"/>
      <w:bookmarkEnd w:id="490"/>
      <w:bookmarkEnd w:id="491"/>
      <w:bookmarkEnd w:id="492"/>
      <w:bookmarkEnd w:id="493"/>
      <w:bookmarkEnd w:id="494"/>
    </w:p>
    <w:p w14:paraId="760D650C" w14:textId="77777777" w:rsidR="00DA67E8" w:rsidRPr="00E94A8E" w:rsidRDefault="00DA67E8" w:rsidP="00134C28">
      <w:pPr>
        <w:pStyle w:val="ProtTempparagraph"/>
        <w:spacing w:after="240"/>
        <w:rPr>
          <w:sz w:val="22"/>
          <w:szCs w:val="22"/>
        </w:rPr>
      </w:pPr>
      <w:r w:rsidRPr="00E94A8E">
        <w:rPr>
          <w:sz w:val="22"/>
          <w:szCs w:val="22"/>
        </w:rPr>
        <w:t xml:space="preserve">Data will be collected from sites on version controlled case report forms (CRFs) designed for the trial and supplied by UCL CTC.  </w:t>
      </w:r>
      <w:r w:rsidR="00071FF9" w:rsidRPr="00071FF9">
        <w:rPr>
          <w:sz w:val="22"/>
        </w:rPr>
        <w:t>Data entered onto CRFs must be verifiable from source data at site.</w:t>
      </w:r>
    </w:p>
    <w:p w14:paraId="7AEA6C06" w14:textId="77777777" w:rsidR="00071FF9" w:rsidRPr="00071FF9" w:rsidRDefault="00071FF9" w:rsidP="00071FF9">
      <w:pPr>
        <w:pStyle w:val="ProtTempparagraph"/>
        <w:spacing w:after="240"/>
        <w:rPr>
          <w:sz w:val="22"/>
        </w:rPr>
      </w:pPr>
      <w:r w:rsidRPr="00071FF9">
        <w:rPr>
          <w:sz w:val="22"/>
        </w:rPr>
        <w:t>Examples of source documents are hospital records which include laboratory and other clinical reports etc.</w:t>
      </w:r>
      <w:r w:rsidR="00A02CA3">
        <w:rPr>
          <w:sz w:val="22"/>
        </w:rPr>
        <w:t xml:space="preserve"> </w:t>
      </w:r>
      <w:r w:rsidR="00A02CA3" w:rsidRPr="000C7707">
        <w:rPr>
          <w:sz w:val="22"/>
          <w:szCs w:val="22"/>
        </w:rPr>
        <w:t>S</w:t>
      </w:r>
      <w:r w:rsidR="00A02CA3" w:rsidRPr="000C7707">
        <w:rPr>
          <w:color w:val="000000"/>
          <w:sz w:val="22"/>
          <w:szCs w:val="22"/>
        </w:rPr>
        <w:t>ome data will be recorded directly on the CRFs (i.e. no prior written or electronic record of data) and it will be considered to be the source document.</w:t>
      </w:r>
      <w:r w:rsidR="00A02CA3">
        <w:rPr>
          <w:rFonts w:ascii="Tahoma" w:hAnsi="Tahoma" w:cs="Tahoma"/>
          <w:color w:val="000000"/>
          <w:sz w:val="23"/>
          <w:szCs w:val="23"/>
        </w:rPr>
        <w:t xml:space="preserve"> </w:t>
      </w:r>
    </w:p>
    <w:p w14:paraId="0E3F2D53" w14:textId="1A49A20E" w:rsidR="00DA67E8" w:rsidRPr="00E94A8E" w:rsidRDefault="00DA67E8" w:rsidP="00134C28">
      <w:pPr>
        <w:pStyle w:val="ProtTempparagraph"/>
        <w:spacing w:after="240"/>
        <w:rPr>
          <w:sz w:val="22"/>
          <w:szCs w:val="22"/>
        </w:rPr>
      </w:pPr>
      <w:r w:rsidRPr="00E94A8E">
        <w:rPr>
          <w:sz w:val="22"/>
          <w:szCs w:val="22"/>
        </w:rPr>
        <w:t xml:space="preserve">Where </w:t>
      </w:r>
      <w:r w:rsidR="005567DF">
        <w:rPr>
          <w:sz w:val="22"/>
          <w:szCs w:val="22"/>
        </w:rPr>
        <w:t xml:space="preserve">copies of </w:t>
      </w:r>
      <w:r w:rsidRPr="00E94A8E">
        <w:rPr>
          <w:sz w:val="22"/>
          <w:szCs w:val="22"/>
        </w:rPr>
        <w:t xml:space="preserve">supporting </w:t>
      </w:r>
      <w:r w:rsidR="005567DF">
        <w:rPr>
          <w:sz w:val="22"/>
          <w:szCs w:val="22"/>
        </w:rPr>
        <w:t xml:space="preserve">source </w:t>
      </w:r>
      <w:r w:rsidRPr="00E94A8E">
        <w:rPr>
          <w:sz w:val="22"/>
          <w:szCs w:val="22"/>
        </w:rPr>
        <w:t>documentation (e.g. autopsy reports, pathology reports, CT scan images</w:t>
      </w:r>
      <w:r w:rsidR="00736325">
        <w:rPr>
          <w:sz w:val="22"/>
          <w:szCs w:val="22"/>
        </w:rPr>
        <w:t>,</w:t>
      </w:r>
      <w:r w:rsidRPr="00E94A8E">
        <w:rPr>
          <w:sz w:val="22"/>
          <w:szCs w:val="22"/>
        </w:rPr>
        <w:t xml:space="preserve"> etc</w:t>
      </w:r>
      <w:r w:rsidR="00736325">
        <w:rPr>
          <w:sz w:val="22"/>
          <w:szCs w:val="22"/>
        </w:rPr>
        <w:t>.</w:t>
      </w:r>
      <w:r w:rsidRPr="00E94A8E">
        <w:rPr>
          <w:sz w:val="22"/>
          <w:szCs w:val="22"/>
        </w:rPr>
        <w:t xml:space="preserve">) </w:t>
      </w:r>
      <w:r w:rsidR="005567DF">
        <w:rPr>
          <w:sz w:val="22"/>
          <w:szCs w:val="22"/>
        </w:rPr>
        <w:t>are</w:t>
      </w:r>
      <w:r w:rsidRPr="00E94A8E">
        <w:rPr>
          <w:sz w:val="22"/>
          <w:szCs w:val="22"/>
        </w:rPr>
        <w:t xml:space="preserve"> being submitted to UCL CTC, the patient’s trial number must be clearly indicated on all material and any patient identifiers removed/blacked out prior to sending to maintain confidentiality.</w:t>
      </w:r>
    </w:p>
    <w:p w14:paraId="28BA8878" w14:textId="77777777" w:rsidR="002F7B18" w:rsidRDefault="00DA67E8" w:rsidP="00E3553D">
      <w:pPr>
        <w:pStyle w:val="ProtTempparagraph"/>
        <w:spacing w:after="240"/>
        <w:rPr>
          <w:sz w:val="22"/>
          <w:szCs w:val="22"/>
        </w:rPr>
      </w:pPr>
      <w:r w:rsidRPr="007D7890">
        <w:rPr>
          <w:sz w:val="22"/>
          <w:szCs w:val="22"/>
        </w:rPr>
        <w:t xml:space="preserve">Please note that, for this trial, patients </w:t>
      </w:r>
      <w:r w:rsidR="007D7890">
        <w:rPr>
          <w:sz w:val="22"/>
          <w:szCs w:val="22"/>
        </w:rPr>
        <w:t xml:space="preserve">will be asked to </w:t>
      </w:r>
      <w:r w:rsidRPr="007D7890">
        <w:rPr>
          <w:sz w:val="22"/>
          <w:szCs w:val="22"/>
        </w:rPr>
        <w:t>consent</w:t>
      </w:r>
      <w:r w:rsidR="00F333BA">
        <w:rPr>
          <w:sz w:val="22"/>
          <w:szCs w:val="22"/>
        </w:rPr>
        <w:t xml:space="preserve"> </w:t>
      </w:r>
      <w:r w:rsidRPr="007D7890">
        <w:rPr>
          <w:sz w:val="22"/>
          <w:szCs w:val="22"/>
        </w:rPr>
        <w:t>to their</w:t>
      </w:r>
      <w:r w:rsidR="007D7890" w:rsidRPr="007D7890">
        <w:rPr>
          <w:sz w:val="22"/>
          <w:szCs w:val="22"/>
        </w:rPr>
        <w:t xml:space="preserve"> date of birth and NHS </w:t>
      </w:r>
      <w:r w:rsidR="003220D2" w:rsidRPr="007D7890">
        <w:rPr>
          <w:sz w:val="22"/>
          <w:szCs w:val="22"/>
        </w:rPr>
        <w:t>number being</w:t>
      </w:r>
      <w:r w:rsidRPr="007D7890">
        <w:rPr>
          <w:sz w:val="22"/>
          <w:szCs w:val="22"/>
        </w:rPr>
        <w:t xml:space="preserve"> supplied to UCL CTC. </w:t>
      </w:r>
      <w:r w:rsidR="002F7B18">
        <w:rPr>
          <w:sz w:val="22"/>
          <w:szCs w:val="22"/>
        </w:rPr>
        <w:t>This is:</w:t>
      </w:r>
    </w:p>
    <w:p w14:paraId="171229BB" w14:textId="77777777" w:rsidR="00DA67E8" w:rsidRPr="007D7890" w:rsidRDefault="003153A6" w:rsidP="00D65DE2">
      <w:pPr>
        <w:pStyle w:val="ProtTempparagraph"/>
        <w:numPr>
          <w:ilvl w:val="0"/>
          <w:numId w:val="47"/>
        </w:numPr>
        <w:spacing w:after="240"/>
        <w:rPr>
          <w:sz w:val="22"/>
          <w:szCs w:val="22"/>
        </w:rPr>
      </w:pPr>
      <w:r>
        <w:rPr>
          <w:sz w:val="22"/>
          <w:szCs w:val="22"/>
        </w:rPr>
        <w:t>So that, clinical trial data can be linked to hospital records if needed, without the use of the patient’s full name</w:t>
      </w:r>
    </w:p>
    <w:p w14:paraId="2ED79F03" w14:textId="77777777" w:rsidR="00DA67E8" w:rsidRDefault="00DA67E8" w:rsidP="004E69CA">
      <w:pPr>
        <w:pStyle w:val="Heading2"/>
      </w:pPr>
      <w:bookmarkStart w:id="495" w:name="_Toc283031787"/>
      <w:bookmarkStart w:id="496" w:name="_Toc283376323"/>
      <w:bookmarkStart w:id="497" w:name="_Toc333484765"/>
      <w:bookmarkStart w:id="498" w:name="_Toc333484880"/>
      <w:bookmarkStart w:id="499" w:name="_Toc351624834"/>
      <w:bookmarkStart w:id="500" w:name="_Toc471826796"/>
      <w:bookmarkStart w:id="501" w:name="_Toc528323562"/>
      <w:r w:rsidRPr="00A23D8C">
        <w:t>Completing Case Report Forms</w:t>
      </w:r>
      <w:bookmarkEnd w:id="495"/>
      <w:bookmarkEnd w:id="496"/>
      <w:bookmarkEnd w:id="497"/>
      <w:bookmarkEnd w:id="498"/>
      <w:bookmarkEnd w:id="499"/>
      <w:bookmarkEnd w:id="500"/>
      <w:bookmarkEnd w:id="501"/>
    </w:p>
    <w:p w14:paraId="20FBF2C9" w14:textId="77777777" w:rsidR="00DA67E8" w:rsidRPr="00E94A8E" w:rsidRDefault="00DA67E8" w:rsidP="00134C28">
      <w:pPr>
        <w:pStyle w:val="ProtTempparagraph"/>
        <w:spacing w:after="240"/>
        <w:rPr>
          <w:sz w:val="22"/>
          <w:szCs w:val="22"/>
        </w:rPr>
      </w:pPr>
      <w:r w:rsidRPr="00E94A8E">
        <w:rPr>
          <w:sz w:val="22"/>
          <w:szCs w:val="22"/>
        </w:rPr>
        <w:t>All CRFs must be completed and signed by staff who are listed on the site staff delegation log and authorised by the PI to perform this duty.  The PI is responsible for the accuracy of all data reported in the CRF.</w:t>
      </w:r>
    </w:p>
    <w:p w14:paraId="7C9DC170" w14:textId="77777777" w:rsidR="00EC2637" w:rsidRPr="00E94A8E" w:rsidRDefault="00DA67E8" w:rsidP="00EC2637">
      <w:pPr>
        <w:pStyle w:val="ProtTempparagraph"/>
        <w:spacing w:after="240"/>
        <w:rPr>
          <w:sz w:val="22"/>
          <w:szCs w:val="22"/>
        </w:rPr>
      </w:pPr>
      <w:r w:rsidRPr="00E94A8E">
        <w:rPr>
          <w:sz w:val="22"/>
          <w:szCs w:val="22"/>
        </w:rPr>
        <w:t xml:space="preserve">All entries must be clear, legible and written in ball point pen.  </w:t>
      </w:r>
      <w:r w:rsidR="00EC2637" w:rsidRPr="00E94A8E">
        <w:rPr>
          <w:sz w:val="22"/>
          <w:szCs w:val="22"/>
        </w:rPr>
        <w:t xml:space="preserve">Any corrections made to a CRF at site must be made by drawing a single line through the incorrect item ensuring that the previous entry is not obscured.  Each correction must be dated and initialled.  Correction fluid must not be used. </w:t>
      </w:r>
    </w:p>
    <w:p w14:paraId="4B12DD46" w14:textId="77777777" w:rsidR="00EC2637" w:rsidRDefault="001102FD" w:rsidP="00134C28">
      <w:pPr>
        <w:pStyle w:val="ProtTempparagraph"/>
        <w:spacing w:after="240"/>
        <w:rPr>
          <w:sz w:val="22"/>
          <w:szCs w:val="22"/>
        </w:rPr>
      </w:pPr>
      <w:r w:rsidRPr="00E94A8E">
        <w:rPr>
          <w:sz w:val="22"/>
          <w:szCs w:val="22"/>
        </w:rPr>
        <w:t>The use of abbreviations and acronyms must be avoided.</w:t>
      </w:r>
    </w:p>
    <w:p w14:paraId="2DBF9C60" w14:textId="542D2964" w:rsidR="00DA67E8" w:rsidRDefault="00EC2637" w:rsidP="00134C28">
      <w:pPr>
        <w:pStyle w:val="ProtTempparagraph"/>
        <w:spacing w:after="240"/>
        <w:rPr>
          <w:bCs/>
          <w:sz w:val="22"/>
          <w:szCs w:val="22"/>
        </w:rPr>
      </w:pPr>
      <w:r w:rsidRPr="00E94A8E">
        <w:rPr>
          <w:sz w:val="22"/>
          <w:szCs w:val="22"/>
        </w:rPr>
        <w:t xml:space="preserve">Once completed the original CRFs </w:t>
      </w:r>
      <w:r w:rsidRPr="00E94A8E">
        <w:rPr>
          <w:bCs/>
          <w:sz w:val="22"/>
          <w:szCs w:val="22"/>
        </w:rPr>
        <w:t>must be sent to UCL CTC and a copy kept at site</w:t>
      </w:r>
      <w:r w:rsidR="004D2CAB">
        <w:rPr>
          <w:bCs/>
          <w:sz w:val="22"/>
          <w:szCs w:val="22"/>
        </w:rPr>
        <w:t>.</w:t>
      </w:r>
    </w:p>
    <w:p w14:paraId="6399BF96" w14:textId="62753552" w:rsidR="001B6DB4" w:rsidRDefault="001B6DB4" w:rsidP="00134C28">
      <w:pPr>
        <w:pStyle w:val="ProtTempparagraph"/>
        <w:spacing w:after="240"/>
        <w:rPr>
          <w:bCs/>
          <w:sz w:val="22"/>
          <w:szCs w:val="22"/>
        </w:rPr>
      </w:pPr>
    </w:p>
    <w:p w14:paraId="458B81C6" w14:textId="6C0C835B" w:rsidR="001B6DB4" w:rsidRDefault="001B6DB4" w:rsidP="00134C28">
      <w:pPr>
        <w:pStyle w:val="ProtTempparagraph"/>
        <w:spacing w:after="240"/>
        <w:rPr>
          <w:bCs/>
          <w:sz w:val="22"/>
          <w:szCs w:val="22"/>
        </w:rPr>
      </w:pPr>
    </w:p>
    <w:p w14:paraId="371823DC" w14:textId="4786FB2B" w:rsidR="001B6DB4" w:rsidRDefault="001B6DB4" w:rsidP="00134C28">
      <w:pPr>
        <w:pStyle w:val="ProtTempparagraph"/>
        <w:spacing w:after="240"/>
        <w:rPr>
          <w:bCs/>
          <w:sz w:val="22"/>
          <w:szCs w:val="22"/>
        </w:rPr>
      </w:pPr>
    </w:p>
    <w:p w14:paraId="205E852D" w14:textId="3A7D1DDD" w:rsidR="001B6DB4" w:rsidRDefault="001B6DB4" w:rsidP="00134C28">
      <w:pPr>
        <w:pStyle w:val="ProtTempparagraph"/>
        <w:spacing w:after="240"/>
        <w:rPr>
          <w:bCs/>
          <w:sz w:val="22"/>
          <w:szCs w:val="22"/>
        </w:rPr>
      </w:pPr>
    </w:p>
    <w:p w14:paraId="6CEF7941" w14:textId="2D9BD903" w:rsidR="001B6DB4" w:rsidRDefault="001B6DB4" w:rsidP="00134C28">
      <w:pPr>
        <w:pStyle w:val="ProtTempparagraph"/>
        <w:spacing w:after="240"/>
        <w:rPr>
          <w:bCs/>
          <w:sz w:val="22"/>
          <w:szCs w:val="22"/>
        </w:rPr>
      </w:pPr>
    </w:p>
    <w:p w14:paraId="4EE11B69" w14:textId="66E578B3" w:rsidR="001B6DB4" w:rsidRDefault="001B6DB4" w:rsidP="00134C28">
      <w:pPr>
        <w:pStyle w:val="ProtTempparagraph"/>
        <w:spacing w:after="240"/>
        <w:rPr>
          <w:bCs/>
          <w:sz w:val="22"/>
          <w:szCs w:val="22"/>
        </w:rPr>
      </w:pPr>
    </w:p>
    <w:p w14:paraId="0C546ADC" w14:textId="77777777" w:rsidR="001B6DB4" w:rsidRDefault="001B6DB4" w:rsidP="00134C28">
      <w:pPr>
        <w:pStyle w:val="ProtTempparagraph"/>
        <w:spacing w:after="240"/>
        <w:rPr>
          <w:bCs/>
          <w:sz w:val="22"/>
          <w:szCs w:val="22"/>
        </w:rPr>
      </w:pPr>
    </w:p>
    <w:p w14:paraId="2DE892AF" w14:textId="076BDC8A" w:rsidR="004D2CAB" w:rsidRDefault="004D2CAB" w:rsidP="004D2CAB">
      <w:pPr>
        <w:pStyle w:val="Heading2"/>
      </w:pPr>
      <w:bookmarkStart w:id="502" w:name="_Toc528323563"/>
      <w:r>
        <w:rPr>
          <w:lang w:val="en-GB"/>
        </w:rPr>
        <w:lastRenderedPageBreak/>
        <w:t>Imaging</w:t>
      </w:r>
      <w:bookmarkEnd w:id="502"/>
      <w:r>
        <w:rPr>
          <w:lang w:val="en-GB"/>
        </w:rPr>
        <w:t xml:space="preserve"> </w:t>
      </w:r>
    </w:p>
    <w:p w14:paraId="0A6C10C4" w14:textId="53FEED77" w:rsidR="00453003" w:rsidRDefault="004D2CAB" w:rsidP="0018358E">
      <w:pPr>
        <w:pStyle w:val="ProtTempparagraph"/>
        <w:spacing w:after="240"/>
        <w:rPr>
          <w:sz w:val="22"/>
          <w:szCs w:val="22"/>
        </w:rPr>
      </w:pPr>
      <w:r>
        <w:rPr>
          <w:sz w:val="22"/>
          <w:szCs w:val="22"/>
        </w:rPr>
        <w:t>The UCL CTC will contact sites to arra</w:t>
      </w:r>
      <w:r w:rsidR="00C17504">
        <w:rPr>
          <w:sz w:val="22"/>
          <w:szCs w:val="22"/>
        </w:rPr>
        <w:t>nge transfer of CT scan</w:t>
      </w:r>
      <w:r w:rsidR="001B6DB4">
        <w:rPr>
          <w:sz w:val="22"/>
          <w:szCs w:val="22"/>
        </w:rPr>
        <w:t xml:space="preserve"> images</w:t>
      </w:r>
      <w:r>
        <w:rPr>
          <w:sz w:val="22"/>
          <w:szCs w:val="22"/>
        </w:rPr>
        <w:t xml:space="preserve"> </w:t>
      </w:r>
      <w:r w:rsidR="00BB790C">
        <w:rPr>
          <w:sz w:val="22"/>
          <w:szCs w:val="22"/>
        </w:rPr>
        <w:t>via</w:t>
      </w:r>
      <w:r w:rsidR="001B6DB4">
        <w:rPr>
          <w:sz w:val="22"/>
          <w:szCs w:val="22"/>
        </w:rPr>
        <w:t xml:space="preserve"> </w:t>
      </w:r>
      <w:r w:rsidR="00C17504">
        <w:rPr>
          <w:sz w:val="22"/>
          <w:szCs w:val="22"/>
        </w:rPr>
        <w:t>disc</w:t>
      </w:r>
      <w:r w:rsidR="00BB790C">
        <w:rPr>
          <w:sz w:val="22"/>
          <w:szCs w:val="22"/>
        </w:rPr>
        <w:t xml:space="preserve"> </w:t>
      </w:r>
      <w:r>
        <w:rPr>
          <w:sz w:val="22"/>
          <w:szCs w:val="22"/>
        </w:rPr>
        <w:t xml:space="preserve">for selected patients if </w:t>
      </w:r>
      <w:r w:rsidR="00453003">
        <w:rPr>
          <w:sz w:val="22"/>
          <w:szCs w:val="22"/>
        </w:rPr>
        <w:t xml:space="preserve">deemed </w:t>
      </w:r>
      <w:r>
        <w:rPr>
          <w:sz w:val="22"/>
          <w:szCs w:val="22"/>
        </w:rPr>
        <w:t>of scientific interest</w:t>
      </w:r>
      <w:r w:rsidR="00C17504">
        <w:rPr>
          <w:sz w:val="22"/>
          <w:szCs w:val="22"/>
        </w:rPr>
        <w:t xml:space="preserve">. </w:t>
      </w:r>
      <w:r w:rsidR="001B6DB4">
        <w:rPr>
          <w:sz w:val="22"/>
          <w:szCs w:val="22"/>
        </w:rPr>
        <w:t xml:space="preserve">CT scan images </w:t>
      </w:r>
      <w:r w:rsidR="0018358E">
        <w:rPr>
          <w:sz w:val="22"/>
          <w:szCs w:val="22"/>
        </w:rPr>
        <w:t xml:space="preserve">must </w:t>
      </w:r>
      <w:r>
        <w:rPr>
          <w:sz w:val="22"/>
          <w:szCs w:val="22"/>
        </w:rPr>
        <w:t xml:space="preserve">be transferred to </w:t>
      </w:r>
      <w:r w:rsidR="0018358E">
        <w:rPr>
          <w:sz w:val="22"/>
          <w:szCs w:val="22"/>
        </w:rPr>
        <w:t xml:space="preserve">the UCL CTC in </w:t>
      </w:r>
      <w:r w:rsidR="0018358E" w:rsidRPr="0018358E">
        <w:rPr>
          <w:b/>
          <w:sz w:val="22"/>
          <w:szCs w:val="22"/>
        </w:rPr>
        <w:t>pseudo-anonymised</w:t>
      </w:r>
      <w:r w:rsidR="0018358E">
        <w:rPr>
          <w:sz w:val="22"/>
          <w:szCs w:val="22"/>
        </w:rPr>
        <w:t xml:space="preserve"> form i.e. with all patient identifiers (name, DOB, NHS number, hospital number) removed.  </w:t>
      </w:r>
    </w:p>
    <w:p w14:paraId="123358A2" w14:textId="456BE2E9" w:rsidR="00453003" w:rsidRDefault="00C17504" w:rsidP="00453003">
      <w:pPr>
        <w:pStyle w:val="ProtTempparagraph"/>
        <w:numPr>
          <w:ilvl w:val="0"/>
          <w:numId w:val="47"/>
        </w:numPr>
        <w:spacing w:after="240"/>
        <w:rPr>
          <w:sz w:val="22"/>
          <w:szCs w:val="22"/>
        </w:rPr>
      </w:pPr>
      <w:r>
        <w:rPr>
          <w:b/>
          <w:sz w:val="22"/>
          <w:szCs w:val="22"/>
        </w:rPr>
        <w:t xml:space="preserve">CT </w:t>
      </w:r>
      <w:r w:rsidR="001B6DB4">
        <w:rPr>
          <w:b/>
          <w:sz w:val="22"/>
          <w:szCs w:val="22"/>
        </w:rPr>
        <w:t xml:space="preserve">scan </w:t>
      </w:r>
      <w:r>
        <w:rPr>
          <w:b/>
          <w:sz w:val="22"/>
          <w:szCs w:val="22"/>
        </w:rPr>
        <w:t>images</w:t>
      </w:r>
      <w:r w:rsidR="00330CC3">
        <w:rPr>
          <w:sz w:val="22"/>
          <w:szCs w:val="22"/>
        </w:rPr>
        <w:t xml:space="preserve"> should</w:t>
      </w:r>
      <w:r w:rsidR="00453003">
        <w:rPr>
          <w:sz w:val="22"/>
          <w:szCs w:val="22"/>
        </w:rPr>
        <w:t xml:space="preserve"> include:</w:t>
      </w:r>
    </w:p>
    <w:p w14:paraId="565F8884" w14:textId="2F5EABB7" w:rsidR="0018358E" w:rsidRDefault="00453003" w:rsidP="00453003">
      <w:pPr>
        <w:pStyle w:val="ProtTempparagraph"/>
        <w:numPr>
          <w:ilvl w:val="1"/>
          <w:numId w:val="47"/>
        </w:numPr>
        <w:spacing w:after="240"/>
        <w:rPr>
          <w:sz w:val="22"/>
          <w:szCs w:val="22"/>
        </w:rPr>
      </w:pPr>
      <w:r>
        <w:rPr>
          <w:sz w:val="22"/>
          <w:szCs w:val="22"/>
        </w:rPr>
        <w:t>The patient’s trial ID</w:t>
      </w:r>
      <w:r w:rsidR="0018358E">
        <w:rPr>
          <w:sz w:val="22"/>
          <w:szCs w:val="22"/>
        </w:rPr>
        <w:t xml:space="preserve"> (MES-XXX) </w:t>
      </w:r>
    </w:p>
    <w:p w14:paraId="5DEE6924" w14:textId="20245B35" w:rsidR="00330CC3" w:rsidRPr="00330CC3" w:rsidRDefault="00330CC3" w:rsidP="00330CC3">
      <w:pPr>
        <w:pStyle w:val="ProtTempparagraph"/>
        <w:numPr>
          <w:ilvl w:val="1"/>
          <w:numId w:val="47"/>
        </w:numPr>
        <w:spacing w:after="240"/>
        <w:rPr>
          <w:b/>
          <w:sz w:val="22"/>
          <w:szCs w:val="22"/>
        </w:rPr>
      </w:pPr>
      <w:r>
        <w:rPr>
          <w:sz w:val="22"/>
          <w:szCs w:val="22"/>
        </w:rPr>
        <w:t>The date of the scan</w:t>
      </w:r>
    </w:p>
    <w:p w14:paraId="5F5AF3C6" w14:textId="38DAA8B8" w:rsidR="00453003" w:rsidRDefault="00453003" w:rsidP="00453003">
      <w:pPr>
        <w:pStyle w:val="ProtTempparagraph"/>
        <w:numPr>
          <w:ilvl w:val="0"/>
          <w:numId w:val="47"/>
        </w:numPr>
        <w:spacing w:after="240"/>
        <w:rPr>
          <w:sz w:val="22"/>
          <w:szCs w:val="22"/>
        </w:rPr>
      </w:pPr>
      <w:r w:rsidRPr="00453003">
        <w:rPr>
          <w:b/>
          <w:sz w:val="22"/>
          <w:szCs w:val="22"/>
        </w:rPr>
        <w:t>Electronic f</w:t>
      </w:r>
      <w:r w:rsidR="0018358E" w:rsidRPr="00453003">
        <w:rPr>
          <w:b/>
          <w:sz w:val="22"/>
          <w:szCs w:val="22"/>
        </w:rPr>
        <w:t>ile names</w:t>
      </w:r>
      <w:r w:rsidR="0018358E">
        <w:rPr>
          <w:sz w:val="22"/>
          <w:szCs w:val="22"/>
        </w:rPr>
        <w:t xml:space="preserve"> should include</w:t>
      </w:r>
      <w:r>
        <w:rPr>
          <w:sz w:val="22"/>
          <w:szCs w:val="22"/>
        </w:rPr>
        <w:t>:</w:t>
      </w:r>
    </w:p>
    <w:p w14:paraId="7E0EBBF6" w14:textId="74E2C8E2" w:rsidR="00453003" w:rsidRPr="00453003" w:rsidRDefault="00453003" w:rsidP="00453003">
      <w:pPr>
        <w:pStyle w:val="ProtTempparagraph"/>
        <w:numPr>
          <w:ilvl w:val="1"/>
          <w:numId w:val="47"/>
        </w:numPr>
        <w:spacing w:after="240"/>
        <w:rPr>
          <w:b/>
          <w:sz w:val="22"/>
          <w:szCs w:val="22"/>
        </w:rPr>
      </w:pPr>
      <w:r>
        <w:rPr>
          <w:sz w:val="22"/>
          <w:szCs w:val="22"/>
        </w:rPr>
        <w:t>The name of the trial (MESO_02)</w:t>
      </w:r>
    </w:p>
    <w:p w14:paraId="7F8DEEF3" w14:textId="26F1D7F0" w:rsidR="00453003" w:rsidRPr="00453003" w:rsidRDefault="00453003" w:rsidP="00453003">
      <w:pPr>
        <w:pStyle w:val="ProtTempparagraph"/>
        <w:numPr>
          <w:ilvl w:val="1"/>
          <w:numId w:val="47"/>
        </w:numPr>
        <w:spacing w:after="240"/>
        <w:rPr>
          <w:b/>
          <w:sz w:val="22"/>
          <w:szCs w:val="22"/>
        </w:rPr>
      </w:pPr>
      <w:r>
        <w:rPr>
          <w:sz w:val="22"/>
          <w:szCs w:val="22"/>
        </w:rPr>
        <w:t>The patient’s trial ID MES-XXX</w:t>
      </w:r>
    </w:p>
    <w:p w14:paraId="5C38BDED" w14:textId="28D3114D" w:rsidR="004D2CAB" w:rsidRPr="00453003" w:rsidRDefault="00453003" w:rsidP="00453003">
      <w:pPr>
        <w:pStyle w:val="ProtTempparagraph"/>
        <w:numPr>
          <w:ilvl w:val="1"/>
          <w:numId w:val="47"/>
        </w:numPr>
        <w:spacing w:after="240"/>
        <w:rPr>
          <w:b/>
          <w:sz w:val="22"/>
          <w:szCs w:val="22"/>
        </w:rPr>
      </w:pPr>
      <w:r>
        <w:rPr>
          <w:sz w:val="22"/>
          <w:szCs w:val="22"/>
        </w:rPr>
        <w:t>The date of the scan</w:t>
      </w:r>
    </w:p>
    <w:p w14:paraId="444B7D68" w14:textId="1E602831" w:rsidR="00453003" w:rsidRDefault="005E20CC" w:rsidP="00453003">
      <w:pPr>
        <w:pStyle w:val="ProtTempparagraph"/>
        <w:spacing w:after="240"/>
        <w:rPr>
          <w:sz w:val="22"/>
          <w:szCs w:val="22"/>
        </w:rPr>
      </w:pPr>
      <w:r>
        <w:rPr>
          <w:b/>
          <w:sz w:val="22"/>
          <w:szCs w:val="22"/>
        </w:rPr>
        <w:t>P</w:t>
      </w:r>
      <w:r w:rsidRPr="0018358E">
        <w:rPr>
          <w:b/>
          <w:sz w:val="22"/>
          <w:szCs w:val="22"/>
        </w:rPr>
        <w:t>seudo-anonymised</w:t>
      </w:r>
      <w:r>
        <w:rPr>
          <w:sz w:val="22"/>
          <w:szCs w:val="22"/>
        </w:rPr>
        <w:t xml:space="preserve"> </w:t>
      </w:r>
      <w:r w:rsidR="00C17504">
        <w:rPr>
          <w:sz w:val="22"/>
          <w:szCs w:val="22"/>
        </w:rPr>
        <w:t xml:space="preserve">CT </w:t>
      </w:r>
      <w:r w:rsidR="00453003">
        <w:rPr>
          <w:sz w:val="22"/>
          <w:szCs w:val="22"/>
        </w:rPr>
        <w:t xml:space="preserve">scans </w:t>
      </w:r>
      <w:r w:rsidR="00330CC3">
        <w:rPr>
          <w:sz w:val="22"/>
          <w:szCs w:val="22"/>
        </w:rPr>
        <w:t xml:space="preserve">should be </w:t>
      </w:r>
      <w:r w:rsidR="007A6831">
        <w:rPr>
          <w:sz w:val="22"/>
          <w:szCs w:val="22"/>
        </w:rPr>
        <w:t>uploaded onto a</w:t>
      </w:r>
      <w:r w:rsidR="00C17504">
        <w:rPr>
          <w:sz w:val="22"/>
          <w:szCs w:val="22"/>
        </w:rPr>
        <w:t xml:space="preserve"> disc</w:t>
      </w:r>
      <w:r w:rsidR="007A6831">
        <w:rPr>
          <w:sz w:val="22"/>
          <w:szCs w:val="22"/>
        </w:rPr>
        <w:t xml:space="preserve"> </w:t>
      </w:r>
      <w:r w:rsidR="007A6831" w:rsidRPr="007A6831">
        <w:rPr>
          <w:sz w:val="22"/>
          <w:szCs w:val="22"/>
        </w:rPr>
        <w:t>(</w:t>
      </w:r>
      <w:r w:rsidR="007A6831">
        <w:rPr>
          <w:sz w:val="22"/>
          <w:szCs w:val="22"/>
        </w:rPr>
        <w:t xml:space="preserve">do not send by email) and sent by recorded delivery </w:t>
      </w:r>
      <w:r w:rsidR="00453003">
        <w:rPr>
          <w:sz w:val="22"/>
          <w:szCs w:val="22"/>
        </w:rPr>
        <w:t>to the following address:</w:t>
      </w:r>
    </w:p>
    <w:p w14:paraId="63EEE12D" w14:textId="6673BEAD" w:rsidR="00453003" w:rsidRPr="00453003" w:rsidRDefault="00453003" w:rsidP="00453003">
      <w:pPr>
        <w:pStyle w:val="ProtTempparagraph"/>
        <w:spacing w:after="240"/>
        <w:ind w:left="2160"/>
        <w:contextualSpacing/>
        <w:rPr>
          <w:b/>
          <w:sz w:val="22"/>
          <w:szCs w:val="22"/>
        </w:rPr>
      </w:pPr>
      <w:r w:rsidRPr="00453003">
        <w:rPr>
          <w:b/>
          <w:sz w:val="22"/>
          <w:szCs w:val="22"/>
        </w:rPr>
        <w:t>MESO-02 Trial Coordinator</w:t>
      </w:r>
    </w:p>
    <w:p w14:paraId="6A3AFA12" w14:textId="1D5C49A5" w:rsidR="00453003" w:rsidRPr="00453003" w:rsidRDefault="00453003" w:rsidP="00453003">
      <w:pPr>
        <w:pStyle w:val="ProtTempparagraph"/>
        <w:spacing w:after="240"/>
        <w:ind w:left="2160"/>
        <w:contextualSpacing/>
        <w:rPr>
          <w:sz w:val="22"/>
          <w:szCs w:val="22"/>
        </w:rPr>
      </w:pPr>
      <w:r w:rsidRPr="00453003">
        <w:rPr>
          <w:sz w:val="22"/>
          <w:szCs w:val="22"/>
        </w:rPr>
        <w:t>Cancer Research UK and UCL Cancer Trials Centre</w:t>
      </w:r>
    </w:p>
    <w:p w14:paraId="73987CA5" w14:textId="77777777" w:rsidR="00453003" w:rsidRPr="00453003" w:rsidRDefault="00453003" w:rsidP="00453003">
      <w:pPr>
        <w:pStyle w:val="ProtTempparagraph"/>
        <w:spacing w:after="240"/>
        <w:ind w:left="2160"/>
        <w:contextualSpacing/>
        <w:rPr>
          <w:sz w:val="22"/>
          <w:szCs w:val="22"/>
        </w:rPr>
      </w:pPr>
      <w:r w:rsidRPr="00453003">
        <w:rPr>
          <w:sz w:val="22"/>
          <w:szCs w:val="22"/>
        </w:rPr>
        <w:t>90 Tottenham Court Road</w:t>
      </w:r>
    </w:p>
    <w:p w14:paraId="0166D070" w14:textId="7881FCE7" w:rsidR="00453003" w:rsidRDefault="00453003" w:rsidP="00453003">
      <w:pPr>
        <w:pStyle w:val="ProtTempparagraph"/>
        <w:spacing w:after="240"/>
        <w:ind w:left="2160"/>
        <w:contextualSpacing/>
        <w:rPr>
          <w:sz w:val="22"/>
          <w:szCs w:val="22"/>
        </w:rPr>
      </w:pPr>
      <w:r w:rsidRPr="00453003">
        <w:rPr>
          <w:sz w:val="22"/>
          <w:szCs w:val="22"/>
        </w:rPr>
        <w:t>London W1T 4TJ</w:t>
      </w:r>
    </w:p>
    <w:p w14:paraId="2ADECF77" w14:textId="2D3135AE" w:rsidR="00DA67E8" w:rsidRDefault="00DA67E8" w:rsidP="00453003">
      <w:pPr>
        <w:pStyle w:val="Heading2"/>
      </w:pPr>
      <w:bookmarkStart w:id="503" w:name="_Toc283031789"/>
      <w:bookmarkStart w:id="504" w:name="_Toc283376325"/>
      <w:bookmarkStart w:id="505" w:name="_Toc333484767"/>
      <w:bookmarkStart w:id="506" w:name="_Toc333484882"/>
      <w:bookmarkStart w:id="507" w:name="_Toc351624835"/>
      <w:bookmarkStart w:id="508" w:name="_Toc471826797"/>
      <w:bookmarkStart w:id="509" w:name="_Toc528323564"/>
      <w:r w:rsidRPr="00A23D8C">
        <w:t>Missing Data</w:t>
      </w:r>
      <w:bookmarkEnd w:id="503"/>
      <w:bookmarkEnd w:id="504"/>
      <w:bookmarkEnd w:id="505"/>
      <w:bookmarkEnd w:id="506"/>
      <w:bookmarkEnd w:id="507"/>
      <w:bookmarkEnd w:id="508"/>
      <w:bookmarkEnd w:id="509"/>
    </w:p>
    <w:p w14:paraId="40C9D1BC" w14:textId="4791BD2C" w:rsidR="00DA67E8" w:rsidRPr="00E94A8E" w:rsidRDefault="00DA67E8" w:rsidP="00134C28">
      <w:pPr>
        <w:pStyle w:val="ProtTempparagraph"/>
        <w:spacing w:after="240"/>
        <w:rPr>
          <w:sz w:val="22"/>
          <w:szCs w:val="22"/>
        </w:rPr>
      </w:pPr>
      <w:r w:rsidRPr="00E94A8E">
        <w:rPr>
          <w:sz w:val="22"/>
          <w:szCs w:val="22"/>
        </w:rPr>
        <w:t>To avoid the need for unnecessary data queries</w:t>
      </w:r>
      <w:r w:rsidR="001102FD">
        <w:rPr>
          <w:sz w:val="22"/>
          <w:szCs w:val="22"/>
        </w:rPr>
        <w:t>,</w:t>
      </w:r>
      <w:r w:rsidRPr="00E94A8E">
        <w:rPr>
          <w:sz w:val="22"/>
          <w:szCs w:val="22"/>
        </w:rPr>
        <w:t xml:space="preserve"> CRFs must be checked at </w:t>
      </w:r>
      <w:r w:rsidR="002F113D" w:rsidRPr="00E94A8E">
        <w:rPr>
          <w:sz w:val="22"/>
          <w:szCs w:val="22"/>
        </w:rPr>
        <w:t>site to</w:t>
      </w:r>
      <w:r w:rsidRPr="00E94A8E">
        <w:rPr>
          <w:sz w:val="22"/>
          <w:szCs w:val="22"/>
        </w:rPr>
        <w:t xml:space="preserve"> ensure there are no blank fields before sending to UCL CTC.  When data are unavailable because a measure has not been taken or test not performed, enter “ND” for not done.  If an item was not required at the particular time the form relates to, enter “NA” for not applicable.  When data are unknown enter the value “NK” (only use if every effort has been made to obtain the data).</w:t>
      </w:r>
    </w:p>
    <w:p w14:paraId="197FFA68" w14:textId="1A60E59A" w:rsidR="00DA67E8" w:rsidRDefault="00DA67E8" w:rsidP="00453003">
      <w:pPr>
        <w:pStyle w:val="Heading2"/>
      </w:pPr>
      <w:bookmarkStart w:id="510" w:name="_Toc283031790"/>
      <w:bookmarkStart w:id="511" w:name="_Toc283376326"/>
      <w:bookmarkStart w:id="512" w:name="_Toc333484768"/>
      <w:bookmarkStart w:id="513" w:name="_Toc333484883"/>
      <w:bookmarkStart w:id="514" w:name="_Toc351624836"/>
      <w:bookmarkStart w:id="515" w:name="_Toc471826798"/>
      <w:bookmarkStart w:id="516" w:name="_Toc528323565"/>
      <w:r w:rsidRPr="00A23D8C">
        <w:t>Timelines for data return</w:t>
      </w:r>
      <w:bookmarkEnd w:id="510"/>
      <w:bookmarkEnd w:id="511"/>
      <w:bookmarkEnd w:id="512"/>
      <w:bookmarkEnd w:id="513"/>
      <w:bookmarkEnd w:id="514"/>
      <w:bookmarkEnd w:id="515"/>
      <w:bookmarkEnd w:id="516"/>
    </w:p>
    <w:p w14:paraId="5DB62AD7" w14:textId="66F51F79" w:rsidR="00DA67E8" w:rsidRPr="004F33F9" w:rsidRDefault="00DA67E8" w:rsidP="004F33F9">
      <w:pPr>
        <w:pStyle w:val="ProtTempparagraph"/>
        <w:spacing w:after="240"/>
        <w:rPr>
          <w:sz w:val="22"/>
          <w:szCs w:val="22"/>
        </w:rPr>
      </w:pPr>
      <w:r w:rsidRPr="004F33F9">
        <w:rPr>
          <w:sz w:val="22"/>
          <w:szCs w:val="22"/>
        </w:rPr>
        <w:t xml:space="preserve">CRFs must be completed at site and returned to UCL CTC as soon as possible after patient visit and within </w:t>
      </w:r>
      <w:r w:rsidRPr="004F33F9">
        <w:rPr>
          <w:rFonts w:cs="Tahoma"/>
          <w:b/>
          <w:sz w:val="22"/>
          <w:szCs w:val="22"/>
        </w:rPr>
        <w:t>2 weeks for the phase I trial</w:t>
      </w:r>
      <w:r w:rsidRPr="004F33F9">
        <w:rPr>
          <w:rFonts w:cs="Tahoma"/>
          <w:sz w:val="22"/>
          <w:szCs w:val="22"/>
        </w:rPr>
        <w:t xml:space="preserve"> and within </w:t>
      </w:r>
      <w:r w:rsidRPr="004F33F9">
        <w:rPr>
          <w:rFonts w:cs="Tahoma"/>
          <w:b/>
          <w:sz w:val="22"/>
          <w:szCs w:val="22"/>
        </w:rPr>
        <w:t xml:space="preserve">1 month for the phase </w:t>
      </w:r>
      <w:r w:rsidR="00F17A43">
        <w:rPr>
          <w:rFonts w:cs="Tahoma"/>
          <w:b/>
          <w:sz w:val="22"/>
          <w:szCs w:val="22"/>
        </w:rPr>
        <w:t>II</w:t>
      </w:r>
      <w:r w:rsidRPr="004F33F9">
        <w:rPr>
          <w:rFonts w:cs="Tahoma"/>
          <w:b/>
          <w:sz w:val="22"/>
          <w:szCs w:val="22"/>
        </w:rPr>
        <w:t xml:space="preserve"> </w:t>
      </w:r>
      <w:r w:rsidR="002F113D" w:rsidRPr="004F33F9">
        <w:rPr>
          <w:rFonts w:cs="Tahoma"/>
          <w:b/>
          <w:sz w:val="22"/>
          <w:szCs w:val="22"/>
        </w:rPr>
        <w:t>trial</w:t>
      </w:r>
      <w:r w:rsidR="002F113D" w:rsidRPr="004F33F9">
        <w:rPr>
          <w:sz w:val="22"/>
          <w:szCs w:val="22"/>
        </w:rPr>
        <w:t xml:space="preserve"> of</w:t>
      </w:r>
      <w:r w:rsidRPr="004F33F9">
        <w:rPr>
          <w:sz w:val="22"/>
          <w:szCs w:val="22"/>
        </w:rPr>
        <w:t xml:space="preserve"> the patient being seen.</w:t>
      </w:r>
    </w:p>
    <w:p w14:paraId="309669C0" w14:textId="4F1403C1" w:rsidR="00DA67E8" w:rsidRPr="004F33F9" w:rsidRDefault="00DA67E8" w:rsidP="00134C28">
      <w:pPr>
        <w:pStyle w:val="ProtTempparagraph"/>
        <w:spacing w:after="240"/>
        <w:rPr>
          <w:sz w:val="22"/>
          <w:szCs w:val="22"/>
        </w:rPr>
      </w:pPr>
      <w:r w:rsidRPr="004F33F9">
        <w:rPr>
          <w:sz w:val="22"/>
          <w:szCs w:val="22"/>
        </w:rPr>
        <w:t xml:space="preserve">Sites who persistently do not return data within the required timelines may be suspended from recruiting further patients into the trial by UCL CTC and subjected to a ‘for cause’ monitoring </w:t>
      </w:r>
      <w:r w:rsidRPr="00097793">
        <w:rPr>
          <w:sz w:val="22"/>
          <w:szCs w:val="22"/>
        </w:rPr>
        <w:t>visit. See section 12.3 (</w:t>
      </w:r>
      <w:r w:rsidR="00736325">
        <w:rPr>
          <w:sz w:val="22"/>
          <w:szCs w:val="22"/>
        </w:rPr>
        <w:t>‘</w:t>
      </w:r>
      <w:r w:rsidRPr="00097793">
        <w:rPr>
          <w:sz w:val="22"/>
          <w:szCs w:val="22"/>
        </w:rPr>
        <w:t>For cause’ on-site monitoring) for</w:t>
      </w:r>
      <w:r w:rsidRPr="004F33F9">
        <w:rPr>
          <w:sz w:val="22"/>
          <w:szCs w:val="22"/>
        </w:rPr>
        <w:t xml:space="preserve"> details.</w:t>
      </w:r>
    </w:p>
    <w:p w14:paraId="1563B6F4" w14:textId="4AC86FDC" w:rsidR="00DA67E8" w:rsidRDefault="00DA67E8" w:rsidP="00453003">
      <w:pPr>
        <w:pStyle w:val="Heading2"/>
      </w:pPr>
      <w:bookmarkStart w:id="517" w:name="_Toc283031791"/>
      <w:bookmarkStart w:id="518" w:name="_Toc283376327"/>
      <w:bookmarkStart w:id="519" w:name="_Toc333484769"/>
      <w:bookmarkStart w:id="520" w:name="_Toc333484884"/>
      <w:bookmarkStart w:id="521" w:name="_Toc351624837"/>
      <w:bookmarkStart w:id="522" w:name="_Toc471826799"/>
      <w:bookmarkStart w:id="523" w:name="_Toc528323566"/>
      <w:r w:rsidRPr="00A23D8C">
        <w:t>Data Queries</w:t>
      </w:r>
      <w:bookmarkEnd w:id="517"/>
      <w:bookmarkEnd w:id="518"/>
      <w:bookmarkEnd w:id="519"/>
      <w:bookmarkEnd w:id="520"/>
      <w:bookmarkEnd w:id="521"/>
      <w:bookmarkEnd w:id="522"/>
      <w:bookmarkEnd w:id="523"/>
    </w:p>
    <w:p w14:paraId="2D6E7E11" w14:textId="6811590A" w:rsidR="00DA67E8" w:rsidRPr="004F33F9" w:rsidRDefault="00DA67E8" w:rsidP="00134C28">
      <w:pPr>
        <w:pStyle w:val="ProtTempparagraph"/>
        <w:spacing w:after="240"/>
        <w:rPr>
          <w:b/>
          <w:bCs/>
          <w:i/>
          <w:iCs/>
          <w:color w:val="0000FF"/>
          <w:sz w:val="22"/>
          <w:szCs w:val="22"/>
        </w:rPr>
      </w:pPr>
      <w:r w:rsidRPr="004F33F9">
        <w:rPr>
          <w:sz w:val="22"/>
          <w:szCs w:val="22"/>
        </w:rPr>
        <w:t xml:space="preserve">Data arriving at UCL CTC will be checked for legibility, completeness, accuracy and consistency, including checks for missing or unusual values. </w:t>
      </w:r>
      <w:r w:rsidR="003A7E33">
        <w:rPr>
          <w:sz w:val="22"/>
          <w:szCs w:val="22"/>
        </w:rPr>
        <w:t xml:space="preserve">Query Reports </w:t>
      </w:r>
      <w:r w:rsidRPr="004F33F9">
        <w:rPr>
          <w:sz w:val="22"/>
          <w:szCs w:val="22"/>
        </w:rPr>
        <w:t xml:space="preserve">will be sent to the data contact at site.  </w:t>
      </w:r>
      <w:r w:rsidR="003A7E33">
        <w:rPr>
          <w:sz w:val="22"/>
          <w:szCs w:val="22"/>
        </w:rPr>
        <w:t>Further guidance on how data contacts should respond to Data Queries can be found on the Query Reports.</w:t>
      </w:r>
    </w:p>
    <w:p w14:paraId="0AE771D3" w14:textId="1FB41BB5" w:rsidR="00BF16F9" w:rsidRPr="009400C8" w:rsidRDefault="004E69CA" w:rsidP="00453003">
      <w:pPr>
        <w:pStyle w:val="Heading1"/>
      </w:pPr>
      <w:bookmarkStart w:id="524" w:name="_Toc283027332"/>
      <w:bookmarkStart w:id="525" w:name="_Toc283027553"/>
      <w:bookmarkStart w:id="526" w:name="_Toc283027734"/>
      <w:bookmarkStart w:id="527" w:name="_Toc283027899"/>
      <w:bookmarkStart w:id="528" w:name="_Toc283028192"/>
      <w:bookmarkStart w:id="529" w:name="_Toc283028357"/>
      <w:bookmarkStart w:id="530" w:name="_Toc283029419"/>
      <w:bookmarkStart w:id="531" w:name="_Toc283029584"/>
      <w:bookmarkStart w:id="532" w:name="_Toc283031792"/>
      <w:bookmarkStart w:id="533" w:name="_Toc283376328"/>
      <w:bookmarkStart w:id="534" w:name="_Toc283027333"/>
      <w:bookmarkStart w:id="535" w:name="_Toc283027554"/>
      <w:bookmarkStart w:id="536" w:name="_Toc283027735"/>
      <w:bookmarkStart w:id="537" w:name="_Toc283027900"/>
      <w:bookmarkStart w:id="538" w:name="_Toc283028193"/>
      <w:bookmarkStart w:id="539" w:name="_Toc283028358"/>
      <w:bookmarkStart w:id="540" w:name="_Toc283029420"/>
      <w:bookmarkStart w:id="541" w:name="_Toc283029585"/>
      <w:bookmarkStart w:id="542" w:name="_Toc283031793"/>
      <w:bookmarkStart w:id="543" w:name="_Toc283376329"/>
      <w:bookmarkStart w:id="544" w:name="_Toc283027334"/>
      <w:bookmarkStart w:id="545" w:name="_Toc283027555"/>
      <w:bookmarkStart w:id="546" w:name="_Toc283027736"/>
      <w:bookmarkStart w:id="547" w:name="_Toc283027901"/>
      <w:bookmarkStart w:id="548" w:name="_Toc283028194"/>
      <w:bookmarkStart w:id="549" w:name="_Toc283028359"/>
      <w:bookmarkStart w:id="550" w:name="_Toc283029421"/>
      <w:bookmarkStart w:id="551" w:name="_Toc283029586"/>
      <w:bookmarkStart w:id="552" w:name="_Toc283031794"/>
      <w:bookmarkStart w:id="553" w:name="_Toc283376330"/>
      <w:bookmarkStart w:id="554" w:name="_Toc283027335"/>
      <w:bookmarkStart w:id="555" w:name="_Toc283027556"/>
      <w:bookmarkStart w:id="556" w:name="_Toc283027737"/>
      <w:bookmarkStart w:id="557" w:name="_Toc283027902"/>
      <w:bookmarkStart w:id="558" w:name="_Toc283028195"/>
      <w:bookmarkStart w:id="559" w:name="_Toc283028360"/>
      <w:bookmarkStart w:id="560" w:name="_Toc283029422"/>
      <w:bookmarkStart w:id="561" w:name="_Toc283029587"/>
      <w:bookmarkStart w:id="562" w:name="_Toc283031795"/>
      <w:bookmarkStart w:id="563" w:name="_Toc283376331"/>
      <w:bookmarkStart w:id="564" w:name="_Toc283027336"/>
      <w:bookmarkStart w:id="565" w:name="_Toc283027557"/>
      <w:bookmarkStart w:id="566" w:name="_Toc283027738"/>
      <w:bookmarkStart w:id="567" w:name="_Toc283027903"/>
      <w:bookmarkStart w:id="568" w:name="_Toc283028196"/>
      <w:bookmarkStart w:id="569" w:name="_Toc283028361"/>
      <w:bookmarkStart w:id="570" w:name="_Toc283029423"/>
      <w:bookmarkStart w:id="571" w:name="_Toc283029588"/>
      <w:bookmarkStart w:id="572" w:name="_Toc283031796"/>
      <w:bookmarkStart w:id="573" w:name="_Toc283376332"/>
      <w:bookmarkStart w:id="574" w:name="_Toc283027337"/>
      <w:bookmarkStart w:id="575" w:name="_Toc283027558"/>
      <w:bookmarkStart w:id="576" w:name="_Toc283027739"/>
      <w:bookmarkStart w:id="577" w:name="_Toc283027904"/>
      <w:bookmarkStart w:id="578" w:name="_Toc283028197"/>
      <w:bookmarkStart w:id="579" w:name="_Toc283028362"/>
      <w:bookmarkStart w:id="580" w:name="_Toc283029424"/>
      <w:bookmarkStart w:id="581" w:name="_Toc283029589"/>
      <w:bookmarkStart w:id="582" w:name="_Toc283031797"/>
      <w:bookmarkStart w:id="583" w:name="_Toc283376333"/>
      <w:bookmarkStart w:id="584" w:name="_Toc283027338"/>
      <w:bookmarkStart w:id="585" w:name="_Toc283027559"/>
      <w:bookmarkStart w:id="586" w:name="_Toc283027740"/>
      <w:bookmarkStart w:id="587" w:name="_Toc283027905"/>
      <w:bookmarkStart w:id="588" w:name="_Toc283028198"/>
      <w:bookmarkStart w:id="589" w:name="_Toc283028363"/>
      <w:bookmarkStart w:id="590" w:name="_Toc283029425"/>
      <w:bookmarkStart w:id="591" w:name="_Toc283029590"/>
      <w:bookmarkStart w:id="592" w:name="_Toc283031798"/>
      <w:bookmarkStart w:id="593" w:name="_Toc283376334"/>
      <w:bookmarkStart w:id="594" w:name="_Toc283027339"/>
      <w:bookmarkStart w:id="595" w:name="_Toc283027560"/>
      <w:bookmarkStart w:id="596" w:name="_Toc283027741"/>
      <w:bookmarkStart w:id="597" w:name="_Toc283027906"/>
      <w:bookmarkStart w:id="598" w:name="_Toc283028199"/>
      <w:bookmarkStart w:id="599" w:name="_Toc283028364"/>
      <w:bookmarkStart w:id="600" w:name="_Toc283029426"/>
      <w:bookmarkStart w:id="601" w:name="_Toc283029591"/>
      <w:bookmarkStart w:id="602" w:name="_Toc283031799"/>
      <w:bookmarkStart w:id="603" w:name="_Toc283376335"/>
      <w:bookmarkStart w:id="604" w:name="_Toc283027340"/>
      <w:bookmarkStart w:id="605" w:name="_Toc283027561"/>
      <w:bookmarkStart w:id="606" w:name="_Toc283027742"/>
      <w:bookmarkStart w:id="607" w:name="_Toc283027907"/>
      <w:bookmarkStart w:id="608" w:name="_Toc283028200"/>
      <w:bookmarkStart w:id="609" w:name="_Toc283028365"/>
      <w:bookmarkStart w:id="610" w:name="_Toc283029427"/>
      <w:bookmarkStart w:id="611" w:name="_Toc283029592"/>
      <w:bookmarkStart w:id="612" w:name="_Toc283031800"/>
      <w:bookmarkStart w:id="613" w:name="_Toc283376336"/>
      <w:bookmarkStart w:id="614" w:name="_Toc283027341"/>
      <w:bookmarkStart w:id="615" w:name="_Toc283027562"/>
      <w:bookmarkStart w:id="616" w:name="_Toc283027743"/>
      <w:bookmarkStart w:id="617" w:name="_Toc283027908"/>
      <w:bookmarkStart w:id="618" w:name="_Toc283028201"/>
      <w:bookmarkStart w:id="619" w:name="_Toc283028366"/>
      <w:bookmarkStart w:id="620" w:name="_Toc283029428"/>
      <w:bookmarkStart w:id="621" w:name="_Toc283029593"/>
      <w:bookmarkStart w:id="622" w:name="_Toc283031801"/>
      <w:bookmarkStart w:id="623" w:name="_Toc283376337"/>
      <w:bookmarkStart w:id="624" w:name="_Toc283027342"/>
      <w:bookmarkStart w:id="625" w:name="_Toc283027563"/>
      <w:bookmarkStart w:id="626" w:name="_Toc283027744"/>
      <w:bookmarkStart w:id="627" w:name="_Toc283027909"/>
      <w:bookmarkStart w:id="628" w:name="_Toc283028202"/>
      <w:bookmarkStart w:id="629" w:name="_Toc283028367"/>
      <w:bookmarkStart w:id="630" w:name="_Toc283029429"/>
      <w:bookmarkStart w:id="631" w:name="_Toc283029594"/>
      <w:bookmarkStart w:id="632" w:name="_Toc283031802"/>
      <w:bookmarkStart w:id="633" w:name="_Toc283376338"/>
      <w:bookmarkStart w:id="634" w:name="_Toc283027343"/>
      <w:bookmarkStart w:id="635" w:name="_Toc283027564"/>
      <w:bookmarkStart w:id="636" w:name="_Toc283027745"/>
      <w:bookmarkStart w:id="637" w:name="_Toc283027910"/>
      <w:bookmarkStart w:id="638" w:name="_Toc283028203"/>
      <w:bookmarkStart w:id="639" w:name="_Toc283028368"/>
      <w:bookmarkStart w:id="640" w:name="_Toc283029430"/>
      <w:bookmarkStart w:id="641" w:name="_Toc283029595"/>
      <w:bookmarkStart w:id="642" w:name="_Toc283031803"/>
      <w:bookmarkStart w:id="643" w:name="_Toc283376339"/>
      <w:bookmarkStart w:id="644" w:name="_Toc283027344"/>
      <w:bookmarkStart w:id="645" w:name="_Toc283027565"/>
      <w:bookmarkStart w:id="646" w:name="_Toc283027746"/>
      <w:bookmarkStart w:id="647" w:name="_Toc283027911"/>
      <w:bookmarkStart w:id="648" w:name="_Toc283028204"/>
      <w:bookmarkStart w:id="649" w:name="_Toc283028369"/>
      <w:bookmarkStart w:id="650" w:name="_Toc283029431"/>
      <w:bookmarkStart w:id="651" w:name="_Toc283029596"/>
      <w:bookmarkStart w:id="652" w:name="_Toc283031804"/>
      <w:bookmarkStart w:id="653" w:name="_Toc283376340"/>
      <w:bookmarkStart w:id="654" w:name="_Toc283027345"/>
      <w:bookmarkStart w:id="655" w:name="_Toc283027566"/>
      <w:bookmarkStart w:id="656" w:name="_Toc283027747"/>
      <w:bookmarkStart w:id="657" w:name="_Toc283027912"/>
      <w:bookmarkStart w:id="658" w:name="_Toc283028205"/>
      <w:bookmarkStart w:id="659" w:name="_Toc283028370"/>
      <w:bookmarkStart w:id="660" w:name="_Toc283029432"/>
      <w:bookmarkStart w:id="661" w:name="_Toc283029597"/>
      <w:bookmarkStart w:id="662" w:name="_Toc283031805"/>
      <w:bookmarkStart w:id="663" w:name="_Toc283376341"/>
      <w:bookmarkStart w:id="664" w:name="_Toc283027346"/>
      <w:bookmarkStart w:id="665" w:name="_Toc283027567"/>
      <w:bookmarkStart w:id="666" w:name="_Toc283027748"/>
      <w:bookmarkStart w:id="667" w:name="_Toc283027913"/>
      <w:bookmarkStart w:id="668" w:name="_Toc283028206"/>
      <w:bookmarkStart w:id="669" w:name="_Toc283028371"/>
      <w:bookmarkStart w:id="670" w:name="_Toc283029433"/>
      <w:bookmarkStart w:id="671" w:name="_Toc283029598"/>
      <w:bookmarkStart w:id="672" w:name="_Toc283031806"/>
      <w:bookmarkStart w:id="673" w:name="_Toc283376342"/>
      <w:bookmarkStart w:id="674" w:name="_Toc283031807"/>
      <w:bookmarkStart w:id="675" w:name="_Toc283376343"/>
      <w:bookmarkStart w:id="676" w:name="_Toc333484770"/>
      <w:bookmarkStart w:id="677" w:name="_Toc333484885"/>
      <w:bookmarkStart w:id="678" w:name="_Toc351624838"/>
      <w:bookmarkStart w:id="679" w:name="_Toc471826800"/>
      <w:bookmarkStart w:id="680" w:name="_Toc528323567"/>
      <w:bookmarkStart w:id="681" w:name="_Toc283031808"/>
      <w:bookmarkStart w:id="682" w:name="_Toc283376344"/>
      <w:bookmarkStart w:id="683" w:name="_Toc333484771"/>
      <w:bookmarkStart w:id="684" w:name="_Toc333484886"/>
      <w:bookmarkStart w:id="685" w:name="_Toc351624839"/>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9400C8">
        <w:lastRenderedPageBreak/>
        <w:t>Pharmacovigilance</w:t>
      </w:r>
      <w:bookmarkEnd w:id="674"/>
      <w:bookmarkEnd w:id="675"/>
      <w:bookmarkEnd w:id="676"/>
      <w:bookmarkEnd w:id="677"/>
      <w:bookmarkEnd w:id="678"/>
      <w:bookmarkEnd w:id="679"/>
      <w:bookmarkEnd w:id="680"/>
    </w:p>
    <w:p w14:paraId="6C065ED3" w14:textId="1E39FCC4" w:rsidR="00DA67E8" w:rsidRDefault="00DA67E8" w:rsidP="00453003">
      <w:pPr>
        <w:pStyle w:val="Heading2"/>
      </w:pPr>
      <w:bookmarkStart w:id="686" w:name="_Toc471826801"/>
      <w:bookmarkStart w:id="687" w:name="_Toc528323568"/>
      <w:r w:rsidRPr="00AB1ED7">
        <w:t>Definitions of Adverse Events</w:t>
      </w:r>
      <w:bookmarkEnd w:id="681"/>
      <w:bookmarkEnd w:id="682"/>
      <w:bookmarkEnd w:id="683"/>
      <w:bookmarkEnd w:id="684"/>
      <w:bookmarkEnd w:id="685"/>
      <w:bookmarkEnd w:id="686"/>
      <w:bookmarkEnd w:id="687"/>
    </w:p>
    <w:p w14:paraId="4B70C72D" w14:textId="092D685E" w:rsidR="00DA67E8" w:rsidRPr="0018358E" w:rsidRDefault="00DA67E8" w:rsidP="00453003">
      <w:pPr>
        <w:pStyle w:val="ProtTempparagraph"/>
        <w:spacing w:after="240"/>
        <w:rPr>
          <w:sz w:val="22"/>
          <w:szCs w:val="22"/>
        </w:rPr>
      </w:pPr>
      <w:bookmarkStart w:id="688" w:name="OLE_LINK1"/>
      <w:r w:rsidRPr="0018358E">
        <w:rPr>
          <w:sz w:val="22"/>
          <w:szCs w:val="22"/>
        </w:rPr>
        <w:t>The following definitions have been adapted from Directive 2001/20/EC, ICH E2A “Clinical Safety Data Management: Definitions and Standards for Expedited Reporting” and ICH GCP E6:</w:t>
      </w:r>
      <w:bookmarkEnd w:id="688"/>
    </w:p>
    <w:p w14:paraId="4095F35F" w14:textId="62B658DD" w:rsidR="00DA67E8" w:rsidRPr="00764FAA" w:rsidRDefault="00DA67E8" w:rsidP="00453003">
      <w:pPr>
        <w:pStyle w:val="Non-numberedsectionheads"/>
        <w:rPr>
          <w:bCs/>
          <w:kern w:val="32"/>
          <w:sz w:val="22"/>
          <w:szCs w:val="22"/>
          <w:lang w:eastAsia="x-none"/>
        </w:rPr>
      </w:pPr>
      <w:r w:rsidRPr="00764FAA">
        <w:rPr>
          <w:bCs/>
          <w:kern w:val="32"/>
          <w:sz w:val="22"/>
          <w:szCs w:val="22"/>
          <w:lang w:eastAsia="x-none"/>
        </w:rPr>
        <w:t>Adverse Event (AE)</w:t>
      </w:r>
    </w:p>
    <w:p w14:paraId="53A65E2D" w14:textId="6265DA75" w:rsidR="00DA67E8" w:rsidRPr="00764FAA" w:rsidRDefault="00DA67E8" w:rsidP="00453003">
      <w:pPr>
        <w:pStyle w:val="ProtTempparagraph"/>
        <w:spacing w:after="240"/>
        <w:rPr>
          <w:rFonts w:cs="Times New Roman"/>
          <w:bCs/>
          <w:kern w:val="32"/>
          <w:sz w:val="22"/>
          <w:szCs w:val="22"/>
          <w:lang w:val="x-none" w:eastAsia="x-none"/>
        </w:rPr>
      </w:pPr>
      <w:r w:rsidRPr="00764FAA">
        <w:rPr>
          <w:rFonts w:cs="Times New Roman"/>
          <w:bCs/>
          <w:kern w:val="32"/>
          <w:sz w:val="22"/>
          <w:szCs w:val="22"/>
          <w:lang w:val="x-none" w:eastAsia="x-none"/>
        </w:rPr>
        <w:t xml:space="preserve">Any untoward medical occurrence in a patient treated on a trial protocol, which does not necessarily have a causal relationship with a trial treatment.  An AE can therefore be any unfavourable and unintended sign (including an abnormal laboratory finding), symptom or disease temporally associated with the use of a trial </w:t>
      </w:r>
      <w:r w:rsidRPr="00764FAA">
        <w:rPr>
          <w:rFonts w:cs="Times New Roman"/>
          <w:bCs/>
          <w:kern w:val="32"/>
          <w:sz w:val="22"/>
          <w:szCs w:val="22"/>
          <w:lang w:val="x-none" w:eastAsia="fr-FR"/>
        </w:rPr>
        <w:t>treatment</w:t>
      </w:r>
      <w:r w:rsidRPr="00764FAA">
        <w:rPr>
          <w:rFonts w:cs="Times New Roman"/>
          <w:bCs/>
          <w:kern w:val="32"/>
          <w:sz w:val="22"/>
          <w:szCs w:val="22"/>
          <w:lang w:val="x-none" w:eastAsia="x-none"/>
        </w:rPr>
        <w:t xml:space="preserve">, whether or not related to that trial </w:t>
      </w:r>
      <w:r w:rsidRPr="00764FAA">
        <w:rPr>
          <w:rFonts w:cs="Times New Roman"/>
          <w:bCs/>
          <w:kern w:val="32"/>
          <w:sz w:val="22"/>
          <w:szCs w:val="22"/>
          <w:lang w:val="x-none" w:eastAsia="fr-FR"/>
        </w:rPr>
        <w:t>treatment</w:t>
      </w:r>
      <w:r w:rsidRPr="00764FAA">
        <w:rPr>
          <w:rFonts w:cs="Times New Roman"/>
          <w:bCs/>
          <w:kern w:val="32"/>
          <w:sz w:val="22"/>
          <w:szCs w:val="22"/>
          <w:lang w:val="x-none" w:eastAsia="x-none"/>
        </w:rPr>
        <w:t>.</w:t>
      </w:r>
    </w:p>
    <w:p w14:paraId="3077B5F2" w14:textId="7CED4C09" w:rsidR="00DA67E8" w:rsidRPr="00764FAA" w:rsidRDefault="00DA67E8" w:rsidP="00453003">
      <w:pPr>
        <w:pStyle w:val="Non-numberedsectionheads"/>
        <w:rPr>
          <w:bCs/>
          <w:kern w:val="32"/>
          <w:sz w:val="22"/>
          <w:szCs w:val="22"/>
          <w:lang w:eastAsia="x-none"/>
        </w:rPr>
      </w:pPr>
      <w:r w:rsidRPr="00764FAA">
        <w:rPr>
          <w:bCs/>
          <w:kern w:val="32"/>
          <w:sz w:val="22"/>
          <w:szCs w:val="22"/>
          <w:lang w:eastAsia="x-none"/>
        </w:rPr>
        <w:t>Adverse Reaction (AR)</w:t>
      </w:r>
    </w:p>
    <w:p w14:paraId="7B8BD755" w14:textId="6898B816" w:rsidR="00DA67E8" w:rsidRPr="00764FAA" w:rsidRDefault="00DA67E8" w:rsidP="00453003">
      <w:pPr>
        <w:pStyle w:val="ProtTempparagraph"/>
        <w:spacing w:after="240"/>
        <w:rPr>
          <w:rFonts w:cs="Times New Roman"/>
          <w:bCs/>
          <w:kern w:val="32"/>
          <w:sz w:val="22"/>
          <w:szCs w:val="22"/>
          <w:lang w:val="x-none" w:eastAsia="x-none"/>
        </w:rPr>
      </w:pPr>
      <w:r w:rsidRPr="00764FAA">
        <w:rPr>
          <w:rFonts w:cs="Times New Roman"/>
          <w:bCs/>
          <w:kern w:val="32"/>
          <w:sz w:val="22"/>
          <w:szCs w:val="22"/>
          <w:lang w:val="x-none" w:eastAsia="x-none"/>
        </w:rPr>
        <w:t>All untoward and unintended responses to a trial treatment related to any dose administered.</w:t>
      </w:r>
      <w:r w:rsidR="002F113D" w:rsidRPr="00764FAA">
        <w:rPr>
          <w:rFonts w:cs="Times New Roman"/>
          <w:bCs/>
          <w:kern w:val="32"/>
          <w:sz w:val="22"/>
          <w:szCs w:val="22"/>
          <w:lang w:val="x-none" w:eastAsia="x-none"/>
        </w:rPr>
        <w:t xml:space="preserve"> </w:t>
      </w:r>
      <w:r w:rsidRPr="00764FAA">
        <w:rPr>
          <w:rFonts w:cs="Times New Roman"/>
          <w:bCs/>
          <w:kern w:val="32"/>
          <w:sz w:val="22"/>
          <w:szCs w:val="22"/>
          <w:lang w:val="x-none" w:eastAsia="x-none"/>
        </w:rPr>
        <w:t>A causal relationship between a trial treatment and an adverse event is at least a reasonable possibility, i.e. the relationship cannot be ruled out.</w:t>
      </w:r>
    </w:p>
    <w:p w14:paraId="3ED0D097" w14:textId="381399E4" w:rsidR="00DA67E8" w:rsidRPr="00764FAA" w:rsidRDefault="00DA67E8" w:rsidP="00453003">
      <w:pPr>
        <w:pStyle w:val="Non-numberedsectionheads"/>
        <w:rPr>
          <w:bCs/>
          <w:kern w:val="32"/>
          <w:sz w:val="22"/>
          <w:szCs w:val="22"/>
          <w:lang w:eastAsia="x-none"/>
        </w:rPr>
      </w:pPr>
      <w:r w:rsidRPr="00764FAA">
        <w:rPr>
          <w:bCs/>
          <w:kern w:val="32"/>
          <w:sz w:val="22"/>
          <w:szCs w:val="22"/>
          <w:lang w:eastAsia="x-none"/>
        </w:rPr>
        <w:t>Serious Adverse Event (SAE) or Serious Adverse Reaction (SAR)</w:t>
      </w:r>
    </w:p>
    <w:p w14:paraId="6BDEFC4E" w14:textId="728F4300" w:rsidR="00DA67E8" w:rsidRPr="00764FAA" w:rsidRDefault="00DA67E8" w:rsidP="00453003">
      <w:pPr>
        <w:pStyle w:val="ProtTempparagraph"/>
        <w:rPr>
          <w:rFonts w:cs="Times New Roman"/>
          <w:bCs/>
          <w:kern w:val="32"/>
          <w:sz w:val="22"/>
          <w:szCs w:val="22"/>
          <w:lang w:val="x-none" w:eastAsia="x-none"/>
        </w:rPr>
      </w:pPr>
      <w:r w:rsidRPr="00764FAA">
        <w:rPr>
          <w:rFonts w:cs="Times New Roman"/>
          <w:bCs/>
          <w:kern w:val="32"/>
          <w:sz w:val="22"/>
          <w:szCs w:val="22"/>
          <w:lang w:val="x-none" w:eastAsia="x-none"/>
        </w:rPr>
        <w:t>An adverse event or adverse reaction that at any dose:</w:t>
      </w:r>
    </w:p>
    <w:p w14:paraId="6482392A" w14:textId="545A2F92" w:rsidR="00DA67E8" w:rsidRPr="00764FAA" w:rsidRDefault="00DA67E8" w:rsidP="00453003">
      <w:pPr>
        <w:numPr>
          <w:ilvl w:val="0"/>
          <w:numId w:val="2"/>
        </w:numPr>
        <w:spacing w:after="120"/>
        <w:ind w:left="714" w:hanging="357"/>
        <w:jc w:val="both"/>
        <w:rPr>
          <w:rFonts w:ascii="Arial" w:hAnsi="Arial" w:cs="Arial"/>
          <w:bCs/>
          <w:kern w:val="32"/>
          <w:sz w:val="22"/>
          <w:szCs w:val="22"/>
          <w:lang w:val="x-none" w:eastAsia="x-none"/>
        </w:rPr>
      </w:pPr>
      <w:r w:rsidRPr="00764FAA">
        <w:rPr>
          <w:rFonts w:ascii="Arial" w:hAnsi="Arial" w:cs="Arial"/>
          <w:bCs/>
          <w:kern w:val="32"/>
          <w:sz w:val="22"/>
          <w:szCs w:val="22"/>
          <w:lang w:val="x-none" w:eastAsia="x-none"/>
        </w:rPr>
        <w:t>Results in death</w:t>
      </w:r>
    </w:p>
    <w:p w14:paraId="72D7F1C5" w14:textId="45E38F02" w:rsidR="00DA67E8" w:rsidRPr="00764FAA" w:rsidRDefault="00DA67E8" w:rsidP="00453003">
      <w:pPr>
        <w:numPr>
          <w:ilvl w:val="0"/>
          <w:numId w:val="2"/>
        </w:numPr>
        <w:spacing w:after="120"/>
        <w:ind w:left="714" w:hanging="357"/>
        <w:jc w:val="both"/>
        <w:rPr>
          <w:rFonts w:ascii="Arial" w:hAnsi="Arial" w:cs="Arial"/>
          <w:sz w:val="22"/>
          <w:szCs w:val="22"/>
        </w:rPr>
      </w:pPr>
      <w:r w:rsidRPr="00764FAA">
        <w:rPr>
          <w:rFonts w:ascii="Arial" w:hAnsi="Arial" w:cs="Arial"/>
          <w:bCs/>
          <w:kern w:val="32"/>
          <w:sz w:val="22"/>
          <w:szCs w:val="22"/>
          <w:lang w:val="x-none" w:eastAsia="x-none"/>
        </w:rPr>
        <w:t>Is life threatening (the term “life-threatening” refers to an event in which the patient was at risk of death at the time of the event.  It does not refer to an event that hypothetica</w:t>
      </w:r>
      <w:r w:rsidRPr="00764FAA">
        <w:rPr>
          <w:rFonts w:ascii="Arial" w:hAnsi="Arial" w:cs="Arial"/>
          <w:sz w:val="22"/>
          <w:szCs w:val="22"/>
        </w:rPr>
        <w:t>lly might have caused death if it were more severe)</w:t>
      </w:r>
    </w:p>
    <w:p w14:paraId="616319E3" w14:textId="21619DF2" w:rsidR="00DA67E8" w:rsidRPr="00764FAA" w:rsidRDefault="00DA67E8" w:rsidP="00453003">
      <w:pPr>
        <w:numPr>
          <w:ilvl w:val="0"/>
          <w:numId w:val="2"/>
        </w:numPr>
        <w:spacing w:after="120"/>
        <w:ind w:left="714" w:hanging="357"/>
        <w:jc w:val="both"/>
        <w:rPr>
          <w:rFonts w:ascii="Arial" w:hAnsi="Arial" w:cs="Arial"/>
          <w:sz w:val="22"/>
          <w:szCs w:val="22"/>
        </w:rPr>
      </w:pPr>
      <w:r w:rsidRPr="00764FAA">
        <w:rPr>
          <w:rFonts w:ascii="Arial" w:hAnsi="Arial" w:cs="Arial"/>
          <w:sz w:val="22"/>
          <w:szCs w:val="22"/>
        </w:rPr>
        <w:t>Requires in-patient hospitalisation or prolongs existing hospitalisation</w:t>
      </w:r>
    </w:p>
    <w:p w14:paraId="31E4F51A" w14:textId="4B7881D1" w:rsidR="00DA67E8" w:rsidRPr="00453003" w:rsidRDefault="00DA67E8" w:rsidP="00453003">
      <w:pPr>
        <w:numPr>
          <w:ilvl w:val="0"/>
          <w:numId w:val="2"/>
        </w:numPr>
        <w:spacing w:after="120"/>
        <w:ind w:left="714" w:hanging="357"/>
        <w:jc w:val="both"/>
        <w:rPr>
          <w:rFonts w:ascii="Arial" w:hAnsi="Arial" w:cs="Arial"/>
          <w:sz w:val="22"/>
          <w:szCs w:val="22"/>
        </w:rPr>
      </w:pPr>
      <w:r w:rsidRPr="00453003">
        <w:rPr>
          <w:rFonts w:ascii="Arial" w:hAnsi="Arial" w:cs="Arial"/>
          <w:sz w:val="22"/>
          <w:szCs w:val="22"/>
        </w:rPr>
        <w:t>Results in persistent or significant disability/incapacity</w:t>
      </w:r>
    </w:p>
    <w:p w14:paraId="379BC5E8" w14:textId="703AFD2C" w:rsidR="00DA67E8" w:rsidRPr="00453003" w:rsidRDefault="00DA67E8" w:rsidP="00453003">
      <w:pPr>
        <w:numPr>
          <w:ilvl w:val="0"/>
          <w:numId w:val="2"/>
        </w:numPr>
        <w:spacing w:after="120"/>
        <w:ind w:left="714" w:hanging="357"/>
        <w:jc w:val="both"/>
        <w:rPr>
          <w:rFonts w:ascii="Arial" w:hAnsi="Arial" w:cs="Arial"/>
          <w:sz w:val="22"/>
          <w:szCs w:val="22"/>
        </w:rPr>
      </w:pPr>
      <w:r w:rsidRPr="00453003">
        <w:rPr>
          <w:rFonts w:ascii="Arial" w:hAnsi="Arial" w:cs="Arial"/>
          <w:sz w:val="22"/>
          <w:szCs w:val="22"/>
        </w:rPr>
        <w:t>Is a congenital anomaly or birth defect</w:t>
      </w:r>
    </w:p>
    <w:p w14:paraId="6E04187D" w14:textId="3FA57853" w:rsidR="00DA67E8" w:rsidRPr="00453003" w:rsidRDefault="00DA67E8" w:rsidP="00453003">
      <w:pPr>
        <w:numPr>
          <w:ilvl w:val="0"/>
          <w:numId w:val="2"/>
        </w:numPr>
        <w:spacing w:after="120"/>
        <w:ind w:left="714" w:hanging="357"/>
        <w:jc w:val="both"/>
        <w:rPr>
          <w:rFonts w:ascii="Arial" w:hAnsi="Arial" w:cs="Arial"/>
          <w:sz w:val="22"/>
          <w:szCs w:val="22"/>
        </w:rPr>
      </w:pPr>
      <w:r w:rsidRPr="00453003">
        <w:rPr>
          <w:rFonts w:ascii="Arial" w:hAnsi="Arial" w:cs="Arial"/>
          <w:sz w:val="22"/>
          <w:szCs w:val="22"/>
        </w:rPr>
        <w:t>Is otherwise medically significant (e.g. important medical events that may not be immediately life-threatening or result in death or hospitalisation but may jeopardise the patient or may require intervention to prevent one of the other outcomes listed above)</w:t>
      </w:r>
    </w:p>
    <w:p w14:paraId="2E2C70FE" w14:textId="096D8D4E" w:rsidR="00DA67E8" w:rsidRPr="00453003" w:rsidRDefault="00DA67E8" w:rsidP="00453003">
      <w:pPr>
        <w:pStyle w:val="Non-numberedsectionheads"/>
        <w:rPr>
          <w:bCs/>
          <w:kern w:val="1"/>
          <w:sz w:val="22"/>
          <w:szCs w:val="22"/>
          <w:lang w:eastAsia="x-none"/>
        </w:rPr>
      </w:pPr>
      <w:r w:rsidRPr="00453003">
        <w:rPr>
          <w:b w:val="0"/>
          <w:bCs/>
          <w:kern w:val="1"/>
          <w:sz w:val="22"/>
          <w:szCs w:val="22"/>
          <w:lang w:eastAsia="x-none"/>
        </w:rPr>
        <w:t xml:space="preserve">Suspected Unexpected Serious Adverse Reaction (SUSAR) </w:t>
      </w:r>
    </w:p>
    <w:p w14:paraId="79F7843B" w14:textId="09606205" w:rsidR="00DA67E8" w:rsidRPr="00AE1703" w:rsidRDefault="00DA67E8" w:rsidP="00453003">
      <w:pPr>
        <w:pStyle w:val="ProtTempparagraph"/>
        <w:spacing w:after="240"/>
        <w:rPr>
          <w:rFonts w:cs="Times New Roman"/>
          <w:bCs/>
          <w:kern w:val="1"/>
          <w:sz w:val="22"/>
          <w:szCs w:val="22"/>
          <w:lang w:val="x-none" w:eastAsia="x-none"/>
        </w:rPr>
      </w:pPr>
      <w:r w:rsidRPr="00AE1703">
        <w:rPr>
          <w:kern w:val="1"/>
          <w:sz w:val="22"/>
          <w:szCs w:val="22"/>
        </w:rPr>
        <w:t xml:space="preserve">A serious adverse reaction, the nature or severity of which </w:t>
      </w:r>
      <w:r w:rsidRPr="00AE1703">
        <w:rPr>
          <w:bCs/>
          <w:kern w:val="1"/>
          <w:sz w:val="22"/>
          <w:szCs w:val="22"/>
        </w:rPr>
        <w:t>is not consistent</w:t>
      </w:r>
      <w:r w:rsidRPr="00AE1703">
        <w:rPr>
          <w:rFonts w:cs="Times New Roman"/>
          <w:bCs/>
          <w:kern w:val="1"/>
          <w:sz w:val="22"/>
          <w:szCs w:val="22"/>
          <w:lang w:val="x-none" w:eastAsia="x-none"/>
        </w:rPr>
        <w:t xml:space="preserve"> with the </w:t>
      </w:r>
      <w:r w:rsidR="00293BB7" w:rsidRPr="00AE1703">
        <w:rPr>
          <w:rFonts w:cs="Times New Roman"/>
          <w:bCs/>
          <w:kern w:val="1"/>
          <w:sz w:val="22"/>
          <w:szCs w:val="22"/>
          <w:lang w:val="x-none" w:eastAsia="x-none"/>
        </w:rPr>
        <w:t>reference safety information (RSI)</w:t>
      </w:r>
      <w:r w:rsidRPr="00AE1703">
        <w:rPr>
          <w:rFonts w:cs="Times New Roman"/>
          <w:bCs/>
          <w:kern w:val="1"/>
          <w:sz w:val="22"/>
          <w:szCs w:val="22"/>
          <w:lang w:val="x-none" w:eastAsia="x-none"/>
        </w:rPr>
        <w:t xml:space="preserve">. </w:t>
      </w:r>
    </w:p>
    <w:p w14:paraId="2798C1F9" w14:textId="65129B98" w:rsidR="00DA67E8" w:rsidRDefault="00DA67E8" w:rsidP="00453003">
      <w:pPr>
        <w:pStyle w:val="Heading2"/>
      </w:pPr>
      <w:bookmarkStart w:id="689" w:name="_Toc283027349"/>
      <w:bookmarkStart w:id="690" w:name="_Toc283027570"/>
      <w:bookmarkStart w:id="691" w:name="_Toc283027751"/>
      <w:bookmarkStart w:id="692" w:name="_Toc283027916"/>
      <w:bookmarkStart w:id="693" w:name="_Toc283028209"/>
      <w:bookmarkStart w:id="694" w:name="_Toc283028374"/>
      <w:bookmarkStart w:id="695" w:name="_Toc283029436"/>
      <w:bookmarkStart w:id="696" w:name="_Toc283029601"/>
      <w:bookmarkStart w:id="697" w:name="_Toc283031809"/>
      <w:bookmarkStart w:id="698" w:name="_Toc283376345"/>
      <w:bookmarkStart w:id="699" w:name="_Toc283031810"/>
      <w:bookmarkStart w:id="700" w:name="_Toc283376346"/>
      <w:bookmarkStart w:id="701" w:name="_Toc333484772"/>
      <w:bookmarkStart w:id="702" w:name="_Toc333484887"/>
      <w:bookmarkStart w:id="703" w:name="_Toc351624840"/>
      <w:bookmarkStart w:id="704" w:name="_Toc471826802"/>
      <w:bookmarkStart w:id="705" w:name="_Toc528323569"/>
      <w:bookmarkEnd w:id="689"/>
      <w:bookmarkEnd w:id="690"/>
      <w:bookmarkEnd w:id="691"/>
      <w:bookmarkEnd w:id="692"/>
      <w:bookmarkEnd w:id="693"/>
      <w:bookmarkEnd w:id="694"/>
      <w:bookmarkEnd w:id="695"/>
      <w:bookmarkEnd w:id="696"/>
      <w:bookmarkEnd w:id="697"/>
      <w:bookmarkEnd w:id="698"/>
      <w:r w:rsidRPr="00AB1ED7">
        <w:t>Reporting Procedures</w:t>
      </w:r>
      <w:bookmarkEnd w:id="699"/>
      <w:bookmarkEnd w:id="700"/>
      <w:bookmarkEnd w:id="701"/>
      <w:bookmarkEnd w:id="702"/>
      <w:bookmarkEnd w:id="703"/>
      <w:bookmarkEnd w:id="704"/>
      <w:bookmarkEnd w:id="705"/>
    </w:p>
    <w:p w14:paraId="2A562EB9" w14:textId="4C5FBDDF" w:rsidR="00DA67E8" w:rsidRPr="0018358E" w:rsidRDefault="00DA67E8" w:rsidP="00453003">
      <w:pPr>
        <w:pStyle w:val="Heading3"/>
        <w:ind w:left="851" w:hanging="851"/>
        <w:rPr>
          <w:szCs w:val="24"/>
        </w:rPr>
      </w:pPr>
      <w:bookmarkStart w:id="706" w:name="_Toc283031811"/>
      <w:bookmarkStart w:id="707" w:name="_Toc283376347"/>
      <w:bookmarkStart w:id="708" w:name="_Toc333484773"/>
      <w:bookmarkStart w:id="709" w:name="_Toc333484888"/>
      <w:bookmarkStart w:id="710" w:name="_Toc351624841"/>
      <w:bookmarkStart w:id="711" w:name="_Toc471826803"/>
      <w:bookmarkStart w:id="712" w:name="_Toc528323570"/>
      <w:r w:rsidRPr="0018358E">
        <w:rPr>
          <w:szCs w:val="24"/>
        </w:rPr>
        <w:t>All Adverse Events (AEs)</w:t>
      </w:r>
      <w:bookmarkEnd w:id="706"/>
      <w:bookmarkEnd w:id="707"/>
      <w:bookmarkEnd w:id="708"/>
      <w:bookmarkEnd w:id="709"/>
      <w:bookmarkEnd w:id="710"/>
      <w:bookmarkEnd w:id="711"/>
      <w:bookmarkEnd w:id="712"/>
    </w:p>
    <w:p w14:paraId="474B2AB3" w14:textId="48021CAD" w:rsidR="00DA67E8" w:rsidRPr="00AE1703" w:rsidRDefault="00DA67E8" w:rsidP="00453003">
      <w:pPr>
        <w:pStyle w:val="ProtTempparagraph"/>
        <w:spacing w:after="240"/>
        <w:rPr>
          <w:sz w:val="22"/>
          <w:szCs w:val="22"/>
        </w:rPr>
      </w:pPr>
      <w:r w:rsidRPr="00AE1703">
        <w:rPr>
          <w:rFonts w:cs="Times New Roman"/>
          <w:bCs/>
          <w:kern w:val="32"/>
          <w:sz w:val="22"/>
          <w:szCs w:val="22"/>
          <w:lang w:val="x-none" w:eastAsia="x-none"/>
        </w:rPr>
        <w:t xml:space="preserve">All adverse events that occur between informed consent and 30 days after administration of the last dose of </w:t>
      </w:r>
      <w:r w:rsidR="00CB1D22" w:rsidRPr="00AE1703">
        <w:rPr>
          <w:rFonts w:cs="Times New Roman"/>
          <w:bCs/>
          <w:kern w:val="32"/>
          <w:sz w:val="22"/>
          <w:szCs w:val="22"/>
          <w:lang w:val="x-none" w:eastAsia="x-none"/>
        </w:rPr>
        <w:t>trial treatment</w:t>
      </w:r>
      <w:r w:rsidRPr="00AE1703">
        <w:rPr>
          <w:rFonts w:cs="Times New Roman"/>
          <w:bCs/>
          <w:kern w:val="32"/>
          <w:sz w:val="22"/>
          <w:szCs w:val="22"/>
          <w:lang w:val="x-none" w:eastAsia="x-none"/>
        </w:rPr>
        <w:t xml:space="preserve"> must be</w:t>
      </w:r>
      <w:r w:rsidR="002F113D" w:rsidRPr="00AE1703">
        <w:rPr>
          <w:rFonts w:cs="Times New Roman"/>
          <w:bCs/>
          <w:kern w:val="32"/>
          <w:sz w:val="22"/>
          <w:szCs w:val="22"/>
          <w:lang w:val="x-none" w:eastAsia="x-none"/>
        </w:rPr>
        <w:t xml:space="preserve"> </w:t>
      </w:r>
      <w:r w:rsidRPr="00AE1703">
        <w:rPr>
          <w:rFonts w:cs="Times New Roman"/>
          <w:bCs/>
          <w:kern w:val="32"/>
          <w:sz w:val="22"/>
          <w:szCs w:val="22"/>
          <w:lang w:val="x-none" w:eastAsia="x-none"/>
        </w:rPr>
        <w:t xml:space="preserve">recorded in the patient notes and the trial CRFs. Those meeting the definition of a Serious Adverse Event (SAE) must also be reported to UCL CTC </w:t>
      </w:r>
      <w:r w:rsidRPr="00AE1703">
        <w:rPr>
          <w:rFonts w:cs="Times New Roman"/>
          <w:bCs/>
          <w:kern w:val="32"/>
          <w:sz w:val="22"/>
          <w:szCs w:val="22"/>
          <w:lang w:val="x-none" w:eastAsia="x-none"/>
        </w:rPr>
        <w:lastRenderedPageBreak/>
        <w:t>using the trial specific SAE Report.  Also refer to section 10.2.2 (Serious Adverse Events (SAEs)).</w:t>
      </w:r>
    </w:p>
    <w:p w14:paraId="29B1F769" w14:textId="7AA17C1A" w:rsidR="00DA67E8" w:rsidRPr="00453003" w:rsidRDefault="00DA67E8" w:rsidP="00453003">
      <w:pPr>
        <w:pStyle w:val="ProtTempparagraph"/>
        <w:spacing w:after="240"/>
        <w:rPr>
          <w:sz w:val="22"/>
          <w:szCs w:val="22"/>
        </w:rPr>
      </w:pPr>
      <w:r w:rsidRPr="00453003">
        <w:rPr>
          <w:sz w:val="22"/>
          <w:szCs w:val="22"/>
        </w:rPr>
        <w:t>Pre-existing conditions do not qualify as adverse events unless they worsen.</w:t>
      </w:r>
    </w:p>
    <w:p w14:paraId="2B6D3D94" w14:textId="2ABFF04E" w:rsidR="00DA67E8" w:rsidRPr="00DD7E1E" w:rsidRDefault="00DA67E8" w:rsidP="00453003">
      <w:pPr>
        <w:pStyle w:val="Non-numberedsectionheads"/>
        <w:rPr>
          <w:sz w:val="22"/>
          <w:szCs w:val="22"/>
        </w:rPr>
      </w:pPr>
      <w:r w:rsidRPr="00DD7E1E">
        <w:rPr>
          <w:sz w:val="22"/>
          <w:szCs w:val="22"/>
        </w:rPr>
        <w:t>Overdoses</w:t>
      </w:r>
    </w:p>
    <w:p w14:paraId="18E026B8" w14:textId="0562BEA2" w:rsidR="00DA67E8" w:rsidRPr="00453003" w:rsidRDefault="00DA67E8" w:rsidP="00453003">
      <w:pPr>
        <w:pStyle w:val="ProtTempparagraph"/>
        <w:spacing w:after="240"/>
        <w:rPr>
          <w:sz w:val="22"/>
          <w:szCs w:val="22"/>
        </w:rPr>
      </w:pPr>
      <w:r w:rsidRPr="00453003">
        <w:rPr>
          <w:sz w:val="22"/>
          <w:szCs w:val="22"/>
        </w:rPr>
        <w:t>All accidental or intentional overdoses, whether or not they result in adverse events, must be recorded in the patient notes and CRFs.  Overdoses resulting in an adverse event are classified as SAEs and must be reported to UCL CTC according to SAE reporting procedures.  The fact that an overdose has occurred must be clearly stated on the SAE Report.  Also refer to section 10.2.2 (Serious Adverse Events (SAEs)).</w:t>
      </w:r>
    </w:p>
    <w:p w14:paraId="6A3A0D0D" w14:textId="261F426E" w:rsidR="00DA67E8" w:rsidRPr="00453003" w:rsidRDefault="00DA67E8" w:rsidP="00453003">
      <w:pPr>
        <w:pStyle w:val="ProtTempparagraph"/>
        <w:spacing w:after="240"/>
        <w:rPr>
          <w:sz w:val="22"/>
          <w:szCs w:val="22"/>
        </w:rPr>
      </w:pPr>
      <w:r w:rsidRPr="00453003">
        <w:rPr>
          <w:sz w:val="22"/>
          <w:szCs w:val="22"/>
        </w:rPr>
        <w:t>Sites must inform UCL CTC immediately when an overdose has been identified.  Also refer to section 11 (Incident Reporting and Serious Breaches).</w:t>
      </w:r>
    </w:p>
    <w:p w14:paraId="50138C01" w14:textId="58EBBAA1" w:rsidR="00DA67E8" w:rsidRPr="00DD7E1E" w:rsidRDefault="00DA67E8" w:rsidP="00453003">
      <w:pPr>
        <w:pStyle w:val="Non-numberedsectionheads"/>
        <w:rPr>
          <w:sz w:val="22"/>
          <w:szCs w:val="22"/>
        </w:rPr>
      </w:pPr>
      <w:r w:rsidRPr="00DD7E1E">
        <w:rPr>
          <w:sz w:val="22"/>
          <w:szCs w:val="22"/>
        </w:rPr>
        <w:t>Adverse Event Term</w:t>
      </w:r>
    </w:p>
    <w:p w14:paraId="18EEEBDD" w14:textId="695C78AA" w:rsidR="00DA67E8" w:rsidRPr="0018358E" w:rsidRDefault="00DA67E8" w:rsidP="00453003">
      <w:pPr>
        <w:pStyle w:val="ProtTempparagraph"/>
        <w:spacing w:after="240"/>
        <w:rPr>
          <w:color w:val="FF0000"/>
          <w:sz w:val="22"/>
          <w:szCs w:val="22"/>
        </w:rPr>
      </w:pPr>
      <w:r w:rsidRPr="00453003">
        <w:rPr>
          <w:sz w:val="22"/>
          <w:szCs w:val="22"/>
        </w:rPr>
        <w:t xml:space="preserve">An adverse event term must be provided for each adverse event, </w:t>
      </w:r>
      <w:r w:rsidR="0082417C" w:rsidRPr="00453003">
        <w:rPr>
          <w:sz w:val="22"/>
          <w:szCs w:val="22"/>
        </w:rPr>
        <w:t xml:space="preserve">using free text for </w:t>
      </w:r>
      <w:r w:rsidR="00097793" w:rsidRPr="00453003">
        <w:rPr>
          <w:sz w:val="22"/>
          <w:szCs w:val="22"/>
        </w:rPr>
        <w:t xml:space="preserve">the </w:t>
      </w:r>
      <w:r w:rsidR="0082417C" w:rsidRPr="00453003">
        <w:rPr>
          <w:sz w:val="22"/>
          <w:szCs w:val="22"/>
        </w:rPr>
        <w:t xml:space="preserve">actual diagnoses or primary </w:t>
      </w:r>
      <w:r w:rsidR="006D0723" w:rsidRPr="00453003">
        <w:rPr>
          <w:sz w:val="22"/>
          <w:szCs w:val="22"/>
        </w:rPr>
        <w:t>symptom</w:t>
      </w:r>
      <w:r w:rsidR="0082417C" w:rsidRPr="00453003">
        <w:rPr>
          <w:sz w:val="22"/>
          <w:szCs w:val="22"/>
        </w:rPr>
        <w:t xml:space="preserve"> </w:t>
      </w:r>
      <w:r w:rsidR="00097793" w:rsidRPr="00453003">
        <w:rPr>
          <w:sz w:val="22"/>
          <w:szCs w:val="22"/>
        </w:rPr>
        <w:t>reported</w:t>
      </w:r>
      <w:r w:rsidR="00AB0F49" w:rsidRPr="00453003">
        <w:rPr>
          <w:sz w:val="22"/>
          <w:szCs w:val="22"/>
        </w:rPr>
        <w:t>,</w:t>
      </w:r>
      <w:r w:rsidR="0082417C" w:rsidRPr="00453003">
        <w:rPr>
          <w:sz w:val="22"/>
          <w:szCs w:val="22"/>
        </w:rPr>
        <w:t xml:space="preserve"> </w:t>
      </w:r>
      <w:r w:rsidR="00AB0F49" w:rsidRPr="00453003">
        <w:rPr>
          <w:sz w:val="22"/>
          <w:szCs w:val="22"/>
        </w:rPr>
        <w:t xml:space="preserve">and </w:t>
      </w:r>
      <w:r w:rsidRPr="00453003">
        <w:rPr>
          <w:sz w:val="22"/>
          <w:szCs w:val="22"/>
        </w:rPr>
        <w:t>using the term listed in the Common Terminology Criteria for Adverse Events (CTCAE</w:t>
      </w:r>
      <w:r w:rsidR="002F113D" w:rsidRPr="00453003">
        <w:rPr>
          <w:sz w:val="22"/>
          <w:szCs w:val="22"/>
        </w:rPr>
        <w:t>) v4.0</w:t>
      </w:r>
      <w:r w:rsidR="0082417C" w:rsidRPr="00453003">
        <w:rPr>
          <w:sz w:val="22"/>
          <w:szCs w:val="22"/>
        </w:rPr>
        <w:t xml:space="preserve"> </w:t>
      </w:r>
      <w:r w:rsidR="002F113D" w:rsidRPr="00453003">
        <w:rPr>
          <w:sz w:val="22"/>
          <w:szCs w:val="22"/>
        </w:rPr>
        <w:t>available</w:t>
      </w:r>
      <w:r w:rsidRPr="00453003">
        <w:rPr>
          <w:sz w:val="22"/>
          <w:szCs w:val="22"/>
        </w:rPr>
        <w:t xml:space="preserve"> online at:</w:t>
      </w:r>
      <w:r w:rsidR="0082417C" w:rsidRPr="00453003">
        <w:rPr>
          <w:sz w:val="22"/>
          <w:szCs w:val="22"/>
        </w:rPr>
        <w:t xml:space="preserve"> </w:t>
      </w:r>
      <w:hyperlink r:id="rId31" w:anchor="ctc_40" w:history="1">
        <w:r w:rsidRPr="0018358E">
          <w:rPr>
            <w:rStyle w:val="Hyperlink"/>
            <w:rFonts w:cs="Arial"/>
            <w:sz w:val="22"/>
            <w:szCs w:val="22"/>
          </w:rPr>
          <w:t>http://ctep.cancer.gov/protocolDevelopment/electronic_applications/ctc.htm#ctc_40</w:t>
        </w:r>
      </w:hyperlink>
      <w:r w:rsidR="0082417C">
        <w:t>.</w:t>
      </w:r>
    </w:p>
    <w:p w14:paraId="20DB4D89" w14:textId="70114840" w:rsidR="00DA67E8" w:rsidRPr="0018358E" w:rsidRDefault="00DA67E8" w:rsidP="00453003">
      <w:pPr>
        <w:pStyle w:val="Non-numberedsectionheads"/>
        <w:rPr>
          <w:sz w:val="22"/>
          <w:szCs w:val="22"/>
        </w:rPr>
      </w:pPr>
      <w:r w:rsidRPr="0018358E">
        <w:rPr>
          <w:sz w:val="22"/>
          <w:szCs w:val="22"/>
        </w:rPr>
        <w:t>Severity</w:t>
      </w:r>
    </w:p>
    <w:p w14:paraId="183A48DA" w14:textId="77777777" w:rsidR="00DA67E8" w:rsidRDefault="00DA67E8" w:rsidP="00134C28">
      <w:pPr>
        <w:pStyle w:val="ProtTempparagraph"/>
        <w:spacing w:after="240"/>
      </w:pPr>
      <w:r w:rsidRPr="008F4B8B">
        <w:rPr>
          <w:sz w:val="22"/>
          <w:szCs w:val="22"/>
        </w:rPr>
        <w:t>Severity of each adverse event must be determined by using the Common Terminology Criteria for Adverse Events (CTCAE) v4.0 as a guideline, wherever possible. The criteria are available online at:</w:t>
      </w:r>
    </w:p>
    <w:p w14:paraId="0F09A2FF" w14:textId="77777777" w:rsidR="00DA67E8" w:rsidRDefault="00625F72" w:rsidP="00134C28">
      <w:pPr>
        <w:pStyle w:val="ProtTempparagraph"/>
        <w:spacing w:after="240"/>
      </w:pPr>
      <w:hyperlink r:id="rId32" w:anchor="ctc_40" w:history="1">
        <w:r w:rsidR="00DA67E8" w:rsidRPr="008F4B8B">
          <w:rPr>
            <w:rStyle w:val="Hyperlink"/>
            <w:rFonts w:cs="Arial"/>
            <w:sz w:val="22"/>
            <w:szCs w:val="22"/>
          </w:rPr>
          <w:t>http://ctep.cancer.gov/protocolDevelopment/electronic_applications/ctc.htm#ctc_40</w:t>
        </w:r>
      </w:hyperlink>
    </w:p>
    <w:p w14:paraId="7FBED544" w14:textId="77777777" w:rsidR="00DA67E8" w:rsidRPr="008F4B8B" w:rsidRDefault="00DA67E8" w:rsidP="00134C28">
      <w:pPr>
        <w:pStyle w:val="ProtTempparagraph"/>
        <w:spacing w:after="240"/>
        <w:rPr>
          <w:sz w:val="22"/>
          <w:szCs w:val="22"/>
        </w:rPr>
      </w:pPr>
      <w:r w:rsidRPr="008F4B8B">
        <w:rPr>
          <w:sz w:val="22"/>
          <w:szCs w:val="22"/>
        </w:rPr>
        <w:t>In those cases where the CTCAE criteria do not apply, severity should be coded according to the following criteria:</w:t>
      </w:r>
    </w:p>
    <w:p w14:paraId="5708A097" w14:textId="77777777" w:rsidR="00DA67E8" w:rsidRPr="008F4B8B" w:rsidRDefault="00DA67E8" w:rsidP="00F66DCA">
      <w:pPr>
        <w:tabs>
          <w:tab w:val="left" w:pos="284"/>
        </w:tabs>
        <w:ind w:left="720"/>
        <w:jc w:val="both"/>
        <w:rPr>
          <w:rFonts w:ascii="Arial" w:hAnsi="Arial" w:cs="Arial"/>
          <w:sz w:val="22"/>
          <w:szCs w:val="22"/>
        </w:rPr>
      </w:pPr>
      <w:r w:rsidRPr="008F4B8B">
        <w:rPr>
          <w:rFonts w:ascii="Arial" w:hAnsi="Arial" w:cs="Arial"/>
          <w:sz w:val="22"/>
          <w:szCs w:val="22"/>
        </w:rPr>
        <w:t>1 = Mild (awareness of sign or symptom, but easily tolerated)</w:t>
      </w:r>
    </w:p>
    <w:p w14:paraId="0105A9AF" w14:textId="77777777" w:rsidR="00DA67E8" w:rsidRPr="008F4B8B" w:rsidRDefault="00DA67E8" w:rsidP="00F66DCA">
      <w:pPr>
        <w:ind w:left="720"/>
        <w:rPr>
          <w:rFonts w:ascii="Arial" w:hAnsi="Arial" w:cs="Arial"/>
          <w:sz w:val="22"/>
          <w:szCs w:val="22"/>
        </w:rPr>
      </w:pPr>
      <w:r w:rsidRPr="008F4B8B">
        <w:rPr>
          <w:rFonts w:ascii="Arial" w:hAnsi="Arial" w:cs="Arial"/>
          <w:sz w:val="22"/>
          <w:szCs w:val="22"/>
        </w:rPr>
        <w:t>2 = Moderate (discomfort enough to cause interference with normal daily activities)</w:t>
      </w:r>
    </w:p>
    <w:p w14:paraId="514B5678" w14:textId="77777777" w:rsidR="00DA67E8" w:rsidRPr="008F4B8B" w:rsidRDefault="00DA67E8" w:rsidP="00F66DCA">
      <w:pPr>
        <w:tabs>
          <w:tab w:val="left" w:pos="284"/>
        </w:tabs>
        <w:ind w:left="720"/>
        <w:jc w:val="both"/>
        <w:rPr>
          <w:rFonts w:ascii="Arial" w:hAnsi="Arial" w:cs="Arial"/>
          <w:sz w:val="22"/>
          <w:szCs w:val="22"/>
        </w:rPr>
      </w:pPr>
      <w:r w:rsidRPr="008F4B8B">
        <w:rPr>
          <w:rFonts w:ascii="Arial" w:hAnsi="Arial" w:cs="Arial"/>
          <w:sz w:val="22"/>
          <w:szCs w:val="22"/>
        </w:rPr>
        <w:t>3 = Severe (inability to perform normal daily activities)</w:t>
      </w:r>
    </w:p>
    <w:p w14:paraId="524126C4" w14:textId="77777777" w:rsidR="00DA67E8" w:rsidRPr="008F4B8B" w:rsidRDefault="00DA67E8" w:rsidP="00F66DCA">
      <w:pPr>
        <w:tabs>
          <w:tab w:val="left" w:pos="284"/>
        </w:tabs>
        <w:ind w:left="720"/>
        <w:jc w:val="both"/>
        <w:rPr>
          <w:rFonts w:ascii="Arial" w:hAnsi="Arial" w:cs="Arial"/>
          <w:sz w:val="22"/>
          <w:szCs w:val="22"/>
        </w:rPr>
      </w:pPr>
      <w:r w:rsidRPr="008F4B8B">
        <w:rPr>
          <w:rFonts w:ascii="Arial" w:hAnsi="Arial" w:cs="Arial"/>
          <w:sz w:val="22"/>
          <w:szCs w:val="22"/>
        </w:rPr>
        <w:t>4 = Life threatening (immediate risk of death from the reaction as it occurred)</w:t>
      </w:r>
    </w:p>
    <w:p w14:paraId="28790519" w14:textId="77777777" w:rsidR="00DA67E8" w:rsidRPr="008F4B8B" w:rsidRDefault="00DA67E8" w:rsidP="00F66DCA">
      <w:pPr>
        <w:tabs>
          <w:tab w:val="left" w:pos="284"/>
        </w:tabs>
        <w:ind w:left="720"/>
        <w:jc w:val="both"/>
        <w:rPr>
          <w:rFonts w:ascii="Arial" w:hAnsi="Arial" w:cs="Arial"/>
          <w:sz w:val="22"/>
          <w:szCs w:val="22"/>
        </w:rPr>
      </w:pPr>
      <w:r w:rsidRPr="008F4B8B">
        <w:rPr>
          <w:rFonts w:ascii="Arial" w:hAnsi="Arial" w:cs="Arial"/>
          <w:sz w:val="22"/>
          <w:szCs w:val="22"/>
        </w:rPr>
        <w:t>5 = Fatal (the event resulted in death)</w:t>
      </w:r>
    </w:p>
    <w:p w14:paraId="45C54608" w14:textId="77777777" w:rsidR="00DA67E8" w:rsidRPr="003431D4" w:rsidRDefault="00DA67E8" w:rsidP="00FF5254">
      <w:pPr>
        <w:pStyle w:val="Non-numberedsectionheads"/>
        <w:rPr>
          <w:sz w:val="22"/>
          <w:szCs w:val="22"/>
        </w:rPr>
      </w:pPr>
      <w:r w:rsidRPr="003431D4">
        <w:rPr>
          <w:sz w:val="22"/>
          <w:szCs w:val="22"/>
        </w:rPr>
        <w:t>Causality</w:t>
      </w:r>
      <w:r>
        <w:rPr>
          <w:sz w:val="22"/>
          <w:szCs w:val="22"/>
        </w:rPr>
        <w:t xml:space="preserve"> </w:t>
      </w:r>
    </w:p>
    <w:p w14:paraId="3C1C725B" w14:textId="77777777" w:rsidR="00DA67E8" w:rsidRPr="003431D4" w:rsidRDefault="00DA67E8" w:rsidP="00134C28">
      <w:pPr>
        <w:pStyle w:val="ProtTempparagraph"/>
        <w:spacing w:after="240"/>
        <w:rPr>
          <w:sz w:val="22"/>
          <w:szCs w:val="22"/>
        </w:rPr>
      </w:pPr>
      <w:r w:rsidRPr="003431D4">
        <w:rPr>
          <w:sz w:val="22"/>
          <w:szCs w:val="22"/>
        </w:rPr>
        <w:t xml:space="preserve">The PI, or other delegated site investigator, must perform an evaluation of causality for each adverse event.  </w:t>
      </w:r>
    </w:p>
    <w:p w14:paraId="2A5BD18B" w14:textId="77777777" w:rsidR="00DA67E8" w:rsidRPr="00361471" w:rsidRDefault="00DA67E8" w:rsidP="00134C28">
      <w:pPr>
        <w:pStyle w:val="ProtTempparagraph"/>
        <w:rPr>
          <w:sz w:val="22"/>
          <w:szCs w:val="22"/>
          <w:lang w:eastAsia="fr-FR"/>
        </w:rPr>
      </w:pPr>
      <w:r w:rsidRPr="00361471">
        <w:rPr>
          <w:sz w:val="22"/>
          <w:szCs w:val="22"/>
        </w:rPr>
        <w:t>C</w:t>
      </w:r>
      <w:r w:rsidRPr="00361471">
        <w:rPr>
          <w:sz w:val="22"/>
          <w:szCs w:val="22"/>
          <w:lang w:eastAsia="fr-FR"/>
        </w:rPr>
        <w:t>ausal relationship to each trial treatment must be determined as follows:</w:t>
      </w:r>
    </w:p>
    <w:p w14:paraId="1F829C16" w14:textId="77777777" w:rsidR="00DA67E8" w:rsidRPr="00361471" w:rsidRDefault="00DA67E8" w:rsidP="002F600D">
      <w:pPr>
        <w:numPr>
          <w:ilvl w:val="0"/>
          <w:numId w:val="2"/>
        </w:numPr>
        <w:spacing w:after="60"/>
        <w:ind w:left="714" w:hanging="357"/>
        <w:jc w:val="both"/>
        <w:rPr>
          <w:rFonts w:ascii="Arial" w:hAnsi="Arial" w:cs="Arial"/>
          <w:b/>
          <w:sz w:val="22"/>
          <w:szCs w:val="22"/>
        </w:rPr>
      </w:pPr>
      <w:r w:rsidRPr="00361471">
        <w:rPr>
          <w:rFonts w:ascii="Arial" w:hAnsi="Arial" w:cs="Arial"/>
          <w:b/>
          <w:sz w:val="22"/>
          <w:szCs w:val="22"/>
        </w:rPr>
        <w:t>None</w:t>
      </w:r>
    </w:p>
    <w:p w14:paraId="70AAC29E" w14:textId="77777777" w:rsidR="00DA67E8" w:rsidRPr="00361471" w:rsidRDefault="00DA67E8">
      <w:pPr>
        <w:pStyle w:val="ProtTempparagraph"/>
        <w:ind w:left="709"/>
        <w:rPr>
          <w:sz w:val="22"/>
          <w:szCs w:val="22"/>
        </w:rPr>
      </w:pPr>
      <w:r w:rsidRPr="00361471">
        <w:rPr>
          <w:sz w:val="22"/>
          <w:szCs w:val="22"/>
        </w:rPr>
        <w:t>There is no evidence of any causal relationship.</w:t>
      </w:r>
    </w:p>
    <w:p w14:paraId="61F9244D" w14:textId="77777777" w:rsidR="00DA67E8" w:rsidRPr="00361471" w:rsidRDefault="00DA67E8" w:rsidP="002F600D">
      <w:pPr>
        <w:numPr>
          <w:ilvl w:val="0"/>
          <w:numId w:val="2"/>
        </w:numPr>
        <w:spacing w:after="60"/>
        <w:ind w:left="714" w:hanging="357"/>
        <w:jc w:val="both"/>
        <w:rPr>
          <w:rFonts w:ascii="Arial" w:hAnsi="Arial" w:cs="Arial"/>
          <w:b/>
          <w:sz w:val="22"/>
          <w:szCs w:val="22"/>
        </w:rPr>
      </w:pPr>
      <w:r w:rsidRPr="00361471">
        <w:rPr>
          <w:rFonts w:ascii="Arial" w:hAnsi="Arial" w:cs="Arial"/>
          <w:b/>
          <w:sz w:val="22"/>
          <w:szCs w:val="22"/>
        </w:rPr>
        <w:t>Unlikely</w:t>
      </w:r>
    </w:p>
    <w:p w14:paraId="2DF29662" w14:textId="77777777" w:rsidR="00DA67E8" w:rsidRPr="00361471" w:rsidRDefault="00DA67E8">
      <w:pPr>
        <w:pStyle w:val="ProtTempparagraph"/>
        <w:ind w:left="709"/>
        <w:rPr>
          <w:sz w:val="22"/>
          <w:szCs w:val="22"/>
        </w:rPr>
      </w:pPr>
      <w:r w:rsidRPr="00361471">
        <w:rPr>
          <w:sz w:val="22"/>
          <w:szCs w:val="22"/>
        </w:rPr>
        <w:t>There is little evidence to suggest a causal relationship (e.g. because the event did not occur within a reasonable time after administration of a trial treatment).  There is another reasonable explanation of the event (e.g. the patient’s clinical condition, other concomitant treatments).</w:t>
      </w:r>
    </w:p>
    <w:p w14:paraId="4E800378" w14:textId="77777777" w:rsidR="00DA67E8" w:rsidRPr="00361471" w:rsidRDefault="00DA67E8" w:rsidP="002F600D">
      <w:pPr>
        <w:numPr>
          <w:ilvl w:val="0"/>
          <w:numId w:val="2"/>
        </w:numPr>
        <w:spacing w:after="60"/>
        <w:ind w:left="714" w:hanging="357"/>
        <w:jc w:val="both"/>
        <w:rPr>
          <w:rFonts w:ascii="Arial" w:hAnsi="Arial" w:cs="Arial"/>
          <w:b/>
          <w:sz w:val="22"/>
          <w:szCs w:val="22"/>
        </w:rPr>
      </w:pPr>
      <w:r w:rsidRPr="00361471">
        <w:rPr>
          <w:rFonts w:ascii="Arial" w:hAnsi="Arial" w:cs="Arial"/>
          <w:b/>
          <w:sz w:val="22"/>
          <w:szCs w:val="22"/>
        </w:rPr>
        <w:lastRenderedPageBreak/>
        <w:t>Possibly</w:t>
      </w:r>
    </w:p>
    <w:p w14:paraId="2011F294" w14:textId="77777777" w:rsidR="00DA67E8" w:rsidRPr="00361471" w:rsidRDefault="00DA67E8">
      <w:pPr>
        <w:pStyle w:val="ProtTempparagraph"/>
        <w:ind w:left="709"/>
        <w:rPr>
          <w:sz w:val="22"/>
          <w:szCs w:val="22"/>
        </w:rPr>
      </w:pPr>
      <w:r w:rsidRPr="00361471">
        <w:rPr>
          <w:sz w:val="22"/>
          <w:szCs w:val="22"/>
        </w:rPr>
        <w:t>There is some evidence to suggest a causal relationship (e.g. because the event occurs within a reasonable time after administration of a trial treatment).  However, the influence of other factors may have contributed to the event (e.g. the patient’s clinical condition, other concomitant treatments).</w:t>
      </w:r>
    </w:p>
    <w:p w14:paraId="6B93E564" w14:textId="77777777" w:rsidR="00DA67E8" w:rsidRPr="00361471" w:rsidRDefault="00DA67E8" w:rsidP="002F600D">
      <w:pPr>
        <w:numPr>
          <w:ilvl w:val="0"/>
          <w:numId w:val="2"/>
        </w:numPr>
        <w:spacing w:after="60"/>
        <w:ind w:left="714" w:hanging="357"/>
        <w:jc w:val="both"/>
        <w:rPr>
          <w:rFonts w:ascii="Arial" w:hAnsi="Arial" w:cs="Arial"/>
          <w:b/>
          <w:sz w:val="22"/>
          <w:szCs w:val="22"/>
        </w:rPr>
      </w:pPr>
      <w:r w:rsidRPr="00361471">
        <w:rPr>
          <w:rFonts w:ascii="Arial" w:hAnsi="Arial" w:cs="Arial"/>
          <w:b/>
          <w:sz w:val="22"/>
          <w:szCs w:val="22"/>
        </w:rPr>
        <w:t>Probably</w:t>
      </w:r>
    </w:p>
    <w:p w14:paraId="23D40E10" w14:textId="77777777" w:rsidR="00DA67E8" w:rsidRPr="00361471" w:rsidRDefault="00DA67E8">
      <w:pPr>
        <w:pStyle w:val="ProtTempparagraph"/>
        <w:ind w:left="709"/>
        <w:rPr>
          <w:sz w:val="22"/>
          <w:szCs w:val="22"/>
        </w:rPr>
      </w:pPr>
      <w:r w:rsidRPr="00361471">
        <w:rPr>
          <w:sz w:val="22"/>
          <w:szCs w:val="22"/>
        </w:rPr>
        <w:t>There is evidence to suggest a causal relationship and the influence of other factors is unlikely.</w:t>
      </w:r>
    </w:p>
    <w:p w14:paraId="192C4279" w14:textId="77777777" w:rsidR="00DA67E8" w:rsidRPr="00361471" w:rsidRDefault="00DA67E8" w:rsidP="002F600D">
      <w:pPr>
        <w:numPr>
          <w:ilvl w:val="0"/>
          <w:numId w:val="2"/>
        </w:numPr>
        <w:spacing w:after="60"/>
        <w:ind w:left="714" w:hanging="357"/>
        <w:jc w:val="both"/>
        <w:rPr>
          <w:rFonts w:ascii="Arial" w:hAnsi="Arial" w:cs="Arial"/>
          <w:b/>
          <w:sz w:val="22"/>
          <w:szCs w:val="22"/>
        </w:rPr>
      </w:pPr>
      <w:r w:rsidRPr="00361471">
        <w:rPr>
          <w:rFonts w:ascii="Arial" w:hAnsi="Arial" w:cs="Arial"/>
          <w:b/>
          <w:sz w:val="22"/>
          <w:szCs w:val="22"/>
        </w:rPr>
        <w:t>Definitely</w:t>
      </w:r>
    </w:p>
    <w:p w14:paraId="51FEDA72" w14:textId="77777777" w:rsidR="00F11504" w:rsidRDefault="00DA67E8" w:rsidP="00F11504">
      <w:pPr>
        <w:pStyle w:val="ProtTempparagraph"/>
        <w:spacing w:after="240"/>
        <w:ind w:left="709"/>
        <w:rPr>
          <w:sz w:val="22"/>
          <w:szCs w:val="22"/>
        </w:rPr>
      </w:pPr>
      <w:r w:rsidRPr="00361471">
        <w:rPr>
          <w:sz w:val="22"/>
          <w:szCs w:val="22"/>
        </w:rPr>
        <w:t>There is clear evidence to suggest a causal relationship and other possible contributing factors can be ruled out.</w:t>
      </w:r>
    </w:p>
    <w:p w14:paraId="390F33FC" w14:textId="77777777" w:rsidR="00F11504" w:rsidRPr="00F11504" w:rsidRDefault="00F11504" w:rsidP="00F11504">
      <w:pPr>
        <w:pStyle w:val="ProtTempparagraph"/>
        <w:spacing w:after="240"/>
        <w:rPr>
          <w:sz w:val="22"/>
        </w:rPr>
      </w:pPr>
      <w:r w:rsidRPr="00F11504">
        <w:rPr>
          <w:sz w:val="22"/>
        </w:rPr>
        <w:t>UCL CTC will consider events evaluated as possibly, probably or definitely related to be adverse reactions.</w:t>
      </w:r>
    </w:p>
    <w:p w14:paraId="174A2BF5" w14:textId="77777777" w:rsidR="00DA67E8" w:rsidRPr="00FC20CF" w:rsidRDefault="00DA67E8" w:rsidP="00E876A0">
      <w:pPr>
        <w:pStyle w:val="Heading3"/>
        <w:ind w:left="851" w:hanging="851"/>
        <w:rPr>
          <w:szCs w:val="24"/>
        </w:rPr>
      </w:pPr>
      <w:bookmarkStart w:id="713" w:name="_Toc110417550"/>
      <w:bookmarkStart w:id="714" w:name="_Toc133644290"/>
      <w:bookmarkStart w:id="715" w:name="_Toc152472471"/>
      <w:bookmarkStart w:id="716" w:name="_Toc152478753"/>
      <w:bookmarkStart w:id="717" w:name="_Toc152478817"/>
      <w:bookmarkStart w:id="718" w:name="_Toc283031812"/>
      <w:bookmarkStart w:id="719" w:name="_Toc283376348"/>
      <w:bookmarkStart w:id="720" w:name="_Toc333484774"/>
      <w:bookmarkStart w:id="721" w:name="_Toc333484889"/>
      <w:bookmarkStart w:id="722" w:name="_Toc351624842"/>
      <w:bookmarkStart w:id="723" w:name="_Toc471826804"/>
      <w:bookmarkStart w:id="724" w:name="_Toc528323571"/>
      <w:r w:rsidRPr="00FC20CF">
        <w:rPr>
          <w:szCs w:val="24"/>
        </w:rPr>
        <w:t>Serious Adverse Events</w:t>
      </w:r>
      <w:bookmarkEnd w:id="713"/>
      <w:bookmarkEnd w:id="714"/>
      <w:r w:rsidRPr="00FC20CF">
        <w:rPr>
          <w:szCs w:val="24"/>
        </w:rPr>
        <w:t xml:space="preserve"> (SAEs)</w:t>
      </w:r>
      <w:bookmarkEnd w:id="715"/>
      <w:bookmarkEnd w:id="716"/>
      <w:bookmarkEnd w:id="717"/>
      <w:bookmarkEnd w:id="718"/>
      <w:bookmarkEnd w:id="719"/>
      <w:bookmarkEnd w:id="720"/>
      <w:bookmarkEnd w:id="721"/>
      <w:bookmarkEnd w:id="722"/>
      <w:bookmarkEnd w:id="723"/>
      <w:bookmarkEnd w:id="724"/>
    </w:p>
    <w:p w14:paraId="13850E94" w14:textId="77777777" w:rsidR="00DA67E8" w:rsidRDefault="00DA67E8" w:rsidP="00134C28">
      <w:pPr>
        <w:pStyle w:val="ProtTempparagraph"/>
        <w:spacing w:after="240"/>
        <w:rPr>
          <w:sz w:val="22"/>
          <w:szCs w:val="22"/>
        </w:rPr>
      </w:pPr>
      <w:r w:rsidRPr="007C30F1">
        <w:rPr>
          <w:sz w:val="22"/>
          <w:szCs w:val="22"/>
        </w:rPr>
        <w:t>All SAEs that occur between the signing of informed consent and 30</w:t>
      </w:r>
      <w:r w:rsidR="006D0723">
        <w:rPr>
          <w:sz w:val="22"/>
          <w:szCs w:val="22"/>
        </w:rPr>
        <w:t xml:space="preserve"> </w:t>
      </w:r>
      <w:r w:rsidRPr="007C30F1">
        <w:rPr>
          <w:sz w:val="22"/>
          <w:szCs w:val="22"/>
        </w:rPr>
        <w:t xml:space="preserve">days post the last trial treatment administration (or after this date if the site investigator feels the event is related to </w:t>
      </w:r>
      <w:r w:rsidR="00F11504">
        <w:rPr>
          <w:sz w:val="22"/>
          <w:szCs w:val="22"/>
        </w:rPr>
        <w:t xml:space="preserve">a </w:t>
      </w:r>
      <w:r w:rsidRPr="007C30F1">
        <w:rPr>
          <w:sz w:val="22"/>
          <w:szCs w:val="22"/>
        </w:rPr>
        <w:t xml:space="preserve">trial treatment) must be submitted </w:t>
      </w:r>
      <w:r w:rsidRPr="007C30F1">
        <w:rPr>
          <w:rFonts w:eastAsia="MS Mincho"/>
          <w:sz w:val="22"/>
          <w:szCs w:val="22"/>
        </w:rPr>
        <w:t xml:space="preserve">to </w:t>
      </w:r>
      <w:r w:rsidRPr="007C30F1">
        <w:rPr>
          <w:sz w:val="22"/>
          <w:szCs w:val="22"/>
        </w:rPr>
        <w:t xml:space="preserve">UCL CTC </w:t>
      </w:r>
      <w:r w:rsidRPr="007C30F1">
        <w:rPr>
          <w:rFonts w:eastAsia="MS Mincho"/>
          <w:sz w:val="22"/>
          <w:szCs w:val="22"/>
        </w:rPr>
        <w:t xml:space="preserve">by fax within </w:t>
      </w:r>
      <w:r w:rsidR="00DC4DB5">
        <w:rPr>
          <w:b/>
          <w:sz w:val="22"/>
          <w:szCs w:val="22"/>
        </w:rPr>
        <w:t>24 hours</w:t>
      </w:r>
      <w:r w:rsidR="00DC4DB5" w:rsidRPr="007C30F1">
        <w:rPr>
          <w:sz w:val="22"/>
          <w:szCs w:val="22"/>
        </w:rPr>
        <w:t xml:space="preserve"> </w:t>
      </w:r>
      <w:r w:rsidR="002F113D" w:rsidRPr="007C30F1">
        <w:rPr>
          <w:sz w:val="22"/>
          <w:szCs w:val="22"/>
        </w:rPr>
        <w:t>of</w:t>
      </w:r>
      <w:r w:rsidRPr="007C30F1">
        <w:rPr>
          <w:sz w:val="22"/>
          <w:szCs w:val="22"/>
        </w:rPr>
        <w:t xml:space="preserve"> observing or learning of the event, using the</w:t>
      </w:r>
      <w:r w:rsidRPr="007C30F1">
        <w:rPr>
          <w:rFonts w:eastAsia="MS Mincho"/>
          <w:sz w:val="22"/>
          <w:szCs w:val="22"/>
        </w:rPr>
        <w:t xml:space="preserve"> trial specific SAE Report</w:t>
      </w:r>
      <w:r w:rsidRPr="007C30F1">
        <w:rPr>
          <w:sz w:val="22"/>
          <w:szCs w:val="22"/>
        </w:rPr>
        <w:t xml:space="preserve">.  All sections on the SAE Report must be </w:t>
      </w:r>
      <w:r w:rsidR="002F113D" w:rsidRPr="007C30F1">
        <w:rPr>
          <w:sz w:val="22"/>
          <w:szCs w:val="22"/>
        </w:rPr>
        <w:t>completed. If</w:t>
      </w:r>
      <w:r w:rsidRPr="007C30F1">
        <w:rPr>
          <w:sz w:val="22"/>
          <w:szCs w:val="22"/>
        </w:rPr>
        <w:t xml:space="preserve"> the event is </w:t>
      </w:r>
      <w:r w:rsidRPr="007C30F1">
        <w:rPr>
          <w:b/>
          <w:sz w:val="22"/>
          <w:szCs w:val="22"/>
        </w:rPr>
        <w:t xml:space="preserve">not being reported within </w:t>
      </w:r>
      <w:r w:rsidR="00A02963">
        <w:rPr>
          <w:b/>
          <w:sz w:val="22"/>
          <w:szCs w:val="22"/>
        </w:rPr>
        <w:t>24 hours</w:t>
      </w:r>
      <w:r w:rsidRPr="007C30F1">
        <w:rPr>
          <w:sz w:val="22"/>
          <w:szCs w:val="22"/>
        </w:rPr>
        <w:t xml:space="preserve"> to UCL CTC, the circumstances that led to this must be detailed in the SAE Report to avoid unnecessary queries.</w:t>
      </w:r>
    </w:p>
    <w:p w14:paraId="728CFC8F" w14:textId="77777777" w:rsidR="00DA67E8" w:rsidRPr="007C30F1" w:rsidRDefault="00DA67E8" w:rsidP="00FF5254">
      <w:pPr>
        <w:pStyle w:val="Non-numberedsectionheads"/>
        <w:rPr>
          <w:sz w:val="22"/>
          <w:szCs w:val="22"/>
        </w:rPr>
      </w:pPr>
      <w:r w:rsidRPr="007C30F1">
        <w:rPr>
          <w:sz w:val="22"/>
          <w:szCs w:val="22"/>
        </w:rPr>
        <w:t xml:space="preserve">Exemptions </w:t>
      </w:r>
      <w:r w:rsidR="002F113D" w:rsidRPr="007C30F1">
        <w:rPr>
          <w:sz w:val="22"/>
          <w:szCs w:val="22"/>
        </w:rPr>
        <w:t>from</w:t>
      </w:r>
      <w:r w:rsidR="002F113D">
        <w:rPr>
          <w:sz w:val="22"/>
          <w:szCs w:val="22"/>
        </w:rPr>
        <w:t xml:space="preserve"> </w:t>
      </w:r>
      <w:r w:rsidR="002F113D" w:rsidRPr="007C30F1">
        <w:rPr>
          <w:sz w:val="22"/>
          <w:szCs w:val="22"/>
        </w:rPr>
        <w:t>SAE</w:t>
      </w:r>
      <w:r w:rsidR="002F113D">
        <w:rPr>
          <w:sz w:val="22"/>
          <w:szCs w:val="22"/>
        </w:rPr>
        <w:t xml:space="preserve"> </w:t>
      </w:r>
      <w:r w:rsidR="002F113D" w:rsidRPr="007C30F1">
        <w:rPr>
          <w:sz w:val="22"/>
          <w:szCs w:val="22"/>
        </w:rPr>
        <w:t>Report</w:t>
      </w:r>
      <w:r w:rsidRPr="007C30F1">
        <w:rPr>
          <w:sz w:val="22"/>
          <w:szCs w:val="22"/>
        </w:rPr>
        <w:t xml:space="preserve"> Submission</w:t>
      </w:r>
    </w:p>
    <w:p w14:paraId="25C1EE04" w14:textId="77777777" w:rsidR="00DA67E8" w:rsidRDefault="00DA67E8" w:rsidP="00134C28">
      <w:pPr>
        <w:pStyle w:val="ProtTempparagraph"/>
        <w:rPr>
          <w:rFonts w:eastAsia="MS Mincho"/>
          <w:sz w:val="22"/>
          <w:szCs w:val="22"/>
        </w:rPr>
      </w:pPr>
      <w:r w:rsidRPr="007C30F1">
        <w:rPr>
          <w:rFonts w:eastAsia="MS Mincho"/>
          <w:sz w:val="22"/>
          <w:szCs w:val="22"/>
        </w:rPr>
        <w:t xml:space="preserve">For this trial, the following events are exempt from requiring </w:t>
      </w:r>
      <w:r w:rsidR="002F113D" w:rsidRPr="007C30F1">
        <w:rPr>
          <w:rFonts w:eastAsia="MS Mincho"/>
          <w:sz w:val="22"/>
          <w:szCs w:val="22"/>
        </w:rPr>
        <w:t>submission</w:t>
      </w:r>
      <w:r w:rsidR="002F113D">
        <w:rPr>
          <w:rFonts w:eastAsia="MS Mincho"/>
          <w:sz w:val="22"/>
          <w:szCs w:val="22"/>
        </w:rPr>
        <w:t xml:space="preserve"> </w:t>
      </w:r>
      <w:r w:rsidR="002F113D" w:rsidRPr="007C30F1">
        <w:rPr>
          <w:rFonts w:eastAsia="MS Mincho"/>
          <w:sz w:val="22"/>
          <w:szCs w:val="22"/>
        </w:rPr>
        <w:t>on</w:t>
      </w:r>
      <w:r w:rsidRPr="007C30F1">
        <w:rPr>
          <w:rFonts w:eastAsia="MS Mincho"/>
          <w:sz w:val="22"/>
          <w:szCs w:val="22"/>
        </w:rPr>
        <w:t xml:space="preserve"> an SAE Report, but must be recorded in the relevant section(s) of the trial CRFs:</w:t>
      </w:r>
    </w:p>
    <w:p w14:paraId="1491045F" w14:textId="77777777" w:rsidR="001A29C4" w:rsidRDefault="008E66B5" w:rsidP="002F600D">
      <w:pPr>
        <w:numPr>
          <w:ilvl w:val="1"/>
          <w:numId w:val="9"/>
        </w:numPr>
        <w:spacing w:after="120"/>
        <w:ind w:left="1434" w:hanging="357"/>
        <w:jc w:val="both"/>
        <w:rPr>
          <w:rFonts w:ascii="Arial" w:hAnsi="Arial" w:cs="Arial"/>
          <w:sz w:val="22"/>
          <w:szCs w:val="22"/>
        </w:rPr>
      </w:pPr>
      <w:r w:rsidRPr="00A02CA3">
        <w:rPr>
          <w:rFonts w:ascii="Arial" w:hAnsi="Arial" w:cs="Arial"/>
          <w:sz w:val="22"/>
          <w:szCs w:val="22"/>
        </w:rPr>
        <w:t>events that occur after 30 days post last trial treatment administration that are</w:t>
      </w:r>
      <w:r w:rsidR="001A29C4">
        <w:rPr>
          <w:rFonts w:ascii="Arial" w:hAnsi="Arial" w:cs="Arial"/>
          <w:sz w:val="22"/>
          <w:szCs w:val="22"/>
        </w:rPr>
        <w:t>:</w:t>
      </w:r>
    </w:p>
    <w:p w14:paraId="1BD4D0DE" w14:textId="0CED9416" w:rsidR="008E66B5" w:rsidRDefault="008E66B5" w:rsidP="00142124">
      <w:pPr>
        <w:numPr>
          <w:ilvl w:val="1"/>
          <w:numId w:val="9"/>
        </w:numPr>
        <w:spacing w:after="120"/>
        <w:ind w:left="1434" w:hanging="357"/>
        <w:jc w:val="both"/>
        <w:rPr>
          <w:rFonts w:ascii="Arial" w:hAnsi="Arial" w:cs="Arial"/>
          <w:sz w:val="22"/>
          <w:szCs w:val="22"/>
        </w:rPr>
      </w:pPr>
      <w:r w:rsidRPr="00A02CA3">
        <w:rPr>
          <w:rFonts w:ascii="Arial" w:hAnsi="Arial" w:cs="Arial"/>
          <w:sz w:val="22"/>
          <w:szCs w:val="22"/>
        </w:rPr>
        <w:t>not considered to be side-effects of the trial treatment</w:t>
      </w:r>
      <w:r w:rsidR="002071BA" w:rsidRPr="00A02CA3">
        <w:rPr>
          <w:rFonts w:ascii="Arial" w:hAnsi="Arial" w:cs="Arial"/>
          <w:sz w:val="22"/>
          <w:szCs w:val="22"/>
        </w:rPr>
        <w:t xml:space="preserve"> </w:t>
      </w:r>
    </w:p>
    <w:p w14:paraId="26F7BF0E" w14:textId="27BC2629" w:rsidR="001A29C4" w:rsidRPr="008E66B5" w:rsidRDefault="001A29C4" w:rsidP="00142124">
      <w:pPr>
        <w:numPr>
          <w:ilvl w:val="1"/>
          <w:numId w:val="9"/>
        </w:numPr>
        <w:spacing w:after="120"/>
        <w:ind w:left="1434" w:hanging="357"/>
        <w:jc w:val="both"/>
        <w:rPr>
          <w:rFonts w:ascii="Arial" w:hAnsi="Arial" w:cs="Arial"/>
          <w:sz w:val="22"/>
          <w:szCs w:val="22"/>
        </w:rPr>
      </w:pPr>
      <w:r>
        <w:rPr>
          <w:rFonts w:ascii="Arial" w:hAnsi="Arial" w:cs="Arial"/>
          <w:sz w:val="22"/>
          <w:szCs w:val="22"/>
        </w:rPr>
        <w:t>not SAE related to pregnancies</w:t>
      </w:r>
    </w:p>
    <w:p w14:paraId="4E5D9E14" w14:textId="77777777" w:rsidR="00DA67E8" w:rsidRPr="00F00E76" w:rsidRDefault="00DA67E8" w:rsidP="002F600D">
      <w:pPr>
        <w:numPr>
          <w:ilvl w:val="1"/>
          <w:numId w:val="9"/>
        </w:numPr>
        <w:spacing w:after="120"/>
        <w:ind w:left="1434" w:hanging="357"/>
        <w:jc w:val="both"/>
        <w:rPr>
          <w:rFonts w:ascii="Arial" w:hAnsi="Arial" w:cs="Arial"/>
          <w:b/>
          <w:i/>
          <w:sz w:val="22"/>
          <w:szCs w:val="22"/>
        </w:rPr>
      </w:pPr>
      <w:r w:rsidRPr="007C30F1">
        <w:rPr>
          <w:rFonts w:ascii="Arial" w:hAnsi="Arial" w:cs="Arial"/>
          <w:sz w:val="22"/>
          <w:szCs w:val="22"/>
        </w:rPr>
        <w:t>disease progression (including disease related deaths)</w:t>
      </w:r>
    </w:p>
    <w:p w14:paraId="78863F67" w14:textId="77777777" w:rsidR="00DA67E8" w:rsidRPr="00AB1ED7" w:rsidRDefault="00DA67E8" w:rsidP="007C30F1">
      <w:pPr>
        <w:pStyle w:val="ProtTempparagraph"/>
        <w:spacing w:after="240"/>
      </w:pPr>
      <w:r w:rsidRPr="007C30F1">
        <w:rPr>
          <w:rFonts w:eastAsia="MS Mincho"/>
          <w:sz w:val="22"/>
          <w:szCs w:val="22"/>
        </w:rPr>
        <w:t>Please note that hospitalisation for elective treatment or palliative care does not qualify as an SAE.</w:t>
      </w:r>
      <w:r w:rsidRPr="001B17B8">
        <w:rPr>
          <w:rFonts w:eastAsia="MS Mincho"/>
          <w:sz w:val="22"/>
          <w:szCs w:val="22"/>
        </w:rPr>
        <w:t xml:space="preserve"> </w:t>
      </w:r>
      <w:r>
        <w:rPr>
          <w:rFonts w:eastAsia="MS Mincho"/>
          <w:sz w:val="22"/>
          <w:szCs w:val="22"/>
        </w:rPr>
        <w:t>However, if during either of these types of hospitali</w:t>
      </w:r>
      <w:r w:rsidR="006D0723">
        <w:rPr>
          <w:rFonts w:eastAsia="MS Mincho"/>
          <w:sz w:val="22"/>
          <w:szCs w:val="22"/>
        </w:rPr>
        <w:t>s</w:t>
      </w:r>
      <w:r>
        <w:rPr>
          <w:rFonts w:eastAsia="MS Mincho"/>
          <w:sz w:val="22"/>
          <w:szCs w:val="22"/>
        </w:rPr>
        <w:t>ation and event occurs which meets SAE criteria, the event should be reported.  For example, the subject is hospitali</w:t>
      </w:r>
      <w:r w:rsidR="006D0723">
        <w:rPr>
          <w:rFonts w:eastAsia="MS Mincho"/>
          <w:sz w:val="22"/>
          <w:szCs w:val="22"/>
        </w:rPr>
        <w:t>s</w:t>
      </w:r>
      <w:r>
        <w:rPr>
          <w:rFonts w:eastAsia="MS Mincho"/>
          <w:sz w:val="22"/>
          <w:szCs w:val="22"/>
        </w:rPr>
        <w:t xml:space="preserve">ed for chemotherapy administration and during that time experiences a heart attack, the heart attack would require </w:t>
      </w:r>
      <w:r w:rsidR="002C110A">
        <w:rPr>
          <w:rFonts w:eastAsia="MS Mincho"/>
          <w:sz w:val="22"/>
          <w:szCs w:val="22"/>
        </w:rPr>
        <w:t xml:space="preserve">immediate submission on an </w:t>
      </w:r>
      <w:r>
        <w:rPr>
          <w:rFonts w:eastAsia="MS Mincho"/>
          <w:sz w:val="22"/>
          <w:szCs w:val="22"/>
        </w:rPr>
        <w:t xml:space="preserve">SAE </w:t>
      </w:r>
      <w:r w:rsidR="002C110A">
        <w:rPr>
          <w:rFonts w:eastAsia="MS Mincho"/>
          <w:sz w:val="22"/>
          <w:szCs w:val="22"/>
        </w:rPr>
        <w:t>R</w:t>
      </w:r>
      <w:r>
        <w:rPr>
          <w:rFonts w:eastAsia="MS Mincho"/>
          <w:sz w:val="22"/>
          <w:szCs w:val="22"/>
        </w:rPr>
        <w:t xml:space="preserve">eport. </w:t>
      </w:r>
    </w:p>
    <w:tbl>
      <w:tblPr>
        <w:tblW w:w="0" w:type="auto"/>
        <w:jc w:val="center"/>
        <w:tblBorders>
          <w:top w:val="single" w:sz="12" w:space="0" w:color="FF0000"/>
          <w:left w:val="single" w:sz="12" w:space="0" w:color="FF0000"/>
          <w:bottom w:val="single" w:sz="12" w:space="0" w:color="FF0000"/>
          <w:right w:val="single" w:sz="12" w:space="0" w:color="FF0000"/>
        </w:tblBorders>
        <w:tblLook w:val="0000" w:firstRow="0" w:lastRow="0" w:firstColumn="0" w:lastColumn="0" w:noHBand="0" w:noVBand="0"/>
      </w:tblPr>
      <w:tblGrid>
        <w:gridCol w:w="8365"/>
      </w:tblGrid>
      <w:tr w:rsidR="00DA67E8" w:rsidRPr="00AB1ED7" w14:paraId="6F87E108" w14:textId="77777777">
        <w:trPr>
          <w:jc w:val="center"/>
        </w:trPr>
        <w:tc>
          <w:tcPr>
            <w:tcW w:w="8365" w:type="dxa"/>
            <w:tcBorders>
              <w:top w:val="single" w:sz="12" w:space="0" w:color="FF0000"/>
              <w:bottom w:val="single" w:sz="12" w:space="0" w:color="FF0000"/>
            </w:tcBorders>
          </w:tcPr>
          <w:p w14:paraId="513B3FF6" w14:textId="77777777" w:rsidR="00DA67E8" w:rsidRPr="00AB1ED7" w:rsidRDefault="00DA67E8">
            <w:pPr>
              <w:jc w:val="both"/>
              <w:rPr>
                <w:rFonts w:ascii="Arial" w:hAnsi="Arial" w:cs="Arial"/>
                <w:b/>
                <w:bCs/>
                <w:color w:val="FF0000"/>
                <w:sz w:val="12"/>
                <w:u w:val="single"/>
              </w:rPr>
            </w:pPr>
          </w:p>
          <w:p w14:paraId="6911AFC9" w14:textId="77777777" w:rsidR="00DA67E8" w:rsidRPr="00F66DCA" w:rsidRDefault="00DA67E8" w:rsidP="00F66DCA">
            <w:pPr>
              <w:pStyle w:val="ProtTempparagraph"/>
              <w:jc w:val="center"/>
              <w:rPr>
                <w:b/>
              </w:rPr>
            </w:pPr>
            <w:r w:rsidRPr="00FA03C8">
              <w:rPr>
                <w:b/>
              </w:rPr>
              <w:t>Completed SAE Report</w:t>
            </w:r>
            <w:r w:rsidRPr="004F3839">
              <w:rPr>
                <w:b/>
              </w:rPr>
              <w:t xml:space="preserve">s must be faxed within </w:t>
            </w:r>
            <w:r w:rsidR="00A02963">
              <w:rPr>
                <w:b/>
              </w:rPr>
              <w:t>24 hours</w:t>
            </w:r>
            <w:r w:rsidRPr="004F3839">
              <w:rPr>
                <w:b/>
              </w:rPr>
              <w:t xml:space="preserve"> of becoming aware of the event to UCL CTC</w:t>
            </w:r>
          </w:p>
          <w:p w14:paraId="66918FAE" w14:textId="77777777" w:rsidR="00DA67E8" w:rsidRPr="00F66DCA" w:rsidRDefault="00DA67E8" w:rsidP="00F66DCA">
            <w:pPr>
              <w:pStyle w:val="ProtTempparagraph"/>
              <w:jc w:val="center"/>
              <w:rPr>
                <w:b/>
                <w:color w:val="FF0000"/>
                <w:sz w:val="12"/>
              </w:rPr>
            </w:pPr>
            <w:r w:rsidRPr="00EC20E0">
              <w:rPr>
                <w:b/>
              </w:rPr>
              <w:t>Fax: +</w:t>
            </w:r>
            <w:r w:rsidRPr="007C30F1">
              <w:rPr>
                <w:b/>
              </w:rPr>
              <w:t>44 (0)20 7679</w:t>
            </w:r>
            <w:r w:rsidR="00B32330">
              <w:rPr>
                <w:b/>
              </w:rPr>
              <w:t xml:space="preserve"> </w:t>
            </w:r>
            <w:r w:rsidRPr="007C30F1">
              <w:rPr>
                <w:b/>
              </w:rPr>
              <w:t>9871</w:t>
            </w:r>
          </w:p>
          <w:p w14:paraId="7941E1FF" w14:textId="77777777" w:rsidR="00DA67E8" w:rsidRPr="00AB1ED7" w:rsidRDefault="00DA67E8">
            <w:pPr>
              <w:jc w:val="both"/>
              <w:rPr>
                <w:rFonts w:ascii="Arial" w:hAnsi="Arial" w:cs="Arial"/>
                <w:b/>
                <w:bCs/>
                <w:color w:val="FF0000"/>
                <w:sz w:val="12"/>
                <w:u w:val="single"/>
              </w:rPr>
            </w:pPr>
          </w:p>
        </w:tc>
      </w:tr>
    </w:tbl>
    <w:p w14:paraId="4AD0D13D" w14:textId="77777777" w:rsidR="00F333BA" w:rsidRDefault="00F333BA" w:rsidP="00CF7A8C">
      <w:pPr>
        <w:pStyle w:val="PVsectionheads"/>
        <w:jc w:val="left"/>
        <w:rPr>
          <w:rStyle w:val="Non-numberedsectionheadsChar"/>
          <w:b/>
        </w:rPr>
      </w:pPr>
    </w:p>
    <w:p w14:paraId="47F7E933" w14:textId="77777777" w:rsidR="00DA67E8" w:rsidRDefault="00F333BA" w:rsidP="00CF7A8C">
      <w:pPr>
        <w:pStyle w:val="PVsectionheads"/>
        <w:jc w:val="left"/>
        <w:rPr>
          <w:rFonts w:eastAsia="MS Mincho"/>
        </w:rPr>
      </w:pPr>
      <w:r>
        <w:rPr>
          <w:rStyle w:val="Non-numberedsectionheadsChar"/>
          <w:b/>
        </w:rPr>
        <w:br w:type="page"/>
      </w:r>
      <w:r w:rsidR="00DA67E8" w:rsidRPr="0055244E">
        <w:rPr>
          <w:rStyle w:val="Non-numberedsectionheadsChar"/>
          <w:b/>
        </w:rPr>
        <w:lastRenderedPageBreak/>
        <w:t>Adverse Event Reporting Flowchart</w:t>
      </w:r>
    </w:p>
    <w:p w14:paraId="0CBA33C7" w14:textId="77777777" w:rsidR="003028FF" w:rsidRDefault="006D0723" w:rsidP="003028FF">
      <w:pPr>
        <w:tabs>
          <w:tab w:val="left" w:pos="2805"/>
        </w:tabs>
        <w:spacing w:before="360" w:after="120"/>
        <w:rPr>
          <w:rFonts w:eastAsia="MS Mincho"/>
        </w:rPr>
      </w:pPr>
      <w:r>
        <w:rPr>
          <w:rFonts w:eastAsia="MS Mincho"/>
        </w:rPr>
        <w:tab/>
      </w:r>
      <w:r w:rsidRPr="001D673E">
        <w:rPr>
          <w:rFonts w:eastAsia="MS Mincho"/>
        </w:rPr>
        <w:object w:dxaOrig="5399" w:dyaOrig="7187" w14:anchorId="120B8321">
          <v:shape id="_x0000_i1026" type="#_x0000_t75" style="width:6in;height:8in" o:ole="">
            <v:imagedata r:id="rId33" o:title=""/>
          </v:shape>
          <o:OLEObject Type="Embed" ProgID="PowerPoint.Slide.12" ShapeID="_x0000_i1026" DrawAspect="Content" ObjectID="_1650727034" r:id="rId34"/>
        </w:object>
      </w:r>
    </w:p>
    <w:p w14:paraId="5E61227F" w14:textId="77777777" w:rsidR="00DA67E8" w:rsidRPr="007C30F1" w:rsidRDefault="00DA67E8" w:rsidP="00FF5254">
      <w:pPr>
        <w:spacing w:before="360" w:after="120"/>
        <w:rPr>
          <w:rStyle w:val="PVsectionheadsChar"/>
          <w:rFonts w:eastAsia="MS Mincho"/>
          <w:sz w:val="22"/>
          <w:szCs w:val="22"/>
        </w:rPr>
      </w:pPr>
      <w:r w:rsidRPr="006D0723">
        <w:rPr>
          <w:rFonts w:eastAsia="MS Mincho"/>
        </w:rPr>
        <w:br w:type="page"/>
      </w:r>
      <w:r w:rsidRPr="007C30F1">
        <w:rPr>
          <w:rStyle w:val="Non-numberedsectionheadsChar"/>
          <w:rFonts w:eastAsia="MS Mincho"/>
          <w:sz w:val="22"/>
          <w:szCs w:val="22"/>
        </w:rPr>
        <w:lastRenderedPageBreak/>
        <w:t>SAE Follow-Up Reports</w:t>
      </w:r>
    </w:p>
    <w:p w14:paraId="4F754DBC" w14:textId="77777777" w:rsidR="00DA67E8" w:rsidRPr="007C30F1" w:rsidRDefault="00DA67E8" w:rsidP="00134C28">
      <w:pPr>
        <w:pStyle w:val="ProtTempparagraph"/>
        <w:spacing w:after="240"/>
        <w:rPr>
          <w:sz w:val="22"/>
          <w:szCs w:val="22"/>
        </w:rPr>
      </w:pPr>
      <w:r w:rsidRPr="007C30F1">
        <w:rPr>
          <w:sz w:val="22"/>
          <w:szCs w:val="22"/>
        </w:rPr>
        <w:t xml:space="preserve">All SAEs must be followed-up until resolution and until there are no further queries.  </w:t>
      </w:r>
      <w:r w:rsidRPr="007C30F1">
        <w:rPr>
          <w:color w:val="000000"/>
          <w:sz w:val="22"/>
          <w:szCs w:val="22"/>
        </w:rPr>
        <w:t>The PI, or other delegated site</w:t>
      </w:r>
      <w:r w:rsidRPr="007C30F1">
        <w:rPr>
          <w:sz w:val="22"/>
          <w:szCs w:val="22"/>
        </w:rPr>
        <w:t xml:space="preserve"> investigator, must provide follow-up SAE Reports if the SAE had not resolved at the time the initial report was submitted.</w:t>
      </w:r>
    </w:p>
    <w:p w14:paraId="6233F8D7" w14:textId="77777777" w:rsidR="00DA67E8" w:rsidRPr="007C30F1" w:rsidRDefault="00DA67E8" w:rsidP="00FF5254">
      <w:pPr>
        <w:pStyle w:val="Non-numberedsectionheads"/>
        <w:rPr>
          <w:sz w:val="22"/>
          <w:szCs w:val="22"/>
        </w:rPr>
      </w:pPr>
      <w:r w:rsidRPr="007C30F1">
        <w:rPr>
          <w:sz w:val="22"/>
          <w:szCs w:val="22"/>
        </w:rPr>
        <w:t>SAE Processing at UCL CTC</w:t>
      </w:r>
    </w:p>
    <w:p w14:paraId="7EDE3E3F" w14:textId="5700C0BF" w:rsidR="00DA67E8" w:rsidRPr="00F333BA" w:rsidRDefault="00DA67E8" w:rsidP="00134C28">
      <w:pPr>
        <w:pStyle w:val="ProtTempparagraph"/>
        <w:spacing w:after="240"/>
        <w:rPr>
          <w:rFonts w:eastAsia="MS Mincho"/>
          <w:sz w:val="22"/>
          <w:szCs w:val="22"/>
        </w:rPr>
      </w:pPr>
      <w:r w:rsidRPr="007C30F1">
        <w:rPr>
          <w:rFonts w:eastAsia="MS Mincho"/>
          <w:sz w:val="22"/>
          <w:szCs w:val="22"/>
        </w:rPr>
        <w:t xml:space="preserve">On receipt of the SAE Report, UCL CTC will </w:t>
      </w:r>
      <w:r w:rsidRPr="007C30F1">
        <w:rPr>
          <w:sz w:val="22"/>
          <w:szCs w:val="22"/>
        </w:rPr>
        <w:t xml:space="preserve">check for legibility, completeness, accuracy and consistency.  </w:t>
      </w:r>
      <w:r w:rsidR="002F113D" w:rsidRPr="007C30F1">
        <w:rPr>
          <w:rFonts w:eastAsia="MS Mincho"/>
          <w:sz w:val="22"/>
          <w:szCs w:val="22"/>
        </w:rPr>
        <w:t>Expectedness will be evaluated, to determine whether or not the case qualifies for expedited reporting, using the</w:t>
      </w:r>
      <w:r w:rsidR="00DA77B1">
        <w:rPr>
          <w:rFonts w:eastAsia="MS Mincho"/>
          <w:sz w:val="22"/>
          <w:szCs w:val="22"/>
        </w:rPr>
        <w:t xml:space="preserve"> RSI</w:t>
      </w:r>
      <w:r w:rsidR="002F113D" w:rsidRPr="007C30F1">
        <w:rPr>
          <w:rFonts w:eastAsia="MS Mincho"/>
          <w:sz w:val="22"/>
          <w:szCs w:val="22"/>
        </w:rPr>
        <w:t xml:space="preserve"> </w:t>
      </w:r>
      <w:r w:rsidR="00DA77B1">
        <w:rPr>
          <w:rFonts w:eastAsia="MS Mincho"/>
          <w:sz w:val="22"/>
          <w:szCs w:val="22"/>
        </w:rPr>
        <w:t>(</w:t>
      </w:r>
      <w:r w:rsidR="002F113D" w:rsidRPr="007C30F1">
        <w:rPr>
          <w:rFonts w:eastAsia="MS Mincho"/>
          <w:sz w:val="22"/>
          <w:szCs w:val="22"/>
        </w:rPr>
        <w:t xml:space="preserve">list of expected adverse events </w:t>
      </w:r>
      <w:r w:rsidR="002F113D" w:rsidRPr="00F333BA">
        <w:rPr>
          <w:rFonts w:eastAsia="MS Mincho"/>
          <w:sz w:val="22"/>
          <w:szCs w:val="22"/>
        </w:rPr>
        <w:t xml:space="preserve">in the </w:t>
      </w:r>
      <w:r w:rsidR="001A29C4">
        <w:rPr>
          <w:rFonts w:eastAsia="MS Mincho"/>
          <w:sz w:val="22"/>
          <w:szCs w:val="22"/>
        </w:rPr>
        <w:t>approved</w:t>
      </w:r>
      <w:r w:rsidR="001A29C4" w:rsidRPr="00F333BA">
        <w:rPr>
          <w:rFonts w:eastAsia="MS Mincho"/>
          <w:sz w:val="22"/>
          <w:szCs w:val="22"/>
        </w:rPr>
        <w:t xml:space="preserve"> </w:t>
      </w:r>
      <w:r w:rsidR="002F113D" w:rsidRPr="00F333BA">
        <w:rPr>
          <w:rFonts w:eastAsia="MS Mincho"/>
          <w:sz w:val="22"/>
          <w:szCs w:val="22"/>
        </w:rPr>
        <w:t>IB for ganetespib and SPC</w:t>
      </w:r>
      <w:r w:rsidR="001A29C4">
        <w:rPr>
          <w:rFonts w:eastAsia="MS Mincho"/>
          <w:sz w:val="22"/>
          <w:szCs w:val="22"/>
        </w:rPr>
        <w:t>s</w:t>
      </w:r>
      <w:r w:rsidR="002F113D" w:rsidRPr="00F333BA">
        <w:rPr>
          <w:rFonts w:eastAsia="MS Mincho"/>
          <w:sz w:val="22"/>
          <w:szCs w:val="22"/>
        </w:rPr>
        <w:t xml:space="preserve"> for pemetrexed</w:t>
      </w:r>
      <w:r w:rsidR="000746C5">
        <w:rPr>
          <w:rFonts w:eastAsia="MS Mincho"/>
          <w:sz w:val="22"/>
          <w:szCs w:val="22"/>
        </w:rPr>
        <w:t>, carboplatin</w:t>
      </w:r>
      <w:r w:rsidR="002F113D" w:rsidRPr="00F333BA">
        <w:rPr>
          <w:rFonts w:eastAsia="MS Mincho"/>
          <w:sz w:val="22"/>
          <w:szCs w:val="22"/>
        </w:rPr>
        <w:t xml:space="preserve"> and cisplatin</w:t>
      </w:r>
      <w:r w:rsidR="00DA77B1">
        <w:rPr>
          <w:rFonts w:eastAsia="MS Mincho"/>
          <w:sz w:val="22"/>
          <w:szCs w:val="22"/>
        </w:rPr>
        <w:t>)</w:t>
      </w:r>
      <w:r w:rsidR="002F113D" w:rsidRPr="00F333BA">
        <w:rPr>
          <w:rFonts w:eastAsia="MS Mincho"/>
          <w:sz w:val="22"/>
          <w:szCs w:val="22"/>
        </w:rPr>
        <w:t>.</w:t>
      </w:r>
    </w:p>
    <w:p w14:paraId="2F06F78A" w14:textId="1156D7ED" w:rsidR="00DA67E8" w:rsidRPr="007C30F1" w:rsidRDefault="00DA67E8" w:rsidP="00134C28">
      <w:pPr>
        <w:pStyle w:val="ProtTempparagraph"/>
        <w:spacing w:after="240"/>
        <w:rPr>
          <w:sz w:val="22"/>
          <w:szCs w:val="22"/>
        </w:rPr>
      </w:pPr>
      <w:r w:rsidRPr="007C30F1">
        <w:rPr>
          <w:sz w:val="22"/>
          <w:szCs w:val="22"/>
        </w:rPr>
        <w:t xml:space="preserve">The CI, or their delegate (e.g. a clinical member of the TMG), </w:t>
      </w:r>
      <w:r w:rsidR="00D42C85">
        <w:rPr>
          <w:sz w:val="22"/>
          <w:szCs w:val="22"/>
        </w:rPr>
        <w:t>will</w:t>
      </w:r>
      <w:r w:rsidR="00D42C85" w:rsidRPr="007C30F1">
        <w:rPr>
          <w:sz w:val="22"/>
          <w:szCs w:val="22"/>
        </w:rPr>
        <w:t xml:space="preserve"> </w:t>
      </w:r>
      <w:r w:rsidRPr="007C30F1">
        <w:rPr>
          <w:sz w:val="22"/>
          <w:szCs w:val="22"/>
        </w:rPr>
        <w:t>be contacted to review the SAE and to perform an evaluation of causality on behalf of UCL CTC.  If UCL CTC has considered expectedness difficult to determine, the CI, or their delegate, will be consulted for their opinion at this time.</w:t>
      </w:r>
      <w:r w:rsidR="00D42C85">
        <w:rPr>
          <w:sz w:val="22"/>
          <w:szCs w:val="22"/>
        </w:rPr>
        <w:t xml:space="preserve">  </w:t>
      </w:r>
      <w:r w:rsidRPr="007C30F1">
        <w:rPr>
          <w:sz w:val="22"/>
          <w:szCs w:val="22"/>
        </w:rPr>
        <w:t xml:space="preserve">  </w:t>
      </w:r>
    </w:p>
    <w:p w14:paraId="39533E54" w14:textId="77777777" w:rsidR="00DA67E8" w:rsidRPr="001C2D17" w:rsidRDefault="00DA67E8" w:rsidP="00134C28">
      <w:pPr>
        <w:pStyle w:val="ProtTempparagraph"/>
        <w:spacing w:after="240"/>
        <w:rPr>
          <w:sz w:val="22"/>
          <w:szCs w:val="22"/>
        </w:rPr>
      </w:pPr>
      <w:r w:rsidRPr="001C2D17">
        <w:rPr>
          <w:sz w:val="22"/>
          <w:szCs w:val="22"/>
        </w:rPr>
        <w:t>UCL CTC will submit</w:t>
      </w:r>
      <w:r>
        <w:rPr>
          <w:sz w:val="22"/>
          <w:szCs w:val="22"/>
        </w:rPr>
        <w:t xml:space="preserve"> </w:t>
      </w:r>
      <w:r w:rsidR="00A7445D">
        <w:rPr>
          <w:sz w:val="22"/>
          <w:szCs w:val="22"/>
        </w:rPr>
        <w:t xml:space="preserve">all reports of </w:t>
      </w:r>
      <w:r w:rsidRPr="001C2D17">
        <w:rPr>
          <w:sz w:val="22"/>
          <w:szCs w:val="22"/>
        </w:rPr>
        <w:t>SAE</w:t>
      </w:r>
      <w:r w:rsidR="00A7445D">
        <w:rPr>
          <w:sz w:val="22"/>
          <w:szCs w:val="22"/>
        </w:rPr>
        <w:t xml:space="preserve">s, occurring in patients exposed to </w:t>
      </w:r>
      <w:proofErr w:type="spellStart"/>
      <w:r w:rsidR="00A7445D">
        <w:rPr>
          <w:sz w:val="22"/>
          <w:szCs w:val="22"/>
        </w:rPr>
        <w:t>ganetespib</w:t>
      </w:r>
      <w:proofErr w:type="spellEnd"/>
      <w:r w:rsidR="00A7445D">
        <w:rPr>
          <w:sz w:val="22"/>
          <w:szCs w:val="22"/>
        </w:rPr>
        <w:t>,</w:t>
      </w:r>
      <w:r w:rsidRPr="001C2D17">
        <w:rPr>
          <w:sz w:val="22"/>
          <w:szCs w:val="22"/>
        </w:rPr>
        <w:t xml:space="preserve"> to </w:t>
      </w:r>
      <w:proofErr w:type="spellStart"/>
      <w:r w:rsidRPr="001C2D17">
        <w:rPr>
          <w:sz w:val="22"/>
          <w:szCs w:val="22"/>
        </w:rPr>
        <w:t>Synta</w:t>
      </w:r>
      <w:proofErr w:type="spellEnd"/>
      <w:r w:rsidRPr="001C2D17">
        <w:rPr>
          <w:sz w:val="22"/>
          <w:szCs w:val="22"/>
        </w:rPr>
        <w:t xml:space="preserve"> Pharmaceuticals Corporation within </w:t>
      </w:r>
      <w:r w:rsidR="00F5753B">
        <w:rPr>
          <w:sz w:val="22"/>
          <w:szCs w:val="22"/>
        </w:rPr>
        <w:t>24 hours</w:t>
      </w:r>
      <w:r w:rsidR="007303C8">
        <w:rPr>
          <w:sz w:val="22"/>
          <w:szCs w:val="22"/>
        </w:rPr>
        <w:t xml:space="preserve"> of receipt of the minimum data elements</w:t>
      </w:r>
      <w:r w:rsidRPr="001C2D17">
        <w:rPr>
          <w:sz w:val="22"/>
          <w:szCs w:val="22"/>
        </w:rPr>
        <w:t>.</w:t>
      </w:r>
    </w:p>
    <w:p w14:paraId="498AE426" w14:textId="77777777" w:rsidR="00DA67E8" w:rsidRDefault="00DA67E8" w:rsidP="00BF16F9">
      <w:pPr>
        <w:pStyle w:val="Heading2"/>
      </w:pPr>
      <w:r w:rsidRPr="00C4661E">
        <w:tab/>
      </w:r>
      <w:bookmarkStart w:id="725" w:name="_Toc283027366"/>
      <w:bookmarkStart w:id="726" w:name="_Toc283027587"/>
      <w:bookmarkStart w:id="727" w:name="_Toc283027768"/>
      <w:bookmarkStart w:id="728" w:name="_Toc283027933"/>
      <w:bookmarkStart w:id="729" w:name="_Toc283028226"/>
      <w:bookmarkStart w:id="730" w:name="_Toc283028391"/>
      <w:bookmarkStart w:id="731" w:name="_Toc283029453"/>
      <w:bookmarkStart w:id="732" w:name="_Toc283029618"/>
      <w:bookmarkStart w:id="733" w:name="_Toc283031826"/>
      <w:bookmarkStart w:id="734" w:name="_Toc283376362"/>
      <w:bookmarkStart w:id="735" w:name="_Toc283027367"/>
      <w:bookmarkStart w:id="736" w:name="_Toc283027588"/>
      <w:bookmarkStart w:id="737" w:name="_Toc283027769"/>
      <w:bookmarkStart w:id="738" w:name="_Toc283027934"/>
      <w:bookmarkStart w:id="739" w:name="_Toc283028227"/>
      <w:bookmarkStart w:id="740" w:name="_Toc283028392"/>
      <w:bookmarkStart w:id="741" w:name="_Toc283029454"/>
      <w:bookmarkStart w:id="742" w:name="_Toc283029619"/>
      <w:bookmarkStart w:id="743" w:name="_Toc283031827"/>
      <w:bookmarkStart w:id="744" w:name="_Toc283376363"/>
      <w:bookmarkStart w:id="745" w:name="_Toc283027368"/>
      <w:bookmarkStart w:id="746" w:name="_Toc283027589"/>
      <w:bookmarkStart w:id="747" w:name="_Toc283027770"/>
      <w:bookmarkStart w:id="748" w:name="_Toc283027935"/>
      <w:bookmarkStart w:id="749" w:name="_Toc283028228"/>
      <w:bookmarkStart w:id="750" w:name="_Toc283028393"/>
      <w:bookmarkStart w:id="751" w:name="_Toc283029455"/>
      <w:bookmarkStart w:id="752" w:name="_Toc283029620"/>
      <w:bookmarkStart w:id="753" w:name="_Toc283031828"/>
      <w:bookmarkStart w:id="754" w:name="_Toc283376364"/>
      <w:bookmarkStart w:id="755" w:name="_Toc283027369"/>
      <w:bookmarkStart w:id="756" w:name="_Toc283027590"/>
      <w:bookmarkStart w:id="757" w:name="_Toc283027771"/>
      <w:bookmarkStart w:id="758" w:name="_Toc283027936"/>
      <w:bookmarkStart w:id="759" w:name="_Toc283028229"/>
      <w:bookmarkStart w:id="760" w:name="_Toc283028394"/>
      <w:bookmarkStart w:id="761" w:name="_Toc283029456"/>
      <w:bookmarkStart w:id="762" w:name="_Toc283029621"/>
      <w:bookmarkStart w:id="763" w:name="_Toc283031829"/>
      <w:bookmarkStart w:id="764" w:name="_Toc283376365"/>
      <w:bookmarkStart w:id="765" w:name="_Toc283027370"/>
      <w:bookmarkStart w:id="766" w:name="_Toc283027591"/>
      <w:bookmarkStart w:id="767" w:name="_Toc283027772"/>
      <w:bookmarkStart w:id="768" w:name="_Toc283027937"/>
      <w:bookmarkStart w:id="769" w:name="_Toc283028230"/>
      <w:bookmarkStart w:id="770" w:name="_Toc283028395"/>
      <w:bookmarkStart w:id="771" w:name="_Toc283029457"/>
      <w:bookmarkStart w:id="772" w:name="_Toc283029622"/>
      <w:bookmarkStart w:id="773" w:name="_Toc283031830"/>
      <w:bookmarkStart w:id="774" w:name="_Toc283376366"/>
      <w:bookmarkStart w:id="775" w:name="_Toc283031831"/>
      <w:bookmarkStart w:id="776" w:name="_Toc283376367"/>
      <w:bookmarkStart w:id="777" w:name="_Toc333484776"/>
      <w:bookmarkStart w:id="778" w:name="_Toc333484891"/>
      <w:bookmarkStart w:id="779" w:name="_Toc351624843"/>
      <w:bookmarkStart w:id="780" w:name="_Toc471826805"/>
      <w:bookmarkStart w:id="781" w:name="_Toc528323572"/>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AB1ED7">
        <w:t>SUSARs</w:t>
      </w:r>
      <w:bookmarkEnd w:id="775"/>
      <w:bookmarkEnd w:id="776"/>
      <w:bookmarkEnd w:id="777"/>
      <w:bookmarkEnd w:id="778"/>
      <w:bookmarkEnd w:id="779"/>
      <w:bookmarkEnd w:id="780"/>
      <w:bookmarkEnd w:id="781"/>
    </w:p>
    <w:p w14:paraId="705F5227" w14:textId="77777777" w:rsidR="00DA67E8" w:rsidRPr="00D30141" w:rsidRDefault="00DA67E8" w:rsidP="00134C28">
      <w:pPr>
        <w:pStyle w:val="ProtTempparagraph"/>
        <w:spacing w:after="240"/>
        <w:rPr>
          <w:sz w:val="22"/>
          <w:szCs w:val="22"/>
        </w:rPr>
      </w:pPr>
      <w:r w:rsidRPr="00D30141">
        <w:rPr>
          <w:sz w:val="22"/>
          <w:szCs w:val="22"/>
        </w:rPr>
        <w:t>If the event is evaluated as a Suspected Unexpected Serious Adverse Reaction (SUSAR), UCL CTC will submit a report to the MHRA and the REC within 7 calendar days for</w:t>
      </w:r>
      <w:r w:rsidR="00EC5584">
        <w:rPr>
          <w:sz w:val="22"/>
          <w:szCs w:val="22"/>
        </w:rPr>
        <w:t xml:space="preserve"> initial reports of</w:t>
      </w:r>
      <w:r w:rsidRPr="00D30141">
        <w:rPr>
          <w:sz w:val="22"/>
          <w:szCs w:val="22"/>
        </w:rPr>
        <w:t xml:space="preserve"> fatal/life threatening events (with a follow</w:t>
      </w:r>
      <w:r w:rsidRPr="00D30141">
        <w:rPr>
          <w:color w:val="000000"/>
          <w:sz w:val="22"/>
          <w:szCs w:val="22"/>
        </w:rPr>
        <w:t xml:space="preserve">-up report within a further 8 calendar days) and 15 calendar days for all other events.  </w:t>
      </w:r>
      <w:r w:rsidRPr="00D30141">
        <w:rPr>
          <w:rFonts w:eastAsia="MS Mincho"/>
          <w:color w:val="000000"/>
          <w:sz w:val="22"/>
          <w:szCs w:val="22"/>
        </w:rPr>
        <w:t xml:space="preserve">Where there are conflicting evaluations of causal relationship by the site and UCL CTC/CI, both opinions will be </w:t>
      </w:r>
      <w:r w:rsidRPr="00D30141">
        <w:rPr>
          <w:rFonts w:eastAsia="MS Mincho"/>
          <w:sz w:val="22"/>
          <w:szCs w:val="22"/>
        </w:rPr>
        <w:t>reported.</w:t>
      </w:r>
    </w:p>
    <w:p w14:paraId="13DFA5E5" w14:textId="77777777" w:rsidR="00DA67E8" w:rsidRPr="001C2D17" w:rsidRDefault="00DA67E8" w:rsidP="00874CA4">
      <w:pPr>
        <w:pStyle w:val="ProtTempparagraph"/>
        <w:spacing w:after="240"/>
        <w:rPr>
          <w:sz w:val="22"/>
          <w:szCs w:val="22"/>
        </w:rPr>
      </w:pPr>
      <w:r w:rsidRPr="001C2D17">
        <w:rPr>
          <w:sz w:val="22"/>
          <w:szCs w:val="22"/>
        </w:rPr>
        <w:t xml:space="preserve">UCL CTC will submit all </w:t>
      </w:r>
      <w:r w:rsidR="00753490">
        <w:rPr>
          <w:sz w:val="22"/>
          <w:szCs w:val="22"/>
        </w:rPr>
        <w:t xml:space="preserve">ganetespib-related </w:t>
      </w:r>
      <w:r w:rsidRPr="001C2D17">
        <w:rPr>
          <w:sz w:val="22"/>
          <w:szCs w:val="22"/>
        </w:rPr>
        <w:t xml:space="preserve">SUSAR reports to </w:t>
      </w:r>
      <w:proofErr w:type="spellStart"/>
      <w:r w:rsidRPr="001C2D17">
        <w:rPr>
          <w:sz w:val="22"/>
          <w:szCs w:val="22"/>
        </w:rPr>
        <w:t>Synta</w:t>
      </w:r>
      <w:proofErr w:type="spellEnd"/>
      <w:r w:rsidRPr="001C2D17">
        <w:rPr>
          <w:sz w:val="22"/>
          <w:szCs w:val="22"/>
        </w:rPr>
        <w:t xml:space="preserve"> Pharmaceuticals </w:t>
      </w:r>
      <w:r w:rsidR="007303C8" w:rsidRPr="001F23A8">
        <w:rPr>
          <w:sz w:val="22"/>
          <w:szCs w:val="22"/>
        </w:rPr>
        <w:t>Corporation</w:t>
      </w:r>
      <w:r>
        <w:rPr>
          <w:sz w:val="22"/>
          <w:szCs w:val="22"/>
        </w:rPr>
        <w:t xml:space="preserve"> </w:t>
      </w:r>
      <w:r w:rsidR="007303C8">
        <w:rPr>
          <w:sz w:val="22"/>
          <w:szCs w:val="22"/>
        </w:rPr>
        <w:t>concurrent with submission to the MHRA and the REC</w:t>
      </w:r>
      <w:r w:rsidRPr="001C2D17">
        <w:rPr>
          <w:sz w:val="22"/>
          <w:szCs w:val="22"/>
        </w:rPr>
        <w:t>.</w:t>
      </w:r>
    </w:p>
    <w:p w14:paraId="05EC0242" w14:textId="77777777" w:rsidR="00DA67E8" w:rsidRPr="00D30141" w:rsidRDefault="00DA67E8" w:rsidP="00FF5254">
      <w:pPr>
        <w:pStyle w:val="Non-numberedsectionheads"/>
        <w:rPr>
          <w:sz w:val="22"/>
          <w:szCs w:val="22"/>
        </w:rPr>
      </w:pPr>
      <w:r w:rsidRPr="00D30141">
        <w:rPr>
          <w:sz w:val="22"/>
          <w:szCs w:val="22"/>
        </w:rPr>
        <w:t xml:space="preserve">Informing Sites of SUSARs </w:t>
      </w:r>
    </w:p>
    <w:p w14:paraId="4A1F5D11" w14:textId="77777777" w:rsidR="00DA67E8" w:rsidRPr="00D30141" w:rsidRDefault="00E911D3" w:rsidP="00134C28">
      <w:pPr>
        <w:pStyle w:val="ProtTempparagraph"/>
        <w:spacing w:after="240"/>
        <w:rPr>
          <w:sz w:val="22"/>
          <w:szCs w:val="22"/>
        </w:rPr>
      </w:pPr>
      <w:r>
        <w:rPr>
          <w:sz w:val="22"/>
          <w:szCs w:val="22"/>
        </w:rPr>
        <w:t xml:space="preserve">UCL CTC will inform all </w:t>
      </w:r>
      <w:r w:rsidR="00DA67E8" w:rsidRPr="00D30141">
        <w:rPr>
          <w:sz w:val="22"/>
          <w:szCs w:val="22"/>
        </w:rPr>
        <w:t xml:space="preserve">PIs of any SUSARs that occur on the trial.  PIs will receive expedited SUSAR reports that must be processed according to local requirements. </w:t>
      </w:r>
    </w:p>
    <w:p w14:paraId="30422CC5" w14:textId="77777777" w:rsidR="00DA67E8" w:rsidRDefault="00DA67E8" w:rsidP="00D30141">
      <w:pPr>
        <w:spacing w:after="240"/>
        <w:jc w:val="both"/>
      </w:pPr>
      <w:r w:rsidRPr="00D30141">
        <w:rPr>
          <w:rFonts w:ascii="Arial" w:hAnsi="Arial" w:cs="Arial"/>
          <w:sz w:val="22"/>
          <w:szCs w:val="22"/>
        </w:rPr>
        <w:t xml:space="preserve">UCL CTC will forward reports received from </w:t>
      </w:r>
      <w:proofErr w:type="spellStart"/>
      <w:r w:rsidRPr="00D30141">
        <w:rPr>
          <w:rFonts w:ascii="Arial" w:hAnsi="Arial" w:cs="Arial"/>
          <w:sz w:val="22"/>
          <w:szCs w:val="22"/>
        </w:rPr>
        <w:t>Synta</w:t>
      </w:r>
      <w:proofErr w:type="spellEnd"/>
      <w:r w:rsidRPr="00D30141">
        <w:rPr>
          <w:rFonts w:ascii="Arial" w:hAnsi="Arial" w:cs="Arial"/>
          <w:sz w:val="22"/>
          <w:szCs w:val="22"/>
        </w:rPr>
        <w:t xml:space="preserve"> </w:t>
      </w:r>
      <w:r w:rsidRPr="008C5C85">
        <w:rPr>
          <w:rFonts w:ascii="Arial" w:hAnsi="Arial" w:cs="Arial"/>
          <w:sz w:val="22"/>
          <w:szCs w:val="22"/>
        </w:rPr>
        <w:t xml:space="preserve">Pharmaceuticals </w:t>
      </w:r>
      <w:r w:rsidR="008C5C85" w:rsidRPr="008C5C85">
        <w:rPr>
          <w:rFonts w:ascii="Arial" w:hAnsi="Arial" w:cs="Arial"/>
          <w:sz w:val="22"/>
          <w:szCs w:val="22"/>
        </w:rPr>
        <w:t xml:space="preserve">Corporation </w:t>
      </w:r>
      <w:r w:rsidRPr="008C5C85">
        <w:rPr>
          <w:rFonts w:ascii="Arial" w:hAnsi="Arial" w:cs="Arial"/>
          <w:sz w:val="22"/>
          <w:szCs w:val="22"/>
        </w:rPr>
        <w:t>regarding</w:t>
      </w:r>
      <w:r w:rsidRPr="00D30141">
        <w:rPr>
          <w:rFonts w:ascii="Arial" w:hAnsi="Arial" w:cs="Arial"/>
          <w:sz w:val="22"/>
          <w:szCs w:val="22"/>
        </w:rPr>
        <w:t xml:space="preserve"> </w:t>
      </w:r>
      <w:r w:rsidR="00753490">
        <w:rPr>
          <w:rFonts w:ascii="Arial" w:hAnsi="Arial" w:cs="Arial"/>
          <w:sz w:val="22"/>
          <w:szCs w:val="22"/>
        </w:rPr>
        <w:t xml:space="preserve">ganetespib-related </w:t>
      </w:r>
      <w:r w:rsidRPr="00D30141">
        <w:rPr>
          <w:rFonts w:ascii="Arial" w:hAnsi="Arial" w:cs="Arial"/>
          <w:sz w:val="22"/>
          <w:szCs w:val="22"/>
        </w:rPr>
        <w:t xml:space="preserve">SUSARs that have occurred on other trials </w:t>
      </w:r>
      <w:r w:rsidR="002F113D" w:rsidRPr="00D30141">
        <w:rPr>
          <w:rFonts w:ascii="Arial" w:hAnsi="Arial" w:cs="Arial"/>
          <w:sz w:val="22"/>
          <w:szCs w:val="22"/>
        </w:rPr>
        <w:t>to</w:t>
      </w:r>
      <w:r w:rsidRPr="00D30141">
        <w:rPr>
          <w:rFonts w:ascii="Arial" w:hAnsi="Arial" w:cs="Arial"/>
          <w:sz w:val="22"/>
          <w:szCs w:val="22"/>
        </w:rPr>
        <w:t xml:space="preserve"> all PIs.  These must be processed according to local requirements and filed with the applicable IB</w:t>
      </w:r>
      <w:r w:rsidRPr="00D30141">
        <w:rPr>
          <w:rFonts w:ascii="Arial" w:hAnsi="Arial" w:cs="Arial"/>
          <w:bCs/>
          <w:iCs/>
          <w:sz w:val="22"/>
          <w:szCs w:val="22"/>
        </w:rPr>
        <w:t>.</w:t>
      </w:r>
    </w:p>
    <w:p w14:paraId="75BC4200" w14:textId="77777777" w:rsidR="00DA67E8" w:rsidRDefault="00DA67E8" w:rsidP="00BF16F9">
      <w:pPr>
        <w:pStyle w:val="Heading2"/>
      </w:pPr>
      <w:r>
        <w:tab/>
      </w:r>
      <w:bookmarkStart w:id="782" w:name="_Toc283027372"/>
      <w:bookmarkStart w:id="783" w:name="_Toc283027593"/>
      <w:bookmarkStart w:id="784" w:name="_Toc283027774"/>
      <w:bookmarkStart w:id="785" w:name="_Toc283027939"/>
      <w:bookmarkStart w:id="786" w:name="_Toc283028232"/>
      <w:bookmarkStart w:id="787" w:name="_Toc283028397"/>
      <w:bookmarkStart w:id="788" w:name="_Toc283029459"/>
      <w:bookmarkStart w:id="789" w:name="_Toc283029624"/>
      <w:bookmarkStart w:id="790" w:name="_Toc283031832"/>
      <w:bookmarkStart w:id="791" w:name="_Toc283376368"/>
      <w:bookmarkStart w:id="792" w:name="_Toc283027373"/>
      <w:bookmarkStart w:id="793" w:name="_Toc283027594"/>
      <w:bookmarkStart w:id="794" w:name="_Toc283027775"/>
      <w:bookmarkStart w:id="795" w:name="_Toc283027940"/>
      <w:bookmarkStart w:id="796" w:name="_Toc283028233"/>
      <w:bookmarkStart w:id="797" w:name="_Toc283028398"/>
      <w:bookmarkStart w:id="798" w:name="_Toc283029460"/>
      <w:bookmarkStart w:id="799" w:name="_Toc283029625"/>
      <w:bookmarkStart w:id="800" w:name="_Toc283031833"/>
      <w:bookmarkStart w:id="801" w:name="_Toc283376369"/>
      <w:bookmarkStart w:id="802" w:name="_Toc333484777"/>
      <w:bookmarkStart w:id="803" w:name="_Toc333484892"/>
      <w:bookmarkStart w:id="804" w:name="_Toc351624844"/>
      <w:bookmarkStart w:id="805" w:name="_Toc471826806"/>
      <w:bookmarkStart w:id="806" w:name="_Toc528323573"/>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t>Safety Monitoring</w:t>
      </w:r>
      <w:bookmarkEnd w:id="802"/>
      <w:bookmarkEnd w:id="803"/>
      <w:bookmarkEnd w:id="804"/>
      <w:bookmarkEnd w:id="805"/>
      <w:bookmarkEnd w:id="806"/>
    </w:p>
    <w:p w14:paraId="523D024B" w14:textId="77777777" w:rsidR="00DA67E8" w:rsidRPr="00D66089" w:rsidRDefault="00DA67E8" w:rsidP="00134C28">
      <w:pPr>
        <w:pStyle w:val="ProtTempparagraph"/>
        <w:spacing w:after="240"/>
        <w:rPr>
          <w:color w:val="808000"/>
          <w:sz w:val="22"/>
          <w:szCs w:val="22"/>
        </w:rPr>
      </w:pPr>
      <w:bookmarkStart w:id="807" w:name="_Toc283027375"/>
      <w:bookmarkStart w:id="808" w:name="_Toc283027596"/>
      <w:bookmarkStart w:id="809" w:name="_Toc283027777"/>
      <w:bookmarkStart w:id="810" w:name="_Toc283027942"/>
      <w:bookmarkStart w:id="811" w:name="_Toc283028235"/>
      <w:bookmarkStart w:id="812" w:name="_Toc283028400"/>
      <w:bookmarkStart w:id="813" w:name="_Toc283029462"/>
      <w:bookmarkStart w:id="814" w:name="_Toc283029627"/>
      <w:bookmarkStart w:id="815" w:name="_Toc283031835"/>
      <w:bookmarkStart w:id="816" w:name="_Toc283376371"/>
      <w:bookmarkEnd w:id="807"/>
      <w:bookmarkEnd w:id="808"/>
      <w:bookmarkEnd w:id="809"/>
      <w:bookmarkEnd w:id="810"/>
      <w:bookmarkEnd w:id="811"/>
      <w:bookmarkEnd w:id="812"/>
      <w:bookmarkEnd w:id="813"/>
      <w:bookmarkEnd w:id="814"/>
      <w:bookmarkEnd w:id="815"/>
      <w:bookmarkEnd w:id="816"/>
      <w:r w:rsidRPr="00D66089">
        <w:rPr>
          <w:sz w:val="22"/>
          <w:szCs w:val="22"/>
        </w:rPr>
        <w:t xml:space="preserve">UCL CTC will provide safety information to the TMG and the IDMC on a periodic basis for review.  </w:t>
      </w:r>
    </w:p>
    <w:p w14:paraId="098DE0AD" w14:textId="77777777" w:rsidR="00DA67E8" w:rsidRPr="00D66089" w:rsidRDefault="00DA67E8" w:rsidP="001562D8">
      <w:pPr>
        <w:jc w:val="both"/>
        <w:rPr>
          <w:rFonts w:ascii="Arial" w:hAnsi="Arial" w:cs="Arial"/>
          <w:sz w:val="22"/>
          <w:szCs w:val="22"/>
        </w:rPr>
      </w:pPr>
      <w:r w:rsidRPr="00D66089">
        <w:rPr>
          <w:rFonts w:ascii="Arial" w:hAnsi="Arial" w:cs="Arial"/>
          <w:sz w:val="22"/>
          <w:szCs w:val="22"/>
        </w:rPr>
        <w:t>Trial safety data will be monitored to identify:</w:t>
      </w:r>
    </w:p>
    <w:p w14:paraId="22F0EFC4" w14:textId="77777777" w:rsidR="00DA67E8" w:rsidRPr="00D66089" w:rsidRDefault="00DA67E8" w:rsidP="002F600D">
      <w:pPr>
        <w:pStyle w:val="ProtTempparagraph"/>
        <w:numPr>
          <w:ilvl w:val="0"/>
          <w:numId w:val="10"/>
        </w:numPr>
        <w:spacing w:after="0"/>
        <w:rPr>
          <w:sz w:val="22"/>
          <w:szCs w:val="22"/>
        </w:rPr>
      </w:pPr>
      <w:r w:rsidRPr="00D66089">
        <w:rPr>
          <w:sz w:val="22"/>
          <w:szCs w:val="22"/>
        </w:rPr>
        <w:t>new adverse reactions to the trial treatment regimen or individual trial treatments;</w:t>
      </w:r>
    </w:p>
    <w:p w14:paraId="102AFE69" w14:textId="77777777" w:rsidR="00DA67E8" w:rsidRDefault="00DA67E8" w:rsidP="002F600D">
      <w:pPr>
        <w:pStyle w:val="ProtTempparagraph"/>
        <w:numPr>
          <w:ilvl w:val="0"/>
          <w:numId w:val="10"/>
        </w:numPr>
        <w:spacing w:after="0"/>
        <w:ind w:left="714" w:hanging="357"/>
        <w:rPr>
          <w:sz w:val="22"/>
          <w:szCs w:val="22"/>
        </w:rPr>
      </w:pPr>
      <w:r w:rsidRPr="001C2D17">
        <w:rPr>
          <w:sz w:val="22"/>
          <w:szCs w:val="22"/>
        </w:rPr>
        <w:t>a higher incidence in rare adverse events than is stated in th</w:t>
      </w:r>
      <w:r>
        <w:rPr>
          <w:sz w:val="22"/>
          <w:szCs w:val="22"/>
        </w:rPr>
        <w:t>e IB/SPC for a trial treatment</w:t>
      </w:r>
    </w:p>
    <w:p w14:paraId="5C6EAB34" w14:textId="77777777" w:rsidR="00DA67E8" w:rsidRPr="001C2D17" w:rsidRDefault="00DA67E8" w:rsidP="002F600D">
      <w:pPr>
        <w:pStyle w:val="ProtTempparagraph"/>
        <w:numPr>
          <w:ilvl w:val="0"/>
          <w:numId w:val="10"/>
        </w:numPr>
        <w:spacing w:after="240"/>
        <w:rPr>
          <w:sz w:val="22"/>
          <w:szCs w:val="22"/>
        </w:rPr>
      </w:pPr>
      <w:r w:rsidRPr="001C2D17">
        <w:rPr>
          <w:sz w:val="22"/>
          <w:szCs w:val="22"/>
        </w:rPr>
        <w:t>trial related events that are not considered related to the trial treatment regimen.</w:t>
      </w:r>
    </w:p>
    <w:p w14:paraId="1CAAD86A" w14:textId="77777777" w:rsidR="00DA67E8" w:rsidRPr="00D66089" w:rsidRDefault="00DA67E8" w:rsidP="00134C28">
      <w:pPr>
        <w:spacing w:after="240"/>
        <w:jc w:val="both"/>
        <w:rPr>
          <w:rFonts w:ascii="Arial" w:hAnsi="Arial" w:cs="Arial"/>
          <w:sz w:val="22"/>
          <w:szCs w:val="22"/>
        </w:rPr>
      </w:pPr>
      <w:r w:rsidRPr="00D66089">
        <w:rPr>
          <w:rFonts w:ascii="Arial" w:hAnsi="Arial" w:cs="Arial"/>
          <w:sz w:val="22"/>
          <w:szCs w:val="22"/>
        </w:rPr>
        <w:t xml:space="preserve">Should UCL CTC identify or suspect any issues concerning patient safety at any point throughout the trial, the CI or TMG will be consulted for their opinion.  </w:t>
      </w:r>
    </w:p>
    <w:p w14:paraId="613D0AE9" w14:textId="77777777" w:rsidR="00DA67E8" w:rsidRPr="0025103D" w:rsidRDefault="00DA67E8" w:rsidP="00BF16F9">
      <w:pPr>
        <w:pStyle w:val="Heading2"/>
      </w:pPr>
      <w:r>
        <w:lastRenderedPageBreak/>
        <w:tab/>
      </w:r>
      <w:bookmarkStart w:id="817" w:name="_Toc283031837"/>
      <w:bookmarkStart w:id="818" w:name="_Toc283376373"/>
      <w:bookmarkStart w:id="819" w:name="_Toc333484778"/>
      <w:bookmarkStart w:id="820" w:name="_Toc333484893"/>
      <w:bookmarkStart w:id="821" w:name="_Toc351624845"/>
      <w:bookmarkStart w:id="822" w:name="_Toc471826807"/>
      <w:bookmarkStart w:id="823" w:name="_Toc528323574"/>
      <w:r w:rsidRPr="0025103D">
        <w:t>Pregnancy</w:t>
      </w:r>
      <w:bookmarkEnd w:id="817"/>
      <w:bookmarkEnd w:id="818"/>
      <w:bookmarkEnd w:id="819"/>
      <w:bookmarkEnd w:id="820"/>
      <w:bookmarkEnd w:id="821"/>
      <w:bookmarkEnd w:id="822"/>
      <w:bookmarkEnd w:id="823"/>
    </w:p>
    <w:p w14:paraId="7DD87385" w14:textId="3671232F" w:rsidR="00DA67E8" w:rsidRPr="001F23A8" w:rsidRDefault="00DA67E8" w:rsidP="00142124">
      <w:pPr>
        <w:pStyle w:val="Protocolpara12ptsp6"/>
        <w:rPr>
          <w:sz w:val="22"/>
          <w:szCs w:val="22"/>
        </w:rPr>
      </w:pPr>
      <w:r w:rsidRPr="001F23A8">
        <w:rPr>
          <w:sz w:val="22"/>
          <w:szCs w:val="22"/>
        </w:rPr>
        <w:t xml:space="preserve">If a </w:t>
      </w:r>
      <w:r w:rsidR="001A29C4">
        <w:rPr>
          <w:sz w:val="22"/>
          <w:szCs w:val="22"/>
        </w:rPr>
        <w:t xml:space="preserve">female </w:t>
      </w:r>
      <w:r w:rsidRPr="001F23A8">
        <w:rPr>
          <w:sz w:val="22"/>
          <w:szCs w:val="22"/>
        </w:rPr>
        <w:t>patient or the</w:t>
      </w:r>
      <w:r w:rsidR="00F662FB">
        <w:rPr>
          <w:sz w:val="22"/>
          <w:szCs w:val="22"/>
        </w:rPr>
        <w:t xml:space="preserve"> female</w:t>
      </w:r>
      <w:r w:rsidRPr="001F23A8">
        <w:rPr>
          <w:sz w:val="22"/>
          <w:szCs w:val="22"/>
        </w:rPr>
        <w:t xml:space="preserve"> partner of a male patient becomes pregnant at any point during the trial, a completed trial specific Pregnancy Report must be submitted to UCL CTC by fax within </w:t>
      </w:r>
      <w:r w:rsidR="00A02963">
        <w:rPr>
          <w:b/>
          <w:bCs/>
          <w:sz w:val="22"/>
          <w:szCs w:val="22"/>
        </w:rPr>
        <w:t>24 hours</w:t>
      </w:r>
      <w:r w:rsidRPr="001F23A8">
        <w:rPr>
          <w:sz w:val="22"/>
          <w:szCs w:val="22"/>
        </w:rPr>
        <w:t xml:space="preserve"> of learning of its occurrence. </w:t>
      </w:r>
      <w:r w:rsidR="00736FFD">
        <w:rPr>
          <w:sz w:val="22"/>
          <w:szCs w:val="22"/>
        </w:rPr>
        <w:t>The site must request c</w:t>
      </w:r>
      <w:r w:rsidRPr="001F23A8">
        <w:rPr>
          <w:sz w:val="22"/>
          <w:szCs w:val="22"/>
        </w:rPr>
        <w:t>onsent from the pregnant patient/partner</w:t>
      </w:r>
      <w:r w:rsidR="00736FFD" w:rsidRPr="00736FFD">
        <w:rPr>
          <w:sz w:val="22"/>
          <w:szCs w:val="22"/>
        </w:rPr>
        <w:t xml:space="preserve"> </w:t>
      </w:r>
      <w:r w:rsidR="00736FFD" w:rsidRPr="001F23A8">
        <w:rPr>
          <w:sz w:val="22"/>
          <w:szCs w:val="22"/>
        </w:rPr>
        <w:t>to report information regarding the pregnancy</w:t>
      </w:r>
      <w:r w:rsidR="00736FFD">
        <w:rPr>
          <w:sz w:val="22"/>
          <w:szCs w:val="22"/>
        </w:rPr>
        <w:t>, using</w:t>
      </w:r>
      <w:r w:rsidRPr="001F23A8">
        <w:rPr>
          <w:sz w:val="22"/>
          <w:szCs w:val="22"/>
        </w:rPr>
        <w:t xml:space="preserve"> </w:t>
      </w:r>
      <w:r w:rsidR="00736FFD">
        <w:rPr>
          <w:sz w:val="22"/>
          <w:szCs w:val="22"/>
        </w:rPr>
        <w:t>t</w:t>
      </w:r>
      <w:r w:rsidRPr="001F23A8">
        <w:rPr>
          <w:sz w:val="22"/>
          <w:szCs w:val="22"/>
        </w:rPr>
        <w:t xml:space="preserve">he trial-specific pregnancy monitoring information </w:t>
      </w:r>
      <w:r w:rsidR="002F113D" w:rsidRPr="001F23A8">
        <w:rPr>
          <w:sz w:val="22"/>
          <w:szCs w:val="22"/>
        </w:rPr>
        <w:t>sheets</w:t>
      </w:r>
      <w:r w:rsidR="002F113D">
        <w:rPr>
          <w:sz w:val="22"/>
          <w:szCs w:val="22"/>
        </w:rPr>
        <w:t xml:space="preserve"> </w:t>
      </w:r>
      <w:r w:rsidR="002F113D" w:rsidRPr="001F23A8">
        <w:rPr>
          <w:sz w:val="22"/>
          <w:szCs w:val="22"/>
        </w:rPr>
        <w:t>and</w:t>
      </w:r>
      <w:r w:rsidRPr="001F23A8">
        <w:rPr>
          <w:sz w:val="22"/>
          <w:szCs w:val="22"/>
        </w:rPr>
        <w:t xml:space="preserve"> informed consent forms for trial patients and the partners of trial patients.</w:t>
      </w:r>
      <w:r w:rsidR="001A29C4">
        <w:rPr>
          <w:sz w:val="22"/>
          <w:szCs w:val="22"/>
        </w:rPr>
        <w:t xml:space="preserve"> </w:t>
      </w:r>
      <w:r w:rsidR="001A29C4" w:rsidRPr="00142124">
        <w:rPr>
          <w:sz w:val="22"/>
          <w:szCs w:val="22"/>
        </w:rPr>
        <w:t>If consent is not given, the notification that a pregnancy has occurred will be retained by UCL CTC, however no further action will be taken on the information detailed in the report.</w:t>
      </w:r>
    </w:p>
    <w:tbl>
      <w:tblPr>
        <w:tblW w:w="0" w:type="auto"/>
        <w:jc w:val="center"/>
        <w:tblBorders>
          <w:top w:val="single" w:sz="12" w:space="0" w:color="FF0000"/>
          <w:left w:val="single" w:sz="12" w:space="0" w:color="FF0000"/>
          <w:bottom w:val="single" w:sz="12" w:space="0" w:color="FF0000"/>
          <w:right w:val="single" w:sz="12" w:space="0" w:color="FF0000"/>
        </w:tblBorders>
        <w:tblLook w:val="0000" w:firstRow="0" w:lastRow="0" w:firstColumn="0" w:lastColumn="0" w:noHBand="0" w:noVBand="0"/>
      </w:tblPr>
      <w:tblGrid>
        <w:gridCol w:w="8100"/>
      </w:tblGrid>
      <w:tr w:rsidR="00DA67E8" w:rsidRPr="001C2D17" w14:paraId="1205C96A" w14:textId="77777777">
        <w:trPr>
          <w:jc w:val="center"/>
        </w:trPr>
        <w:tc>
          <w:tcPr>
            <w:tcW w:w="8100" w:type="dxa"/>
            <w:tcBorders>
              <w:top w:val="single" w:sz="12" w:space="0" w:color="FF0000"/>
              <w:bottom w:val="single" w:sz="12" w:space="0" w:color="FF0000"/>
            </w:tcBorders>
          </w:tcPr>
          <w:p w14:paraId="73D49E37" w14:textId="77777777" w:rsidR="00DA67E8" w:rsidRPr="001C2D17" w:rsidRDefault="00DA67E8" w:rsidP="004A71F4">
            <w:pPr>
              <w:jc w:val="center"/>
              <w:rPr>
                <w:rFonts w:ascii="Arial" w:hAnsi="Arial" w:cs="Arial"/>
                <w:b/>
                <w:bCs/>
                <w:sz w:val="12"/>
                <w:highlight w:val="yellow"/>
                <w:u w:val="single"/>
              </w:rPr>
            </w:pPr>
          </w:p>
          <w:p w14:paraId="3EC68936" w14:textId="77777777" w:rsidR="00DA67E8" w:rsidRPr="0025103D" w:rsidRDefault="00DA67E8" w:rsidP="004A71F4">
            <w:pPr>
              <w:jc w:val="center"/>
              <w:rPr>
                <w:rFonts w:ascii="Arial" w:hAnsi="Arial" w:cs="Arial"/>
                <w:b/>
                <w:bCs/>
              </w:rPr>
            </w:pPr>
            <w:r w:rsidRPr="0025103D">
              <w:rPr>
                <w:rFonts w:ascii="Arial" w:hAnsi="Arial" w:cs="Arial"/>
                <w:b/>
                <w:bCs/>
              </w:rPr>
              <w:t xml:space="preserve">All pregnancies must be reported by faxing a completed Pregnancy Report within </w:t>
            </w:r>
            <w:r w:rsidR="00A02963">
              <w:rPr>
                <w:rFonts w:ascii="Arial" w:hAnsi="Arial" w:cs="Arial"/>
                <w:b/>
                <w:bCs/>
              </w:rPr>
              <w:t>24 hours</w:t>
            </w:r>
            <w:r w:rsidRPr="0025103D">
              <w:rPr>
                <w:rFonts w:ascii="Arial" w:hAnsi="Arial" w:cs="Arial"/>
                <w:b/>
                <w:bCs/>
              </w:rPr>
              <w:t xml:space="preserve"> of becoming aware of the pregnancy to UCL CTC</w:t>
            </w:r>
          </w:p>
          <w:p w14:paraId="618A9F60" w14:textId="77777777" w:rsidR="00DA67E8" w:rsidRPr="001C2D17" w:rsidRDefault="00DA67E8" w:rsidP="004A71F4">
            <w:pPr>
              <w:jc w:val="center"/>
              <w:rPr>
                <w:rFonts w:ascii="Arial" w:hAnsi="Arial" w:cs="Arial"/>
                <w:b/>
                <w:bCs/>
                <w:sz w:val="12"/>
                <w:highlight w:val="yellow"/>
              </w:rPr>
            </w:pPr>
            <w:r w:rsidRPr="0025103D">
              <w:rPr>
                <w:rFonts w:ascii="Arial" w:hAnsi="Arial" w:cs="Arial"/>
                <w:b/>
                <w:bCs/>
              </w:rPr>
              <w:t xml:space="preserve">Fax: +44 (0)20 </w:t>
            </w:r>
            <w:r w:rsidRPr="00F333BA">
              <w:rPr>
                <w:rFonts w:ascii="Arial" w:hAnsi="Arial" w:cs="Arial"/>
                <w:b/>
                <w:bCs/>
              </w:rPr>
              <w:t xml:space="preserve">7679 </w:t>
            </w:r>
            <w:r w:rsidR="006D0723" w:rsidRPr="00F333BA">
              <w:rPr>
                <w:rFonts w:ascii="Arial" w:hAnsi="Arial" w:cs="Arial"/>
                <w:b/>
                <w:bCs/>
              </w:rPr>
              <w:t>9871</w:t>
            </w:r>
          </w:p>
          <w:p w14:paraId="1E112003" w14:textId="77777777" w:rsidR="00DA67E8" w:rsidRPr="001C2D17" w:rsidRDefault="00DA67E8" w:rsidP="004A71F4">
            <w:pPr>
              <w:jc w:val="both"/>
              <w:rPr>
                <w:rFonts w:ascii="Arial" w:hAnsi="Arial" w:cs="Arial"/>
                <w:b/>
                <w:bCs/>
                <w:sz w:val="12"/>
                <w:highlight w:val="yellow"/>
                <w:u w:val="single"/>
              </w:rPr>
            </w:pPr>
          </w:p>
        </w:tc>
      </w:tr>
    </w:tbl>
    <w:p w14:paraId="030CB570" w14:textId="77777777" w:rsidR="00DA67E8" w:rsidRPr="001F23A8" w:rsidRDefault="00DA67E8" w:rsidP="00FF5254">
      <w:pPr>
        <w:pStyle w:val="Non-numberedsectionheads"/>
        <w:rPr>
          <w:color w:val="808000"/>
          <w:sz w:val="22"/>
          <w:szCs w:val="22"/>
        </w:rPr>
      </w:pPr>
      <w:r w:rsidRPr="001F23A8">
        <w:rPr>
          <w:rFonts w:eastAsia="MS Mincho"/>
          <w:sz w:val="22"/>
          <w:szCs w:val="22"/>
        </w:rPr>
        <w:t>Pregnancy Follow-Up Reports</w:t>
      </w:r>
    </w:p>
    <w:p w14:paraId="19993992" w14:textId="77777777" w:rsidR="00DA67E8" w:rsidRPr="001F23A8" w:rsidRDefault="00DA67E8" w:rsidP="004A71F4">
      <w:pPr>
        <w:pStyle w:val="ProtTempparagraph"/>
        <w:spacing w:after="0"/>
        <w:rPr>
          <w:sz w:val="22"/>
          <w:szCs w:val="22"/>
        </w:rPr>
      </w:pPr>
      <w:r w:rsidRPr="001F23A8">
        <w:rPr>
          <w:sz w:val="22"/>
          <w:szCs w:val="22"/>
        </w:rPr>
        <w:t>All pregnancies</w:t>
      </w:r>
      <w:r w:rsidR="00EC5584">
        <w:rPr>
          <w:sz w:val="22"/>
          <w:szCs w:val="22"/>
        </w:rPr>
        <w:t>, where consent has been given,</w:t>
      </w:r>
      <w:r w:rsidRPr="001F23A8">
        <w:rPr>
          <w:sz w:val="22"/>
          <w:szCs w:val="22"/>
        </w:rPr>
        <w:t xml:space="preserve"> must be followed-up until an outcome is determined.  Follow-up Pregnancy Reports must be submitted to UCL CTC by fax within </w:t>
      </w:r>
      <w:r w:rsidR="00A02963">
        <w:rPr>
          <w:b/>
          <w:bCs/>
          <w:color w:val="000000"/>
          <w:sz w:val="22"/>
          <w:szCs w:val="22"/>
        </w:rPr>
        <w:t>24 hours</w:t>
      </w:r>
      <w:r w:rsidR="002F113D">
        <w:rPr>
          <w:b/>
          <w:bCs/>
          <w:color w:val="000000"/>
          <w:sz w:val="22"/>
          <w:szCs w:val="22"/>
        </w:rPr>
        <w:t xml:space="preserve"> </w:t>
      </w:r>
      <w:r w:rsidR="002F113D" w:rsidRPr="001F23A8">
        <w:rPr>
          <w:sz w:val="22"/>
          <w:szCs w:val="22"/>
        </w:rPr>
        <w:t>of</w:t>
      </w:r>
      <w:r w:rsidRPr="001F23A8">
        <w:rPr>
          <w:sz w:val="22"/>
          <w:szCs w:val="22"/>
        </w:rPr>
        <w:t xml:space="preserve"> learning of the outcome.  Reports must include an evaluation of the possible relationship of each trial treatment to the pregnancy outcome.  </w:t>
      </w:r>
    </w:p>
    <w:p w14:paraId="26424C24" w14:textId="77777777" w:rsidR="00DA67E8" w:rsidRPr="001F23A8" w:rsidRDefault="00DA67E8" w:rsidP="00FF5254">
      <w:pPr>
        <w:pStyle w:val="Non-numberedsectionheads"/>
        <w:rPr>
          <w:sz w:val="22"/>
          <w:szCs w:val="22"/>
        </w:rPr>
      </w:pPr>
      <w:r w:rsidRPr="001F23A8">
        <w:rPr>
          <w:rFonts w:eastAsia="MS Mincho"/>
          <w:sz w:val="22"/>
          <w:szCs w:val="22"/>
        </w:rPr>
        <w:t>SAEs during Pregnancy</w:t>
      </w:r>
    </w:p>
    <w:p w14:paraId="586FD11A" w14:textId="77777777" w:rsidR="00DA67E8" w:rsidRPr="001F23A8" w:rsidRDefault="00DA67E8" w:rsidP="004A71F4">
      <w:pPr>
        <w:pStyle w:val="ProtTempparagraph"/>
        <w:spacing w:after="0"/>
        <w:rPr>
          <w:rStyle w:val="Strong"/>
          <w:rFonts w:cs="Arial"/>
          <w:b w:val="0"/>
          <w:bCs w:val="0"/>
          <w:sz w:val="22"/>
          <w:szCs w:val="22"/>
        </w:rPr>
      </w:pPr>
      <w:r w:rsidRPr="001F23A8">
        <w:rPr>
          <w:sz w:val="22"/>
          <w:szCs w:val="22"/>
        </w:rPr>
        <w:t xml:space="preserve">Any SAE occurring in a pregnant patient must be reported using the trial specific SAE Report, according to SAE reporting </w:t>
      </w:r>
      <w:r w:rsidR="002F113D" w:rsidRPr="001F23A8">
        <w:rPr>
          <w:sz w:val="22"/>
          <w:szCs w:val="22"/>
        </w:rPr>
        <w:t>procedures.</w:t>
      </w:r>
      <w:r w:rsidR="002F113D">
        <w:rPr>
          <w:sz w:val="22"/>
          <w:szCs w:val="22"/>
        </w:rPr>
        <w:t xml:space="preserve"> </w:t>
      </w:r>
      <w:r w:rsidR="002F113D" w:rsidRPr="001F23A8">
        <w:rPr>
          <w:rStyle w:val="Strong"/>
          <w:rFonts w:cs="Arial"/>
          <w:b w:val="0"/>
          <w:bCs w:val="0"/>
          <w:sz w:val="22"/>
          <w:szCs w:val="22"/>
        </w:rPr>
        <w:t>Refer</w:t>
      </w:r>
      <w:r w:rsidRPr="001F23A8">
        <w:rPr>
          <w:rStyle w:val="Strong"/>
          <w:rFonts w:cs="Arial"/>
          <w:b w:val="0"/>
          <w:bCs w:val="0"/>
          <w:sz w:val="22"/>
          <w:szCs w:val="22"/>
        </w:rPr>
        <w:t xml:space="preserve"> to section </w:t>
      </w:r>
      <w:r w:rsidRPr="00DB1B4F">
        <w:rPr>
          <w:rStyle w:val="Strong"/>
          <w:rFonts w:cs="Arial"/>
          <w:b w:val="0"/>
          <w:bCs w:val="0"/>
          <w:sz w:val="22"/>
          <w:szCs w:val="22"/>
        </w:rPr>
        <w:t>10.2.2</w:t>
      </w:r>
      <w:r w:rsidRPr="001F23A8">
        <w:rPr>
          <w:rStyle w:val="Strong"/>
          <w:rFonts w:cs="Arial"/>
          <w:b w:val="0"/>
          <w:bCs w:val="0"/>
          <w:sz w:val="22"/>
          <w:szCs w:val="22"/>
        </w:rPr>
        <w:t xml:space="preserve"> (Serious Adverse Events (SAEs)) for details.</w:t>
      </w:r>
    </w:p>
    <w:p w14:paraId="54B5ABFC" w14:textId="77777777" w:rsidR="00DA67E8" w:rsidRDefault="00DA67E8" w:rsidP="00FF5254">
      <w:pPr>
        <w:pStyle w:val="Non-numberedsectionheads"/>
        <w:rPr>
          <w:sz w:val="22"/>
          <w:szCs w:val="22"/>
          <w:lang w:val="en-US"/>
        </w:rPr>
      </w:pPr>
      <w:r w:rsidRPr="001F23A8">
        <w:rPr>
          <w:sz w:val="22"/>
          <w:szCs w:val="22"/>
        </w:rPr>
        <w:t>Pregnancy Report Processing at UCL CTC</w:t>
      </w:r>
    </w:p>
    <w:p w14:paraId="5893BEB5" w14:textId="77777777" w:rsidR="00DA67E8" w:rsidRDefault="00DA67E8" w:rsidP="00F66DCA">
      <w:pPr>
        <w:pStyle w:val="ProtTempparagraph"/>
        <w:spacing w:after="240"/>
        <w:rPr>
          <w:rStyle w:val="Strong"/>
          <w:rFonts w:cs="Arial"/>
          <w:b w:val="0"/>
          <w:bCs w:val="0"/>
          <w:sz w:val="22"/>
          <w:szCs w:val="22"/>
        </w:rPr>
      </w:pPr>
      <w:r w:rsidRPr="001F23A8">
        <w:rPr>
          <w:sz w:val="22"/>
          <w:szCs w:val="22"/>
        </w:rPr>
        <w:t xml:space="preserve">UCL CTC will submit a report to the MHRA </w:t>
      </w:r>
      <w:r w:rsidR="002F113D" w:rsidRPr="001F23A8">
        <w:rPr>
          <w:sz w:val="22"/>
          <w:szCs w:val="22"/>
        </w:rPr>
        <w:t>and</w:t>
      </w:r>
      <w:r w:rsidR="002F113D">
        <w:rPr>
          <w:sz w:val="22"/>
          <w:szCs w:val="22"/>
        </w:rPr>
        <w:t xml:space="preserve"> </w:t>
      </w:r>
      <w:r w:rsidR="002F113D" w:rsidRPr="001F23A8">
        <w:rPr>
          <w:bCs/>
          <w:iCs/>
          <w:sz w:val="22"/>
          <w:szCs w:val="22"/>
        </w:rPr>
        <w:t>the</w:t>
      </w:r>
      <w:r w:rsidR="002F113D">
        <w:rPr>
          <w:bCs/>
          <w:iCs/>
          <w:sz w:val="22"/>
          <w:szCs w:val="22"/>
        </w:rPr>
        <w:t xml:space="preserve"> </w:t>
      </w:r>
      <w:r w:rsidR="002F113D" w:rsidRPr="001F23A8">
        <w:rPr>
          <w:sz w:val="22"/>
          <w:szCs w:val="22"/>
        </w:rPr>
        <w:t>REC</w:t>
      </w:r>
      <w:r w:rsidRPr="001F23A8">
        <w:rPr>
          <w:rStyle w:val="Strong"/>
          <w:rFonts w:cs="Arial"/>
          <w:b w:val="0"/>
          <w:bCs w:val="0"/>
          <w:sz w:val="22"/>
          <w:szCs w:val="22"/>
        </w:rPr>
        <w:t xml:space="preserve"> should the pregnancy outcome meet the definition of a </w:t>
      </w:r>
      <w:r w:rsidR="002F113D" w:rsidRPr="001F23A8">
        <w:rPr>
          <w:rStyle w:val="Strong"/>
          <w:rFonts w:cs="Arial"/>
          <w:b w:val="0"/>
          <w:bCs w:val="0"/>
          <w:sz w:val="22"/>
          <w:szCs w:val="22"/>
        </w:rPr>
        <w:t>SUSAR.</w:t>
      </w:r>
      <w:r w:rsidR="002F113D">
        <w:rPr>
          <w:rStyle w:val="Strong"/>
          <w:rFonts w:cs="Arial"/>
          <w:b w:val="0"/>
          <w:bCs w:val="0"/>
          <w:sz w:val="22"/>
          <w:szCs w:val="22"/>
        </w:rPr>
        <w:t xml:space="preserve"> </w:t>
      </w:r>
      <w:r w:rsidR="002F113D" w:rsidRPr="001F23A8">
        <w:rPr>
          <w:rStyle w:val="Strong"/>
          <w:rFonts w:cs="Arial"/>
          <w:b w:val="0"/>
          <w:bCs w:val="0"/>
          <w:sz w:val="22"/>
          <w:szCs w:val="22"/>
        </w:rPr>
        <w:t>Refer</w:t>
      </w:r>
      <w:r w:rsidRPr="001F23A8">
        <w:rPr>
          <w:rStyle w:val="Strong"/>
          <w:rFonts w:cs="Arial"/>
          <w:b w:val="0"/>
          <w:bCs w:val="0"/>
          <w:sz w:val="22"/>
          <w:szCs w:val="22"/>
        </w:rPr>
        <w:t xml:space="preserve"> to section 10.3 (SUSARs) for details.</w:t>
      </w:r>
    </w:p>
    <w:p w14:paraId="37080FA1" w14:textId="79C649BB" w:rsidR="00097793" w:rsidRPr="001C2D17" w:rsidRDefault="00097793" w:rsidP="00097793">
      <w:pPr>
        <w:pStyle w:val="ProtTempparagraph"/>
        <w:spacing w:after="240"/>
        <w:rPr>
          <w:sz w:val="22"/>
          <w:szCs w:val="22"/>
        </w:rPr>
      </w:pPr>
      <w:r w:rsidRPr="001C2D17">
        <w:rPr>
          <w:sz w:val="22"/>
          <w:szCs w:val="22"/>
        </w:rPr>
        <w:t xml:space="preserve">UCL CTC will submit </w:t>
      </w:r>
      <w:r w:rsidR="00A7445D">
        <w:rPr>
          <w:sz w:val="22"/>
          <w:szCs w:val="22"/>
        </w:rPr>
        <w:t>all reports of pregnancies, occurring in</w:t>
      </w:r>
      <w:r w:rsidR="00753490">
        <w:rPr>
          <w:sz w:val="22"/>
          <w:szCs w:val="22"/>
        </w:rPr>
        <w:t xml:space="preserve"> patients or partners of trial patients exposed to </w:t>
      </w:r>
      <w:proofErr w:type="spellStart"/>
      <w:r w:rsidR="00753490">
        <w:rPr>
          <w:sz w:val="22"/>
          <w:szCs w:val="22"/>
        </w:rPr>
        <w:t>ganetespib</w:t>
      </w:r>
      <w:proofErr w:type="spellEnd"/>
      <w:r w:rsidR="00A7445D">
        <w:rPr>
          <w:sz w:val="22"/>
          <w:szCs w:val="22"/>
        </w:rPr>
        <w:t>,</w:t>
      </w:r>
      <w:r w:rsidR="00753490">
        <w:rPr>
          <w:sz w:val="22"/>
          <w:szCs w:val="22"/>
        </w:rPr>
        <w:t xml:space="preserve"> </w:t>
      </w:r>
      <w:r w:rsidR="009F1984">
        <w:rPr>
          <w:sz w:val="22"/>
          <w:szCs w:val="22"/>
        </w:rPr>
        <w:t>to</w:t>
      </w:r>
      <w:r w:rsidRPr="001C2D17">
        <w:rPr>
          <w:sz w:val="22"/>
          <w:szCs w:val="22"/>
        </w:rPr>
        <w:t xml:space="preserve"> </w:t>
      </w:r>
      <w:proofErr w:type="spellStart"/>
      <w:r w:rsidRPr="001C2D17">
        <w:rPr>
          <w:sz w:val="22"/>
          <w:szCs w:val="22"/>
        </w:rPr>
        <w:t>Synta</w:t>
      </w:r>
      <w:proofErr w:type="spellEnd"/>
      <w:r w:rsidRPr="001C2D17">
        <w:rPr>
          <w:sz w:val="22"/>
          <w:szCs w:val="22"/>
        </w:rPr>
        <w:t xml:space="preserve"> Pharmaceuticals </w:t>
      </w:r>
      <w:r w:rsidR="008C5C85" w:rsidRPr="001F23A8">
        <w:rPr>
          <w:sz w:val="22"/>
          <w:szCs w:val="22"/>
        </w:rPr>
        <w:t>Corporation</w:t>
      </w:r>
      <w:r>
        <w:rPr>
          <w:sz w:val="22"/>
          <w:szCs w:val="22"/>
        </w:rPr>
        <w:t xml:space="preserve"> </w:t>
      </w:r>
      <w:r w:rsidRPr="001C2D17">
        <w:rPr>
          <w:sz w:val="22"/>
          <w:szCs w:val="22"/>
        </w:rPr>
        <w:t xml:space="preserve">within </w:t>
      </w:r>
      <w:r w:rsidR="00F5753B">
        <w:rPr>
          <w:sz w:val="22"/>
          <w:szCs w:val="22"/>
        </w:rPr>
        <w:t xml:space="preserve">24 hours </w:t>
      </w:r>
      <w:r w:rsidR="00F12986">
        <w:rPr>
          <w:sz w:val="22"/>
          <w:szCs w:val="22"/>
        </w:rPr>
        <w:t xml:space="preserve">of </w:t>
      </w:r>
      <w:r w:rsidR="00736FFD">
        <w:rPr>
          <w:sz w:val="22"/>
          <w:szCs w:val="22"/>
        </w:rPr>
        <w:t>receipt of the minimum data elements</w:t>
      </w:r>
      <w:r w:rsidR="00736FFD" w:rsidDel="00736FFD">
        <w:rPr>
          <w:sz w:val="22"/>
          <w:szCs w:val="22"/>
        </w:rPr>
        <w:t xml:space="preserve"> </w:t>
      </w:r>
      <w:r w:rsidR="00736FFD">
        <w:rPr>
          <w:sz w:val="22"/>
          <w:szCs w:val="22"/>
        </w:rPr>
        <w:t>about</w:t>
      </w:r>
      <w:r w:rsidR="00753490">
        <w:rPr>
          <w:sz w:val="22"/>
          <w:szCs w:val="22"/>
        </w:rPr>
        <w:t xml:space="preserve"> the pregnancy</w:t>
      </w:r>
      <w:r w:rsidRPr="001C2D17">
        <w:rPr>
          <w:sz w:val="22"/>
          <w:szCs w:val="22"/>
        </w:rPr>
        <w:t>.</w:t>
      </w:r>
      <w:r>
        <w:rPr>
          <w:sz w:val="22"/>
          <w:szCs w:val="22"/>
        </w:rPr>
        <w:t xml:space="preserve"> </w:t>
      </w:r>
    </w:p>
    <w:p w14:paraId="4B4C6037" w14:textId="77777777" w:rsidR="00DA67E8" w:rsidRPr="00C4661E" w:rsidRDefault="00DA67E8" w:rsidP="00BF16F9">
      <w:pPr>
        <w:pStyle w:val="Heading2"/>
      </w:pPr>
      <w:bookmarkStart w:id="824" w:name="_Toc283376374"/>
      <w:bookmarkEnd w:id="824"/>
      <w:r w:rsidRPr="00C4661E">
        <w:tab/>
      </w:r>
      <w:bookmarkStart w:id="825" w:name="_Toc283031838"/>
      <w:bookmarkStart w:id="826" w:name="_Toc283376375"/>
      <w:bookmarkStart w:id="827" w:name="_Toc333484779"/>
      <w:bookmarkStart w:id="828" w:name="_Toc333484894"/>
      <w:bookmarkStart w:id="829" w:name="_Toc351624846"/>
      <w:bookmarkStart w:id="830" w:name="_Toc471826808"/>
      <w:bookmarkStart w:id="831" w:name="_Toc528323575"/>
      <w:r w:rsidRPr="00C4661E">
        <w:t>Development Safety Update Reports</w:t>
      </w:r>
      <w:bookmarkEnd w:id="825"/>
      <w:r w:rsidRPr="00C4661E">
        <w:t xml:space="preserve"> (DSURs)</w:t>
      </w:r>
      <w:bookmarkEnd w:id="826"/>
      <w:bookmarkEnd w:id="827"/>
      <w:bookmarkEnd w:id="828"/>
      <w:bookmarkEnd w:id="829"/>
      <w:bookmarkEnd w:id="830"/>
      <w:bookmarkEnd w:id="831"/>
    </w:p>
    <w:p w14:paraId="4C13F7D2" w14:textId="77777777" w:rsidR="00DA67E8" w:rsidRPr="001F23A8" w:rsidRDefault="00DA67E8" w:rsidP="00F66DCA">
      <w:pPr>
        <w:pStyle w:val="ProtTempparagraph"/>
        <w:spacing w:after="240"/>
        <w:rPr>
          <w:rStyle w:val="Strong"/>
          <w:rFonts w:cs="Arial"/>
          <w:b w:val="0"/>
          <w:bCs w:val="0"/>
          <w:sz w:val="22"/>
          <w:szCs w:val="22"/>
        </w:rPr>
      </w:pPr>
      <w:r w:rsidRPr="001F23A8">
        <w:rPr>
          <w:sz w:val="22"/>
          <w:szCs w:val="22"/>
        </w:rPr>
        <w:t xml:space="preserve">Safety data obtained from the trial will be included in DSURs that UCL CTC </w:t>
      </w:r>
      <w:r w:rsidRPr="001F23A8">
        <w:rPr>
          <w:rStyle w:val="Strong"/>
          <w:rFonts w:cs="Arial"/>
          <w:b w:val="0"/>
          <w:bCs w:val="0"/>
          <w:sz w:val="22"/>
          <w:szCs w:val="22"/>
        </w:rPr>
        <w:t xml:space="preserve">will submit to the MHRA and the REC.  </w:t>
      </w:r>
    </w:p>
    <w:p w14:paraId="351704F6" w14:textId="77777777" w:rsidR="00DA67E8" w:rsidRPr="001F23A8" w:rsidRDefault="00DA67E8" w:rsidP="00E66128">
      <w:pPr>
        <w:pStyle w:val="ProtTempparagraph"/>
        <w:spacing w:after="240"/>
        <w:rPr>
          <w:sz w:val="22"/>
          <w:szCs w:val="22"/>
        </w:rPr>
      </w:pPr>
      <w:r w:rsidRPr="001F23A8">
        <w:rPr>
          <w:sz w:val="22"/>
          <w:szCs w:val="22"/>
        </w:rPr>
        <w:t xml:space="preserve">UCL CTC will provide </w:t>
      </w:r>
      <w:proofErr w:type="spellStart"/>
      <w:r w:rsidRPr="001F23A8">
        <w:rPr>
          <w:sz w:val="22"/>
          <w:szCs w:val="22"/>
        </w:rPr>
        <w:t>Synta</w:t>
      </w:r>
      <w:proofErr w:type="spellEnd"/>
      <w:r w:rsidRPr="001F23A8">
        <w:rPr>
          <w:sz w:val="22"/>
          <w:szCs w:val="22"/>
        </w:rPr>
        <w:t xml:space="preserve"> Pharmaceuticals </w:t>
      </w:r>
      <w:r w:rsidR="002F113D" w:rsidRPr="001F23A8">
        <w:rPr>
          <w:sz w:val="22"/>
          <w:szCs w:val="22"/>
        </w:rPr>
        <w:t>Corporation</w:t>
      </w:r>
      <w:r w:rsidR="002F113D">
        <w:rPr>
          <w:sz w:val="22"/>
          <w:szCs w:val="22"/>
        </w:rPr>
        <w:t xml:space="preserve"> </w:t>
      </w:r>
      <w:r w:rsidR="002F113D" w:rsidRPr="001F23A8">
        <w:rPr>
          <w:sz w:val="22"/>
          <w:szCs w:val="22"/>
        </w:rPr>
        <w:t>with</w:t>
      </w:r>
      <w:r w:rsidRPr="001F23A8">
        <w:rPr>
          <w:sz w:val="22"/>
          <w:szCs w:val="22"/>
        </w:rPr>
        <w:t xml:space="preserve"> DSURs that include information regarding ganetespib</w:t>
      </w:r>
      <w:r w:rsidR="00F5753B">
        <w:rPr>
          <w:sz w:val="22"/>
          <w:szCs w:val="22"/>
        </w:rPr>
        <w:t xml:space="preserve"> concurrent with submission to the MHRA and the REC</w:t>
      </w:r>
      <w:r w:rsidR="00F5753B" w:rsidRPr="001C2D17">
        <w:rPr>
          <w:sz w:val="22"/>
          <w:szCs w:val="22"/>
        </w:rPr>
        <w:t>.</w:t>
      </w:r>
    </w:p>
    <w:p w14:paraId="4F262AC2" w14:textId="77777777" w:rsidR="00DA67E8" w:rsidRPr="001F23A8" w:rsidRDefault="00DA67E8" w:rsidP="00E66128">
      <w:pPr>
        <w:pStyle w:val="ProtTempparagraph"/>
        <w:spacing w:after="240"/>
        <w:rPr>
          <w:rStyle w:val="Strong"/>
          <w:rFonts w:cs="Arial"/>
          <w:kern w:val="32"/>
          <w:sz w:val="22"/>
          <w:szCs w:val="22"/>
        </w:rPr>
      </w:pPr>
    </w:p>
    <w:p w14:paraId="064322B5" w14:textId="77777777" w:rsidR="00BF16F9" w:rsidRPr="009400C8" w:rsidRDefault="00DA67E8" w:rsidP="002F600D">
      <w:pPr>
        <w:pStyle w:val="Heading1"/>
      </w:pPr>
      <w:r w:rsidRPr="00E876A0">
        <w:rPr>
          <w:rStyle w:val="Strong"/>
          <w:rFonts w:cs="Arial"/>
        </w:rPr>
        <w:br w:type="page"/>
      </w:r>
      <w:r w:rsidRPr="00DE41C1">
        <w:lastRenderedPageBreak/>
        <w:tab/>
      </w:r>
      <w:bookmarkStart w:id="832" w:name="_Toc283027379"/>
      <w:bookmarkStart w:id="833" w:name="_Toc283027600"/>
      <w:bookmarkStart w:id="834" w:name="_Toc283027781"/>
      <w:bookmarkStart w:id="835" w:name="_Toc283027946"/>
      <w:bookmarkStart w:id="836" w:name="_Toc283028239"/>
      <w:bookmarkStart w:id="837" w:name="_Toc283028404"/>
      <w:bookmarkStart w:id="838" w:name="_Toc283029466"/>
      <w:bookmarkStart w:id="839" w:name="_Toc283029631"/>
      <w:bookmarkStart w:id="840" w:name="_Toc283031839"/>
      <w:bookmarkStart w:id="841" w:name="_Toc283376376"/>
      <w:bookmarkStart w:id="842" w:name="_Toc283027380"/>
      <w:bookmarkStart w:id="843" w:name="_Toc283027601"/>
      <w:bookmarkStart w:id="844" w:name="_Toc283027782"/>
      <w:bookmarkStart w:id="845" w:name="_Toc283027947"/>
      <w:bookmarkStart w:id="846" w:name="_Toc283028240"/>
      <w:bookmarkStart w:id="847" w:name="_Toc283028405"/>
      <w:bookmarkStart w:id="848" w:name="_Toc283029467"/>
      <w:bookmarkStart w:id="849" w:name="_Toc283029632"/>
      <w:bookmarkStart w:id="850" w:name="_Toc283031840"/>
      <w:bookmarkStart w:id="851" w:name="_Toc283376377"/>
      <w:bookmarkStart w:id="852" w:name="_Toc283031841"/>
      <w:bookmarkStart w:id="853" w:name="_Toc283376378"/>
      <w:bookmarkStart w:id="854" w:name="_Toc333484780"/>
      <w:bookmarkStart w:id="855" w:name="_Toc333484895"/>
      <w:bookmarkStart w:id="856" w:name="_Toc351624847"/>
      <w:bookmarkStart w:id="857" w:name="_Toc471826809"/>
      <w:bookmarkStart w:id="858" w:name="_Toc528323576"/>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00E876A0" w:rsidRPr="009400C8">
        <w:t>Incident Reporting and Serious Breaches</w:t>
      </w:r>
      <w:bookmarkEnd w:id="852"/>
      <w:bookmarkEnd w:id="853"/>
      <w:bookmarkEnd w:id="854"/>
      <w:bookmarkEnd w:id="855"/>
      <w:bookmarkEnd w:id="856"/>
      <w:bookmarkEnd w:id="857"/>
      <w:bookmarkEnd w:id="858"/>
    </w:p>
    <w:p w14:paraId="58971F24" w14:textId="77777777" w:rsidR="00DA67E8" w:rsidRPr="00F66DCA" w:rsidRDefault="00390DE4" w:rsidP="00BF16F9">
      <w:pPr>
        <w:pStyle w:val="Heading2"/>
      </w:pPr>
      <w:r>
        <w:t xml:space="preserve">  </w:t>
      </w:r>
      <w:bookmarkStart w:id="859" w:name="_Toc333484781"/>
      <w:bookmarkStart w:id="860" w:name="_Toc333484896"/>
      <w:bookmarkStart w:id="861" w:name="_Toc351624848"/>
      <w:bookmarkStart w:id="862" w:name="_Toc471826810"/>
      <w:bookmarkStart w:id="863" w:name="_Toc528323577"/>
      <w:r w:rsidR="00DA67E8" w:rsidRPr="00F66DCA">
        <w:t>Incident Reporting</w:t>
      </w:r>
      <w:bookmarkEnd w:id="859"/>
      <w:bookmarkEnd w:id="860"/>
      <w:bookmarkEnd w:id="861"/>
      <w:bookmarkEnd w:id="862"/>
      <w:bookmarkEnd w:id="863"/>
    </w:p>
    <w:p w14:paraId="38929A6B" w14:textId="77777777" w:rsidR="00DA67E8" w:rsidRPr="007003D6" w:rsidRDefault="00DA67E8" w:rsidP="00E33496">
      <w:pPr>
        <w:pStyle w:val="ProtTempparagraph"/>
        <w:spacing w:after="240"/>
        <w:rPr>
          <w:sz w:val="22"/>
          <w:szCs w:val="22"/>
        </w:rPr>
      </w:pPr>
      <w:r w:rsidRPr="007003D6">
        <w:rPr>
          <w:sz w:val="22"/>
          <w:szCs w:val="22"/>
        </w:rPr>
        <w:t>Organisations must notify UCL CTC of all deviations from the protocol or GCP immediately.  UCL CTC may require a report on the incident(s) and a form will be provided if the organisation does not have an appropriate document (</w:t>
      </w:r>
      <w:r w:rsidR="002F113D" w:rsidRPr="007003D6">
        <w:rPr>
          <w:sz w:val="22"/>
          <w:szCs w:val="22"/>
        </w:rPr>
        <w:t>e.g.</w:t>
      </w:r>
      <w:r w:rsidR="002F113D">
        <w:rPr>
          <w:sz w:val="22"/>
          <w:szCs w:val="22"/>
        </w:rPr>
        <w:t xml:space="preserve"> </w:t>
      </w:r>
      <w:r w:rsidR="002F113D" w:rsidRPr="007003D6">
        <w:rPr>
          <w:sz w:val="22"/>
          <w:szCs w:val="22"/>
        </w:rPr>
        <w:t>Trust</w:t>
      </w:r>
      <w:r w:rsidRPr="007003D6">
        <w:rPr>
          <w:sz w:val="22"/>
          <w:szCs w:val="22"/>
        </w:rPr>
        <w:t xml:space="preserve"> Incident </w:t>
      </w:r>
      <w:r w:rsidR="002F113D" w:rsidRPr="007003D6">
        <w:rPr>
          <w:sz w:val="22"/>
          <w:szCs w:val="22"/>
        </w:rPr>
        <w:t>Form</w:t>
      </w:r>
      <w:r w:rsidRPr="007003D6">
        <w:rPr>
          <w:sz w:val="22"/>
          <w:szCs w:val="22"/>
        </w:rPr>
        <w:t>).</w:t>
      </w:r>
    </w:p>
    <w:p w14:paraId="6B3ADBC0" w14:textId="77777777" w:rsidR="00DA67E8" w:rsidRPr="007003D6" w:rsidRDefault="00DA67E8" w:rsidP="00E33496">
      <w:pPr>
        <w:pStyle w:val="ProtTempparagraph"/>
        <w:spacing w:after="240"/>
        <w:rPr>
          <w:sz w:val="22"/>
          <w:szCs w:val="22"/>
        </w:rPr>
      </w:pPr>
      <w:r w:rsidRPr="007003D6">
        <w:rPr>
          <w:sz w:val="22"/>
          <w:szCs w:val="22"/>
        </w:rPr>
        <w:t>If site staff are unsure whether a certain occurrence constitutes a deviation from the protocol or GCP, the UCL CTC trial team can be contacted immediately to discuss.</w:t>
      </w:r>
    </w:p>
    <w:p w14:paraId="4C0D4FA2" w14:textId="77777777" w:rsidR="00DA67E8" w:rsidRPr="007003D6" w:rsidRDefault="00DA67E8" w:rsidP="00E33496">
      <w:pPr>
        <w:pStyle w:val="ProtTempparagraph"/>
        <w:spacing w:after="240"/>
        <w:rPr>
          <w:rStyle w:val="Strong"/>
          <w:rFonts w:cs="Arial"/>
          <w:b w:val="0"/>
          <w:bCs w:val="0"/>
          <w:sz w:val="22"/>
          <w:szCs w:val="22"/>
        </w:rPr>
      </w:pPr>
      <w:r w:rsidRPr="007003D6">
        <w:rPr>
          <w:sz w:val="22"/>
          <w:szCs w:val="22"/>
        </w:rPr>
        <w:t>UCL CTC will assess all incidents to see if they meet the definition of a serious breach.</w:t>
      </w:r>
    </w:p>
    <w:p w14:paraId="35B4CF7F" w14:textId="77777777" w:rsidR="00DA67E8" w:rsidRPr="007003D6" w:rsidRDefault="00390DE4" w:rsidP="00BF16F9">
      <w:pPr>
        <w:pStyle w:val="Heading2"/>
      </w:pPr>
      <w:r>
        <w:t xml:space="preserve">  </w:t>
      </w:r>
      <w:bookmarkStart w:id="864" w:name="_Toc333484782"/>
      <w:bookmarkStart w:id="865" w:name="_Toc333484897"/>
      <w:bookmarkStart w:id="866" w:name="_Toc351624849"/>
      <w:bookmarkStart w:id="867" w:name="_Toc471826811"/>
      <w:bookmarkStart w:id="868" w:name="_Toc528323578"/>
      <w:r w:rsidR="00DA67E8" w:rsidRPr="007003D6">
        <w:t>Serious Breaches</w:t>
      </w:r>
      <w:bookmarkEnd w:id="864"/>
      <w:bookmarkEnd w:id="865"/>
      <w:bookmarkEnd w:id="866"/>
      <w:bookmarkEnd w:id="867"/>
      <w:bookmarkEnd w:id="868"/>
    </w:p>
    <w:p w14:paraId="74890636" w14:textId="77777777" w:rsidR="00DA67E8" w:rsidRPr="007003D6" w:rsidRDefault="00DA67E8" w:rsidP="00E33496">
      <w:pPr>
        <w:pStyle w:val="ProtTempparagraph"/>
        <w:spacing w:after="240"/>
        <w:rPr>
          <w:sz w:val="22"/>
          <w:szCs w:val="22"/>
        </w:rPr>
      </w:pPr>
      <w:r w:rsidRPr="007003D6">
        <w:rPr>
          <w:sz w:val="22"/>
          <w:szCs w:val="22"/>
        </w:rPr>
        <w:t>Systematic or persistent non-compliance by a site with GCP and/or the protocol, including failure to report SAEs occurring on trial within the specified timeframe, may be deemed a serious breach.</w:t>
      </w:r>
    </w:p>
    <w:p w14:paraId="47C045F8" w14:textId="77777777" w:rsidR="00DA67E8" w:rsidRPr="007003D6" w:rsidRDefault="002F113D" w:rsidP="00E33496">
      <w:pPr>
        <w:pStyle w:val="ProtTempparagraph"/>
        <w:spacing w:after="240"/>
        <w:rPr>
          <w:sz w:val="22"/>
          <w:szCs w:val="22"/>
        </w:rPr>
      </w:pPr>
      <w:r w:rsidRPr="007003D6">
        <w:rPr>
          <w:sz w:val="22"/>
          <w:szCs w:val="22"/>
        </w:rPr>
        <w:t xml:space="preserve">In cases where a </w:t>
      </w:r>
      <w:r w:rsidRPr="007003D6">
        <w:rPr>
          <w:sz w:val="22"/>
          <w:szCs w:val="22"/>
          <w:u w:val="single"/>
        </w:rPr>
        <w:t>potential</w:t>
      </w:r>
      <w:r>
        <w:rPr>
          <w:sz w:val="22"/>
          <w:szCs w:val="22"/>
          <w:u w:val="single"/>
        </w:rPr>
        <w:t xml:space="preserve"> </w:t>
      </w:r>
      <w:r w:rsidRPr="007003D6">
        <w:rPr>
          <w:sz w:val="22"/>
          <w:szCs w:val="22"/>
        </w:rPr>
        <w:t xml:space="preserve">or </w:t>
      </w:r>
      <w:r w:rsidRPr="007003D6">
        <w:rPr>
          <w:sz w:val="22"/>
          <w:szCs w:val="22"/>
          <w:u w:val="single"/>
        </w:rPr>
        <w:t>actual</w:t>
      </w:r>
      <w:r>
        <w:rPr>
          <w:sz w:val="22"/>
          <w:szCs w:val="22"/>
          <w:u w:val="single"/>
        </w:rPr>
        <w:t xml:space="preserve"> </w:t>
      </w:r>
      <w:r w:rsidRPr="007003D6">
        <w:rPr>
          <w:sz w:val="22"/>
          <w:szCs w:val="22"/>
        </w:rPr>
        <w:t>serious breach has been identified, UCL CTC will inform the MHRA within 7 calendar days of becoming aware of the breach.</w:t>
      </w:r>
    </w:p>
    <w:p w14:paraId="36491AC7" w14:textId="77777777" w:rsidR="00DA67E8" w:rsidRPr="007003D6" w:rsidRDefault="00DA67E8" w:rsidP="00E33496">
      <w:pPr>
        <w:pStyle w:val="ProtTempparagraph"/>
        <w:spacing w:after="240"/>
        <w:rPr>
          <w:rStyle w:val="Strong"/>
          <w:rFonts w:cs="Arial"/>
          <w:b w:val="0"/>
          <w:bCs w:val="0"/>
          <w:sz w:val="22"/>
          <w:szCs w:val="22"/>
        </w:rPr>
      </w:pPr>
      <w:r w:rsidRPr="007003D6">
        <w:rPr>
          <w:sz w:val="22"/>
          <w:szCs w:val="22"/>
        </w:rPr>
        <w:t>Sites must have written procedures for notifying the sponsor of serious breaches (MHRA Guidance on the Notification of Serious Breaches)</w:t>
      </w:r>
      <w:r w:rsidRPr="007003D6">
        <w:rPr>
          <w:sz w:val="22"/>
          <w:szCs w:val="22"/>
          <w:lang w:val="en-US"/>
        </w:rPr>
        <w:t>.</w:t>
      </w:r>
    </w:p>
    <w:p w14:paraId="2D951C69" w14:textId="77777777" w:rsidR="00DA67E8" w:rsidRPr="007003D6" w:rsidRDefault="00DA67E8" w:rsidP="00E33496">
      <w:pPr>
        <w:pStyle w:val="ProtTempparagraph"/>
        <w:spacing w:after="240"/>
        <w:rPr>
          <w:sz w:val="22"/>
          <w:szCs w:val="22"/>
          <w:lang w:val="en-US"/>
        </w:rPr>
      </w:pPr>
      <w:r w:rsidRPr="007003D6">
        <w:rPr>
          <w:sz w:val="22"/>
          <w:szCs w:val="22"/>
        </w:rPr>
        <w:t>UCL CTC will use an organisation’s history of non-compliance to make decisions on future collaborations</w:t>
      </w:r>
      <w:r w:rsidRPr="007003D6">
        <w:rPr>
          <w:sz w:val="22"/>
          <w:szCs w:val="22"/>
          <w:lang w:val="en-US"/>
        </w:rPr>
        <w:t>.</w:t>
      </w:r>
    </w:p>
    <w:p w14:paraId="4C6FB2FF" w14:textId="77777777" w:rsidR="00DA67E8" w:rsidRDefault="00DA67E8">
      <w:pPr>
        <w:rPr>
          <w:rFonts w:ascii="Arial" w:hAnsi="Arial" w:cs="Arial"/>
        </w:rPr>
      </w:pPr>
    </w:p>
    <w:p w14:paraId="7432CC15" w14:textId="77777777" w:rsidR="00DA67E8" w:rsidRPr="009400C8" w:rsidRDefault="00DA67E8" w:rsidP="009400C8">
      <w:pPr>
        <w:pStyle w:val="Heading1"/>
      </w:pPr>
      <w:r>
        <w:br w:type="page"/>
      </w:r>
      <w:r w:rsidRPr="009400C8">
        <w:lastRenderedPageBreak/>
        <w:tab/>
      </w:r>
      <w:bookmarkStart w:id="869" w:name="_Toc283027382"/>
      <w:bookmarkStart w:id="870" w:name="_Toc283027603"/>
      <w:bookmarkStart w:id="871" w:name="_Toc283027784"/>
      <w:bookmarkStart w:id="872" w:name="_Toc283027949"/>
      <w:bookmarkStart w:id="873" w:name="_Toc283028242"/>
      <w:bookmarkStart w:id="874" w:name="_Toc283028407"/>
      <w:bookmarkStart w:id="875" w:name="_Toc283029469"/>
      <w:bookmarkStart w:id="876" w:name="_Toc283029634"/>
      <w:bookmarkStart w:id="877" w:name="_Toc283031842"/>
      <w:bookmarkStart w:id="878" w:name="_Toc283376379"/>
      <w:bookmarkStart w:id="879" w:name="_Toc283031843"/>
      <w:bookmarkStart w:id="880" w:name="_Toc283376380"/>
      <w:bookmarkStart w:id="881" w:name="_Toc333484783"/>
      <w:bookmarkStart w:id="882" w:name="_Toc333484898"/>
      <w:bookmarkStart w:id="883" w:name="_Toc351624850"/>
      <w:bookmarkStart w:id="884" w:name="_Toc471826812"/>
      <w:bookmarkStart w:id="885" w:name="_Toc528323579"/>
      <w:bookmarkEnd w:id="869"/>
      <w:bookmarkEnd w:id="870"/>
      <w:bookmarkEnd w:id="871"/>
      <w:bookmarkEnd w:id="872"/>
      <w:bookmarkEnd w:id="873"/>
      <w:bookmarkEnd w:id="874"/>
      <w:bookmarkEnd w:id="875"/>
      <w:bookmarkEnd w:id="876"/>
      <w:bookmarkEnd w:id="877"/>
      <w:bookmarkEnd w:id="878"/>
      <w:r w:rsidRPr="009400C8">
        <w:t>Trial Monitoring and Oversight</w:t>
      </w:r>
      <w:bookmarkEnd w:id="879"/>
      <w:bookmarkEnd w:id="880"/>
      <w:bookmarkEnd w:id="881"/>
      <w:bookmarkEnd w:id="882"/>
      <w:bookmarkEnd w:id="883"/>
      <w:bookmarkEnd w:id="884"/>
      <w:bookmarkEnd w:id="885"/>
    </w:p>
    <w:p w14:paraId="5BCC2D99" w14:textId="77777777" w:rsidR="00DA67E8" w:rsidRPr="003F205D" w:rsidRDefault="00DA67E8" w:rsidP="00E33496">
      <w:pPr>
        <w:pStyle w:val="ProtTempparagraph"/>
        <w:spacing w:after="240"/>
        <w:rPr>
          <w:sz w:val="22"/>
          <w:szCs w:val="22"/>
        </w:rPr>
      </w:pPr>
      <w:r w:rsidRPr="003F205D">
        <w:rPr>
          <w:sz w:val="22"/>
          <w:szCs w:val="22"/>
        </w:rPr>
        <w:t>Participating sites and PIs must agree to allow trial-related on-site monitoring, Sponsor audits and regulatory inspections by providing direct access to source data/documents as required.  Patients are informed of this in the patient information sheet and are asked to consent to their medical notes being reviewed by appropriate individuals on the consent form.</w:t>
      </w:r>
    </w:p>
    <w:p w14:paraId="42FE3D0B" w14:textId="77777777" w:rsidR="00DA67E8" w:rsidRPr="003F205D" w:rsidRDefault="00DA67E8" w:rsidP="00E33496">
      <w:pPr>
        <w:pStyle w:val="ProtTempparagraph"/>
        <w:spacing w:after="240"/>
        <w:rPr>
          <w:sz w:val="22"/>
          <w:szCs w:val="22"/>
        </w:rPr>
      </w:pPr>
      <w:r w:rsidRPr="003F205D">
        <w:rPr>
          <w:sz w:val="22"/>
          <w:szCs w:val="22"/>
        </w:rPr>
        <w:t>UCL CTC will determine the appropriate level and nature of monitoring required for the trial.  Risk will be assessed on an ongoing basis and adjustments made accordingly.</w:t>
      </w:r>
    </w:p>
    <w:p w14:paraId="2E78AF81" w14:textId="77777777" w:rsidR="00DA67E8" w:rsidRPr="00331A1A" w:rsidRDefault="00DA67E8" w:rsidP="00BF16F9">
      <w:pPr>
        <w:pStyle w:val="Heading2"/>
      </w:pPr>
      <w:r w:rsidRPr="00331A1A">
        <w:tab/>
      </w:r>
      <w:bookmarkStart w:id="886" w:name="_Toc283031844"/>
      <w:bookmarkStart w:id="887" w:name="_Toc283376381"/>
      <w:bookmarkStart w:id="888" w:name="_Toc333484784"/>
      <w:bookmarkStart w:id="889" w:name="_Toc333484899"/>
      <w:bookmarkStart w:id="890" w:name="_Toc351624851"/>
      <w:bookmarkStart w:id="891" w:name="_Toc471826813"/>
      <w:bookmarkStart w:id="892" w:name="_Toc528323580"/>
      <w:r w:rsidRPr="00331A1A">
        <w:t>On-Site Monitoring</w:t>
      </w:r>
      <w:bookmarkEnd w:id="886"/>
      <w:bookmarkEnd w:id="887"/>
      <w:bookmarkEnd w:id="888"/>
      <w:bookmarkEnd w:id="889"/>
      <w:bookmarkEnd w:id="890"/>
      <w:bookmarkEnd w:id="891"/>
      <w:bookmarkEnd w:id="892"/>
    </w:p>
    <w:p w14:paraId="66F1BFE7" w14:textId="77777777" w:rsidR="00DA67E8" w:rsidRPr="00331A1A" w:rsidRDefault="00DA67E8" w:rsidP="00E33496">
      <w:pPr>
        <w:pStyle w:val="ProtTempparagraph"/>
        <w:spacing w:after="240"/>
        <w:rPr>
          <w:sz w:val="22"/>
          <w:szCs w:val="22"/>
        </w:rPr>
      </w:pPr>
      <w:r w:rsidRPr="00331A1A">
        <w:rPr>
          <w:sz w:val="22"/>
          <w:szCs w:val="22"/>
        </w:rPr>
        <w:t>The degree of on-site monitoring will be proportionate to the objective, purpose, phase, design, size, complexity, endpoints and risks associated with the trial.</w:t>
      </w:r>
    </w:p>
    <w:p w14:paraId="635BEB2A" w14:textId="77777777" w:rsidR="00DA67E8" w:rsidRPr="00331A1A" w:rsidRDefault="00DA67E8" w:rsidP="00E33496">
      <w:pPr>
        <w:pStyle w:val="ProtTempparagraph"/>
        <w:spacing w:after="240"/>
        <w:rPr>
          <w:sz w:val="22"/>
          <w:szCs w:val="22"/>
        </w:rPr>
      </w:pPr>
      <w:r w:rsidRPr="00331A1A">
        <w:rPr>
          <w:sz w:val="22"/>
          <w:szCs w:val="22"/>
        </w:rPr>
        <w:t xml:space="preserve">Sites will be sent a letter in advance confirming when a routine monitoring visit is due.  The letter will </w:t>
      </w:r>
      <w:r w:rsidR="002F113D" w:rsidRPr="00331A1A">
        <w:rPr>
          <w:sz w:val="22"/>
          <w:szCs w:val="22"/>
        </w:rPr>
        <w:t>include</w:t>
      </w:r>
      <w:r w:rsidR="002F113D">
        <w:rPr>
          <w:sz w:val="22"/>
          <w:szCs w:val="22"/>
        </w:rPr>
        <w:t xml:space="preserve"> </w:t>
      </w:r>
      <w:r w:rsidR="002F113D" w:rsidRPr="00331A1A">
        <w:rPr>
          <w:sz w:val="22"/>
          <w:szCs w:val="22"/>
        </w:rPr>
        <w:t>a</w:t>
      </w:r>
      <w:r w:rsidRPr="00331A1A">
        <w:rPr>
          <w:sz w:val="22"/>
          <w:szCs w:val="22"/>
        </w:rPr>
        <w:t xml:space="preserve"> list of the documents to be reviewed, interviews that will be conducted, planned inspections of the facilities, who will be performing the visit and when the visit is likely to occur.</w:t>
      </w:r>
    </w:p>
    <w:p w14:paraId="585999D3" w14:textId="77777777" w:rsidR="00DA67E8" w:rsidRPr="00331A1A" w:rsidRDefault="00DA67E8" w:rsidP="00331A1A">
      <w:pPr>
        <w:pStyle w:val="ProtTempparagraph"/>
        <w:rPr>
          <w:sz w:val="22"/>
          <w:szCs w:val="22"/>
        </w:rPr>
      </w:pPr>
      <w:r w:rsidRPr="00331A1A">
        <w:rPr>
          <w:sz w:val="22"/>
          <w:szCs w:val="22"/>
        </w:rPr>
        <w:t xml:space="preserve">The Trial Coordinator will conduct </w:t>
      </w:r>
      <w:r w:rsidR="00DC4DB5">
        <w:rPr>
          <w:sz w:val="22"/>
          <w:szCs w:val="22"/>
        </w:rPr>
        <w:t xml:space="preserve">routine </w:t>
      </w:r>
      <w:r w:rsidRPr="00331A1A">
        <w:rPr>
          <w:sz w:val="22"/>
          <w:szCs w:val="22"/>
        </w:rPr>
        <w:t>monitoring visits.</w:t>
      </w:r>
    </w:p>
    <w:p w14:paraId="006F1F41" w14:textId="77777777" w:rsidR="00DA67E8" w:rsidRPr="00673EFB" w:rsidRDefault="00DC4DB5" w:rsidP="00673EFB">
      <w:pPr>
        <w:pStyle w:val="ProtTempparagraph"/>
        <w:rPr>
          <w:sz w:val="22"/>
          <w:szCs w:val="22"/>
        </w:rPr>
      </w:pPr>
      <w:r w:rsidRPr="00673EFB">
        <w:rPr>
          <w:sz w:val="22"/>
          <w:szCs w:val="22"/>
        </w:rPr>
        <w:t xml:space="preserve">The frequency and level of monitoring will be specified in the Trial Monitoring Plan which may be updated during the trial. </w:t>
      </w:r>
    </w:p>
    <w:p w14:paraId="420EADCC" w14:textId="77777777" w:rsidR="008345B7" w:rsidRDefault="008345B7" w:rsidP="008345B7">
      <w:pPr>
        <w:pStyle w:val="ProtTempparagraph"/>
        <w:spacing w:after="0"/>
        <w:rPr>
          <w:sz w:val="22"/>
          <w:szCs w:val="22"/>
        </w:rPr>
      </w:pPr>
    </w:p>
    <w:p w14:paraId="482E32E4" w14:textId="77777777" w:rsidR="00DA67E8" w:rsidRPr="00D240C4" w:rsidRDefault="00DA67E8" w:rsidP="008345B7">
      <w:pPr>
        <w:pStyle w:val="ProtTempparagraph"/>
        <w:spacing w:after="0"/>
        <w:rPr>
          <w:b/>
          <w:sz w:val="22"/>
          <w:szCs w:val="22"/>
        </w:rPr>
      </w:pPr>
      <w:r w:rsidRPr="00D240C4">
        <w:rPr>
          <w:b/>
          <w:sz w:val="22"/>
          <w:szCs w:val="22"/>
        </w:rPr>
        <w:t xml:space="preserve">Monitoring </w:t>
      </w:r>
      <w:r w:rsidR="00DC4911">
        <w:rPr>
          <w:b/>
          <w:sz w:val="22"/>
          <w:szCs w:val="22"/>
        </w:rPr>
        <w:t>Follow up</w:t>
      </w:r>
    </w:p>
    <w:p w14:paraId="2F633A95" w14:textId="77777777" w:rsidR="001B74AE" w:rsidRPr="00331A1A" w:rsidRDefault="001B74AE" w:rsidP="008345B7">
      <w:pPr>
        <w:pStyle w:val="ProtTempparagraph"/>
        <w:spacing w:after="0"/>
        <w:rPr>
          <w:sz w:val="22"/>
          <w:szCs w:val="22"/>
        </w:rPr>
      </w:pPr>
    </w:p>
    <w:p w14:paraId="0CCB333C" w14:textId="0751F0D0" w:rsidR="00DA67E8" w:rsidRPr="00331A1A" w:rsidRDefault="00DA67E8" w:rsidP="00E33496">
      <w:pPr>
        <w:pStyle w:val="ProtTempparagraph"/>
        <w:spacing w:after="240"/>
        <w:rPr>
          <w:sz w:val="22"/>
          <w:szCs w:val="22"/>
        </w:rPr>
      </w:pPr>
      <w:r w:rsidRPr="00331A1A">
        <w:rPr>
          <w:sz w:val="22"/>
          <w:szCs w:val="22"/>
        </w:rPr>
        <w:t xml:space="preserve">Following a monitoring visit, the Trial Monitor/Trial Coordinator will provide a </w:t>
      </w:r>
      <w:r w:rsidR="00DC4911">
        <w:rPr>
          <w:sz w:val="22"/>
          <w:szCs w:val="22"/>
        </w:rPr>
        <w:t>follow up email</w:t>
      </w:r>
      <w:r w:rsidR="00DC4911" w:rsidRPr="00331A1A">
        <w:rPr>
          <w:sz w:val="22"/>
          <w:szCs w:val="22"/>
        </w:rPr>
        <w:t xml:space="preserve"> </w:t>
      </w:r>
      <w:r w:rsidRPr="00331A1A">
        <w:rPr>
          <w:sz w:val="22"/>
          <w:szCs w:val="22"/>
        </w:rPr>
        <w:t xml:space="preserve">to the site, which will summarise the documents reviewed and a statement of findings, </w:t>
      </w:r>
      <w:r w:rsidR="00DC4911">
        <w:rPr>
          <w:sz w:val="22"/>
          <w:szCs w:val="22"/>
        </w:rPr>
        <w:t>incidents</w:t>
      </w:r>
      <w:r w:rsidRPr="00331A1A">
        <w:rPr>
          <w:sz w:val="22"/>
          <w:szCs w:val="22"/>
        </w:rPr>
        <w:t>, deficiencies, conclusions, actions taken and</w:t>
      </w:r>
      <w:r w:rsidR="001E7AE3">
        <w:rPr>
          <w:sz w:val="22"/>
          <w:szCs w:val="22"/>
        </w:rPr>
        <w:t>/or</w:t>
      </w:r>
      <w:r w:rsidRPr="00331A1A">
        <w:rPr>
          <w:sz w:val="22"/>
          <w:szCs w:val="22"/>
        </w:rPr>
        <w:t xml:space="preserve"> actions required. The PI at each site will be responsible for ensuring that monitoring findings are addressed </w:t>
      </w:r>
      <w:r w:rsidR="001E7AE3" w:rsidRPr="001E7AE3">
        <w:rPr>
          <w:sz w:val="22"/>
        </w:rPr>
        <w:t>in a timely manner, and by the deadline specified</w:t>
      </w:r>
      <w:r w:rsidR="001E7AE3">
        <w:t>,</w:t>
      </w:r>
      <w:r w:rsidR="001E7AE3" w:rsidRPr="00331A1A">
        <w:rPr>
          <w:sz w:val="22"/>
          <w:szCs w:val="22"/>
        </w:rPr>
        <w:t xml:space="preserve"> </w:t>
      </w:r>
      <w:r w:rsidRPr="00331A1A">
        <w:rPr>
          <w:sz w:val="22"/>
          <w:szCs w:val="22"/>
        </w:rPr>
        <w:t>(this may be delegated to an appropriate member of staff).</w:t>
      </w:r>
    </w:p>
    <w:p w14:paraId="6A7934C0" w14:textId="77777777" w:rsidR="00DA67E8" w:rsidRPr="00FD172E" w:rsidRDefault="00DA67E8" w:rsidP="00BF16F9">
      <w:pPr>
        <w:pStyle w:val="Heading2"/>
      </w:pPr>
      <w:r w:rsidRPr="00FD172E">
        <w:tab/>
      </w:r>
      <w:bookmarkStart w:id="893" w:name="_Toc283031846"/>
      <w:bookmarkStart w:id="894" w:name="_Toc283376383"/>
      <w:bookmarkStart w:id="895" w:name="_Toc333484785"/>
      <w:bookmarkStart w:id="896" w:name="_Toc333484900"/>
      <w:bookmarkStart w:id="897" w:name="_Toc351624852"/>
      <w:bookmarkStart w:id="898" w:name="_Toc471826814"/>
      <w:bookmarkStart w:id="899" w:name="_Toc528323581"/>
      <w:r w:rsidRPr="00FD172E">
        <w:t>Central Monitoring</w:t>
      </w:r>
      <w:bookmarkEnd w:id="893"/>
      <w:bookmarkEnd w:id="894"/>
      <w:bookmarkEnd w:id="895"/>
      <w:bookmarkEnd w:id="896"/>
      <w:bookmarkEnd w:id="897"/>
      <w:bookmarkEnd w:id="898"/>
      <w:bookmarkEnd w:id="899"/>
    </w:p>
    <w:p w14:paraId="46E98D2E" w14:textId="77777777" w:rsidR="00DA67E8" w:rsidRPr="00331A1A" w:rsidRDefault="00DA67E8" w:rsidP="00331A1A">
      <w:pPr>
        <w:pStyle w:val="ProtTempparagraph"/>
        <w:rPr>
          <w:sz w:val="22"/>
          <w:szCs w:val="22"/>
        </w:rPr>
      </w:pPr>
      <w:r w:rsidRPr="00673EFB">
        <w:rPr>
          <w:b/>
          <w:sz w:val="22"/>
          <w:szCs w:val="22"/>
        </w:rPr>
        <w:t>Sites will be requested to submit screening logs and staff delegation logs to UCL CTC on request and these will be checked for consistency and completeness.</w:t>
      </w:r>
      <w:r>
        <w:rPr>
          <w:sz w:val="22"/>
          <w:szCs w:val="22"/>
        </w:rPr>
        <w:t xml:space="preserve"> (Also refer to section 3.</w:t>
      </w:r>
      <w:r w:rsidR="00AE20A7">
        <w:rPr>
          <w:sz w:val="22"/>
          <w:szCs w:val="22"/>
        </w:rPr>
        <w:t>4</w:t>
      </w:r>
      <w:r>
        <w:rPr>
          <w:sz w:val="22"/>
          <w:szCs w:val="22"/>
        </w:rPr>
        <w:t>.</w:t>
      </w:r>
      <w:r w:rsidR="00AE20A7">
        <w:rPr>
          <w:sz w:val="22"/>
          <w:szCs w:val="22"/>
        </w:rPr>
        <w:t>2</w:t>
      </w:r>
      <w:r>
        <w:rPr>
          <w:sz w:val="22"/>
          <w:szCs w:val="22"/>
        </w:rPr>
        <w:t xml:space="preserve">: </w:t>
      </w:r>
      <w:r w:rsidRPr="00331A1A">
        <w:rPr>
          <w:sz w:val="22"/>
          <w:szCs w:val="22"/>
        </w:rPr>
        <w:t xml:space="preserve">Required </w:t>
      </w:r>
      <w:r w:rsidR="00B329B3" w:rsidRPr="00331A1A">
        <w:rPr>
          <w:sz w:val="22"/>
          <w:szCs w:val="22"/>
        </w:rPr>
        <w:t>documentation</w:t>
      </w:r>
      <w:r w:rsidRPr="00331A1A">
        <w:rPr>
          <w:sz w:val="22"/>
          <w:szCs w:val="22"/>
        </w:rPr>
        <w:t xml:space="preserve"> and section 5.2, Screening Logs)</w:t>
      </w:r>
      <w:r>
        <w:rPr>
          <w:sz w:val="22"/>
          <w:szCs w:val="22"/>
        </w:rPr>
        <w:t>.</w:t>
      </w:r>
    </w:p>
    <w:p w14:paraId="08D9F8FA" w14:textId="77777777" w:rsidR="00DA67E8" w:rsidRPr="00331A1A" w:rsidRDefault="001E7AE3" w:rsidP="00331A1A">
      <w:pPr>
        <w:pStyle w:val="ProtTempparagraph"/>
        <w:rPr>
          <w:sz w:val="22"/>
          <w:szCs w:val="22"/>
        </w:rPr>
      </w:pPr>
      <w:r w:rsidRPr="001E7AE3">
        <w:rPr>
          <w:sz w:val="22"/>
          <w:szCs w:val="22"/>
        </w:rPr>
        <w:t>Ensuring</w:t>
      </w:r>
      <w:r w:rsidRPr="001E7AE3">
        <w:rPr>
          <w:color w:val="FF0000"/>
          <w:sz w:val="22"/>
          <w:szCs w:val="22"/>
        </w:rPr>
        <w:t xml:space="preserve"> </w:t>
      </w:r>
      <w:r w:rsidRPr="001E7AE3">
        <w:rPr>
          <w:sz w:val="22"/>
          <w:szCs w:val="22"/>
        </w:rPr>
        <w:t>patient eligibility is the responsibility of the PI or other delegated Investigator(s).</w:t>
      </w:r>
      <w:r>
        <w:t xml:space="preserve"> </w:t>
      </w:r>
      <w:r w:rsidR="00DA67E8" w:rsidRPr="00331A1A">
        <w:rPr>
          <w:sz w:val="22"/>
          <w:szCs w:val="22"/>
        </w:rPr>
        <w:t>Checks of the criteria listed on the randomisation form will be undertaken by an appropriately trained UCL CTC staff member prior to randomisation.</w:t>
      </w:r>
    </w:p>
    <w:p w14:paraId="2D314B70" w14:textId="77777777" w:rsidR="00DA67E8" w:rsidRDefault="00DA67E8" w:rsidP="00331A1A">
      <w:pPr>
        <w:pStyle w:val="ProtTempparagraph"/>
        <w:rPr>
          <w:sz w:val="22"/>
          <w:szCs w:val="22"/>
        </w:rPr>
      </w:pPr>
      <w:r w:rsidRPr="00673EFB">
        <w:rPr>
          <w:b/>
          <w:sz w:val="22"/>
          <w:szCs w:val="22"/>
        </w:rPr>
        <w:t>Copies of the drug accountability logs will be collected at UCL CTC for all trial patients</w:t>
      </w:r>
      <w:r w:rsidRPr="00331A1A">
        <w:rPr>
          <w:sz w:val="22"/>
          <w:szCs w:val="22"/>
        </w:rPr>
        <w:t>. Sites will be required to submit logs following the patient’s completion in the trial or on request</w:t>
      </w:r>
      <w:r w:rsidR="00F86724">
        <w:rPr>
          <w:sz w:val="22"/>
          <w:szCs w:val="22"/>
        </w:rPr>
        <w:t xml:space="preserve"> if not collected previously at an on-site monitoring visit</w:t>
      </w:r>
      <w:r w:rsidR="00B329B3">
        <w:rPr>
          <w:sz w:val="22"/>
          <w:szCs w:val="22"/>
        </w:rPr>
        <w:t>.</w:t>
      </w:r>
      <w:r w:rsidRPr="00331A1A">
        <w:rPr>
          <w:sz w:val="22"/>
          <w:szCs w:val="22"/>
        </w:rPr>
        <w:t xml:space="preserve"> (Also refer to </w:t>
      </w:r>
      <w:r w:rsidR="001B74AE" w:rsidRPr="00331A1A">
        <w:rPr>
          <w:sz w:val="22"/>
          <w:szCs w:val="22"/>
        </w:rPr>
        <w:t xml:space="preserve">section </w:t>
      </w:r>
      <w:r w:rsidR="001B74AE">
        <w:rPr>
          <w:sz w:val="22"/>
          <w:szCs w:val="22"/>
        </w:rPr>
        <w:t>7.4.2</w:t>
      </w:r>
      <w:r w:rsidR="007C42F9">
        <w:rPr>
          <w:sz w:val="22"/>
          <w:szCs w:val="22"/>
        </w:rPr>
        <w:t xml:space="preserve"> </w:t>
      </w:r>
      <w:r w:rsidRPr="00331A1A">
        <w:rPr>
          <w:sz w:val="22"/>
          <w:szCs w:val="22"/>
        </w:rPr>
        <w:t>Pharmacy Responsibilities)</w:t>
      </w:r>
    </w:p>
    <w:p w14:paraId="5727DF81" w14:textId="77777777" w:rsidR="007A4374" w:rsidRDefault="007A4374" w:rsidP="00673EFB">
      <w:pPr>
        <w:pStyle w:val="ProtTempparagraph"/>
        <w:rPr>
          <w:b/>
          <w:sz w:val="22"/>
          <w:szCs w:val="22"/>
        </w:rPr>
      </w:pPr>
    </w:p>
    <w:p w14:paraId="2FB62D35" w14:textId="77777777" w:rsidR="002E7FA2" w:rsidRPr="00673EFB" w:rsidRDefault="002E7FA2" w:rsidP="00673EFB">
      <w:pPr>
        <w:pStyle w:val="ProtTempparagraph"/>
        <w:rPr>
          <w:sz w:val="22"/>
          <w:szCs w:val="22"/>
        </w:rPr>
      </w:pPr>
      <w:r w:rsidRPr="00673EFB">
        <w:rPr>
          <w:b/>
          <w:sz w:val="22"/>
          <w:szCs w:val="22"/>
        </w:rPr>
        <w:t xml:space="preserve">Sites will be requested to conduct quality control checks of documentation </w:t>
      </w:r>
      <w:r w:rsidRPr="00673EFB">
        <w:rPr>
          <w:sz w:val="22"/>
          <w:szCs w:val="22"/>
        </w:rPr>
        <w:t>held within the Investigator Site File and Pharmacy Site File at the frequency detailed in the trial monitoring plan. Checklists detailing the current version/date of version controlled documents will be provided for this purpose.</w:t>
      </w:r>
    </w:p>
    <w:p w14:paraId="7AF11FD2" w14:textId="77777777" w:rsidR="002E7FA2" w:rsidRPr="00331A1A" w:rsidRDefault="002E7FA2" w:rsidP="007A4374">
      <w:pPr>
        <w:pStyle w:val="ProtTempparagraph"/>
        <w:rPr>
          <w:sz w:val="22"/>
          <w:szCs w:val="22"/>
        </w:rPr>
      </w:pPr>
      <w:r w:rsidRPr="00673EFB">
        <w:rPr>
          <w:sz w:val="22"/>
          <w:szCs w:val="22"/>
        </w:rPr>
        <w:lastRenderedPageBreak/>
        <w:t>Data received at UCL CTC will be subject to review in accordance wi</w:t>
      </w:r>
      <w:r w:rsidR="007A4374">
        <w:rPr>
          <w:sz w:val="22"/>
          <w:szCs w:val="22"/>
        </w:rPr>
        <w:t>th section 9.</w:t>
      </w:r>
      <w:r w:rsidR="007C42F9">
        <w:rPr>
          <w:sz w:val="22"/>
          <w:szCs w:val="22"/>
        </w:rPr>
        <w:t xml:space="preserve">4 </w:t>
      </w:r>
      <w:r w:rsidR="007A4374">
        <w:rPr>
          <w:sz w:val="22"/>
          <w:szCs w:val="22"/>
        </w:rPr>
        <w:t xml:space="preserve">(Data Queries). </w:t>
      </w:r>
    </w:p>
    <w:p w14:paraId="0F5EA5C4" w14:textId="77777777" w:rsidR="00DA67E8" w:rsidRDefault="00A54323" w:rsidP="00E33496">
      <w:pPr>
        <w:pStyle w:val="Default"/>
        <w:spacing w:after="240"/>
        <w:jc w:val="both"/>
        <w:rPr>
          <w:rFonts w:ascii="Arial" w:hAnsi="Arial" w:cs="Arial"/>
          <w:color w:val="auto"/>
          <w:sz w:val="22"/>
          <w:szCs w:val="22"/>
        </w:rPr>
      </w:pPr>
      <w:r>
        <w:rPr>
          <w:rFonts w:ascii="Arial" w:hAnsi="Arial" w:cs="Arial"/>
          <w:color w:val="auto"/>
          <w:sz w:val="22"/>
          <w:szCs w:val="22"/>
        </w:rPr>
        <w:t xml:space="preserve">Where </w:t>
      </w:r>
      <w:r w:rsidR="00DA67E8" w:rsidRPr="00331A1A">
        <w:rPr>
          <w:rFonts w:ascii="Arial" w:hAnsi="Arial" w:cs="Arial"/>
          <w:color w:val="auto"/>
          <w:sz w:val="22"/>
          <w:szCs w:val="22"/>
        </w:rPr>
        <w:t>monitoring</w:t>
      </w:r>
      <w:r>
        <w:rPr>
          <w:rFonts w:ascii="Arial" w:hAnsi="Arial" w:cs="Arial"/>
          <w:color w:val="auto"/>
          <w:sz w:val="22"/>
          <w:szCs w:val="22"/>
        </w:rPr>
        <w:t>/central monitoring</w:t>
      </w:r>
      <w:r w:rsidR="00DA67E8" w:rsidRPr="00331A1A">
        <w:rPr>
          <w:rFonts w:ascii="Arial" w:hAnsi="Arial" w:cs="Arial"/>
          <w:color w:val="auto"/>
          <w:sz w:val="22"/>
          <w:szCs w:val="22"/>
        </w:rPr>
        <w:t xml:space="preserve"> of data and/or documentation submitted by sites indicates that a patient may have been placed at risk (e.g. evidence of an overdose having been administered, indication that stopping rules for an IMP were not observed following an adverse reaction, etc.), the matter will be raised urgently with site staff and escalated as appropriate refer to section 11</w:t>
      </w:r>
      <w:r w:rsidR="007A4374">
        <w:rPr>
          <w:rFonts w:ascii="Arial" w:hAnsi="Arial" w:cs="Arial"/>
          <w:color w:val="auto"/>
          <w:sz w:val="22"/>
          <w:szCs w:val="22"/>
        </w:rPr>
        <w:t xml:space="preserve"> </w:t>
      </w:r>
      <w:r w:rsidR="00DA67E8" w:rsidRPr="00331A1A">
        <w:rPr>
          <w:rFonts w:ascii="Arial" w:hAnsi="Arial" w:cs="Arial"/>
          <w:color w:val="auto"/>
          <w:sz w:val="22"/>
          <w:szCs w:val="22"/>
        </w:rPr>
        <w:t>(Incident Reporting and Serious Breaches) and 12.3</w:t>
      </w:r>
      <w:r w:rsidR="007A4374">
        <w:rPr>
          <w:rFonts w:ascii="Arial" w:hAnsi="Arial" w:cs="Arial"/>
          <w:color w:val="auto"/>
          <w:sz w:val="22"/>
          <w:szCs w:val="22"/>
        </w:rPr>
        <w:t xml:space="preserve"> </w:t>
      </w:r>
      <w:r w:rsidR="00DA67E8" w:rsidRPr="00331A1A">
        <w:rPr>
          <w:rFonts w:ascii="Arial" w:hAnsi="Arial" w:cs="Arial"/>
          <w:color w:val="auto"/>
          <w:sz w:val="22"/>
          <w:szCs w:val="22"/>
        </w:rPr>
        <w:t>(‘For cause’ on-site monitoring) for further details.</w:t>
      </w:r>
    </w:p>
    <w:p w14:paraId="3D0A0806" w14:textId="77777777" w:rsidR="00DA67E8" w:rsidRPr="00331A1A" w:rsidRDefault="00DA67E8" w:rsidP="00BF16F9">
      <w:pPr>
        <w:pStyle w:val="Heading2"/>
      </w:pPr>
      <w:r w:rsidRPr="00331A1A">
        <w:tab/>
      </w:r>
      <w:bookmarkStart w:id="900" w:name="_Toc283027387"/>
      <w:bookmarkStart w:id="901" w:name="_Toc283027608"/>
      <w:bookmarkStart w:id="902" w:name="_Toc283027789"/>
      <w:bookmarkStart w:id="903" w:name="_Toc283027954"/>
      <w:bookmarkStart w:id="904" w:name="_Toc283028247"/>
      <w:bookmarkStart w:id="905" w:name="_Toc283028412"/>
      <w:bookmarkStart w:id="906" w:name="_Toc283029474"/>
      <w:bookmarkStart w:id="907" w:name="_Toc283029639"/>
      <w:bookmarkStart w:id="908" w:name="_Toc283031847"/>
      <w:bookmarkStart w:id="909" w:name="_Toc283376384"/>
      <w:bookmarkStart w:id="910" w:name="_Toc283027388"/>
      <w:bookmarkStart w:id="911" w:name="_Toc283027609"/>
      <w:bookmarkStart w:id="912" w:name="_Toc283027790"/>
      <w:bookmarkStart w:id="913" w:name="_Toc283027955"/>
      <w:bookmarkStart w:id="914" w:name="_Toc283028248"/>
      <w:bookmarkStart w:id="915" w:name="_Toc283028413"/>
      <w:bookmarkStart w:id="916" w:name="_Toc283029475"/>
      <w:bookmarkStart w:id="917" w:name="_Toc283029640"/>
      <w:bookmarkStart w:id="918" w:name="_Toc283031848"/>
      <w:bookmarkStart w:id="919" w:name="_Toc283376385"/>
      <w:bookmarkStart w:id="920" w:name="_Toc283031849"/>
      <w:bookmarkStart w:id="921" w:name="_Toc283376386"/>
      <w:bookmarkStart w:id="922" w:name="_Toc333484786"/>
      <w:bookmarkStart w:id="923" w:name="_Toc333484901"/>
      <w:bookmarkStart w:id="924" w:name="_Toc351624853"/>
      <w:bookmarkStart w:id="925" w:name="_Toc471826815"/>
      <w:bookmarkStart w:id="926" w:name="_Toc528323582"/>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001935D9">
        <w:rPr>
          <w:lang w:val="en-GB"/>
        </w:rPr>
        <w:t>‘</w:t>
      </w:r>
      <w:r w:rsidRPr="00331A1A">
        <w:t>For Cause’ On-Site Monitoring</w:t>
      </w:r>
      <w:bookmarkEnd w:id="920"/>
      <w:bookmarkEnd w:id="921"/>
      <w:bookmarkEnd w:id="922"/>
      <w:bookmarkEnd w:id="923"/>
      <w:bookmarkEnd w:id="924"/>
      <w:bookmarkEnd w:id="925"/>
      <w:bookmarkEnd w:id="926"/>
    </w:p>
    <w:p w14:paraId="44E2B462" w14:textId="77777777" w:rsidR="00DA67E8" w:rsidRPr="00331A1A" w:rsidRDefault="00DA67E8" w:rsidP="00331A1A">
      <w:pPr>
        <w:pStyle w:val="ProtTempparagraph"/>
        <w:rPr>
          <w:sz w:val="22"/>
          <w:szCs w:val="22"/>
        </w:rPr>
      </w:pPr>
      <w:r w:rsidRPr="00331A1A">
        <w:rPr>
          <w:sz w:val="22"/>
          <w:szCs w:val="22"/>
        </w:rPr>
        <w:t xml:space="preserve">Additional </w:t>
      </w:r>
      <w:r w:rsidRPr="00331A1A">
        <w:rPr>
          <w:color w:val="000000"/>
          <w:sz w:val="22"/>
          <w:szCs w:val="22"/>
        </w:rPr>
        <w:t>o</w:t>
      </w:r>
      <w:r w:rsidRPr="00331A1A">
        <w:rPr>
          <w:sz w:val="22"/>
          <w:szCs w:val="22"/>
        </w:rPr>
        <w:t>n-site monitoring visits may be scheduled where there is evidence or suspicion of non-compliance at a site with important aspect(s) of the trial protocol/GCP requirements.  Sites will be sent a letter in advance outlining the reason(s) for the visit, a list of the documents that are to be reviewed, interviews that will be conducted, planned inspections of the facilities, who will be performing the visit and when the visit will likely occur.</w:t>
      </w:r>
    </w:p>
    <w:p w14:paraId="482EE426" w14:textId="77777777" w:rsidR="00DA67E8" w:rsidRPr="00331A1A" w:rsidRDefault="00DA67E8" w:rsidP="00331A1A">
      <w:pPr>
        <w:pStyle w:val="ProtTempparagraph"/>
        <w:rPr>
          <w:sz w:val="22"/>
          <w:szCs w:val="22"/>
        </w:rPr>
      </w:pPr>
      <w:r w:rsidRPr="00331A1A">
        <w:rPr>
          <w:sz w:val="22"/>
          <w:szCs w:val="22"/>
        </w:rPr>
        <w:t xml:space="preserve">UCL CTC will assess whether it is appropriate for the site to continue participation in the trial and whether the incident(s) constitute a serious breach. See section 11, </w:t>
      </w:r>
      <w:r w:rsidR="007C42F9">
        <w:rPr>
          <w:sz w:val="22"/>
          <w:szCs w:val="22"/>
        </w:rPr>
        <w:t>(</w:t>
      </w:r>
      <w:r w:rsidRPr="00331A1A">
        <w:rPr>
          <w:sz w:val="22"/>
          <w:szCs w:val="22"/>
        </w:rPr>
        <w:t>Incident Reporting and Serious Breaches</w:t>
      </w:r>
      <w:r w:rsidR="007C42F9">
        <w:rPr>
          <w:sz w:val="22"/>
          <w:szCs w:val="22"/>
        </w:rPr>
        <w:t>),</w:t>
      </w:r>
      <w:r w:rsidRPr="00331A1A">
        <w:rPr>
          <w:sz w:val="22"/>
          <w:szCs w:val="22"/>
        </w:rPr>
        <w:t xml:space="preserve"> for details</w:t>
      </w:r>
      <w:r w:rsidR="007C42F9">
        <w:rPr>
          <w:sz w:val="22"/>
          <w:szCs w:val="22"/>
        </w:rPr>
        <w:t>.</w:t>
      </w:r>
    </w:p>
    <w:p w14:paraId="49F369C2" w14:textId="77777777" w:rsidR="00DA67E8" w:rsidRDefault="00DA67E8" w:rsidP="00BF16F9">
      <w:pPr>
        <w:pStyle w:val="Heading2"/>
      </w:pPr>
      <w:r>
        <w:tab/>
      </w:r>
      <w:bookmarkStart w:id="927" w:name="_Toc283031850"/>
      <w:bookmarkStart w:id="928" w:name="_Toc283376387"/>
      <w:bookmarkStart w:id="929" w:name="_Toc333484787"/>
      <w:bookmarkStart w:id="930" w:name="_Toc333484902"/>
      <w:bookmarkStart w:id="931" w:name="_Toc351624854"/>
      <w:bookmarkStart w:id="932" w:name="_Toc471826816"/>
      <w:bookmarkStart w:id="933" w:name="_Toc528323583"/>
      <w:r w:rsidRPr="00A23D8C">
        <w:t>Oversight Committees</w:t>
      </w:r>
      <w:bookmarkEnd w:id="927"/>
      <w:bookmarkEnd w:id="928"/>
      <w:bookmarkEnd w:id="929"/>
      <w:bookmarkEnd w:id="930"/>
      <w:bookmarkEnd w:id="931"/>
      <w:bookmarkEnd w:id="932"/>
      <w:bookmarkEnd w:id="933"/>
    </w:p>
    <w:p w14:paraId="1A2D1D28" w14:textId="77777777" w:rsidR="00DA67E8" w:rsidRPr="00E876A0" w:rsidRDefault="00DA67E8" w:rsidP="00E876A0">
      <w:pPr>
        <w:pStyle w:val="Heading3"/>
        <w:ind w:left="851" w:hanging="851"/>
        <w:rPr>
          <w:sz w:val="22"/>
          <w:szCs w:val="22"/>
        </w:rPr>
      </w:pPr>
      <w:bookmarkStart w:id="934" w:name="_Toc283031851"/>
      <w:bookmarkStart w:id="935" w:name="_Toc283376388"/>
      <w:bookmarkStart w:id="936" w:name="_Toc333484788"/>
      <w:bookmarkStart w:id="937" w:name="_Toc333484903"/>
      <w:bookmarkStart w:id="938" w:name="_Toc351624855"/>
      <w:bookmarkStart w:id="939" w:name="_Toc471826817"/>
      <w:bookmarkStart w:id="940" w:name="_Toc528323584"/>
      <w:r w:rsidRPr="00E876A0">
        <w:rPr>
          <w:sz w:val="22"/>
          <w:szCs w:val="22"/>
        </w:rPr>
        <w:t>Trial Management Group (TMG)</w:t>
      </w:r>
      <w:bookmarkEnd w:id="934"/>
      <w:bookmarkEnd w:id="935"/>
      <w:bookmarkEnd w:id="936"/>
      <w:bookmarkEnd w:id="937"/>
      <w:bookmarkEnd w:id="938"/>
      <w:bookmarkEnd w:id="939"/>
      <w:bookmarkEnd w:id="940"/>
    </w:p>
    <w:p w14:paraId="4FC44DAA" w14:textId="77777777" w:rsidR="00DA67E8" w:rsidRPr="00331A1A" w:rsidRDefault="00DA67E8" w:rsidP="00E33496">
      <w:pPr>
        <w:pStyle w:val="ProtTempparagraph"/>
        <w:spacing w:after="240"/>
        <w:rPr>
          <w:sz w:val="22"/>
          <w:szCs w:val="22"/>
        </w:rPr>
      </w:pPr>
      <w:r w:rsidRPr="00331A1A">
        <w:rPr>
          <w:sz w:val="22"/>
          <w:szCs w:val="22"/>
        </w:rPr>
        <w:t xml:space="preserve">The TMG will include the Chief Investigator, clinicians and experts from relevant specialities and MESO-02 trial staff from UCL CTC </w:t>
      </w:r>
      <w:r w:rsidRPr="00DB1B4F">
        <w:rPr>
          <w:sz w:val="22"/>
          <w:szCs w:val="22"/>
        </w:rPr>
        <w:t xml:space="preserve">(see page </w:t>
      </w:r>
      <w:r w:rsidR="00DF60C0" w:rsidRPr="00DB1B4F">
        <w:rPr>
          <w:sz w:val="22"/>
          <w:szCs w:val="22"/>
        </w:rPr>
        <w:t>2</w:t>
      </w:r>
      <w:r w:rsidRPr="00DB1B4F">
        <w:rPr>
          <w:sz w:val="22"/>
          <w:szCs w:val="22"/>
        </w:rPr>
        <w:t>).</w:t>
      </w:r>
      <w:r w:rsidRPr="00331A1A">
        <w:rPr>
          <w:sz w:val="22"/>
          <w:szCs w:val="22"/>
        </w:rPr>
        <w:t xml:space="preserve">  The TMG will be responsible for overseeing the trial.  The group will meet regularly but no less than twice a year and will send updates to PIs (via newsletters or at Investigator meetings) and to the NCRI Lung Clinical Studies Group. </w:t>
      </w:r>
    </w:p>
    <w:p w14:paraId="38E44D32" w14:textId="77777777" w:rsidR="00DA67E8" w:rsidRPr="00331A1A" w:rsidRDefault="00DA67E8" w:rsidP="00E33496">
      <w:pPr>
        <w:pStyle w:val="ProtTempparagraph"/>
        <w:spacing w:after="240"/>
        <w:rPr>
          <w:sz w:val="22"/>
          <w:szCs w:val="22"/>
        </w:rPr>
      </w:pPr>
      <w:r w:rsidRPr="00331A1A">
        <w:rPr>
          <w:sz w:val="22"/>
          <w:szCs w:val="22"/>
        </w:rPr>
        <w:t>The TMG will review substantial amendments to the protocol prior to submission to the REC and MHRA.  All PIs will be kept informed of substantial amendments through their nominated responsible individuals. All members will be required to sign the MESO-02 TMG charter.</w:t>
      </w:r>
    </w:p>
    <w:p w14:paraId="29725A39" w14:textId="77777777" w:rsidR="00DA67E8" w:rsidRPr="00FC20CF" w:rsidRDefault="00DA67E8" w:rsidP="00E876A0">
      <w:pPr>
        <w:pStyle w:val="Heading3"/>
        <w:ind w:left="851" w:hanging="851"/>
        <w:rPr>
          <w:szCs w:val="24"/>
        </w:rPr>
      </w:pPr>
      <w:bookmarkStart w:id="941" w:name="_Toc283031852"/>
      <w:bookmarkStart w:id="942" w:name="_Toc283376389"/>
      <w:bookmarkStart w:id="943" w:name="_Toc333484789"/>
      <w:bookmarkStart w:id="944" w:name="_Toc333484904"/>
      <w:bookmarkStart w:id="945" w:name="_Toc351624856"/>
      <w:bookmarkStart w:id="946" w:name="_Toc471826818"/>
      <w:bookmarkStart w:id="947" w:name="_Toc528323585"/>
      <w:r w:rsidRPr="00FC20CF">
        <w:rPr>
          <w:szCs w:val="24"/>
        </w:rPr>
        <w:t>Trial Steering Committee (TSC)</w:t>
      </w:r>
      <w:bookmarkEnd w:id="941"/>
      <w:bookmarkEnd w:id="942"/>
      <w:bookmarkEnd w:id="943"/>
      <w:bookmarkEnd w:id="944"/>
      <w:bookmarkEnd w:id="945"/>
      <w:bookmarkEnd w:id="946"/>
      <w:bookmarkEnd w:id="947"/>
    </w:p>
    <w:p w14:paraId="22FBF521" w14:textId="77777777" w:rsidR="00DA67E8" w:rsidRPr="003F205D" w:rsidRDefault="00DA67E8" w:rsidP="00E33496">
      <w:pPr>
        <w:pStyle w:val="ProtTempparagraph"/>
        <w:spacing w:after="240"/>
        <w:rPr>
          <w:sz w:val="22"/>
          <w:szCs w:val="22"/>
        </w:rPr>
      </w:pPr>
      <w:r w:rsidRPr="003F205D">
        <w:rPr>
          <w:sz w:val="22"/>
          <w:szCs w:val="22"/>
        </w:rPr>
        <w:t>The role of the TSC is to provide overall supervision of the trial.  The TSC will review the recommendations of the Independent Data Monitoring Committee and, on consideration of this information, recommend any appropriate amendments/actions for the trial as necessary.  The TSC acts on behalf of the funder(s) and Sponsor. All members will be required to sign the TSC charter.</w:t>
      </w:r>
    </w:p>
    <w:p w14:paraId="36F7C436" w14:textId="77777777" w:rsidR="00DA67E8" w:rsidRPr="00FC20CF" w:rsidRDefault="00DA67E8" w:rsidP="00E876A0">
      <w:pPr>
        <w:pStyle w:val="Heading3"/>
        <w:ind w:left="851" w:hanging="851"/>
        <w:rPr>
          <w:szCs w:val="24"/>
        </w:rPr>
      </w:pPr>
      <w:bookmarkStart w:id="948" w:name="_Toc283031853"/>
      <w:bookmarkStart w:id="949" w:name="_Toc283376390"/>
      <w:bookmarkStart w:id="950" w:name="_Toc333484790"/>
      <w:bookmarkStart w:id="951" w:name="_Toc333484905"/>
      <w:bookmarkStart w:id="952" w:name="_Toc351624857"/>
      <w:bookmarkStart w:id="953" w:name="_Toc471826819"/>
      <w:bookmarkStart w:id="954" w:name="_Toc528323586"/>
      <w:r w:rsidRPr="00FC20CF">
        <w:rPr>
          <w:szCs w:val="24"/>
        </w:rPr>
        <w:t>Independent Data Monitoring Committee (IDMC)</w:t>
      </w:r>
      <w:bookmarkEnd w:id="948"/>
      <w:bookmarkEnd w:id="949"/>
      <w:bookmarkEnd w:id="950"/>
      <w:bookmarkEnd w:id="951"/>
      <w:bookmarkEnd w:id="952"/>
      <w:bookmarkEnd w:id="953"/>
      <w:bookmarkEnd w:id="954"/>
    </w:p>
    <w:p w14:paraId="5A2F218F" w14:textId="77777777" w:rsidR="00DA67E8" w:rsidRPr="003F205D" w:rsidRDefault="00DA67E8" w:rsidP="00E33496">
      <w:pPr>
        <w:pStyle w:val="ProtTempparagraph"/>
        <w:spacing w:after="240"/>
        <w:rPr>
          <w:sz w:val="22"/>
          <w:szCs w:val="22"/>
        </w:rPr>
      </w:pPr>
      <w:r w:rsidRPr="003F205D">
        <w:rPr>
          <w:sz w:val="22"/>
          <w:szCs w:val="22"/>
        </w:rPr>
        <w:t xml:space="preserve">The role of the IDMC is to provide independent advice on data and safety aspects of the trial.  Meetings of the Committee will be held </w:t>
      </w:r>
      <w:r>
        <w:rPr>
          <w:sz w:val="22"/>
          <w:szCs w:val="22"/>
        </w:rPr>
        <w:t>at least once per year</w:t>
      </w:r>
      <w:r w:rsidRPr="003F205D">
        <w:rPr>
          <w:sz w:val="22"/>
          <w:szCs w:val="22"/>
        </w:rPr>
        <w:t xml:space="preserve"> to r</w:t>
      </w:r>
      <w:r>
        <w:rPr>
          <w:sz w:val="22"/>
          <w:szCs w:val="22"/>
        </w:rPr>
        <w:t>eview interim analyses,</w:t>
      </w:r>
      <w:r w:rsidRPr="003F205D">
        <w:rPr>
          <w:sz w:val="22"/>
          <w:szCs w:val="22"/>
        </w:rPr>
        <w:t xml:space="preserve"> or as necessary to address any issues.  The IDMC is advisory to the TSC and can recommend premature closure of the trial to the TSC. All members will be required to sign the IDMC charter.</w:t>
      </w:r>
    </w:p>
    <w:p w14:paraId="5D2751E6" w14:textId="77777777" w:rsidR="00DA67E8" w:rsidRDefault="000D7325" w:rsidP="00BF16F9">
      <w:pPr>
        <w:pStyle w:val="Heading2"/>
      </w:pPr>
      <w:bookmarkStart w:id="955" w:name="_Toc283031854"/>
      <w:bookmarkStart w:id="956" w:name="_Toc283376391"/>
      <w:r>
        <w:rPr>
          <w:lang w:val="en-GB"/>
        </w:rPr>
        <w:lastRenderedPageBreak/>
        <w:t xml:space="preserve"> </w:t>
      </w:r>
      <w:bookmarkStart w:id="957" w:name="_Toc333484791"/>
      <w:bookmarkStart w:id="958" w:name="_Toc333484906"/>
      <w:bookmarkStart w:id="959" w:name="_Toc351624858"/>
      <w:bookmarkStart w:id="960" w:name="_Toc471826820"/>
      <w:bookmarkStart w:id="961" w:name="_Toc528323587"/>
      <w:r w:rsidR="00DA67E8" w:rsidRPr="00A23D8C">
        <w:t>Role of UCL CTC</w:t>
      </w:r>
      <w:bookmarkEnd w:id="955"/>
      <w:bookmarkEnd w:id="956"/>
      <w:bookmarkEnd w:id="957"/>
      <w:bookmarkEnd w:id="958"/>
      <w:bookmarkEnd w:id="959"/>
      <w:bookmarkEnd w:id="960"/>
      <w:bookmarkEnd w:id="961"/>
    </w:p>
    <w:p w14:paraId="487DD46C" w14:textId="77777777" w:rsidR="00DA67E8" w:rsidRPr="003F205D" w:rsidRDefault="00DA67E8" w:rsidP="00E33496">
      <w:pPr>
        <w:pStyle w:val="ProtTempparagraph"/>
        <w:spacing w:after="240"/>
        <w:rPr>
          <w:sz w:val="22"/>
          <w:szCs w:val="22"/>
        </w:rPr>
      </w:pPr>
      <w:r w:rsidRPr="003F205D">
        <w:rPr>
          <w:sz w:val="22"/>
          <w:szCs w:val="22"/>
        </w:rPr>
        <w:t>UCL CTC will be responsible for the day to day coordination and management of the trial and will act as custodian of the data generated in the trial (on behalf of UCL</w:t>
      </w:r>
      <w:r w:rsidRPr="004E01D2">
        <w:rPr>
          <w:sz w:val="22"/>
          <w:szCs w:val="22"/>
        </w:rPr>
        <w:t>).  UCL CTC is respon</w:t>
      </w:r>
      <w:r w:rsidRPr="003F205D">
        <w:rPr>
          <w:sz w:val="22"/>
          <w:szCs w:val="22"/>
        </w:rPr>
        <w:t xml:space="preserve">sible for all duties relating to pharmacovigilance which are conducted in accordance with section 10.0 (Pharmacovigilance). </w:t>
      </w:r>
    </w:p>
    <w:p w14:paraId="1E4B1458" w14:textId="77777777" w:rsidR="00DA67E8" w:rsidRDefault="00DA67E8" w:rsidP="00F66DCA"/>
    <w:p w14:paraId="41583708" w14:textId="77777777" w:rsidR="00DA67E8" w:rsidRDefault="00DA67E8" w:rsidP="00E876A0">
      <w:pPr>
        <w:pStyle w:val="Heading1"/>
      </w:pPr>
      <w:r>
        <w:br w:type="page"/>
      </w:r>
      <w:r w:rsidRPr="00F66DCA">
        <w:lastRenderedPageBreak/>
        <w:tab/>
      </w:r>
      <w:bookmarkStart w:id="962" w:name="_Toc283031855"/>
      <w:bookmarkStart w:id="963" w:name="_Toc283376392"/>
      <w:bookmarkStart w:id="964" w:name="_Toc333484792"/>
      <w:bookmarkStart w:id="965" w:name="_Toc333484907"/>
      <w:bookmarkStart w:id="966" w:name="_Toc351624859"/>
      <w:bookmarkStart w:id="967" w:name="_Toc471826821"/>
      <w:bookmarkStart w:id="968" w:name="_Toc528323588"/>
      <w:r w:rsidRPr="00F66DCA">
        <w:t xml:space="preserve">Withdrawal of </w:t>
      </w:r>
      <w:r>
        <w:t>P</w:t>
      </w:r>
      <w:r w:rsidRPr="00F66DCA">
        <w:t>atients</w:t>
      </w:r>
      <w:bookmarkEnd w:id="962"/>
      <w:bookmarkEnd w:id="963"/>
      <w:bookmarkEnd w:id="964"/>
      <w:bookmarkEnd w:id="965"/>
      <w:bookmarkEnd w:id="966"/>
      <w:bookmarkEnd w:id="967"/>
      <w:bookmarkEnd w:id="968"/>
    </w:p>
    <w:p w14:paraId="7043F72F" w14:textId="77777777" w:rsidR="00DA67E8" w:rsidRPr="00BC7C67" w:rsidRDefault="00DA67E8" w:rsidP="00E33496">
      <w:pPr>
        <w:pStyle w:val="ProtTempparagraph"/>
        <w:spacing w:after="240"/>
        <w:rPr>
          <w:sz w:val="22"/>
          <w:szCs w:val="22"/>
        </w:rPr>
      </w:pPr>
      <w:r w:rsidRPr="00BC7C67">
        <w:rPr>
          <w:sz w:val="22"/>
          <w:szCs w:val="22"/>
        </w:rPr>
        <w:t xml:space="preserve">In consenting to the trial, patients are consenting to trial treatment, assessments, follow-up and data collection. </w:t>
      </w:r>
    </w:p>
    <w:p w14:paraId="7A6EB8A3" w14:textId="77777777" w:rsidR="00DA67E8" w:rsidRPr="00BC7C67" w:rsidRDefault="00DA67E8" w:rsidP="002D01FD">
      <w:pPr>
        <w:pStyle w:val="Non-numberedsectionheads"/>
        <w:rPr>
          <w:sz w:val="22"/>
          <w:szCs w:val="22"/>
        </w:rPr>
      </w:pPr>
      <w:bookmarkStart w:id="969" w:name="_Toc156015398"/>
      <w:bookmarkStart w:id="970" w:name="_Toc180895725"/>
      <w:bookmarkStart w:id="971" w:name="_Toc180919686"/>
      <w:bookmarkStart w:id="972" w:name="_Toc180920314"/>
      <w:bookmarkStart w:id="973" w:name="_Toc180920688"/>
      <w:bookmarkStart w:id="974" w:name="_Toc197841420"/>
      <w:bookmarkStart w:id="975" w:name="_Toc117930830"/>
      <w:r w:rsidRPr="00BC7C67">
        <w:rPr>
          <w:sz w:val="22"/>
          <w:szCs w:val="22"/>
        </w:rPr>
        <w:t>Discontinuation of Trial Treatment</w:t>
      </w:r>
      <w:bookmarkEnd w:id="969"/>
      <w:bookmarkEnd w:id="970"/>
      <w:bookmarkEnd w:id="971"/>
      <w:bookmarkEnd w:id="972"/>
      <w:bookmarkEnd w:id="973"/>
      <w:bookmarkEnd w:id="974"/>
      <w:r w:rsidRPr="00BC7C67">
        <w:rPr>
          <w:sz w:val="22"/>
          <w:szCs w:val="22"/>
        </w:rPr>
        <w:t xml:space="preserve"> for clinical reasons</w:t>
      </w:r>
    </w:p>
    <w:bookmarkEnd w:id="975"/>
    <w:p w14:paraId="04AE3B15" w14:textId="77777777" w:rsidR="00DA67E8" w:rsidRPr="00BC7C67" w:rsidRDefault="00DA67E8" w:rsidP="004A2B49">
      <w:pPr>
        <w:pStyle w:val="ProtTempparagraph"/>
        <w:rPr>
          <w:sz w:val="22"/>
          <w:szCs w:val="22"/>
        </w:rPr>
      </w:pPr>
      <w:r w:rsidRPr="00BC7C67">
        <w:rPr>
          <w:sz w:val="22"/>
          <w:szCs w:val="22"/>
        </w:rPr>
        <w:t>A patient may be withdrawn from trial treatment whenever continued participation is no longer in the patient’s best interests, but the reasons for doing so must be recorded.  Reasons for discontinuing treatment may include:</w:t>
      </w:r>
    </w:p>
    <w:p w14:paraId="2B1D3D77" w14:textId="77777777" w:rsidR="00DA67E8" w:rsidRPr="00BC7C67" w:rsidRDefault="00DA67E8" w:rsidP="002F600D">
      <w:pPr>
        <w:numPr>
          <w:ilvl w:val="0"/>
          <w:numId w:val="2"/>
        </w:numPr>
        <w:jc w:val="both"/>
        <w:rPr>
          <w:rFonts w:ascii="Arial" w:hAnsi="Arial" w:cs="Arial"/>
          <w:sz w:val="22"/>
          <w:szCs w:val="22"/>
        </w:rPr>
      </w:pPr>
      <w:r w:rsidRPr="00BC7C67">
        <w:rPr>
          <w:rFonts w:ascii="Arial" w:hAnsi="Arial" w:cs="Arial"/>
          <w:sz w:val="22"/>
          <w:szCs w:val="22"/>
        </w:rPr>
        <w:t>Disease progression whilst on therapy</w:t>
      </w:r>
    </w:p>
    <w:p w14:paraId="1BCBD7D9" w14:textId="77777777" w:rsidR="00DA67E8" w:rsidRPr="00BC7C67" w:rsidRDefault="00DA67E8" w:rsidP="002F600D">
      <w:pPr>
        <w:numPr>
          <w:ilvl w:val="0"/>
          <w:numId w:val="2"/>
        </w:numPr>
        <w:jc w:val="both"/>
        <w:rPr>
          <w:rFonts w:ascii="Arial" w:hAnsi="Arial" w:cs="Arial"/>
          <w:sz w:val="22"/>
          <w:szCs w:val="22"/>
        </w:rPr>
      </w:pPr>
      <w:r w:rsidRPr="00BC7C67">
        <w:rPr>
          <w:rFonts w:ascii="Arial" w:hAnsi="Arial" w:cs="Arial"/>
          <w:sz w:val="22"/>
          <w:szCs w:val="22"/>
        </w:rPr>
        <w:t>Unacceptable toxicity</w:t>
      </w:r>
    </w:p>
    <w:p w14:paraId="76245C99" w14:textId="77777777" w:rsidR="00DA67E8" w:rsidRPr="00BC7C67" w:rsidRDefault="00DA67E8" w:rsidP="00FC20CF">
      <w:pPr>
        <w:numPr>
          <w:ilvl w:val="0"/>
          <w:numId w:val="2"/>
        </w:numPr>
        <w:jc w:val="both"/>
        <w:rPr>
          <w:rFonts w:ascii="Arial" w:hAnsi="Arial" w:cs="Arial"/>
          <w:sz w:val="22"/>
          <w:szCs w:val="22"/>
        </w:rPr>
      </w:pPr>
      <w:bookmarkStart w:id="976" w:name="_Toc333484793"/>
      <w:bookmarkStart w:id="977" w:name="_Toc333484908"/>
      <w:bookmarkStart w:id="978" w:name="_Toc351624860"/>
      <w:r w:rsidRPr="00BC7C67">
        <w:rPr>
          <w:rFonts w:ascii="Arial" w:hAnsi="Arial" w:cs="Arial"/>
          <w:sz w:val="22"/>
          <w:szCs w:val="22"/>
        </w:rPr>
        <w:t>Treatment delay &gt; 28 days</w:t>
      </w:r>
      <w:bookmarkEnd w:id="976"/>
      <w:bookmarkEnd w:id="977"/>
      <w:bookmarkEnd w:id="978"/>
    </w:p>
    <w:p w14:paraId="6C013F55" w14:textId="77777777" w:rsidR="00DA67E8" w:rsidRPr="00BC7C67" w:rsidRDefault="00DA67E8" w:rsidP="002F600D">
      <w:pPr>
        <w:numPr>
          <w:ilvl w:val="0"/>
          <w:numId w:val="2"/>
        </w:numPr>
        <w:jc w:val="both"/>
        <w:rPr>
          <w:rFonts w:ascii="Arial" w:hAnsi="Arial" w:cs="Arial"/>
          <w:sz w:val="22"/>
          <w:szCs w:val="22"/>
        </w:rPr>
      </w:pPr>
      <w:r w:rsidRPr="00BC7C67">
        <w:rPr>
          <w:rFonts w:ascii="Arial" w:hAnsi="Arial" w:cs="Arial"/>
          <w:sz w:val="22"/>
          <w:szCs w:val="22"/>
        </w:rPr>
        <w:t>Intercurrent illness which prevents further treatment</w:t>
      </w:r>
    </w:p>
    <w:p w14:paraId="06E7937F" w14:textId="77777777" w:rsidR="00DA67E8" w:rsidRPr="00BC7C67" w:rsidRDefault="00DA67E8" w:rsidP="002F600D">
      <w:pPr>
        <w:numPr>
          <w:ilvl w:val="0"/>
          <w:numId w:val="2"/>
        </w:numPr>
        <w:jc w:val="both"/>
        <w:rPr>
          <w:rFonts w:ascii="Arial" w:hAnsi="Arial" w:cs="Arial"/>
          <w:sz w:val="22"/>
          <w:szCs w:val="22"/>
        </w:rPr>
      </w:pPr>
      <w:r w:rsidRPr="00BC7C67">
        <w:rPr>
          <w:rFonts w:ascii="Arial" w:hAnsi="Arial" w:cs="Arial"/>
          <w:sz w:val="22"/>
          <w:szCs w:val="22"/>
        </w:rPr>
        <w:t>Patient</w:t>
      </w:r>
      <w:r w:rsidR="00865F01">
        <w:rPr>
          <w:rFonts w:ascii="Arial" w:hAnsi="Arial" w:cs="Arial"/>
          <w:sz w:val="22"/>
          <w:szCs w:val="22"/>
        </w:rPr>
        <w:t xml:space="preserve"> choice</w:t>
      </w:r>
      <w:r w:rsidRPr="00BC7C67">
        <w:rPr>
          <w:rFonts w:ascii="Arial" w:hAnsi="Arial" w:cs="Arial"/>
          <w:sz w:val="22"/>
          <w:szCs w:val="22"/>
        </w:rPr>
        <w:t xml:space="preserve"> </w:t>
      </w:r>
    </w:p>
    <w:p w14:paraId="7D122D19" w14:textId="77777777" w:rsidR="00DA67E8" w:rsidRPr="00BC7C67" w:rsidRDefault="00DA67E8" w:rsidP="002F600D">
      <w:pPr>
        <w:numPr>
          <w:ilvl w:val="0"/>
          <w:numId w:val="2"/>
        </w:numPr>
        <w:jc w:val="both"/>
        <w:rPr>
          <w:rFonts w:ascii="Arial" w:hAnsi="Arial" w:cs="Arial"/>
          <w:sz w:val="22"/>
          <w:szCs w:val="22"/>
        </w:rPr>
      </w:pPr>
      <w:r w:rsidRPr="00BC7C67">
        <w:rPr>
          <w:rFonts w:ascii="Arial" w:hAnsi="Arial" w:cs="Arial"/>
          <w:sz w:val="22"/>
          <w:szCs w:val="22"/>
        </w:rPr>
        <w:t>Any alterations in the patient’s condition which justifies the discontinuation of treatment in the site investigator’s opinion</w:t>
      </w:r>
    </w:p>
    <w:p w14:paraId="3D59209A" w14:textId="77777777" w:rsidR="00DA67E8" w:rsidRPr="00BC7C67" w:rsidRDefault="00DA67E8" w:rsidP="00FC20CF">
      <w:pPr>
        <w:numPr>
          <w:ilvl w:val="0"/>
          <w:numId w:val="2"/>
        </w:numPr>
        <w:jc w:val="both"/>
        <w:rPr>
          <w:rFonts w:ascii="Arial" w:hAnsi="Arial" w:cs="Arial"/>
          <w:sz w:val="22"/>
          <w:szCs w:val="22"/>
        </w:rPr>
      </w:pPr>
      <w:bookmarkStart w:id="979" w:name="_Toc333484794"/>
      <w:bookmarkStart w:id="980" w:name="_Toc333484909"/>
      <w:bookmarkStart w:id="981" w:name="_Toc351624861"/>
      <w:r w:rsidRPr="00BC7C67">
        <w:rPr>
          <w:rFonts w:ascii="Arial" w:hAnsi="Arial" w:cs="Arial"/>
          <w:sz w:val="22"/>
          <w:szCs w:val="22"/>
        </w:rPr>
        <w:t>New cancer treatment or radiotherapy</w:t>
      </w:r>
      <w:bookmarkEnd w:id="979"/>
      <w:bookmarkEnd w:id="980"/>
      <w:bookmarkEnd w:id="981"/>
    </w:p>
    <w:p w14:paraId="1F448BFD" w14:textId="77777777" w:rsidR="00DA67E8" w:rsidRPr="00BC7C67" w:rsidRDefault="00DA67E8" w:rsidP="00FC20CF">
      <w:pPr>
        <w:numPr>
          <w:ilvl w:val="0"/>
          <w:numId w:val="2"/>
        </w:numPr>
        <w:jc w:val="both"/>
        <w:rPr>
          <w:rFonts w:ascii="Arial" w:hAnsi="Arial" w:cs="Arial"/>
          <w:sz w:val="22"/>
          <w:szCs w:val="22"/>
        </w:rPr>
      </w:pPr>
      <w:bookmarkStart w:id="982" w:name="_Toc333484795"/>
      <w:bookmarkStart w:id="983" w:name="_Toc333484910"/>
      <w:bookmarkStart w:id="984" w:name="_Toc351624862"/>
      <w:r w:rsidRPr="00BC7C67">
        <w:rPr>
          <w:rFonts w:ascii="Arial" w:hAnsi="Arial" w:cs="Arial"/>
          <w:sz w:val="22"/>
          <w:szCs w:val="22"/>
        </w:rPr>
        <w:t>Pregnancy</w:t>
      </w:r>
      <w:bookmarkEnd w:id="982"/>
      <w:bookmarkEnd w:id="983"/>
      <w:bookmarkEnd w:id="984"/>
    </w:p>
    <w:p w14:paraId="23BB2CCC" w14:textId="77777777" w:rsidR="00FC20CF" w:rsidRDefault="00FC20CF" w:rsidP="00E33496">
      <w:pPr>
        <w:pStyle w:val="ProtTempparagraph"/>
        <w:spacing w:after="240"/>
        <w:rPr>
          <w:sz w:val="22"/>
          <w:szCs w:val="22"/>
        </w:rPr>
      </w:pPr>
    </w:p>
    <w:p w14:paraId="5EB25750" w14:textId="77777777" w:rsidR="00DA67E8" w:rsidRPr="00BC7C67" w:rsidRDefault="002F113D" w:rsidP="00E33496">
      <w:pPr>
        <w:pStyle w:val="ProtTempparagraph"/>
        <w:spacing w:after="240"/>
        <w:rPr>
          <w:rStyle w:val="Strong"/>
          <w:rFonts w:cs="Arial"/>
          <w:i/>
          <w:iCs/>
          <w:sz w:val="22"/>
          <w:szCs w:val="22"/>
        </w:rPr>
      </w:pPr>
      <w:r>
        <w:rPr>
          <w:sz w:val="22"/>
          <w:szCs w:val="22"/>
        </w:rPr>
        <w:t xml:space="preserve">In the randomised phase II trial </w:t>
      </w:r>
      <w:r w:rsidRPr="00BC7C67">
        <w:rPr>
          <w:sz w:val="22"/>
          <w:szCs w:val="22"/>
        </w:rPr>
        <w:t>these patients remain within the trial for the purposes of follow-up and data analysis according to the treatment option to which they have been allocated.</w:t>
      </w:r>
      <w:r>
        <w:rPr>
          <w:sz w:val="22"/>
          <w:szCs w:val="22"/>
        </w:rPr>
        <w:t xml:space="preserve"> </w:t>
      </w:r>
      <w:r w:rsidRPr="004A05A3">
        <w:rPr>
          <w:sz w:val="22"/>
          <w:szCs w:val="22"/>
        </w:rPr>
        <w:t xml:space="preserve">In the phase I trial, these patients may be replaced with another patient depending on the reason for discontinuation of trial treatment. </w:t>
      </w:r>
      <w:r w:rsidR="00DA67E8" w:rsidRPr="004A05A3">
        <w:rPr>
          <w:sz w:val="22"/>
          <w:szCs w:val="22"/>
        </w:rPr>
        <w:t>Potential replacement of withdrawn patients will be discussed between the UCL CTC and CI or among the wider TMG.</w:t>
      </w:r>
    </w:p>
    <w:p w14:paraId="7ACC83A8" w14:textId="77777777" w:rsidR="00DA67E8" w:rsidRPr="00BC7C67" w:rsidRDefault="00DA67E8" w:rsidP="00E33496">
      <w:pPr>
        <w:pStyle w:val="ProtTempparagraph"/>
        <w:spacing w:after="240"/>
        <w:rPr>
          <w:sz w:val="22"/>
          <w:szCs w:val="22"/>
        </w:rPr>
      </w:pPr>
      <w:r w:rsidRPr="00BC7C67">
        <w:rPr>
          <w:sz w:val="22"/>
          <w:szCs w:val="22"/>
        </w:rPr>
        <w:t>If a patient expresses their wish to withdraw from trial treatment, sites should explain the importance of remaining on trial follow-up, or failing this of allowing routine follow-up data to be used for trial purposes and for allowing existing collected data to be used.  If the patient gives a reason for their withdrawal, this should be recorded.</w:t>
      </w:r>
    </w:p>
    <w:p w14:paraId="12E3BDF1" w14:textId="77777777" w:rsidR="00DA67E8" w:rsidRPr="00A964BA" w:rsidRDefault="00865F01" w:rsidP="002D01FD">
      <w:pPr>
        <w:pStyle w:val="Non-numberedsectionheads"/>
      </w:pPr>
      <w:bookmarkStart w:id="985" w:name="_Toc180895726"/>
      <w:bookmarkStart w:id="986" w:name="_Toc180919687"/>
      <w:bookmarkStart w:id="987" w:name="_Toc180920315"/>
      <w:bookmarkStart w:id="988" w:name="_Toc180920689"/>
      <w:bookmarkStart w:id="989" w:name="_Toc197841421"/>
      <w:r>
        <w:rPr>
          <w:sz w:val="22"/>
          <w:szCs w:val="22"/>
          <w:lang w:val="en-GB"/>
        </w:rPr>
        <w:t xml:space="preserve">Future </w:t>
      </w:r>
      <w:bookmarkEnd w:id="985"/>
      <w:bookmarkEnd w:id="986"/>
      <w:bookmarkEnd w:id="987"/>
      <w:bookmarkEnd w:id="988"/>
      <w:bookmarkEnd w:id="989"/>
      <w:r w:rsidR="00DA67E8" w:rsidRPr="00BC7C67">
        <w:rPr>
          <w:sz w:val="22"/>
          <w:szCs w:val="22"/>
        </w:rPr>
        <w:t>Data Collection</w:t>
      </w:r>
    </w:p>
    <w:p w14:paraId="45FA8E68" w14:textId="77777777" w:rsidR="00DA67E8" w:rsidRPr="00BC7C67" w:rsidRDefault="00DA67E8" w:rsidP="00E33496">
      <w:pPr>
        <w:pStyle w:val="ProtTempparagraph"/>
        <w:spacing w:after="240"/>
        <w:rPr>
          <w:sz w:val="22"/>
          <w:szCs w:val="22"/>
        </w:rPr>
      </w:pPr>
      <w:r w:rsidRPr="00BC7C67">
        <w:rPr>
          <w:sz w:val="22"/>
          <w:szCs w:val="22"/>
        </w:rPr>
        <w:t xml:space="preserve">If a patient </w:t>
      </w:r>
      <w:r w:rsidRPr="00BC7C67">
        <w:rPr>
          <w:sz w:val="22"/>
          <w:szCs w:val="22"/>
          <w:u w:val="single"/>
        </w:rPr>
        <w:t>explicitly</w:t>
      </w:r>
      <w:r w:rsidRPr="00BC7C67">
        <w:rPr>
          <w:sz w:val="22"/>
          <w:szCs w:val="22"/>
        </w:rPr>
        <w:t xml:space="preserve"> states </w:t>
      </w:r>
      <w:r w:rsidR="002F113D" w:rsidRPr="00BC7C67">
        <w:rPr>
          <w:sz w:val="22"/>
          <w:szCs w:val="22"/>
        </w:rPr>
        <w:t>they do</w:t>
      </w:r>
      <w:r w:rsidRPr="00BC7C67">
        <w:rPr>
          <w:sz w:val="22"/>
          <w:szCs w:val="22"/>
        </w:rPr>
        <w:t xml:space="preserve"> not wish to contribute further data to the trial their decision must be respected</w:t>
      </w:r>
      <w:r w:rsidR="00865F01">
        <w:rPr>
          <w:sz w:val="22"/>
          <w:szCs w:val="22"/>
        </w:rPr>
        <w:t xml:space="preserve">, </w:t>
      </w:r>
      <w:r w:rsidR="00865F01" w:rsidRPr="00865F01">
        <w:rPr>
          <w:sz w:val="22"/>
          <w:szCs w:val="22"/>
        </w:rPr>
        <w:t>with the exception of safety data</w:t>
      </w:r>
      <w:r w:rsidR="00865F01">
        <w:t>, and</w:t>
      </w:r>
      <w:r w:rsidRPr="00BC7C67">
        <w:rPr>
          <w:sz w:val="22"/>
          <w:szCs w:val="22"/>
        </w:rPr>
        <w:t xml:space="preserve"> recorded on the relevant CRF. In this event details should be recorded in the patient’s hospital records, no further CRFs must be completed and no further data </w:t>
      </w:r>
      <w:r w:rsidR="00137830">
        <w:rPr>
          <w:sz w:val="22"/>
          <w:szCs w:val="22"/>
        </w:rPr>
        <w:t xml:space="preserve">other than safety data </w:t>
      </w:r>
      <w:r w:rsidRPr="00BC7C67">
        <w:rPr>
          <w:sz w:val="22"/>
          <w:szCs w:val="22"/>
        </w:rPr>
        <w:t>sent to UCL CTC.</w:t>
      </w:r>
    </w:p>
    <w:p w14:paraId="38360D0A" w14:textId="77777777" w:rsidR="00DA67E8" w:rsidRPr="007C50F1" w:rsidRDefault="00DA67E8" w:rsidP="002D01FD">
      <w:pPr>
        <w:pStyle w:val="Non-numberedsectionheads"/>
        <w:rPr>
          <w:sz w:val="22"/>
          <w:szCs w:val="22"/>
        </w:rPr>
      </w:pPr>
      <w:bookmarkStart w:id="990" w:name="_Toc117930831"/>
      <w:bookmarkStart w:id="991" w:name="_Toc156015399"/>
      <w:bookmarkStart w:id="992" w:name="_Toc180895727"/>
      <w:bookmarkStart w:id="993" w:name="_Toc180919688"/>
      <w:bookmarkStart w:id="994" w:name="_Toc180920316"/>
      <w:bookmarkStart w:id="995" w:name="_Toc180920690"/>
      <w:bookmarkStart w:id="996" w:name="_Toc197841422"/>
      <w:r w:rsidRPr="007C50F1">
        <w:rPr>
          <w:sz w:val="22"/>
          <w:szCs w:val="22"/>
        </w:rPr>
        <w:t xml:space="preserve">Losses to </w:t>
      </w:r>
      <w:r w:rsidR="00865F01">
        <w:rPr>
          <w:sz w:val="22"/>
          <w:szCs w:val="22"/>
          <w:lang w:val="en-GB"/>
        </w:rPr>
        <w:t>F</w:t>
      </w:r>
      <w:proofErr w:type="spellStart"/>
      <w:r w:rsidRPr="007C50F1">
        <w:rPr>
          <w:sz w:val="22"/>
          <w:szCs w:val="22"/>
        </w:rPr>
        <w:t>ollow</w:t>
      </w:r>
      <w:proofErr w:type="spellEnd"/>
      <w:r w:rsidRPr="007C50F1">
        <w:rPr>
          <w:sz w:val="22"/>
          <w:szCs w:val="22"/>
        </w:rPr>
        <w:t>-</w:t>
      </w:r>
      <w:r w:rsidR="00865F01">
        <w:rPr>
          <w:sz w:val="22"/>
          <w:szCs w:val="22"/>
          <w:lang w:val="en-GB"/>
        </w:rPr>
        <w:t>U</w:t>
      </w:r>
      <w:r w:rsidRPr="007C50F1">
        <w:rPr>
          <w:sz w:val="22"/>
          <w:szCs w:val="22"/>
        </w:rPr>
        <w:t>p</w:t>
      </w:r>
    </w:p>
    <w:bookmarkEnd w:id="990"/>
    <w:bookmarkEnd w:id="991"/>
    <w:bookmarkEnd w:id="992"/>
    <w:bookmarkEnd w:id="993"/>
    <w:bookmarkEnd w:id="994"/>
    <w:bookmarkEnd w:id="995"/>
    <w:bookmarkEnd w:id="996"/>
    <w:p w14:paraId="0C9F09A2" w14:textId="77777777" w:rsidR="00DA67E8" w:rsidRPr="007C50F1" w:rsidRDefault="00DA67E8" w:rsidP="00E33496">
      <w:pPr>
        <w:pStyle w:val="ProtTempparagraph"/>
        <w:spacing w:after="240"/>
        <w:rPr>
          <w:sz w:val="22"/>
          <w:szCs w:val="22"/>
        </w:rPr>
      </w:pPr>
      <w:r w:rsidRPr="007C50F1">
        <w:rPr>
          <w:sz w:val="22"/>
          <w:szCs w:val="22"/>
        </w:rPr>
        <w:t>If a patient moves from the area, every effort should be made for the patient to be followed up at another participating trial site and for this new site to take over the responsibility for the patient, or for follow-up via GP.  Details of participating trial sites can be obtained from the UCL CTC trial team who must be informed of the transfer of care and follow up arrangements.</w:t>
      </w:r>
    </w:p>
    <w:p w14:paraId="4C414CE4" w14:textId="77777777" w:rsidR="00DA67E8" w:rsidRDefault="00DA67E8" w:rsidP="00E33496">
      <w:pPr>
        <w:pStyle w:val="ProtTempparagraph"/>
        <w:spacing w:after="240"/>
        <w:rPr>
          <w:rStyle w:val="Strong"/>
          <w:rFonts w:cs="Arial"/>
          <w:i/>
          <w:iCs/>
          <w:color w:val="0000FF"/>
        </w:rPr>
      </w:pPr>
      <w:r w:rsidRPr="00B05C0D">
        <w:rPr>
          <w:sz w:val="22"/>
          <w:szCs w:val="22"/>
        </w:rPr>
        <w:t>If a patient is lost to follow-up at a site every effort should be made to contact the patient’s GP to obtain information on the patient’s status.</w:t>
      </w:r>
    </w:p>
    <w:p w14:paraId="002F93C9" w14:textId="77777777" w:rsidR="00DA67E8" w:rsidRDefault="00DA67E8" w:rsidP="00E876A0">
      <w:pPr>
        <w:pStyle w:val="Heading1"/>
      </w:pPr>
      <w:r>
        <w:br w:type="page"/>
      </w:r>
      <w:r w:rsidRPr="00F66DCA">
        <w:lastRenderedPageBreak/>
        <w:tab/>
      </w:r>
      <w:bookmarkStart w:id="997" w:name="_Toc283027396"/>
      <w:bookmarkStart w:id="998" w:name="_Toc283027617"/>
      <w:bookmarkStart w:id="999" w:name="_Toc283027798"/>
      <w:bookmarkStart w:id="1000" w:name="_Toc283027963"/>
      <w:bookmarkStart w:id="1001" w:name="_Toc283028256"/>
      <w:bookmarkStart w:id="1002" w:name="_Toc283028421"/>
      <w:bookmarkStart w:id="1003" w:name="_Toc283029483"/>
      <w:bookmarkStart w:id="1004" w:name="_Toc283029648"/>
      <w:bookmarkStart w:id="1005" w:name="_Toc283031856"/>
      <w:bookmarkStart w:id="1006" w:name="_Toc283376393"/>
      <w:bookmarkStart w:id="1007" w:name="_Toc283031857"/>
      <w:bookmarkStart w:id="1008" w:name="_Toc283376394"/>
      <w:bookmarkStart w:id="1009" w:name="_Toc333484796"/>
      <w:bookmarkStart w:id="1010" w:name="_Toc333484911"/>
      <w:bookmarkStart w:id="1011" w:name="_Toc351624863"/>
      <w:bookmarkStart w:id="1012" w:name="_Toc471826822"/>
      <w:bookmarkStart w:id="1013" w:name="_Toc528323589"/>
      <w:bookmarkEnd w:id="997"/>
      <w:bookmarkEnd w:id="998"/>
      <w:bookmarkEnd w:id="999"/>
      <w:bookmarkEnd w:id="1000"/>
      <w:bookmarkEnd w:id="1001"/>
      <w:bookmarkEnd w:id="1002"/>
      <w:bookmarkEnd w:id="1003"/>
      <w:bookmarkEnd w:id="1004"/>
      <w:bookmarkEnd w:id="1005"/>
      <w:bookmarkEnd w:id="1006"/>
      <w:r w:rsidRPr="00F66DCA">
        <w:t>Trial Closure</w:t>
      </w:r>
      <w:bookmarkEnd w:id="1007"/>
      <w:bookmarkEnd w:id="1008"/>
      <w:bookmarkEnd w:id="1009"/>
      <w:bookmarkEnd w:id="1010"/>
      <w:bookmarkEnd w:id="1011"/>
      <w:bookmarkEnd w:id="1012"/>
      <w:bookmarkEnd w:id="1013"/>
    </w:p>
    <w:p w14:paraId="3C45280A" w14:textId="77777777" w:rsidR="00DA67E8" w:rsidRDefault="00DA67E8" w:rsidP="00BF16F9">
      <w:pPr>
        <w:pStyle w:val="Heading2"/>
      </w:pPr>
      <w:bookmarkStart w:id="1014" w:name="_Toc156015396"/>
      <w:bookmarkStart w:id="1015" w:name="_Toc180895724"/>
      <w:bookmarkStart w:id="1016" w:name="_Toc180919684"/>
      <w:bookmarkStart w:id="1017" w:name="_Toc180920686"/>
      <w:bookmarkStart w:id="1018" w:name="_Toc197841418"/>
      <w:r>
        <w:tab/>
      </w:r>
      <w:bookmarkStart w:id="1019" w:name="_Toc283031858"/>
      <w:bookmarkStart w:id="1020" w:name="_Toc283376395"/>
      <w:bookmarkStart w:id="1021" w:name="_Toc333484797"/>
      <w:bookmarkStart w:id="1022" w:name="_Toc333484912"/>
      <w:bookmarkStart w:id="1023" w:name="_Toc351624864"/>
      <w:bookmarkStart w:id="1024" w:name="_Toc471826823"/>
      <w:bookmarkStart w:id="1025" w:name="_Toc528323590"/>
      <w:r w:rsidRPr="00A23D8C">
        <w:t>End of Trial</w:t>
      </w:r>
      <w:bookmarkEnd w:id="1014"/>
      <w:bookmarkEnd w:id="1015"/>
      <w:bookmarkEnd w:id="1016"/>
      <w:bookmarkEnd w:id="1017"/>
      <w:bookmarkEnd w:id="1018"/>
      <w:bookmarkEnd w:id="1019"/>
      <w:bookmarkEnd w:id="1020"/>
      <w:bookmarkEnd w:id="1021"/>
      <w:bookmarkEnd w:id="1022"/>
      <w:bookmarkEnd w:id="1023"/>
      <w:bookmarkEnd w:id="1024"/>
      <w:bookmarkEnd w:id="1025"/>
    </w:p>
    <w:p w14:paraId="474377C1" w14:textId="53408C39" w:rsidR="0073088B" w:rsidRPr="00FA4B64" w:rsidRDefault="0073088B" w:rsidP="0073088B">
      <w:pPr>
        <w:pStyle w:val="ProtTempparagraph"/>
        <w:spacing w:before="240" w:after="60"/>
        <w:rPr>
          <w:sz w:val="22"/>
          <w:szCs w:val="22"/>
        </w:rPr>
      </w:pPr>
      <w:r>
        <w:rPr>
          <w:sz w:val="22"/>
          <w:szCs w:val="22"/>
        </w:rPr>
        <w:t>As t</w:t>
      </w:r>
      <w:r w:rsidRPr="006853DC">
        <w:rPr>
          <w:sz w:val="22"/>
          <w:szCs w:val="22"/>
        </w:rPr>
        <w:t xml:space="preserve">he trial will no longer proceed to phase II following the business decision by Madrigal Pharmaceuticals Inc. (formerly </w:t>
      </w:r>
      <w:proofErr w:type="spellStart"/>
      <w:r w:rsidRPr="006853DC">
        <w:rPr>
          <w:sz w:val="22"/>
          <w:szCs w:val="22"/>
        </w:rPr>
        <w:t>Synta</w:t>
      </w:r>
      <w:proofErr w:type="spellEnd"/>
      <w:r w:rsidRPr="006853DC">
        <w:rPr>
          <w:sz w:val="22"/>
          <w:szCs w:val="22"/>
        </w:rPr>
        <w:t xml:space="preserve"> Pharmaceuticals Corp.) to cease development of ganetespib in this population</w:t>
      </w:r>
      <w:r>
        <w:rPr>
          <w:sz w:val="22"/>
          <w:szCs w:val="22"/>
        </w:rPr>
        <w:t xml:space="preserve">, the End of Trial will now be defined as 12 months after the </w:t>
      </w:r>
      <w:r w:rsidRPr="00292765">
        <w:rPr>
          <w:sz w:val="22"/>
          <w:szCs w:val="22"/>
        </w:rPr>
        <w:t>last patient visit</w:t>
      </w:r>
      <w:r>
        <w:rPr>
          <w:sz w:val="22"/>
          <w:szCs w:val="22"/>
        </w:rPr>
        <w:t xml:space="preserve">. </w:t>
      </w:r>
    </w:p>
    <w:p w14:paraId="71D27B01" w14:textId="77777777" w:rsidR="00DA67E8" w:rsidRPr="00FA4B64" w:rsidRDefault="00DA67E8" w:rsidP="007521E4">
      <w:pPr>
        <w:pStyle w:val="ProtTempparagraph"/>
        <w:spacing w:before="240" w:after="60"/>
        <w:rPr>
          <w:sz w:val="22"/>
          <w:szCs w:val="22"/>
        </w:rPr>
      </w:pPr>
      <w:r>
        <w:rPr>
          <w:sz w:val="22"/>
          <w:szCs w:val="22"/>
        </w:rPr>
        <w:t>The</w:t>
      </w:r>
      <w:r w:rsidRPr="00FA4B64">
        <w:rPr>
          <w:sz w:val="22"/>
          <w:szCs w:val="22"/>
        </w:rPr>
        <w:t xml:space="preserve"> UCL CTC will advise sites on the procedure for closing the trial at the site.</w:t>
      </w:r>
    </w:p>
    <w:p w14:paraId="32C5BE6A" w14:textId="77777777" w:rsidR="00DA67E8" w:rsidRDefault="00DA67E8" w:rsidP="00BF16F9">
      <w:pPr>
        <w:pStyle w:val="Heading2"/>
      </w:pPr>
      <w:r>
        <w:tab/>
      </w:r>
      <w:bookmarkStart w:id="1026" w:name="_Toc283031859"/>
      <w:bookmarkStart w:id="1027" w:name="_Toc283376396"/>
      <w:bookmarkStart w:id="1028" w:name="_Toc333484798"/>
      <w:bookmarkStart w:id="1029" w:name="_Toc333484913"/>
      <w:bookmarkStart w:id="1030" w:name="_Toc351624865"/>
      <w:bookmarkStart w:id="1031" w:name="_Toc471826824"/>
      <w:bookmarkStart w:id="1032" w:name="_Toc528323591"/>
      <w:r w:rsidRPr="00A23D8C">
        <w:t>Archiving of Trial Documentation</w:t>
      </w:r>
      <w:bookmarkEnd w:id="1026"/>
      <w:bookmarkEnd w:id="1027"/>
      <w:bookmarkEnd w:id="1028"/>
      <w:bookmarkEnd w:id="1029"/>
      <w:bookmarkEnd w:id="1030"/>
      <w:bookmarkEnd w:id="1031"/>
      <w:bookmarkEnd w:id="1032"/>
    </w:p>
    <w:p w14:paraId="6726B575" w14:textId="77777777" w:rsidR="00DA67E8" w:rsidRPr="00FA4B64" w:rsidRDefault="00DA67E8" w:rsidP="00A14CBC">
      <w:pPr>
        <w:pStyle w:val="ProtTempparagraph"/>
        <w:rPr>
          <w:sz w:val="22"/>
          <w:szCs w:val="22"/>
        </w:rPr>
      </w:pPr>
      <w:r w:rsidRPr="00FA4B64">
        <w:rPr>
          <w:sz w:val="22"/>
          <w:szCs w:val="22"/>
        </w:rPr>
        <w:t>At the end of the trial, UCL CTC will archive securely all centrally held trial related documentation for a minimum of 5 years.  Arrangements for confidential destruction will then be made.  It is the responsibility of PIs to ensure data and all essential documents relating to the trial held at site are retained for a minimum of 5 years after the end of the trial, in accordance with national legislation and for the maximum period of time permitted by the site.</w:t>
      </w:r>
    </w:p>
    <w:p w14:paraId="530C383F" w14:textId="77777777" w:rsidR="00DA67E8" w:rsidRPr="00FA4B64" w:rsidRDefault="00DA67E8" w:rsidP="00A14CBC">
      <w:pPr>
        <w:pStyle w:val="ProtTempparagraph"/>
        <w:rPr>
          <w:sz w:val="22"/>
          <w:szCs w:val="22"/>
        </w:rPr>
      </w:pPr>
      <w:r w:rsidRPr="00FA4B64">
        <w:rPr>
          <w:sz w:val="22"/>
          <w:szCs w:val="22"/>
        </w:rPr>
        <w:t xml:space="preserve">Essential documents are those which enable both the conduct of the trial and the quality of the data produced to be evaluated and show whether the site complied with the principles of GCP and all applicable regulatory requirements.  </w:t>
      </w:r>
    </w:p>
    <w:p w14:paraId="16D6B490" w14:textId="77777777" w:rsidR="00DA67E8" w:rsidRPr="00FA4B64" w:rsidRDefault="00DA67E8" w:rsidP="00A14CBC">
      <w:pPr>
        <w:pStyle w:val="ProtTempparagraph"/>
        <w:rPr>
          <w:sz w:val="22"/>
          <w:szCs w:val="22"/>
        </w:rPr>
      </w:pPr>
      <w:r w:rsidRPr="00FA4B64">
        <w:rPr>
          <w:sz w:val="22"/>
          <w:szCs w:val="22"/>
        </w:rPr>
        <w:t>UCL CTC will notify sites when trial documentation held at sites may be archived.  All archived documents must continue to be available for inspection by appropriate authorities upon request.</w:t>
      </w:r>
    </w:p>
    <w:p w14:paraId="45D9AC76" w14:textId="77777777" w:rsidR="00DA67E8" w:rsidRDefault="00DA67E8" w:rsidP="00BF16F9">
      <w:pPr>
        <w:pStyle w:val="Heading2"/>
      </w:pPr>
      <w:r>
        <w:tab/>
      </w:r>
      <w:bookmarkStart w:id="1033" w:name="_Toc283027400"/>
      <w:bookmarkStart w:id="1034" w:name="_Toc283027621"/>
      <w:bookmarkStart w:id="1035" w:name="_Toc283027802"/>
      <w:bookmarkStart w:id="1036" w:name="_Toc283027967"/>
      <w:bookmarkStart w:id="1037" w:name="_Toc283028260"/>
      <w:bookmarkStart w:id="1038" w:name="_Toc283028425"/>
      <w:bookmarkStart w:id="1039" w:name="_Toc283029487"/>
      <w:bookmarkStart w:id="1040" w:name="_Toc283029652"/>
      <w:bookmarkStart w:id="1041" w:name="_Toc283031860"/>
      <w:bookmarkStart w:id="1042" w:name="_Toc283376397"/>
      <w:bookmarkStart w:id="1043" w:name="_Toc283031861"/>
      <w:bookmarkStart w:id="1044" w:name="_Toc283376398"/>
      <w:bookmarkStart w:id="1045" w:name="_Toc333484799"/>
      <w:bookmarkStart w:id="1046" w:name="_Toc333484914"/>
      <w:bookmarkStart w:id="1047" w:name="_Toc351624866"/>
      <w:bookmarkStart w:id="1048" w:name="_Toc471826825"/>
      <w:bookmarkStart w:id="1049" w:name="_Toc528323592"/>
      <w:bookmarkEnd w:id="1033"/>
      <w:bookmarkEnd w:id="1034"/>
      <w:bookmarkEnd w:id="1035"/>
      <w:bookmarkEnd w:id="1036"/>
      <w:bookmarkEnd w:id="1037"/>
      <w:bookmarkEnd w:id="1038"/>
      <w:bookmarkEnd w:id="1039"/>
      <w:bookmarkEnd w:id="1040"/>
      <w:bookmarkEnd w:id="1041"/>
      <w:bookmarkEnd w:id="1042"/>
      <w:r w:rsidRPr="00A23D8C">
        <w:t>Early discontinuation of trial</w:t>
      </w:r>
      <w:bookmarkEnd w:id="1043"/>
      <w:bookmarkEnd w:id="1044"/>
      <w:bookmarkEnd w:id="1045"/>
      <w:bookmarkEnd w:id="1046"/>
      <w:bookmarkEnd w:id="1047"/>
      <w:bookmarkEnd w:id="1048"/>
      <w:bookmarkEnd w:id="1049"/>
    </w:p>
    <w:p w14:paraId="4ABA14E4" w14:textId="77777777" w:rsidR="00DA67E8" w:rsidRPr="00FA4B64" w:rsidRDefault="00DA67E8" w:rsidP="00A14CBC">
      <w:pPr>
        <w:pStyle w:val="ProtTempparagraph"/>
        <w:rPr>
          <w:sz w:val="22"/>
          <w:szCs w:val="22"/>
        </w:rPr>
      </w:pPr>
      <w:r w:rsidRPr="00FA4B64">
        <w:rPr>
          <w:sz w:val="22"/>
          <w:szCs w:val="22"/>
        </w:rPr>
        <w:t xml:space="preserve">The trial may be stopped before </w:t>
      </w:r>
      <w:r w:rsidR="002F113D" w:rsidRPr="00FA4B64">
        <w:rPr>
          <w:sz w:val="22"/>
          <w:szCs w:val="22"/>
        </w:rPr>
        <w:t>completion as</w:t>
      </w:r>
      <w:r w:rsidRPr="00FA4B64">
        <w:rPr>
          <w:sz w:val="22"/>
          <w:szCs w:val="22"/>
        </w:rPr>
        <w:t xml:space="preserve"> an Urgent Safety Measure on the recommendation of the TSC or IDMC (see section 12.4.2</w:t>
      </w:r>
      <w:r w:rsidR="00796CDF">
        <w:rPr>
          <w:sz w:val="22"/>
          <w:szCs w:val="22"/>
        </w:rPr>
        <w:t xml:space="preserve"> </w:t>
      </w:r>
      <w:r w:rsidRPr="00FA4B64">
        <w:rPr>
          <w:sz w:val="22"/>
          <w:szCs w:val="22"/>
        </w:rPr>
        <w:t>TSC and 12.4.3</w:t>
      </w:r>
      <w:r w:rsidR="00796CDF">
        <w:rPr>
          <w:sz w:val="22"/>
          <w:szCs w:val="22"/>
        </w:rPr>
        <w:t xml:space="preserve"> </w:t>
      </w:r>
      <w:r w:rsidRPr="00FA4B64">
        <w:rPr>
          <w:sz w:val="22"/>
          <w:szCs w:val="22"/>
        </w:rPr>
        <w:t xml:space="preserve">IDMC).  Sites will be informed in writing by UCL CTC of reasons for early closure and the actions to be taken with regards the treatment and follow up of patients. </w:t>
      </w:r>
    </w:p>
    <w:p w14:paraId="5FC0497D" w14:textId="77777777" w:rsidR="00DA67E8" w:rsidRDefault="00DA67E8" w:rsidP="00BF16F9">
      <w:pPr>
        <w:pStyle w:val="Heading2"/>
      </w:pPr>
      <w:r>
        <w:tab/>
      </w:r>
      <w:bookmarkStart w:id="1050" w:name="_Toc283031862"/>
      <w:bookmarkStart w:id="1051" w:name="_Toc283376399"/>
      <w:bookmarkStart w:id="1052" w:name="_Toc333484800"/>
      <w:bookmarkStart w:id="1053" w:name="_Toc333484915"/>
      <w:bookmarkStart w:id="1054" w:name="_Toc351624867"/>
      <w:bookmarkStart w:id="1055" w:name="_Toc471826826"/>
      <w:bookmarkStart w:id="1056" w:name="_Toc528323593"/>
      <w:r w:rsidRPr="00A23D8C">
        <w:t>Withdrawal from trial participation by a site</w:t>
      </w:r>
      <w:bookmarkEnd w:id="1050"/>
      <w:bookmarkEnd w:id="1051"/>
      <w:bookmarkEnd w:id="1052"/>
      <w:bookmarkEnd w:id="1053"/>
      <w:bookmarkEnd w:id="1054"/>
      <w:bookmarkEnd w:id="1055"/>
      <w:bookmarkEnd w:id="1056"/>
    </w:p>
    <w:p w14:paraId="6ED0385E" w14:textId="77777777" w:rsidR="00DA67E8" w:rsidRPr="00FA4B64" w:rsidRDefault="00DA67E8" w:rsidP="00A14CBC">
      <w:pPr>
        <w:pStyle w:val="ProtTempparagraph"/>
        <w:rPr>
          <w:sz w:val="22"/>
          <w:szCs w:val="22"/>
        </w:rPr>
      </w:pPr>
      <w:r w:rsidRPr="00FA4B64">
        <w:rPr>
          <w:sz w:val="22"/>
          <w:szCs w:val="22"/>
        </w:rPr>
        <w:t>Should a site choose to close to recruitment the PI must inform UCL CTC in writing.  Follow up as per protocol must continue for all patients recruited into the trial at that site and other responsibilities continue as per CTSA.</w:t>
      </w:r>
    </w:p>
    <w:p w14:paraId="450F66EF" w14:textId="77777777" w:rsidR="00BF16F9" w:rsidRPr="009400C8" w:rsidRDefault="00DA67E8" w:rsidP="009400C8">
      <w:pPr>
        <w:pStyle w:val="Heading1"/>
      </w:pPr>
      <w:bookmarkStart w:id="1057" w:name="_Toc283027405"/>
      <w:bookmarkStart w:id="1058" w:name="_Toc283027626"/>
      <w:bookmarkStart w:id="1059" w:name="_Toc283027807"/>
      <w:bookmarkStart w:id="1060" w:name="_Toc283027972"/>
      <w:bookmarkStart w:id="1061" w:name="_Toc283028265"/>
      <w:bookmarkStart w:id="1062" w:name="_Toc283028429"/>
      <w:bookmarkStart w:id="1063" w:name="_Toc283029491"/>
      <w:bookmarkStart w:id="1064" w:name="_Toc283029656"/>
      <w:bookmarkStart w:id="1065" w:name="_Toc283031864"/>
      <w:bookmarkStart w:id="1066" w:name="_Toc283376401"/>
      <w:bookmarkEnd w:id="1057"/>
      <w:bookmarkEnd w:id="1058"/>
      <w:bookmarkEnd w:id="1059"/>
      <w:bookmarkEnd w:id="1060"/>
      <w:bookmarkEnd w:id="1061"/>
      <w:bookmarkEnd w:id="1062"/>
      <w:bookmarkEnd w:id="1063"/>
      <w:bookmarkEnd w:id="1064"/>
      <w:bookmarkEnd w:id="1065"/>
      <w:bookmarkEnd w:id="1066"/>
      <w:r>
        <w:br w:type="page"/>
      </w:r>
      <w:bookmarkStart w:id="1067" w:name="_Toc296076982"/>
      <w:bookmarkStart w:id="1068" w:name="Section15"/>
      <w:bookmarkStart w:id="1069" w:name="_Toc333484801"/>
      <w:bookmarkStart w:id="1070" w:name="_Toc333484916"/>
      <w:bookmarkStart w:id="1071" w:name="_Toc351624868"/>
      <w:r w:rsidRPr="009400C8">
        <w:lastRenderedPageBreak/>
        <w:tab/>
        <w:t xml:space="preserve"> </w:t>
      </w:r>
      <w:bookmarkStart w:id="1072" w:name="_Toc471826827"/>
      <w:bookmarkStart w:id="1073" w:name="_Toc528323594"/>
      <w:r w:rsidRPr="009400C8">
        <w:t>Statistical Considerations</w:t>
      </w:r>
      <w:bookmarkStart w:id="1074" w:name="_Toc296076983"/>
      <w:bookmarkStart w:id="1075" w:name="_Toc333484802"/>
      <w:bookmarkStart w:id="1076" w:name="_Toc333484917"/>
      <w:bookmarkStart w:id="1077" w:name="_Toc351624869"/>
      <w:bookmarkEnd w:id="1067"/>
      <w:bookmarkEnd w:id="1068"/>
      <w:bookmarkEnd w:id="1069"/>
      <w:bookmarkEnd w:id="1070"/>
      <w:bookmarkEnd w:id="1071"/>
      <w:bookmarkEnd w:id="1072"/>
      <w:bookmarkEnd w:id="1073"/>
    </w:p>
    <w:p w14:paraId="7AECB12B" w14:textId="77777777" w:rsidR="00DA67E8" w:rsidRPr="008564C3" w:rsidRDefault="00DA67E8" w:rsidP="00BF16F9">
      <w:pPr>
        <w:pStyle w:val="Heading2"/>
      </w:pPr>
      <w:r w:rsidRPr="008564C3">
        <w:tab/>
      </w:r>
      <w:r w:rsidR="003E00E6">
        <w:rPr>
          <w:lang w:val="en-GB"/>
        </w:rPr>
        <w:t xml:space="preserve"> </w:t>
      </w:r>
      <w:bookmarkStart w:id="1078" w:name="_Toc471826828"/>
      <w:bookmarkStart w:id="1079" w:name="_Toc528323595"/>
      <w:r w:rsidRPr="008564C3">
        <w:t>Endpoints</w:t>
      </w:r>
      <w:bookmarkEnd w:id="1074"/>
      <w:bookmarkEnd w:id="1075"/>
      <w:bookmarkEnd w:id="1076"/>
      <w:bookmarkEnd w:id="1077"/>
      <w:bookmarkEnd w:id="1078"/>
      <w:bookmarkEnd w:id="1079"/>
    </w:p>
    <w:p w14:paraId="6555B05C" w14:textId="77777777" w:rsidR="00DA67E8" w:rsidRPr="00FC20CF" w:rsidRDefault="00DA67E8" w:rsidP="00E876A0">
      <w:pPr>
        <w:pStyle w:val="Heading3"/>
        <w:ind w:left="851" w:hanging="851"/>
        <w:rPr>
          <w:szCs w:val="24"/>
        </w:rPr>
      </w:pPr>
      <w:bookmarkStart w:id="1080" w:name="_Toc471826829"/>
      <w:bookmarkStart w:id="1081" w:name="_Toc528323596"/>
      <w:r w:rsidRPr="00FC20CF">
        <w:rPr>
          <w:szCs w:val="24"/>
        </w:rPr>
        <w:t>Phase I trial</w:t>
      </w:r>
      <w:bookmarkEnd w:id="1080"/>
      <w:bookmarkEnd w:id="1081"/>
    </w:p>
    <w:p w14:paraId="235BAF70" w14:textId="77777777" w:rsidR="00DA67E8" w:rsidRPr="005E2C7F" w:rsidRDefault="00DA67E8" w:rsidP="00E85115">
      <w:pPr>
        <w:pStyle w:val="Text"/>
        <w:spacing w:before="0"/>
        <w:rPr>
          <w:rFonts w:ascii="Tahoma" w:hAnsi="Tahoma" w:cs="Tahoma"/>
          <w:sz w:val="22"/>
          <w:lang w:val="en-GB"/>
        </w:rPr>
      </w:pPr>
    </w:p>
    <w:p w14:paraId="0F661263" w14:textId="77777777" w:rsidR="00DA67E8" w:rsidRPr="008564C3" w:rsidRDefault="00DA67E8" w:rsidP="00E85115">
      <w:pPr>
        <w:pStyle w:val="CS-Text"/>
        <w:spacing w:after="120"/>
        <w:jc w:val="both"/>
        <w:rPr>
          <w:rFonts w:ascii="Arial" w:hAnsi="Arial" w:cs="Arial"/>
          <w:sz w:val="22"/>
          <w:szCs w:val="22"/>
          <w:u w:val="single"/>
        </w:rPr>
      </w:pPr>
      <w:r w:rsidRPr="008564C3">
        <w:rPr>
          <w:rFonts w:ascii="Arial" w:hAnsi="Arial" w:cs="Arial"/>
          <w:sz w:val="22"/>
          <w:szCs w:val="22"/>
          <w:u w:val="single"/>
        </w:rPr>
        <w:t>Primary outcome measures:</w:t>
      </w:r>
    </w:p>
    <w:p w14:paraId="59DC2A5E" w14:textId="77777777" w:rsidR="00DA67E8" w:rsidRPr="008564C3" w:rsidRDefault="00DA67E8" w:rsidP="002F600D">
      <w:pPr>
        <w:pStyle w:val="CS-Text"/>
        <w:numPr>
          <w:ilvl w:val="0"/>
          <w:numId w:val="24"/>
        </w:numPr>
        <w:spacing w:after="120"/>
        <w:jc w:val="both"/>
        <w:rPr>
          <w:rFonts w:ascii="Arial" w:hAnsi="Arial" w:cs="Arial"/>
          <w:sz w:val="22"/>
          <w:szCs w:val="22"/>
        </w:rPr>
      </w:pPr>
      <w:r w:rsidRPr="008564C3">
        <w:rPr>
          <w:rFonts w:ascii="Arial" w:hAnsi="Arial" w:cs="Arial"/>
          <w:sz w:val="22"/>
          <w:szCs w:val="22"/>
        </w:rPr>
        <w:t>The number of patients with a dose-limiting toxicity</w:t>
      </w:r>
    </w:p>
    <w:p w14:paraId="6E524025" w14:textId="77777777" w:rsidR="00DA67E8" w:rsidRPr="008564C3" w:rsidRDefault="00DA67E8" w:rsidP="002F600D">
      <w:pPr>
        <w:pStyle w:val="CS-Text"/>
        <w:numPr>
          <w:ilvl w:val="0"/>
          <w:numId w:val="24"/>
        </w:numPr>
        <w:spacing w:after="120"/>
        <w:jc w:val="both"/>
        <w:rPr>
          <w:rFonts w:ascii="Arial" w:hAnsi="Arial" w:cs="Arial"/>
          <w:sz w:val="22"/>
          <w:szCs w:val="22"/>
        </w:rPr>
      </w:pPr>
      <w:r w:rsidRPr="008564C3">
        <w:rPr>
          <w:rFonts w:ascii="Arial" w:hAnsi="Arial" w:cs="Arial"/>
          <w:sz w:val="22"/>
          <w:szCs w:val="22"/>
        </w:rPr>
        <w:t xml:space="preserve">The number of cycles of </w:t>
      </w:r>
      <w:r w:rsidR="006162CD">
        <w:rPr>
          <w:rFonts w:ascii="Arial" w:hAnsi="Arial" w:cs="Arial"/>
          <w:sz w:val="22"/>
          <w:szCs w:val="22"/>
        </w:rPr>
        <w:t>platinum</w:t>
      </w:r>
      <w:r w:rsidRPr="008564C3">
        <w:rPr>
          <w:rFonts w:ascii="Arial" w:hAnsi="Arial" w:cs="Arial"/>
          <w:sz w:val="22"/>
          <w:szCs w:val="22"/>
        </w:rPr>
        <w:t>/pemetrexed that patients complete</w:t>
      </w:r>
    </w:p>
    <w:p w14:paraId="6473D023" w14:textId="77777777" w:rsidR="00DA67E8" w:rsidRPr="008564C3" w:rsidRDefault="00DA67E8" w:rsidP="00E85115">
      <w:pPr>
        <w:pStyle w:val="CS-Text"/>
        <w:spacing w:after="120"/>
        <w:jc w:val="both"/>
        <w:rPr>
          <w:rFonts w:ascii="Arial" w:hAnsi="Arial" w:cs="Arial"/>
          <w:sz w:val="22"/>
          <w:szCs w:val="22"/>
          <w:u w:val="single"/>
        </w:rPr>
      </w:pPr>
      <w:r w:rsidRPr="008564C3">
        <w:rPr>
          <w:rFonts w:ascii="Arial" w:hAnsi="Arial" w:cs="Arial"/>
          <w:sz w:val="22"/>
          <w:szCs w:val="22"/>
          <w:u w:val="single"/>
        </w:rPr>
        <w:t>Secondary outcome measures:</w:t>
      </w:r>
    </w:p>
    <w:p w14:paraId="4A04C2EE" w14:textId="77777777" w:rsidR="00DA67E8" w:rsidRPr="008564C3" w:rsidRDefault="00DA67E8" w:rsidP="002F600D">
      <w:pPr>
        <w:pStyle w:val="CS-Text"/>
        <w:numPr>
          <w:ilvl w:val="0"/>
          <w:numId w:val="25"/>
        </w:numPr>
        <w:spacing w:after="120"/>
        <w:jc w:val="both"/>
        <w:rPr>
          <w:rFonts w:ascii="Arial" w:hAnsi="Arial" w:cs="Arial"/>
          <w:sz w:val="22"/>
          <w:szCs w:val="22"/>
        </w:rPr>
      </w:pPr>
      <w:r w:rsidRPr="008564C3">
        <w:rPr>
          <w:rFonts w:ascii="Arial" w:hAnsi="Arial" w:cs="Arial"/>
          <w:sz w:val="22"/>
          <w:szCs w:val="22"/>
        </w:rPr>
        <w:t>Toxicities, according to CTCAE grade (version 4); all grades and events will be examined</w:t>
      </w:r>
    </w:p>
    <w:p w14:paraId="33B6F3BC" w14:textId="77777777" w:rsidR="00DA67E8" w:rsidRPr="008564C3" w:rsidRDefault="00DA67E8" w:rsidP="002F600D">
      <w:pPr>
        <w:pStyle w:val="CS-Text"/>
        <w:numPr>
          <w:ilvl w:val="0"/>
          <w:numId w:val="25"/>
        </w:numPr>
        <w:spacing w:after="120"/>
        <w:jc w:val="both"/>
        <w:rPr>
          <w:rFonts w:ascii="Arial" w:hAnsi="Arial" w:cs="Arial"/>
          <w:sz w:val="22"/>
          <w:szCs w:val="22"/>
        </w:rPr>
      </w:pPr>
      <w:r w:rsidRPr="008564C3">
        <w:rPr>
          <w:rFonts w:ascii="Arial" w:hAnsi="Arial" w:cs="Arial"/>
          <w:sz w:val="22"/>
          <w:szCs w:val="22"/>
        </w:rPr>
        <w:t>Tumour response; the number with a complete or partial response, stable disease, or disease progression</w:t>
      </w:r>
    </w:p>
    <w:p w14:paraId="0CB153E2" w14:textId="77777777" w:rsidR="00DA67E8" w:rsidRPr="00FC20CF" w:rsidRDefault="00DA67E8" w:rsidP="00E876A0">
      <w:pPr>
        <w:pStyle w:val="Heading3"/>
        <w:ind w:left="851" w:hanging="851"/>
        <w:rPr>
          <w:szCs w:val="24"/>
        </w:rPr>
      </w:pPr>
      <w:bookmarkStart w:id="1082" w:name="_Toc471826830"/>
      <w:bookmarkStart w:id="1083" w:name="_Toc528323597"/>
      <w:r w:rsidRPr="00FC20CF">
        <w:rPr>
          <w:szCs w:val="24"/>
        </w:rPr>
        <w:t>Randomised phase II trial</w:t>
      </w:r>
      <w:bookmarkEnd w:id="1082"/>
      <w:bookmarkEnd w:id="1083"/>
    </w:p>
    <w:p w14:paraId="09EBBDC0" w14:textId="77777777" w:rsidR="00DA67E8" w:rsidRPr="008564C3" w:rsidRDefault="00DA67E8" w:rsidP="00E85115">
      <w:pPr>
        <w:pStyle w:val="Text"/>
        <w:spacing w:before="0"/>
        <w:rPr>
          <w:rFonts w:ascii="Arial" w:hAnsi="Arial" w:cs="Arial"/>
          <w:sz w:val="22"/>
          <w:szCs w:val="22"/>
          <w:lang w:val="en-GB"/>
        </w:rPr>
      </w:pPr>
    </w:p>
    <w:p w14:paraId="33DB2E84" w14:textId="77777777" w:rsidR="00DA67E8" w:rsidRPr="008564C3" w:rsidRDefault="00DA67E8" w:rsidP="00E85115">
      <w:pPr>
        <w:pStyle w:val="CS-Text"/>
        <w:jc w:val="both"/>
        <w:rPr>
          <w:rFonts w:ascii="Arial" w:hAnsi="Arial" w:cs="Arial"/>
          <w:sz w:val="22"/>
          <w:szCs w:val="22"/>
          <w:u w:val="single"/>
        </w:rPr>
      </w:pPr>
      <w:r w:rsidRPr="008564C3">
        <w:rPr>
          <w:rFonts w:ascii="Arial" w:hAnsi="Arial" w:cs="Arial"/>
          <w:sz w:val="22"/>
          <w:szCs w:val="22"/>
          <w:u w:val="single"/>
        </w:rPr>
        <w:t>Primary outcome measure:</w:t>
      </w:r>
    </w:p>
    <w:p w14:paraId="7A944788" w14:textId="77777777" w:rsidR="00DA67E8" w:rsidRPr="008564C3" w:rsidRDefault="00DA67E8" w:rsidP="00E85115">
      <w:pPr>
        <w:pStyle w:val="OmniPage5"/>
        <w:tabs>
          <w:tab w:val="left" w:pos="1440"/>
          <w:tab w:val="left" w:pos="7200"/>
        </w:tabs>
        <w:spacing w:line="240" w:lineRule="auto"/>
        <w:ind w:right="45"/>
        <w:jc w:val="both"/>
        <w:rPr>
          <w:rFonts w:ascii="Arial" w:hAnsi="Arial" w:cs="Arial"/>
          <w:sz w:val="22"/>
          <w:szCs w:val="22"/>
          <w:lang w:val="en-GB"/>
        </w:rPr>
      </w:pPr>
      <w:r w:rsidRPr="008564C3">
        <w:rPr>
          <w:rFonts w:ascii="Arial" w:hAnsi="Arial" w:cs="Arial"/>
          <w:sz w:val="22"/>
          <w:szCs w:val="22"/>
          <w:lang w:val="en-GB"/>
        </w:rPr>
        <w:t xml:space="preserve">Progression-free survival (PFS); </w:t>
      </w:r>
      <w:r w:rsidRPr="008564C3">
        <w:rPr>
          <w:rFonts w:ascii="Arial" w:hAnsi="Arial" w:cs="Arial"/>
          <w:color w:val="000000"/>
          <w:sz w:val="22"/>
          <w:szCs w:val="22"/>
        </w:rPr>
        <w:t xml:space="preserve">calculated </w:t>
      </w:r>
      <w:r w:rsidRPr="008564C3">
        <w:rPr>
          <w:rFonts w:ascii="Arial" w:hAnsi="Arial" w:cs="Arial"/>
          <w:sz w:val="22"/>
          <w:szCs w:val="22"/>
        </w:rPr>
        <w:t xml:space="preserve">as the time between the date of randomisation and date of first </w:t>
      </w:r>
      <w:r w:rsidR="00CE7C46">
        <w:rPr>
          <w:rFonts w:ascii="Arial" w:hAnsi="Arial" w:cs="Arial"/>
          <w:sz w:val="22"/>
          <w:szCs w:val="22"/>
        </w:rPr>
        <w:t xml:space="preserve">radiological </w:t>
      </w:r>
      <w:r w:rsidRPr="008564C3">
        <w:rPr>
          <w:rFonts w:ascii="Arial" w:hAnsi="Arial" w:cs="Arial"/>
          <w:sz w:val="22"/>
          <w:szCs w:val="22"/>
        </w:rPr>
        <w:t xml:space="preserve">progression or death (from any cause), whichever occurs first. Patients who have not died or progressed will be censored at the date last seen alive (i.e. the last assessment). </w:t>
      </w:r>
      <w:r w:rsidR="006D68DB">
        <w:rPr>
          <w:rFonts w:ascii="Arial" w:hAnsi="Arial" w:cs="Arial"/>
          <w:sz w:val="22"/>
          <w:szCs w:val="22"/>
        </w:rPr>
        <w:t xml:space="preserve">We will also </w:t>
      </w:r>
      <w:proofErr w:type="spellStart"/>
      <w:r w:rsidR="006D68DB">
        <w:rPr>
          <w:rFonts w:ascii="Arial" w:hAnsi="Arial" w:cs="Arial"/>
          <w:sz w:val="22"/>
          <w:szCs w:val="22"/>
        </w:rPr>
        <w:t>analyse</w:t>
      </w:r>
      <w:proofErr w:type="spellEnd"/>
      <w:r w:rsidR="006D68DB">
        <w:rPr>
          <w:rFonts w:ascii="Arial" w:hAnsi="Arial" w:cs="Arial"/>
          <w:sz w:val="22"/>
          <w:szCs w:val="22"/>
        </w:rPr>
        <w:t xml:space="preserve"> the data where patients are censored at the last radiological assessment. </w:t>
      </w:r>
      <w:r w:rsidRPr="008564C3">
        <w:rPr>
          <w:rFonts w:ascii="Arial" w:hAnsi="Arial" w:cs="Arial"/>
          <w:sz w:val="22"/>
          <w:szCs w:val="22"/>
        </w:rPr>
        <w:t>PFS is an appropriate primary endpoint for phase II trials of mesothelioma (</w:t>
      </w:r>
      <w:proofErr w:type="spellStart"/>
      <w:r w:rsidRPr="008564C3">
        <w:rPr>
          <w:rFonts w:ascii="Arial" w:hAnsi="Arial" w:cs="Arial"/>
          <w:sz w:val="22"/>
          <w:szCs w:val="22"/>
        </w:rPr>
        <w:t>Francart</w:t>
      </w:r>
      <w:proofErr w:type="spellEnd"/>
      <w:r w:rsidRPr="008564C3">
        <w:rPr>
          <w:rFonts w:ascii="Arial" w:hAnsi="Arial" w:cs="Arial"/>
          <w:sz w:val="22"/>
          <w:szCs w:val="22"/>
        </w:rPr>
        <w:t xml:space="preserve"> et al 2006).</w:t>
      </w:r>
    </w:p>
    <w:p w14:paraId="2589147C" w14:textId="77777777" w:rsidR="00DA67E8" w:rsidRPr="008564C3" w:rsidRDefault="00DA67E8" w:rsidP="00E85115">
      <w:pPr>
        <w:pStyle w:val="Text"/>
        <w:spacing w:before="0"/>
        <w:rPr>
          <w:rFonts w:ascii="Arial" w:hAnsi="Arial" w:cs="Arial"/>
          <w:sz w:val="22"/>
          <w:szCs w:val="22"/>
          <w:lang w:val="en-GB"/>
        </w:rPr>
      </w:pPr>
    </w:p>
    <w:p w14:paraId="16E39810" w14:textId="77777777" w:rsidR="00DA67E8" w:rsidRPr="008564C3" w:rsidRDefault="00DA67E8" w:rsidP="00E85115">
      <w:pPr>
        <w:pStyle w:val="CS-Text"/>
        <w:jc w:val="both"/>
        <w:rPr>
          <w:rFonts w:ascii="Arial" w:hAnsi="Arial" w:cs="Arial"/>
          <w:sz w:val="22"/>
          <w:szCs w:val="22"/>
          <w:u w:val="single"/>
        </w:rPr>
      </w:pPr>
      <w:r w:rsidRPr="008564C3">
        <w:rPr>
          <w:rFonts w:ascii="Arial" w:hAnsi="Arial" w:cs="Arial"/>
          <w:sz w:val="22"/>
          <w:szCs w:val="22"/>
          <w:u w:val="single"/>
        </w:rPr>
        <w:t>Secondary outcome measures:</w:t>
      </w:r>
    </w:p>
    <w:p w14:paraId="344D6E70" w14:textId="77777777" w:rsidR="00DA67E8" w:rsidRPr="008564C3" w:rsidRDefault="00DA67E8" w:rsidP="002F600D">
      <w:pPr>
        <w:pStyle w:val="CS-Text"/>
        <w:numPr>
          <w:ilvl w:val="0"/>
          <w:numId w:val="26"/>
        </w:numPr>
        <w:spacing w:after="120"/>
        <w:jc w:val="both"/>
        <w:rPr>
          <w:rFonts w:ascii="Arial" w:hAnsi="Arial" w:cs="Arial"/>
          <w:sz w:val="22"/>
          <w:szCs w:val="22"/>
        </w:rPr>
      </w:pPr>
      <w:r w:rsidRPr="008564C3">
        <w:rPr>
          <w:rFonts w:ascii="Arial" w:hAnsi="Arial" w:cs="Arial"/>
          <w:bCs/>
          <w:sz w:val="22"/>
          <w:szCs w:val="22"/>
        </w:rPr>
        <w:t>Time to progression</w:t>
      </w:r>
      <w:r w:rsidRPr="008564C3">
        <w:rPr>
          <w:rFonts w:ascii="Arial" w:hAnsi="Arial" w:cs="Arial"/>
          <w:sz w:val="22"/>
          <w:szCs w:val="22"/>
        </w:rPr>
        <w:t xml:space="preserve">: taken from the time of randomisation to time of objective tumour progression. </w:t>
      </w:r>
    </w:p>
    <w:p w14:paraId="19928340" w14:textId="77777777" w:rsidR="00DA67E8" w:rsidRPr="008564C3" w:rsidRDefault="00DA67E8" w:rsidP="002F600D">
      <w:pPr>
        <w:pStyle w:val="CS-Text"/>
        <w:numPr>
          <w:ilvl w:val="0"/>
          <w:numId w:val="26"/>
        </w:numPr>
        <w:spacing w:after="120"/>
        <w:jc w:val="both"/>
        <w:rPr>
          <w:rFonts w:ascii="Arial" w:hAnsi="Arial" w:cs="Arial"/>
          <w:sz w:val="22"/>
          <w:szCs w:val="22"/>
        </w:rPr>
      </w:pPr>
      <w:r w:rsidRPr="008564C3">
        <w:rPr>
          <w:rFonts w:ascii="Arial" w:hAnsi="Arial" w:cs="Arial"/>
          <w:sz w:val="22"/>
          <w:szCs w:val="22"/>
        </w:rPr>
        <w:t>Toxicity: the proportion of patients who have a grade 3 or 4 event, according to CTCAE version 4, for each type of event. The proportion with any grade 3 or 4 event.</w:t>
      </w:r>
    </w:p>
    <w:p w14:paraId="24C1E972" w14:textId="77777777" w:rsidR="00DA67E8" w:rsidRPr="008564C3" w:rsidRDefault="00DA67E8" w:rsidP="002F600D">
      <w:pPr>
        <w:pStyle w:val="CS-Text"/>
        <w:numPr>
          <w:ilvl w:val="0"/>
          <w:numId w:val="26"/>
        </w:numPr>
        <w:spacing w:after="120"/>
        <w:jc w:val="both"/>
        <w:rPr>
          <w:rFonts w:ascii="Arial" w:hAnsi="Arial" w:cs="Arial"/>
          <w:sz w:val="22"/>
          <w:szCs w:val="22"/>
        </w:rPr>
      </w:pPr>
      <w:r w:rsidRPr="008564C3">
        <w:rPr>
          <w:rFonts w:ascii="Arial" w:hAnsi="Arial" w:cs="Arial"/>
          <w:sz w:val="22"/>
          <w:szCs w:val="22"/>
        </w:rPr>
        <w:t>Time to treatment failure: the time of randomisation to time of objective tumour progression, death, stopping ganetespib/</w:t>
      </w:r>
      <w:r w:rsidR="00BB7FBA">
        <w:rPr>
          <w:rFonts w:ascii="Arial" w:hAnsi="Arial" w:cs="Arial"/>
          <w:sz w:val="22"/>
          <w:szCs w:val="22"/>
        </w:rPr>
        <w:t>chemotherapy</w:t>
      </w:r>
      <w:r w:rsidRPr="008564C3">
        <w:rPr>
          <w:rFonts w:ascii="Arial" w:hAnsi="Arial" w:cs="Arial"/>
          <w:sz w:val="22"/>
          <w:szCs w:val="22"/>
        </w:rPr>
        <w:t xml:space="preserve">, or start of a new anticancer treatment whichever comes first </w:t>
      </w:r>
    </w:p>
    <w:p w14:paraId="3E2580EC" w14:textId="77777777" w:rsidR="00DA67E8" w:rsidRPr="008564C3" w:rsidRDefault="00DA67E8" w:rsidP="002F600D">
      <w:pPr>
        <w:pStyle w:val="CS-Text"/>
        <w:numPr>
          <w:ilvl w:val="0"/>
          <w:numId w:val="26"/>
        </w:numPr>
        <w:spacing w:after="120"/>
        <w:jc w:val="both"/>
        <w:rPr>
          <w:rFonts w:ascii="Arial" w:hAnsi="Arial" w:cs="Arial"/>
          <w:sz w:val="22"/>
          <w:szCs w:val="22"/>
        </w:rPr>
      </w:pPr>
      <w:r w:rsidRPr="008564C3">
        <w:rPr>
          <w:rFonts w:ascii="Arial" w:hAnsi="Arial" w:cs="Arial"/>
          <w:sz w:val="22"/>
          <w:szCs w:val="22"/>
        </w:rPr>
        <w:t xml:space="preserve">Overall survival: taken as the time from randomisation until the time of death (from any cause). </w:t>
      </w:r>
    </w:p>
    <w:p w14:paraId="3FCFB4A7" w14:textId="77777777" w:rsidR="00DA67E8" w:rsidRPr="008564C3" w:rsidRDefault="00DA67E8" w:rsidP="002F600D">
      <w:pPr>
        <w:pStyle w:val="CS-Text"/>
        <w:numPr>
          <w:ilvl w:val="0"/>
          <w:numId w:val="26"/>
        </w:numPr>
        <w:spacing w:after="120"/>
        <w:jc w:val="both"/>
        <w:rPr>
          <w:rFonts w:ascii="Arial" w:hAnsi="Arial" w:cs="Arial"/>
          <w:sz w:val="22"/>
          <w:szCs w:val="22"/>
        </w:rPr>
      </w:pPr>
      <w:r w:rsidRPr="008564C3">
        <w:rPr>
          <w:rFonts w:ascii="Arial" w:hAnsi="Arial" w:cs="Arial"/>
          <w:sz w:val="22"/>
          <w:szCs w:val="22"/>
        </w:rPr>
        <w:t xml:space="preserve">The number of cycles of </w:t>
      </w:r>
      <w:r w:rsidR="006162CD">
        <w:rPr>
          <w:rFonts w:ascii="Arial" w:hAnsi="Arial" w:cs="Arial"/>
          <w:sz w:val="22"/>
          <w:szCs w:val="22"/>
        </w:rPr>
        <w:t>platinum</w:t>
      </w:r>
      <w:r w:rsidRPr="008564C3">
        <w:rPr>
          <w:rFonts w:ascii="Arial" w:hAnsi="Arial" w:cs="Arial"/>
          <w:sz w:val="22"/>
          <w:szCs w:val="22"/>
        </w:rPr>
        <w:t>/pemetrexed that patients complete, and for those who have less than 6 cycles, the reasons for stopping early</w:t>
      </w:r>
    </w:p>
    <w:p w14:paraId="1E52391F" w14:textId="77777777" w:rsidR="00DA67E8" w:rsidRPr="008564C3" w:rsidRDefault="00DA67E8" w:rsidP="002F600D">
      <w:pPr>
        <w:pStyle w:val="CS-Text"/>
        <w:numPr>
          <w:ilvl w:val="0"/>
          <w:numId w:val="26"/>
        </w:numPr>
        <w:spacing w:after="120"/>
        <w:jc w:val="both"/>
        <w:rPr>
          <w:rFonts w:ascii="Arial" w:hAnsi="Arial" w:cs="Arial"/>
          <w:sz w:val="22"/>
          <w:szCs w:val="22"/>
        </w:rPr>
      </w:pPr>
      <w:r w:rsidRPr="008564C3">
        <w:rPr>
          <w:rFonts w:ascii="Arial" w:hAnsi="Arial" w:cs="Arial"/>
          <w:sz w:val="22"/>
          <w:szCs w:val="22"/>
        </w:rPr>
        <w:t>The objective tumour response according to meso-modified RECIST</w:t>
      </w:r>
      <w:r w:rsidR="006D68DB">
        <w:rPr>
          <w:rFonts w:ascii="Arial" w:hAnsi="Arial" w:cs="Arial"/>
          <w:sz w:val="22"/>
          <w:szCs w:val="22"/>
        </w:rPr>
        <w:t xml:space="preserve"> (Byrne and Nowak 2004)</w:t>
      </w:r>
      <w:r w:rsidRPr="008564C3">
        <w:rPr>
          <w:rFonts w:ascii="Arial" w:hAnsi="Arial" w:cs="Arial"/>
          <w:sz w:val="22"/>
          <w:szCs w:val="22"/>
        </w:rPr>
        <w:t>, and the overall response rate</w:t>
      </w:r>
    </w:p>
    <w:p w14:paraId="5366148E" w14:textId="77777777" w:rsidR="00DA67E8" w:rsidRPr="008564C3" w:rsidRDefault="00DA67E8" w:rsidP="002F600D">
      <w:pPr>
        <w:pStyle w:val="CS-Text"/>
        <w:numPr>
          <w:ilvl w:val="0"/>
          <w:numId w:val="26"/>
        </w:numPr>
        <w:spacing w:after="0"/>
        <w:rPr>
          <w:rFonts w:ascii="Arial" w:hAnsi="Arial" w:cs="Arial"/>
          <w:sz w:val="22"/>
          <w:szCs w:val="22"/>
        </w:rPr>
      </w:pPr>
      <w:r w:rsidRPr="008564C3">
        <w:rPr>
          <w:rFonts w:ascii="Arial" w:hAnsi="Arial" w:cs="Arial"/>
          <w:sz w:val="22"/>
          <w:szCs w:val="22"/>
        </w:rPr>
        <w:t>Translational research biomarkers for response, progression and survival, (see section 2.2.3 for more details).</w:t>
      </w:r>
      <w:r w:rsidRPr="008564C3">
        <w:rPr>
          <w:rFonts w:ascii="Arial" w:hAnsi="Arial" w:cs="Arial"/>
          <w:sz w:val="22"/>
          <w:szCs w:val="22"/>
        </w:rPr>
        <w:br/>
      </w:r>
    </w:p>
    <w:p w14:paraId="0E2F7191" w14:textId="77777777" w:rsidR="00DA67E8" w:rsidRPr="00C4661E" w:rsidRDefault="00DA67E8" w:rsidP="00BF16F9">
      <w:pPr>
        <w:pStyle w:val="Heading2"/>
      </w:pPr>
      <w:bookmarkStart w:id="1084" w:name="_Toc296076984"/>
      <w:bookmarkStart w:id="1085" w:name="_Toc333484803"/>
      <w:bookmarkStart w:id="1086" w:name="_Toc333484918"/>
      <w:bookmarkStart w:id="1087" w:name="_Toc351624870"/>
      <w:r w:rsidRPr="00C4661E">
        <w:lastRenderedPageBreak/>
        <w:tab/>
      </w:r>
      <w:r w:rsidR="004E01D2">
        <w:t xml:space="preserve">  </w:t>
      </w:r>
      <w:bookmarkStart w:id="1088" w:name="_Toc471826831"/>
      <w:bookmarkStart w:id="1089" w:name="_Toc528323598"/>
      <w:r w:rsidRPr="00C4661E">
        <w:t>Sample size (phase II trial)</w:t>
      </w:r>
      <w:bookmarkEnd w:id="1084"/>
      <w:bookmarkEnd w:id="1085"/>
      <w:bookmarkEnd w:id="1086"/>
      <w:bookmarkEnd w:id="1087"/>
      <w:bookmarkEnd w:id="1088"/>
      <w:bookmarkEnd w:id="1089"/>
    </w:p>
    <w:p w14:paraId="4D248351" w14:textId="77777777" w:rsidR="00DA67E8" w:rsidRPr="008564C3" w:rsidRDefault="00DA67E8" w:rsidP="00E85115">
      <w:pPr>
        <w:pStyle w:val="BodyText2"/>
        <w:jc w:val="both"/>
        <w:rPr>
          <w:rFonts w:ascii="Arial" w:hAnsi="Arial" w:cs="Arial"/>
          <w:sz w:val="22"/>
          <w:szCs w:val="22"/>
        </w:rPr>
      </w:pPr>
      <w:r w:rsidRPr="008564C3">
        <w:rPr>
          <w:rFonts w:ascii="Arial" w:hAnsi="Arial" w:cs="Arial"/>
          <w:sz w:val="22"/>
          <w:szCs w:val="22"/>
        </w:rPr>
        <w:t xml:space="preserve">The median PFS associated with pemetrexed and cisplatin is 5.7 months, from a </w:t>
      </w:r>
      <w:proofErr w:type="spellStart"/>
      <w:r w:rsidRPr="008564C3">
        <w:rPr>
          <w:rFonts w:ascii="Arial" w:hAnsi="Arial" w:cs="Arial"/>
          <w:sz w:val="22"/>
          <w:szCs w:val="22"/>
        </w:rPr>
        <w:t>randomised</w:t>
      </w:r>
      <w:proofErr w:type="spellEnd"/>
      <w:r w:rsidRPr="008564C3">
        <w:rPr>
          <w:rFonts w:ascii="Arial" w:hAnsi="Arial" w:cs="Arial"/>
          <w:sz w:val="22"/>
          <w:szCs w:val="22"/>
        </w:rPr>
        <w:t xml:space="preserve"> phase III trial (</w:t>
      </w:r>
      <w:proofErr w:type="spellStart"/>
      <w:r w:rsidRPr="008564C3">
        <w:rPr>
          <w:rFonts w:ascii="Arial" w:hAnsi="Arial" w:cs="Arial"/>
          <w:sz w:val="22"/>
          <w:szCs w:val="22"/>
        </w:rPr>
        <w:t>Vogelzang</w:t>
      </w:r>
      <w:proofErr w:type="spellEnd"/>
      <w:r w:rsidRPr="008564C3">
        <w:rPr>
          <w:rFonts w:ascii="Arial" w:hAnsi="Arial" w:cs="Arial"/>
          <w:sz w:val="22"/>
          <w:szCs w:val="22"/>
        </w:rPr>
        <w:t xml:space="preserve"> et al 2003). In the proposed trial, we aim to detect a hazard ratio of 0.65 or lower by adding </w:t>
      </w:r>
      <w:proofErr w:type="spellStart"/>
      <w:r w:rsidRPr="008564C3">
        <w:rPr>
          <w:rFonts w:ascii="Arial" w:hAnsi="Arial" w:cs="Arial"/>
          <w:sz w:val="22"/>
          <w:szCs w:val="22"/>
        </w:rPr>
        <w:t>Ganetespib</w:t>
      </w:r>
      <w:proofErr w:type="spellEnd"/>
      <w:r w:rsidRPr="008564C3">
        <w:rPr>
          <w:rFonts w:ascii="Arial" w:hAnsi="Arial" w:cs="Arial"/>
          <w:sz w:val="22"/>
          <w:szCs w:val="22"/>
        </w:rPr>
        <w:t xml:space="preserve"> to pemetrexed and cisplatin, </w:t>
      </w:r>
      <w:r w:rsidR="002F113D" w:rsidRPr="008564C3">
        <w:rPr>
          <w:rFonts w:ascii="Arial" w:hAnsi="Arial" w:cs="Arial"/>
          <w:sz w:val="22"/>
          <w:szCs w:val="22"/>
        </w:rPr>
        <w:t>i.e.</w:t>
      </w:r>
      <w:r w:rsidRPr="008564C3">
        <w:rPr>
          <w:rFonts w:ascii="Arial" w:hAnsi="Arial" w:cs="Arial"/>
          <w:sz w:val="22"/>
          <w:szCs w:val="22"/>
        </w:rPr>
        <w:t xml:space="preserve"> a median PFS of at least 8.8 months. With 80% power and one-sided test of statistical significance at the 10% level, the sample size in each arm is 55 patients, with 2 years of recruitment and 1 year of follow up after the end of recruitment (using the approach described by Rubinstein et al 2005). </w:t>
      </w:r>
      <w:r w:rsidRPr="008564C3">
        <w:rPr>
          <w:rFonts w:ascii="Arial" w:hAnsi="Arial" w:cs="Arial"/>
          <w:b/>
          <w:sz w:val="22"/>
          <w:szCs w:val="22"/>
        </w:rPr>
        <w:t xml:space="preserve">N=110 in total </w:t>
      </w:r>
      <w:r w:rsidRPr="008564C3">
        <w:rPr>
          <w:rFonts w:ascii="Arial" w:hAnsi="Arial" w:cs="Arial"/>
          <w:sz w:val="22"/>
          <w:szCs w:val="22"/>
        </w:rPr>
        <w:t>(which should be associated with at least 96 PFS events). Calculation from “PS Power and Sample Size” software (Dupont &amp; Plummer 1997).</w:t>
      </w:r>
      <w:r w:rsidR="006162CD">
        <w:rPr>
          <w:rFonts w:ascii="Arial" w:hAnsi="Arial" w:cs="Arial"/>
          <w:sz w:val="22"/>
          <w:szCs w:val="22"/>
        </w:rPr>
        <w:t xml:space="preserve"> Using carboplatin is expected to have a similar effect as cisplatin.</w:t>
      </w:r>
    </w:p>
    <w:p w14:paraId="0CCEAABF" w14:textId="77777777" w:rsidR="00DA67E8" w:rsidRPr="008564C3" w:rsidRDefault="00DA67E8" w:rsidP="00E85115">
      <w:pPr>
        <w:pStyle w:val="Normal1"/>
        <w:rPr>
          <w:rFonts w:cs="Arial"/>
          <w:sz w:val="22"/>
          <w:szCs w:val="22"/>
        </w:rPr>
      </w:pPr>
    </w:p>
    <w:p w14:paraId="6F791F93" w14:textId="77777777" w:rsidR="00DA67E8" w:rsidRPr="00C4661E" w:rsidRDefault="00DA67E8" w:rsidP="00BF16F9">
      <w:pPr>
        <w:pStyle w:val="Heading2"/>
      </w:pPr>
      <w:bookmarkStart w:id="1090" w:name="_Toc296076985"/>
      <w:bookmarkStart w:id="1091" w:name="_Toc333484804"/>
      <w:bookmarkStart w:id="1092" w:name="_Toc333484919"/>
      <w:bookmarkStart w:id="1093" w:name="_Toc351624871"/>
      <w:r w:rsidRPr="00C4661E">
        <w:t xml:space="preserve"> </w:t>
      </w:r>
      <w:r w:rsidRPr="00C4661E">
        <w:tab/>
      </w:r>
      <w:bookmarkStart w:id="1094" w:name="_Toc471826832"/>
      <w:bookmarkStart w:id="1095" w:name="_Toc528323599"/>
      <w:r w:rsidRPr="00C4661E">
        <w:t>Safety monitoring during the phase II trial</w:t>
      </w:r>
      <w:bookmarkEnd w:id="1090"/>
      <w:bookmarkEnd w:id="1091"/>
      <w:bookmarkEnd w:id="1092"/>
      <w:bookmarkEnd w:id="1093"/>
      <w:bookmarkEnd w:id="1094"/>
      <w:bookmarkEnd w:id="1095"/>
    </w:p>
    <w:p w14:paraId="14BD4177" w14:textId="77777777" w:rsidR="00DA67E8" w:rsidRDefault="00DA67E8" w:rsidP="00E85115">
      <w:pPr>
        <w:jc w:val="both"/>
        <w:rPr>
          <w:rFonts w:ascii="Arial" w:hAnsi="Arial" w:cs="Arial"/>
          <w:sz w:val="22"/>
          <w:szCs w:val="22"/>
        </w:rPr>
      </w:pPr>
      <w:r w:rsidRPr="008564C3">
        <w:rPr>
          <w:rFonts w:ascii="Arial" w:hAnsi="Arial" w:cs="Arial"/>
          <w:sz w:val="22"/>
          <w:szCs w:val="22"/>
        </w:rPr>
        <w:t xml:space="preserve">A severe cumulative toxicity rate </w:t>
      </w:r>
      <w:r w:rsidR="00CE7C46">
        <w:rPr>
          <w:rFonts w:ascii="Arial" w:hAnsi="Arial" w:cs="Arial"/>
          <w:sz w:val="22"/>
          <w:szCs w:val="22"/>
        </w:rPr>
        <w:t xml:space="preserve">(grade ≥3) </w:t>
      </w:r>
      <w:r w:rsidRPr="008564C3">
        <w:rPr>
          <w:rFonts w:ascii="Arial" w:hAnsi="Arial" w:cs="Arial"/>
          <w:sz w:val="22"/>
          <w:szCs w:val="22"/>
        </w:rPr>
        <w:t xml:space="preserve">of more than 33% is judged to be unacceptable. As soon as we see 25 patients with a severe toxicity in either arm (defined above), the lower one-sided 95% confidence interval associated with this is 34% (p-value &lt;0.05), i.e. the </w:t>
      </w:r>
      <w:r w:rsidRPr="008564C3">
        <w:rPr>
          <w:rFonts w:ascii="Arial" w:hAnsi="Arial" w:cs="Arial"/>
          <w:sz w:val="22"/>
          <w:szCs w:val="22"/>
          <w:u w:val="single"/>
        </w:rPr>
        <w:t>true</w:t>
      </w:r>
      <w:r w:rsidRPr="008564C3">
        <w:rPr>
          <w:rFonts w:ascii="Arial" w:hAnsi="Arial" w:cs="Arial"/>
          <w:sz w:val="22"/>
          <w:szCs w:val="22"/>
        </w:rPr>
        <w:t xml:space="preserve"> toxicity rate is likely to be greater than the acceptable rate of 33%.  This is used to help guide whether the observed rate in the sample of patients is consistent with the unacceptable </w:t>
      </w:r>
      <w:r w:rsidRPr="008564C3">
        <w:rPr>
          <w:rFonts w:ascii="Arial" w:hAnsi="Arial" w:cs="Arial"/>
          <w:sz w:val="22"/>
          <w:szCs w:val="22"/>
          <w:u w:val="single"/>
        </w:rPr>
        <w:t>true</w:t>
      </w:r>
      <w:r w:rsidRPr="008564C3">
        <w:rPr>
          <w:rFonts w:ascii="Arial" w:hAnsi="Arial" w:cs="Arial"/>
          <w:sz w:val="22"/>
          <w:szCs w:val="22"/>
        </w:rPr>
        <w:t xml:space="preserve"> rate, and not due to chance. Because there will be a control group, we will also compare the toxicity rates between the two trial arms to confirm whether there is a higher adverse event rate in the Ganetespib arm, and examine the confidence intervals for the differences or relative risks. However, all types and all grades of toxicities will be monitored during the trial regardless of whether the unacceptable cut-off is met or not.  An Independent Data Monitoring Committee (IDMC) will review the data regularly, about every 6 months (or more frequent if they choose), and set up extra IDMC meetings when judged to be necessary. The assessment of toxicity by the IDMC would be based on </w:t>
      </w:r>
      <w:r w:rsidR="00E911D3">
        <w:rPr>
          <w:rFonts w:ascii="Arial" w:hAnsi="Arial" w:cs="Arial"/>
          <w:sz w:val="22"/>
          <w:szCs w:val="22"/>
        </w:rPr>
        <w:t>all available</w:t>
      </w:r>
      <w:r w:rsidRPr="008564C3">
        <w:rPr>
          <w:rFonts w:ascii="Arial" w:hAnsi="Arial" w:cs="Arial"/>
          <w:sz w:val="22"/>
          <w:szCs w:val="22"/>
        </w:rPr>
        <w:t xml:space="preserve"> data, and they will determine whether the trial should be stopped early based on the whole toxicity profile as well as other relevant information.</w:t>
      </w:r>
    </w:p>
    <w:p w14:paraId="36CDD220" w14:textId="77777777" w:rsidR="00495549" w:rsidRDefault="00495549" w:rsidP="00E85115">
      <w:pPr>
        <w:jc w:val="both"/>
        <w:rPr>
          <w:rFonts w:ascii="Arial" w:hAnsi="Arial" w:cs="Arial"/>
          <w:sz w:val="22"/>
          <w:szCs w:val="22"/>
        </w:rPr>
      </w:pPr>
    </w:p>
    <w:p w14:paraId="3B68416E" w14:textId="549FCD9C" w:rsidR="00DA67E8" w:rsidRPr="008564C3" w:rsidRDefault="00495549" w:rsidP="00E85115">
      <w:pPr>
        <w:pStyle w:val="OmniPage5"/>
        <w:tabs>
          <w:tab w:val="left" w:pos="1440"/>
          <w:tab w:val="left" w:pos="7200"/>
        </w:tabs>
        <w:spacing w:line="240" w:lineRule="auto"/>
        <w:ind w:right="45"/>
        <w:jc w:val="both"/>
        <w:rPr>
          <w:rFonts w:ascii="Arial" w:hAnsi="Arial" w:cs="Arial"/>
          <w:b/>
          <w:sz w:val="22"/>
          <w:szCs w:val="22"/>
          <w:lang w:val="en-GB"/>
        </w:rPr>
      </w:pPr>
      <w:r w:rsidRPr="00495549">
        <w:rPr>
          <w:rFonts w:ascii="Arial" w:hAnsi="Arial" w:cs="Arial"/>
          <w:sz w:val="22"/>
          <w:szCs w:val="22"/>
        </w:rPr>
        <w:t>The trial will no longer proceed to phase II following the busi</w:t>
      </w:r>
      <w:r>
        <w:rPr>
          <w:rFonts w:ascii="Arial" w:hAnsi="Arial" w:cs="Arial"/>
          <w:sz w:val="22"/>
          <w:szCs w:val="22"/>
        </w:rPr>
        <w:t>ness decision by Madrigal Pharma</w:t>
      </w:r>
      <w:r w:rsidRPr="00495549">
        <w:rPr>
          <w:rFonts w:ascii="Arial" w:hAnsi="Arial" w:cs="Arial"/>
          <w:sz w:val="22"/>
          <w:szCs w:val="22"/>
        </w:rPr>
        <w:t>ceuticals Inc</w:t>
      </w:r>
      <w:r w:rsidR="006853DC">
        <w:rPr>
          <w:rFonts w:ascii="Arial" w:hAnsi="Arial" w:cs="Arial"/>
          <w:sz w:val="22"/>
          <w:szCs w:val="22"/>
        </w:rPr>
        <w:t>.</w:t>
      </w:r>
      <w:r w:rsidRPr="00495549">
        <w:rPr>
          <w:rFonts w:ascii="Arial" w:hAnsi="Arial" w:cs="Arial"/>
          <w:sz w:val="22"/>
          <w:szCs w:val="22"/>
        </w:rPr>
        <w:t xml:space="preserve"> (formerly </w:t>
      </w:r>
      <w:proofErr w:type="spellStart"/>
      <w:r w:rsidRPr="00495549">
        <w:rPr>
          <w:rFonts w:ascii="Arial" w:hAnsi="Arial" w:cs="Arial"/>
          <w:sz w:val="22"/>
          <w:szCs w:val="22"/>
        </w:rPr>
        <w:t>Synta</w:t>
      </w:r>
      <w:proofErr w:type="spellEnd"/>
      <w:r w:rsidRPr="00495549">
        <w:rPr>
          <w:rFonts w:ascii="Arial" w:hAnsi="Arial" w:cs="Arial"/>
          <w:sz w:val="22"/>
          <w:szCs w:val="22"/>
        </w:rPr>
        <w:t xml:space="preserve"> Pharmaceuticals Corp</w:t>
      </w:r>
      <w:r w:rsidR="006853DC">
        <w:rPr>
          <w:rFonts w:ascii="Arial" w:hAnsi="Arial" w:cs="Arial"/>
          <w:sz w:val="22"/>
          <w:szCs w:val="22"/>
        </w:rPr>
        <w:t>.</w:t>
      </w:r>
      <w:r w:rsidRPr="00495549">
        <w:rPr>
          <w:rFonts w:ascii="Arial" w:hAnsi="Arial" w:cs="Arial"/>
          <w:sz w:val="22"/>
          <w:szCs w:val="22"/>
        </w:rPr>
        <w:t xml:space="preserve">) to cease development of </w:t>
      </w:r>
      <w:proofErr w:type="spellStart"/>
      <w:r w:rsidRPr="00495549">
        <w:rPr>
          <w:rFonts w:ascii="Arial" w:hAnsi="Arial" w:cs="Arial"/>
          <w:sz w:val="22"/>
          <w:szCs w:val="22"/>
        </w:rPr>
        <w:t>ganetespib</w:t>
      </w:r>
      <w:proofErr w:type="spellEnd"/>
      <w:r w:rsidRPr="00495549">
        <w:rPr>
          <w:rFonts w:ascii="Arial" w:hAnsi="Arial" w:cs="Arial"/>
          <w:sz w:val="22"/>
          <w:szCs w:val="22"/>
        </w:rPr>
        <w:t xml:space="preserve"> in this population.</w:t>
      </w:r>
    </w:p>
    <w:p w14:paraId="29A2DAC0" w14:textId="77777777" w:rsidR="00DA67E8" w:rsidRPr="00C4661E" w:rsidRDefault="00DA67E8" w:rsidP="00BF16F9">
      <w:pPr>
        <w:pStyle w:val="Heading2"/>
      </w:pPr>
      <w:bookmarkStart w:id="1096" w:name="_Toc296076986"/>
      <w:bookmarkStart w:id="1097" w:name="_Toc333484805"/>
      <w:bookmarkStart w:id="1098" w:name="_Toc333484920"/>
      <w:bookmarkStart w:id="1099" w:name="_Toc351624872"/>
      <w:r w:rsidRPr="00C4661E">
        <w:t xml:space="preserve"> </w:t>
      </w:r>
      <w:r w:rsidRPr="00C4661E">
        <w:tab/>
      </w:r>
      <w:bookmarkStart w:id="1100" w:name="_Toc471826833"/>
      <w:bookmarkStart w:id="1101" w:name="_Toc528323600"/>
      <w:r w:rsidRPr="00C4661E">
        <w:t>Statistical analysis</w:t>
      </w:r>
      <w:bookmarkEnd w:id="1096"/>
      <w:bookmarkEnd w:id="1097"/>
      <w:bookmarkEnd w:id="1098"/>
      <w:bookmarkEnd w:id="1099"/>
      <w:bookmarkEnd w:id="1100"/>
      <w:bookmarkEnd w:id="1101"/>
    </w:p>
    <w:p w14:paraId="67AEBDA8" w14:textId="77777777" w:rsidR="00DA67E8" w:rsidRPr="00FC20CF" w:rsidRDefault="00DA67E8" w:rsidP="00E876A0">
      <w:pPr>
        <w:pStyle w:val="Heading3"/>
        <w:ind w:left="851" w:hanging="851"/>
        <w:rPr>
          <w:szCs w:val="24"/>
        </w:rPr>
      </w:pPr>
      <w:bookmarkStart w:id="1102" w:name="_Toc471826834"/>
      <w:bookmarkStart w:id="1103" w:name="_Toc528323601"/>
      <w:r w:rsidRPr="00FC20CF">
        <w:rPr>
          <w:szCs w:val="24"/>
        </w:rPr>
        <w:t>Phase I trial</w:t>
      </w:r>
      <w:bookmarkEnd w:id="1102"/>
      <w:bookmarkEnd w:id="1103"/>
    </w:p>
    <w:p w14:paraId="35AEC1EE" w14:textId="77777777" w:rsidR="00DA67E8" w:rsidRPr="00CE7C46" w:rsidRDefault="00DA67E8" w:rsidP="002F600D">
      <w:pPr>
        <w:pStyle w:val="CS-Text"/>
        <w:numPr>
          <w:ilvl w:val="0"/>
          <w:numId w:val="27"/>
        </w:numPr>
        <w:spacing w:after="100" w:afterAutospacing="1"/>
        <w:jc w:val="both"/>
        <w:rPr>
          <w:rFonts w:ascii="Arial" w:hAnsi="Arial" w:cs="Arial"/>
          <w:sz w:val="22"/>
          <w:szCs w:val="22"/>
        </w:rPr>
      </w:pPr>
      <w:r w:rsidRPr="00CE7C46">
        <w:rPr>
          <w:rFonts w:ascii="Arial" w:hAnsi="Arial" w:cs="Arial"/>
          <w:sz w:val="22"/>
          <w:szCs w:val="22"/>
        </w:rPr>
        <w:t xml:space="preserve">The maximum tolerated dose (MTD) will be specified, and the number of dose-limiting toxicities (DLTs) and number of chemotherapy cycles administered will be summarised in each </w:t>
      </w:r>
      <w:r w:rsidR="00B07464">
        <w:rPr>
          <w:rFonts w:ascii="Arial" w:hAnsi="Arial" w:cs="Arial"/>
          <w:sz w:val="22"/>
          <w:szCs w:val="22"/>
        </w:rPr>
        <w:t xml:space="preserve">ganetespib dose cohort. The Trial Management Group and IDMC will use this information to determine which dose should be used for the phase II trial. If, for example, there are no DLTs in any dose </w:t>
      </w:r>
      <w:r w:rsidR="002F113D">
        <w:rPr>
          <w:rFonts w:ascii="Arial" w:hAnsi="Arial" w:cs="Arial"/>
          <w:sz w:val="22"/>
          <w:szCs w:val="22"/>
        </w:rPr>
        <w:t>cohort</w:t>
      </w:r>
      <w:r w:rsidRPr="00CE7C46">
        <w:rPr>
          <w:rFonts w:ascii="Arial" w:hAnsi="Arial" w:cs="Arial"/>
          <w:sz w:val="22"/>
          <w:szCs w:val="22"/>
        </w:rPr>
        <w:t xml:space="preserve">, </w:t>
      </w:r>
      <w:r w:rsidR="00B07464">
        <w:rPr>
          <w:rFonts w:ascii="Arial" w:hAnsi="Arial" w:cs="Arial"/>
          <w:sz w:val="22"/>
          <w:szCs w:val="22"/>
        </w:rPr>
        <w:t>the ganetespib dose used in a phase II trial could be the one where the highest number of chemotherapy cycles can be delivered</w:t>
      </w:r>
      <w:r w:rsidR="00CE7C46">
        <w:rPr>
          <w:rFonts w:ascii="Arial" w:hAnsi="Arial" w:cs="Arial"/>
          <w:sz w:val="22"/>
          <w:szCs w:val="22"/>
        </w:rPr>
        <w:t>.</w:t>
      </w:r>
      <w:r w:rsidRPr="00CE7C46">
        <w:rPr>
          <w:rFonts w:ascii="Arial" w:hAnsi="Arial" w:cs="Arial"/>
          <w:sz w:val="22"/>
          <w:szCs w:val="22"/>
        </w:rPr>
        <w:t xml:space="preserve"> </w:t>
      </w:r>
    </w:p>
    <w:p w14:paraId="0C529085" w14:textId="77777777" w:rsidR="00DA67E8" w:rsidRPr="008564C3" w:rsidRDefault="00B07464" w:rsidP="002F600D">
      <w:pPr>
        <w:pStyle w:val="CS-Text"/>
        <w:numPr>
          <w:ilvl w:val="0"/>
          <w:numId w:val="27"/>
        </w:numPr>
        <w:spacing w:after="100" w:afterAutospacing="1"/>
        <w:jc w:val="both"/>
        <w:rPr>
          <w:rFonts w:ascii="Arial" w:hAnsi="Arial" w:cs="Arial"/>
          <w:sz w:val="22"/>
          <w:szCs w:val="22"/>
        </w:rPr>
      </w:pPr>
      <w:r>
        <w:rPr>
          <w:rFonts w:ascii="Arial" w:hAnsi="Arial" w:cs="Arial"/>
          <w:sz w:val="22"/>
          <w:szCs w:val="22"/>
        </w:rPr>
        <w:t>The maximum toxici</w:t>
      </w:r>
      <w:r w:rsidR="00DA67E8" w:rsidRPr="008564C3">
        <w:rPr>
          <w:rFonts w:ascii="Arial" w:hAnsi="Arial" w:cs="Arial"/>
          <w:sz w:val="22"/>
          <w:szCs w:val="22"/>
        </w:rPr>
        <w:t>ty grade for each type of adverse event will be obtained for each patient, and summarised in a table.</w:t>
      </w:r>
    </w:p>
    <w:p w14:paraId="567EF59D" w14:textId="77777777" w:rsidR="00DA67E8" w:rsidRPr="008564C3" w:rsidRDefault="00DA67E8" w:rsidP="002F600D">
      <w:pPr>
        <w:pStyle w:val="CS-Text"/>
        <w:numPr>
          <w:ilvl w:val="0"/>
          <w:numId w:val="27"/>
        </w:numPr>
        <w:spacing w:after="100" w:afterAutospacing="1"/>
        <w:jc w:val="both"/>
        <w:rPr>
          <w:rFonts w:ascii="Arial" w:hAnsi="Arial" w:cs="Arial"/>
          <w:sz w:val="22"/>
          <w:szCs w:val="22"/>
        </w:rPr>
      </w:pPr>
      <w:r w:rsidRPr="008564C3">
        <w:rPr>
          <w:rFonts w:ascii="Arial" w:hAnsi="Arial" w:cs="Arial"/>
          <w:sz w:val="22"/>
          <w:szCs w:val="22"/>
        </w:rPr>
        <w:t xml:space="preserve">The number of patients who complete 1 up to 6 cycles of </w:t>
      </w:r>
      <w:r w:rsidR="00781B86">
        <w:rPr>
          <w:rFonts w:ascii="Arial" w:hAnsi="Arial" w:cs="Arial"/>
          <w:sz w:val="22"/>
          <w:szCs w:val="22"/>
        </w:rPr>
        <w:t>platinum</w:t>
      </w:r>
      <w:r w:rsidRPr="008564C3">
        <w:rPr>
          <w:rFonts w:ascii="Arial" w:hAnsi="Arial" w:cs="Arial"/>
          <w:sz w:val="22"/>
          <w:szCs w:val="22"/>
        </w:rPr>
        <w:t>/pemetrexed therapy will be summarised in a table for each dose cohort.</w:t>
      </w:r>
    </w:p>
    <w:p w14:paraId="5FA163D2" w14:textId="77777777" w:rsidR="00DA67E8" w:rsidRDefault="00DA67E8" w:rsidP="002F600D">
      <w:pPr>
        <w:pStyle w:val="CS-Text"/>
        <w:numPr>
          <w:ilvl w:val="0"/>
          <w:numId w:val="27"/>
        </w:numPr>
        <w:spacing w:after="100" w:afterAutospacing="1"/>
        <w:jc w:val="both"/>
        <w:rPr>
          <w:rFonts w:ascii="Arial" w:hAnsi="Arial" w:cs="Arial"/>
          <w:sz w:val="22"/>
          <w:szCs w:val="22"/>
        </w:rPr>
      </w:pPr>
      <w:r w:rsidRPr="008564C3">
        <w:rPr>
          <w:rFonts w:ascii="Arial" w:hAnsi="Arial" w:cs="Arial"/>
          <w:sz w:val="22"/>
          <w:szCs w:val="22"/>
        </w:rPr>
        <w:t>The best tumour response for each patient will also be summarised in a table, according to complete or partial responders, those with stable disease, those who progress, and those whose disease status is not evaluable.</w:t>
      </w:r>
    </w:p>
    <w:p w14:paraId="4D7F5CAF" w14:textId="77777777" w:rsidR="00197E46" w:rsidRPr="008564C3" w:rsidRDefault="00197E46" w:rsidP="00197E46">
      <w:pPr>
        <w:pStyle w:val="CS-Text"/>
        <w:spacing w:after="100" w:afterAutospacing="1"/>
        <w:ind w:left="720"/>
        <w:jc w:val="both"/>
        <w:rPr>
          <w:rFonts w:ascii="Arial" w:hAnsi="Arial" w:cs="Arial"/>
          <w:sz w:val="22"/>
          <w:szCs w:val="22"/>
        </w:rPr>
      </w:pPr>
    </w:p>
    <w:p w14:paraId="2A1386E8" w14:textId="77777777" w:rsidR="00DA67E8" w:rsidRPr="00FC20CF" w:rsidRDefault="00DA67E8" w:rsidP="00E876A0">
      <w:pPr>
        <w:pStyle w:val="Heading3"/>
        <w:ind w:left="851" w:hanging="851"/>
        <w:rPr>
          <w:szCs w:val="24"/>
        </w:rPr>
      </w:pPr>
      <w:bookmarkStart w:id="1104" w:name="_Toc471826835"/>
      <w:bookmarkStart w:id="1105" w:name="_Toc528323602"/>
      <w:r w:rsidRPr="00FC20CF">
        <w:rPr>
          <w:szCs w:val="24"/>
        </w:rPr>
        <w:t>Randomised phase II trial</w:t>
      </w:r>
      <w:bookmarkEnd w:id="1104"/>
      <w:bookmarkEnd w:id="1105"/>
    </w:p>
    <w:p w14:paraId="4A2B4A3F" w14:textId="77777777" w:rsidR="00DA67E8" w:rsidRPr="008564C3" w:rsidRDefault="00DA67E8" w:rsidP="00E85115">
      <w:pPr>
        <w:pStyle w:val="CS-Text"/>
        <w:jc w:val="both"/>
        <w:rPr>
          <w:rFonts w:ascii="Arial" w:hAnsi="Arial" w:cs="Arial"/>
          <w:b/>
          <w:sz w:val="22"/>
          <w:szCs w:val="22"/>
        </w:rPr>
      </w:pPr>
      <w:r w:rsidRPr="008564C3">
        <w:rPr>
          <w:rFonts w:ascii="Arial" w:hAnsi="Arial" w:cs="Arial"/>
          <w:b/>
          <w:sz w:val="22"/>
          <w:szCs w:val="22"/>
        </w:rPr>
        <w:br/>
        <w:t>Efficacy analyses</w:t>
      </w:r>
    </w:p>
    <w:p w14:paraId="79CC362A" w14:textId="4B97D90E" w:rsidR="00DA67E8" w:rsidRPr="008564C3" w:rsidRDefault="00DA67E8" w:rsidP="002F600D">
      <w:pPr>
        <w:pStyle w:val="CS-Text"/>
        <w:numPr>
          <w:ilvl w:val="0"/>
          <w:numId w:val="28"/>
        </w:numPr>
        <w:spacing w:after="100" w:afterAutospacing="1"/>
        <w:jc w:val="both"/>
        <w:rPr>
          <w:rFonts w:ascii="Arial" w:hAnsi="Arial" w:cs="Arial"/>
          <w:sz w:val="22"/>
          <w:szCs w:val="22"/>
        </w:rPr>
      </w:pPr>
      <w:r w:rsidRPr="008564C3">
        <w:rPr>
          <w:rFonts w:ascii="Arial" w:hAnsi="Arial" w:cs="Arial"/>
          <w:sz w:val="22"/>
          <w:szCs w:val="22"/>
        </w:rPr>
        <w:t xml:space="preserve">Progression-free survival, overall survival, time-to-progression and time-to-treatment failure, will each be analysed using Kaplan-Meier curves, and the hazard ratios estimated for </w:t>
      </w:r>
      <w:r w:rsidR="00F75FD0">
        <w:rPr>
          <w:rFonts w:ascii="Arial" w:hAnsi="Arial" w:cs="Arial"/>
          <w:sz w:val="22"/>
          <w:szCs w:val="22"/>
        </w:rPr>
        <w:t>g</w:t>
      </w:r>
      <w:r w:rsidRPr="008564C3">
        <w:rPr>
          <w:rFonts w:ascii="Arial" w:hAnsi="Arial" w:cs="Arial"/>
          <w:sz w:val="22"/>
          <w:szCs w:val="22"/>
        </w:rPr>
        <w:t xml:space="preserve">anetespib versus </w:t>
      </w:r>
      <w:r w:rsidR="00BB7FBA">
        <w:rPr>
          <w:rFonts w:ascii="Arial" w:hAnsi="Arial" w:cs="Arial"/>
          <w:sz w:val="22"/>
          <w:szCs w:val="22"/>
        </w:rPr>
        <w:t>chemotherapy</w:t>
      </w:r>
      <w:r w:rsidR="00BB7FBA" w:rsidRPr="008564C3">
        <w:rPr>
          <w:rFonts w:ascii="Arial" w:hAnsi="Arial" w:cs="Arial"/>
          <w:sz w:val="22"/>
          <w:szCs w:val="22"/>
        </w:rPr>
        <w:t xml:space="preserve"> </w:t>
      </w:r>
      <w:r w:rsidRPr="008564C3">
        <w:rPr>
          <w:rFonts w:ascii="Arial" w:hAnsi="Arial" w:cs="Arial"/>
          <w:sz w:val="22"/>
          <w:szCs w:val="22"/>
        </w:rPr>
        <w:t xml:space="preserve">(with 95% confidence intervals and p-values). Methods such as the </w:t>
      </w:r>
      <w:r w:rsidR="002F113D" w:rsidRPr="008564C3">
        <w:rPr>
          <w:rFonts w:ascii="Arial" w:hAnsi="Arial" w:cs="Arial"/>
          <w:sz w:val="22"/>
          <w:szCs w:val="22"/>
        </w:rPr>
        <w:t>log rank</w:t>
      </w:r>
      <w:r w:rsidRPr="008564C3">
        <w:rPr>
          <w:rFonts w:ascii="Arial" w:hAnsi="Arial" w:cs="Arial"/>
          <w:sz w:val="22"/>
          <w:szCs w:val="22"/>
        </w:rPr>
        <w:t xml:space="preserve"> test using </w:t>
      </w:r>
      <w:proofErr w:type="spellStart"/>
      <w:r w:rsidRPr="008564C3">
        <w:rPr>
          <w:rFonts w:ascii="Arial" w:hAnsi="Arial" w:cs="Arial"/>
          <w:sz w:val="22"/>
          <w:szCs w:val="22"/>
        </w:rPr>
        <w:t>Efron's</w:t>
      </w:r>
      <w:proofErr w:type="spellEnd"/>
      <w:r w:rsidRPr="008564C3">
        <w:rPr>
          <w:rFonts w:ascii="Arial" w:hAnsi="Arial" w:cs="Arial"/>
          <w:sz w:val="22"/>
          <w:szCs w:val="22"/>
        </w:rPr>
        <w:t xml:space="preserve"> method for ties and Cox regression will be used. The </w:t>
      </w:r>
      <w:r w:rsidR="00CE7C46">
        <w:rPr>
          <w:rFonts w:ascii="Arial" w:hAnsi="Arial" w:cs="Arial"/>
          <w:sz w:val="22"/>
          <w:szCs w:val="22"/>
        </w:rPr>
        <w:t xml:space="preserve">primary </w:t>
      </w:r>
      <w:r w:rsidRPr="008564C3">
        <w:rPr>
          <w:rFonts w:ascii="Arial" w:hAnsi="Arial" w:cs="Arial"/>
          <w:sz w:val="22"/>
          <w:szCs w:val="22"/>
        </w:rPr>
        <w:t>hazard ratio for PFS will be estimated without adjustment for any other variables</w:t>
      </w:r>
      <w:r w:rsidR="00CE7C46">
        <w:rPr>
          <w:rFonts w:ascii="Arial" w:hAnsi="Arial" w:cs="Arial"/>
          <w:sz w:val="22"/>
          <w:szCs w:val="22"/>
        </w:rPr>
        <w:t>. We will also examine the HR</w:t>
      </w:r>
      <w:r w:rsidRPr="008564C3">
        <w:rPr>
          <w:rFonts w:ascii="Arial" w:hAnsi="Arial" w:cs="Arial"/>
          <w:sz w:val="22"/>
          <w:szCs w:val="22"/>
        </w:rPr>
        <w:t xml:space="preserve"> with adjustment for the stratification factors used in the randomisation (</w:t>
      </w:r>
      <w:r w:rsidR="002F113D" w:rsidRPr="008564C3">
        <w:rPr>
          <w:rFonts w:ascii="Arial" w:hAnsi="Arial" w:cs="Arial"/>
          <w:sz w:val="22"/>
          <w:szCs w:val="22"/>
        </w:rPr>
        <w:t>i.e.</w:t>
      </w:r>
      <w:r w:rsidRPr="008564C3">
        <w:rPr>
          <w:rFonts w:ascii="Arial" w:hAnsi="Arial" w:cs="Arial"/>
          <w:sz w:val="22"/>
          <w:szCs w:val="22"/>
        </w:rPr>
        <w:t xml:space="preserve"> recruiting centre, performance status, and histological subtype). All 110 patients should be enrolled before the final analysis can be performed.</w:t>
      </w:r>
    </w:p>
    <w:p w14:paraId="2A46DCF3" w14:textId="77777777" w:rsidR="00DA67E8" w:rsidRPr="008564C3" w:rsidRDefault="00DA67E8" w:rsidP="002F600D">
      <w:pPr>
        <w:pStyle w:val="CS-Text"/>
        <w:numPr>
          <w:ilvl w:val="0"/>
          <w:numId w:val="28"/>
        </w:numPr>
        <w:spacing w:before="20" w:after="100" w:afterAutospacing="1"/>
        <w:jc w:val="both"/>
        <w:rPr>
          <w:rFonts w:ascii="Arial" w:hAnsi="Arial" w:cs="Arial"/>
          <w:sz w:val="22"/>
          <w:szCs w:val="22"/>
          <w:lang w:eastAsia="ja-JP"/>
        </w:rPr>
      </w:pPr>
      <w:r w:rsidRPr="008564C3">
        <w:rPr>
          <w:rFonts w:ascii="Arial" w:hAnsi="Arial" w:cs="Arial"/>
          <w:sz w:val="22"/>
          <w:szCs w:val="22"/>
          <w:lang w:eastAsia="ja-JP"/>
        </w:rPr>
        <w:t xml:space="preserve">It is expected that an effect as large as a hazard ratio of 0.65 for PFS might translate to a more moderate but meaningful improvement in overall survival (to be examined in a subsequent phase III trial). At the end of the phase II trial, the one-sided p-value for the observed PFS hazard ratio would be compared against a cut-off of 0.10 to help determine whether a larger trial is justified (this is the cut-off upon which the sample size is based). </w:t>
      </w:r>
    </w:p>
    <w:p w14:paraId="7B971B22" w14:textId="77777777" w:rsidR="00DA67E8" w:rsidRPr="008564C3" w:rsidRDefault="00DA67E8" w:rsidP="002F600D">
      <w:pPr>
        <w:pStyle w:val="CS-Text"/>
        <w:numPr>
          <w:ilvl w:val="0"/>
          <w:numId w:val="28"/>
        </w:numPr>
        <w:spacing w:before="20" w:after="100" w:afterAutospacing="1"/>
        <w:jc w:val="both"/>
        <w:rPr>
          <w:rFonts w:ascii="Arial" w:hAnsi="Arial" w:cs="Arial"/>
          <w:sz w:val="22"/>
          <w:szCs w:val="22"/>
          <w:lang w:eastAsia="ja-JP"/>
        </w:rPr>
      </w:pPr>
      <w:r w:rsidRPr="008564C3">
        <w:rPr>
          <w:rFonts w:ascii="Arial" w:hAnsi="Arial" w:cs="Arial"/>
          <w:sz w:val="22"/>
          <w:szCs w:val="22"/>
        </w:rPr>
        <w:t xml:space="preserve">The best tumour response will be compared between the treatment arms using a </w:t>
      </w:r>
      <w:r w:rsidR="00F67386">
        <w:rPr>
          <w:rFonts w:ascii="Arial" w:hAnsi="Arial" w:cs="Arial"/>
          <w:sz w:val="22"/>
          <w:szCs w:val="22"/>
        </w:rPr>
        <w:t xml:space="preserve">Fishers exact or </w:t>
      </w:r>
      <w:r w:rsidRPr="008564C3">
        <w:rPr>
          <w:rFonts w:ascii="Arial" w:hAnsi="Arial" w:cs="Arial"/>
          <w:sz w:val="22"/>
          <w:szCs w:val="22"/>
        </w:rPr>
        <w:t>chi-squared test. Focus will be on patients who have a complete or partial response.</w:t>
      </w:r>
    </w:p>
    <w:p w14:paraId="6EF8E4C7" w14:textId="77777777" w:rsidR="00DA67E8" w:rsidRDefault="00DA67E8" w:rsidP="002F600D">
      <w:pPr>
        <w:pStyle w:val="CS-Text"/>
        <w:numPr>
          <w:ilvl w:val="0"/>
          <w:numId w:val="28"/>
        </w:numPr>
        <w:spacing w:before="20" w:after="100" w:afterAutospacing="1"/>
        <w:jc w:val="both"/>
        <w:rPr>
          <w:rFonts w:ascii="Arial" w:hAnsi="Arial" w:cs="Arial"/>
          <w:sz w:val="22"/>
          <w:szCs w:val="22"/>
          <w:lang w:eastAsia="ja-JP"/>
        </w:rPr>
      </w:pPr>
      <w:r w:rsidRPr="008564C3">
        <w:rPr>
          <w:rFonts w:ascii="Arial" w:hAnsi="Arial" w:cs="Arial"/>
          <w:sz w:val="22"/>
          <w:szCs w:val="22"/>
        </w:rPr>
        <w:t xml:space="preserve">An exploratory analysis will be based on obtaining the observed proportion of patients who experience no vomiting and the number of patients who do not require the use of rescue anti-nausea medication. We will also obtain the observed proportion of patients who experience vomiting and use rescue medication for the 120 hours after the </w:t>
      </w:r>
      <w:r w:rsidR="00B86623">
        <w:rPr>
          <w:rFonts w:ascii="Arial" w:hAnsi="Arial" w:cs="Arial"/>
          <w:sz w:val="22"/>
          <w:szCs w:val="22"/>
        </w:rPr>
        <w:t>platinum</w:t>
      </w:r>
      <w:r w:rsidRPr="008564C3">
        <w:rPr>
          <w:rFonts w:ascii="Arial" w:hAnsi="Arial" w:cs="Arial"/>
          <w:sz w:val="22"/>
          <w:szCs w:val="22"/>
        </w:rPr>
        <w:t xml:space="preserve"> and pemetrexed administration.</w:t>
      </w:r>
    </w:p>
    <w:p w14:paraId="1CAA0191" w14:textId="744BD336" w:rsidR="006853DC" w:rsidRDefault="00495549" w:rsidP="00E85115">
      <w:pPr>
        <w:pStyle w:val="CS-Text"/>
        <w:jc w:val="both"/>
        <w:rPr>
          <w:rFonts w:ascii="Arial" w:hAnsi="Arial" w:cs="Arial"/>
          <w:sz w:val="20"/>
          <w:lang w:eastAsia="en-US"/>
        </w:rPr>
      </w:pPr>
      <w:r w:rsidRPr="00495549">
        <w:rPr>
          <w:rFonts w:ascii="Arial" w:hAnsi="Arial" w:cs="Arial"/>
          <w:sz w:val="20"/>
          <w:lang w:eastAsia="en-US"/>
        </w:rPr>
        <w:t>The trial will no longer proceed to phase II following the bus</w:t>
      </w:r>
      <w:r>
        <w:rPr>
          <w:rFonts w:ascii="Arial" w:hAnsi="Arial" w:cs="Arial"/>
          <w:sz w:val="20"/>
          <w:lang w:eastAsia="en-US"/>
        </w:rPr>
        <w:t>iness decision by Madrigal Phar</w:t>
      </w:r>
      <w:r w:rsidRPr="00495549">
        <w:rPr>
          <w:rFonts w:ascii="Arial" w:hAnsi="Arial" w:cs="Arial"/>
          <w:sz w:val="20"/>
          <w:lang w:eastAsia="en-US"/>
        </w:rPr>
        <w:t>m</w:t>
      </w:r>
      <w:r>
        <w:rPr>
          <w:rFonts w:ascii="Arial" w:hAnsi="Arial" w:cs="Arial"/>
          <w:sz w:val="20"/>
          <w:lang w:eastAsia="en-US"/>
        </w:rPr>
        <w:t>a</w:t>
      </w:r>
      <w:r w:rsidRPr="00495549">
        <w:rPr>
          <w:rFonts w:ascii="Arial" w:hAnsi="Arial" w:cs="Arial"/>
          <w:sz w:val="20"/>
          <w:lang w:eastAsia="en-US"/>
        </w:rPr>
        <w:t>ceuticals Inc</w:t>
      </w:r>
      <w:r w:rsidR="006853DC">
        <w:rPr>
          <w:rFonts w:ascii="Arial" w:hAnsi="Arial" w:cs="Arial"/>
          <w:sz w:val="20"/>
          <w:lang w:eastAsia="en-US"/>
        </w:rPr>
        <w:t>.</w:t>
      </w:r>
      <w:r w:rsidRPr="00495549">
        <w:rPr>
          <w:rFonts w:ascii="Arial" w:hAnsi="Arial" w:cs="Arial"/>
          <w:sz w:val="20"/>
          <w:lang w:eastAsia="en-US"/>
        </w:rPr>
        <w:t xml:space="preserve"> (formerly </w:t>
      </w:r>
      <w:proofErr w:type="spellStart"/>
      <w:r w:rsidRPr="00495549">
        <w:rPr>
          <w:rFonts w:ascii="Arial" w:hAnsi="Arial" w:cs="Arial"/>
          <w:sz w:val="20"/>
          <w:lang w:eastAsia="en-US"/>
        </w:rPr>
        <w:t>Synta</w:t>
      </w:r>
      <w:proofErr w:type="spellEnd"/>
      <w:r w:rsidRPr="00495549">
        <w:rPr>
          <w:rFonts w:ascii="Arial" w:hAnsi="Arial" w:cs="Arial"/>
          <w:sz w:val="20"/>
          <w:lang w:eastAsia="en-US"/>
        </w:rPr>
        <w:t xml:space="preserve"> Pharmaceuticals Corp</w:t>
      </w:r>
      <w:r w:rsidR="006853DC">
        <w:rPr>
          <w:rFonts w:ascii="Arial" w:hAnsi="Arial" w:cs="Arial"/>
          <w:sz w:val="20"/>
          <w:lang w:eastAsia="en-US"/>
        </w:rPr>
        <w:t>.</w:t>
      </w:r>
      <w:r w:rsidRPr="00495549">
        <w:rPr>
          <w:rFonts w:ascii="Arial" w:hAnsi="Arial" w:cs="Arial"/>
          <w:sz w:val="20"/>
          <w:lang w:eastAsia="en-US"/>
        </w:rPr>
        <w:t>) to cease development of ganetespib in this population.</w:t>
      </w:r>
    </w:p>
    <w:p w14:paraId="5A82CD86" w14:textId="43F80379" w:rsidR="00DA67E8" w:rsidRPr="008564C3" w:rsidRDefault="00DA67E8" w:rsidP="00E85115">
      <w:pPr>
        <w:pStyle w:val="CS-Text"/>
        <w:jc w:val="both"/>
        <w:rPr>
          <w:rFonts w:ascii="Arial" w:hAnsi="Arial" w:cs="Arial"/>
          <w:b/>
          <w:sz w:val="22"/>
          <w:szCs w:val="22"/>
        </w:rPr>
      </w:pPr>
      <w:r w:rsidRPr="008564C3">
        <w:rPr>
          <w:rFonts w:ascii="Arial" w:hAnsi="Arial" w:cs="Arial"/>
          <w:b/>
          <w:sz w:val="22"/>
          <w:szCs w:val="22"/>
        </w:rPr>
        <w:t>Interim analyses</w:t>
      </w:r>
    </w:p>
    <w:p w14:paraId="67136545" w14:textId="77777777" w:rsidR="00DA67E8" w:rsidRDefault="00DA67E8" w:rsidP="00E85115">
      <w:pPr>
        <w:pStyle w:val="CS-Text"/>
        <w:jc w:val="both"/>
        <w:rPr>
          <w:rFonts w:ascii="Arial" w:hAnsi="Arial" w:cs="Arial"/>
          <w:sz w:val="22"/>
          <w:szCs w:val="22"/>
        </w:rPr>
      </w:pPr>
      <w:r w:rsidRPr="008564C3">
        <w:rPr>
          <w:rFonts w:ascii="Arial" w:hAnsi="Arial" w:cs="Arial"/>
          <w:sz w:val="22"/>
          <w:szCs w:val="22"/>
        </w:rPr>
        <w:t>There are no formal planned interim analyses of progression-free survival. However, if accrual is much slower than expected (e.g. &lt;3 patients per month after several centres have been activated for at least 4 months), the trial statistician and IDMC will examine the PFS data for futility after about half the number of expected events have occurred or half the patients have been recruited and followed up for at least 2 months (whichever occurs first). The analysis will include estimation of the conditional probability of detecting a hazard ratio of 0.65 with a p-value of 0.10 using the current data and making the assumption that the trial continues as planned. If the conditional probability is judged to be low (e.g. &lt;15%), then consideration would be given to stopping the trial early.</w:t>
      </w:r>
    </w:p>
    <w:p w14:paraId="6E20EEDE" w14:textId="77777777" w:rsidR="006A334B" w:rsidRDefault="006A334B" w:rsidP="006A334B">
      <w:pPr>
        <w:pStyle w:val="CS-Text"/>
        <w:jc w:val="both"/>
        <w:rPr>
          <w:rFonts w:ascii="Arial" w:hAnsi="Arial" w:cs="Arial"/>
          <w:sz w:val="22"/>
          <w:szCs w:val="22"/>
        </w:rPr>
      </w:pPr>
      <w:r>
        <w:rPr>
          <w:rFonts w:ascii="Arial" w:hAnsi="Arial" w:cs="Arial"/>
          <w:sz w:val="22"/>
          <w:szCs w:val="22"/>
        </w:rPr>
        <w:t>There will also be an IDMC review of the results after 50% patients have been recruited (and followed for 2 months), to see whether there are biomarkers that strongly predict response/outcomes. If there is such a marker, the IDMC and trial investigators will decide whether only marker positive patients should be recruited for the remainder of the trial, and also whether the sample size needs to increase. If this does occur, a substantial amendment will be submitted.</w:t>
      </w:r>
    </w:p>
    <w:p w14:paraId="00789C95" w14:textId="77777777" w:rsidR="00DA67E8" w:rsidRPr="008564C3" w:rsidRDefault="00DA67E8" w:rsidP="00E85115">
      <w:pPr>
        <w:pStyle w:val="CS-Text"/>
        <w:jc w:val="both"/>
        <w:rPr>
          <w:rFonts w:ascii="Arial" w:hAnsi="Arial" w:cs="Arial"/>
          <w:b/>
          <w:sz w:val="22"/>
          <w:szCs w:val="22"/>
        </w:rPr>
      </w:pPr>
      <w:r w:rsidRPr="008564C3">
        <w:rPr>
          <w:rFonts w:ascii="Arial" w:hAnsi="Arial" w:cs="Arial"/>
          <w:b/>
          <w:sz w:val="22"/>
          <w:szCs w:val="22"/>
        </w:rPr>
        <w:t>Safety analyses</w:t>
      </w:r>
    </w:p>
    <w:p w14:paraId="2E1BC331" w14:textId="4554709F" w:rsidR="00DA67E8" w:rsidRPr="008564C3" w:rsidRDefault="00DA67E8" w:rsidP="002F600D">
      <w:pPr>
        <w:pStyle w:val="CS-Text"/>
        <w:numPr>
          <w:ilvl w:val="0"/>
          <w:numId w:val="29"/>
        </w:numPr>
        <w:jc w:val="both"/>
        <w:rPr>
          <w:rFonts w:ascii="Arial" w:hAnsi="Arial" w:cs="Arial"/>
          <w:sz w:val="22"/>
          <w:szCs w:val="22"/>
        </w:rPr>
      </w:pPr>
      <w:r w:rsidRPr="008564C3">
        <w:rPr>
          <w:rFonts w:ascii="Arial" w:hAnsi="Arial" w:cs="Arial"/>
          <w:sz w:val="22"/>
          <w:szCs w:val="22"/>
        </w:rPr>
        <w:lastRenderedPageBreak/>
        <w:t>For each type of adverse event, the maximum toxicity grade will be obtained for each patient, and summarised in a table. Focus will be on those with a grade 3 or 4 event. Toxicity rates will be compared between the treatment arms using Fisher</w:t>
      </w:r>
      <w:r w:rsidR="00736325">
        <w:rPr>
          <w:rFonts w:ascii="Arial" w:hAnsi="Arial" w:cs="Arial"/>
          <w:sz w:val="22"/>
          <w:szCs w:val="22"/>
        </w:rPr>
        <w:t>’</w:t>
      </w:r>
      <w:r w:rsidRPr="008564C3">
        <w:rPr>
          <w:rFonts w:ascii="Arial" w:hAnsi="Arial" w:cs="Arial"/>
          <w:sz w:val="22"/>
          <w:szCs w:val="22"/>
        </w:rPr>
        <w:t>s exact test or a chi-squared test, depending on whether the number of observed events is small or not.</w:t>
      </w:r>
    </w:p>
    <w:p w14:paraId="7A1BF814" w14:textId="77777777" w:rsidR="00DA67E8" w:rsidRPr="008564C3" w:rsidRDefault="00DA67E8" w:rsidP="002F600D">
      <w:pPr>
        <w:pStyle w:val="CS-Text"/>
        <w:numPr>
          <w:ilvl w:val="0"/>
          <w:numId w:val="29"/>
        </w:numPr>
        <w:jc w:val="both"/>
        <w:rPr>
          <w:rFonts w:ascii="Arial" w:hAnsi="Arial" w:cs="Arial"/>
          <w:sz w:val="22"/>
          <w:szCs w:val="22"/>
        </w:rPr>
      </w:pPr>
      <w:r w:rsidRPr="008564C3">
        <w:rPr>
          <w:rFonts w:ascii="Arial" w:hAnsi="Arial" w:cs="Arial"/>
          <w:sz w:val="22"/>
          <w:szCs w:val="22"/>
        </w:rPr>
        <w:t>The proportion of patients with any grade 3 or 4 event will also be compared, as above, between the two treatment arms.</w:t>
      </w:r>
    </w:p>
    <w:p w14:paraId="1E091556" w14:textId="77777777" w:rsidR="00DA67E8" w:rsidRPr="008564C3" w:rsidRDefault="00DA67E8" w:rsidP="002F600D">
      <w:pPr>
        <w:pStyle w:val="CS-Text"/>
        <w:numPr>
          <w:ilvl w:val="0"/>
          <w:numId w:val="29"/>
        </w:numPr>
        <w:jc w:val="both"/>
        <w:rPr>
          <w:rFonts w:ascii="Arial" w:hAnsi="Arial" w:cs="Arial"/>
          <w:sz w:val="22"/>
          <w:szCs w:val="22"/>
        </w:rPr>
      </w:pPr>
      <w:r w:rsidRPr="008564C3">
        <w:rPr>
          <w:rFonts w:ascii="Arial" w:hAnsi="Arial" w:cs="Arial"/>
          <w:sz w:val="22"/>
          <w:szCs w:val="22"/>
        </w:rPr>
        <w:t xml:space="preserve">The proportion of patients who complete 6 cycles of </w:t>
      </w:r>
      <w:r w:rsidR="006162CD">
        <w:rPr>
          <w:rFonts w:ascii="Arial" w:hAnsi="Arial" w:cs="Arial"/>
          <w:sz w:val="22"/>
          <w:szCs w:val="22"/>
        </w:rPr>
        <w:t>platinum</w:t>
      </w:r>
      <w:r w:rsidRPr="008564C3">
        <w:rPr>
          <w:rFonts w:ascii="Arial" w:hAnsi="Arial" w:cs="Arial"/>
          <w:sz w:val="22"/>
          <w:szCs w:val="22"/>
        </w:rPr>
        <w:t>/pemetrexed therapy will be compared, using a chi-squared test between the two treatment arms.</w:t>
      </w:r>
    </w:p>
    <w:p w14:paraId="5D843C10" w14:textId="77777777" w:rsidR="00DA67E8" w:rsidRPr="009400C8" w:rsidRDefault="00DA67E8" w:rsidP="009400C8">
      <w:pPr>
        <w:pStyle w:val="Heading1"/>
      </w:pPr>
      <w:bookmarkStart w:id="1106" w:name="_Toc283027417"/>
      <w:bookmarkStart w:id="1107" w:name="_Toc283027638"/>
      <w:bookmarkStart w:id="1108" w:name="_Toc283027819"/>
      <w:bookmarkStart w:id="1109" w:name="_Toc283027984"/>
      <w:bookmarkStart w:id="1110" w:name="_Toc283028277"/>
      <w:bookmarkStart w:id="1111" w:name="_Toc283028441"/>
      <w:bookmarkStart w:id="1112" w:name="_Toc283029503"/>
      <w:bookmarkStart w:id="1113" w:name="_Toc283029668"/>
      <w:bookmarkStart w:id="1114" w:name="_Toc283031876"/>
      <w:bookmarkStart w:id="1115" w:name="_Toc283376413"/>
      <w:bookmarkEnd w:id="1106"/>
      <w:bookmarkEnd w:id="1107"/>
      <w:bookmarkEnd w:id="1108"/>
      <w:bookmarkEnd w:id="1109"/>
      <w:bookmarkEnd w:id="1110"/>
      <w:bookmarkEnd w:id="1111"/>
      <w:bookmarkEnd w:id="1112"/>
      <w:bookmarkEnd w:id="1113"/>
      <w:bookmarkEnd w:id="1114"/>
      <w:bookmarkEnd w:id="1115"/>
      <w:r>
        <w:br w:type="page"/>
      </w:r>
      <w:bookmarkStart w:id="1116" w:name="_Toc333484806"/>
      <w:bookmarkStart w:id="1117" w:name="_Toc333484921"/>
      <w:bookmarkStart w:id="1118" w:name="_Toc351624873"/>
      <w:bookmarkStart w:id="1119" w:name="_Toc283031877"/>
      <w:bookmarkStart w:id="1120" w:name="_Toc283376414"/>
      <w:bookmarkStart w:id="1121" w:name="_Toc471826836"/>
      <w:bookmarkStart w:id="1122" w:name="_Toc528323603"/>
      <w:r w:rsidRPr="009400C8">
        <w:lastRenderedPageBreak/>
        <w:t>Ethical and Regulatory Approvals</w:t>
      </w:r>
      <w:bookmarkEnd w:id="1116"/>
      <w:bookmarkEnd w:id="1117"/>
      <w:bookmarkEnd w:id="1118"/>
      <w:bookmarkEnd w:id="1119"/>
      <w:bookmarkEnd w:id="1120"/>
      <w:bookmarkEnd w:id="1121"/>
      <w:bookmarkEnd w:id="1122"/>
    </w:p>
    <w:p w14:paraId="35011804" w14:textId="77777777" w:rsidR="00DA67E8" w:rsidRPr="008A595E" w:rsidRDefault="00DA67E8" w:rsidP="00D9710A">
      <w:pPr>
        <w:pStyle w:val="ProtTempparagraph"/>
        <w:rPr>
          <w:sz w:val="22"/>
          <w:szCs w:val="22"/>
        </w:rPr>
      </w:pPr>
      <w:r w:rsidRPr="008A595E">
        <w:rPr>
          <w:sz w:val="22"/>
          <w:szCs w:val="22"/>
        </w:rPr>
        <w:t>In conducting the trial, the Sponsor, UCL CTC and sites shall comply with all laws and statutes, as amended from time to time, applicable to the performance of clinical trials including, but not limited to:</w:t>
      </w:r>
    </w:p>
    <w:p w14:paraId="06032201" w14:textId="77777777" w:rsidR="00DA67E8" w:rsidRPr="008A595E" w:rsidRDefault="00DA67E8" w:rsidP="00544EC2">
      <w:pPr>
        <w:pStyle w:val="OmniPage5"/>
        <w:tabs>
          <w:tab w:val="left" w:pos="1440"/>
          <w:tab w:val="left" w:pos="7200"/>
        </w:tabs>
        <w:spacing w:line="240" w:lineRule="auto"/>
        <w:ind w:right="45"/>
        <w:jc w:val="both"/>
        <w:rPr>
          <w:rFonts w:ascii="Arial" w:hAnsi="Arial" w:cs="Arial"/>
          <w:bCs/>
          <w:sz w:val="22"/>
          <w:szCs w:val="22"/>
          <w:lang w:val="en-GB"/>
        </w:rPr>
      </w:pPr>
    </w:p>
    <w:p w14:paraId="413C3DF4" w14:textId="77777777" w:rsidR="00DA67E8" w:rsidRPr="008A595E" w:rsidRDefault="00DA67E8" w:rsidP="002F600D">
      <w:pPr>
        <w:numPr>
          <w:ilvl w:val="0"/>
          <w:numId w:val="2"/>
        </w:numPr>
        <w:jc w:val="both"/>
        <w:rPr>
          <w:rFonts w:ascii="Arial" w:hAnsi="Arial" w:cs="Arial"/>
          <w:bCs/>
          <w:sz w:val="22"/>
          <w:szCs w:val="22"/>
        </w:rPr>
      </w:pPr>
      <w:r w:rsidRPr="008A595E">
        <w:rPr>
          <w:rFonts w:ascii="Arial" w:hAnsi="Arial" w:cs="Arial"/>
          <w:sz w:val="22"/>
          <w:szCs w:val="22"/>
        </w:rPr>
        <w:t>the principles of ICH Harmonised Tripartite Guideline for Good Clinical Practice as set out in Schedule 1 (Conditions and Principles of Good Clinical Practice and for the Protection of Clinical Trial Subjects) of the Medicines for Human Use (Clinical Trials) Regulations 2004 and the GCP Directive 2005/28/EC, as set out in SI 2006/1928</w:t>
      </w:r>
      <w:bookmarkStart w:id="1123" w:name="_DV_M91"/>
      <w:bookmarkEnd w:id="1123"/>
    </w:p>
    <w:p w14:paraId="3F219F52" w14:textId="26EC9A0E" w:rsidR="00DA67E8" w:rsidRDefault="00DA67E8" w:rsidP="002F600D">
      <w:pPr>
        <w:numPr>
          <w:ilvl w:val="0"/>
          <w:numId w:val="2"/>
        </w:numPr>
        <w:jc w:val="both"/>
        <w:rPr>
          <w:rFonts w:ascii="Arial" w:hAnsi="Arial" w:cs="Arial"/>
          <w:sz w:val="22"/>
          <w:szCs w:val="22"/>
        </w:rPr>
      </w:pPr>
      <w:r w:rsidRPr="008A595E">
        <w:rPr>
          <w:rFonts w:ascii="Arial" w:hAnsi="Arial" w:cs="Arial"/>
          <w:sz w:val="22"/>
          <w:szCs w:val="22"/>
        </w:rPr>
        <w:t>Human Rights Act 1998</w:t>
      </w:r>
    </w:p>
    <w:p w14:paraId="5DDEE55F" w14:textId="50FFC6E5" w:rsidR="006853DC" w:rsidRPr="008A595E" w:rsidRDefault="006853DC" w:rsidP="002F600D">
      <w:pPr>
        <w:numPr>
          <w:ilvl w:val="0"/>
          <w:numId w:val="2"/>
        </w:numPr>
        <w:jc w:val="both"/>
        <w:rPr>
          <w:rFonts w:ascii="Arial" w:hAnsi="Arial" w:cs="Arial"/>
          <w:sz w:val="22"/>
          <w:szCs w:val="22"/>
        </w:rPr>
      </w:pPr>
      <w:r>
        <w:rPr>
          <w:rFonts w:ascii="Arial" w:hAnsi="Arial" w:cs="Arial"/>
          <w:sz w:val="22"/>
          <w:szCs w:val="22"/>
        </w:rPr>
        <w:t>General Data Protection Regulation</w:t>
      </w:r>
      <w:r w:rsidR="000B7167">
        <w:rPr>
          <w:rFonts w:ascii="Arial" w:hAnsi="Arial" w:cs="Arial"/>
          <w:sz w:val="22"/>
          <w:szCs w:val="22"/>
        </w:rPr>
        <w:t xml:space="preserve"> (GDPR)</w:t>
      </w:r>
      <w:r>
        <w:rPr>
          <w:rFonts w:ascii="Arial" w:hAnsi="Arial" w:cs="Arial"/>
          <w:sz w:val="22"/>
          <w:szCs w:val="22"/>
        </w:rPr>
        <w:t xml:space="preserve"> 2018</w:t>
      </w:r>
    </w:p>
    <w:p w14:paraId="07E9D2ED" w14:textId="1E8826F7" w:rsidR="00DA67E8" w:rsidRPr="008A595E" w:rsidRDefault="00DA67E8" w:rsidP="002F600D">
      <w:pPr>
        <w:numPr>
          <w:ilvl w:val="0"/>
          <w:numId w:val="2"/>
        </w:numPr>
        <w:jc w:val="both"/>
        <w:rPr>
          <w:rFonts w:ascii="Arial" w:hAnsi="Arial" w:cs="Arial"/>
          <w:sz w:val="22"/>
          <w:szCs w:val="22"/>
        </w:rPr>
      </w:pPr>
      <w:r w:rsidRPr="008A595E">
        <w:rPr>
          <w:rFonts w:ascii="Arial" w:hAnsi="Arial" w:cs="Arial"/>
          <w:sz w:val="22"/>
          <w:szCs w:val="22"/>
        </w:rPr>
        <w:t xml:space="preserve">Data Protection Act </w:t>
      </w:r>
      <w:r w:rsidR="00C10660">
        <w:rPr>
          <w:rFonts w:ascii="Arial" w:hAnsi="Arial" w:cs="Arial"/>
          <w:sz w:val="22"/>
          <w:szCs w:val="22"/>
        </w:rPr>
        <w:t>2018</w:t>
      </w:r>
    </w:p>
    <w:p w14:paraId="304D822D" w14:textId="77777777" w:rsidR="00DA67E8" w:rsidRPr="008A595E" w:rsidRDefault="00DA67E8" w:rsidP="002F600D">
      <w:pPr>
        <w:numPr>
          <w:ilvl w:val="0"/>
          <w:numId w:val="2"/>
        </w:numPr>
        <w:jc w:val="both"/>
        <w:rPr>
          <w:rFonts w:ascii="Arial" w:hAnsi="Arial" w:cs="Arial"/>
          <w:sz w:val="22"/>
          <w:szCs w:val="22"/>
        </w:rPr>
      </w:pPr>
      <w:r w:rsidRPr="008A595E">
        <w:rPr>
          <w:rFonts w:ascii="Arial" w:hAnsi="Arial" w:cs="Arial"/>
          <w:sz w:val="22"/>
          <w:szCs w:val="22"/>
        </w:rPr>
        <w:t>Freedom of Information Act 2000</w:t>
      </w:r>
    </w:p>
    <w:p w14:paraId="2887B50B" w14:textId="77777777" w:rsidR="00DA67E8" w:rsidRPr="008A595E" w:rsidRDefault="00DA67E8" w:rsidP="002F600D">
      <w:pPr>
        <w:numPr>
          <w:ilvl w:val="0"/>
          <w:numId w:val="2"/>
        </w:numPr>
        <w:jc w:val="both"/>
        <w:rPr>
          <w:rFonts w:ascii="Arial" w:hAnsi="Arial" w:cs="Arial"/>
          <w:sz w:val="22"/>
          <w:szCs w:val="22"/>
        </w:rPr>
      </w:pPr>
      <w:r w:rsidRPr="008A595E">
        <w:rPr>
          <w:rFonts w:ascii="Arial" w:hAnsi="Arial" w:cs="Arial"/>
          <w:sz w:val="22"/>
          <w:szCs w:val="22"/>
        </w:rPr>
        <w:t>Human Tissue Act 2004</w:t>
      </w:r>
    </w:p>
    <w:p w14:paraId="79391F6A" w14:textId="77777777" w:rsidR="00DA67E8" w:rsidRPr="008A595E" w:rsidRDefault="00DA67E8" w:rsidP="002F600D">
      <w:pPr>
        <w:numPr>
          <w:ilvl w:val="0"/>
          <w:numId w:val="2"/>
        </w:numPr>
        <w:jc w:val="both"/>
        <w:rPr>
          <w:rFonts w:ascii="Arial" w:hAnsi="Arial" w:cs="Arial"/>
          <w:sz w:val="22"/>
          <w:szCs w:val="22"/>
        </w:rPr>
      </w:pPr>
      <w:r w:rsidRPr="008A595E">
        <w:rPr>
          <w:rFonts w:ascii="Arial" w:hAnsi="Arial" w:cs="Arial"/>
          <w:sz w:val="22"/>
          <w:szCs w:val="22"/>
        </w:rPr>
        <w:t xml:space="preserve">Medicines Act 1968 </w:t>
      </w:r>
    </w:p>
    <w:p w14:paraId="1F771D18" w14:textId="77777777" w:rsidR="00DA67E8" w:rsidRPr="008A595E" w:rsidRDefault="00DA67E8" w:rsidP="002F600D">
      <w:pPr>
        <w:numPr>
          <w:ilvl w:val="0"/>
          <w:numId w:val="2"/>
        </w:numPr>
        <w:jc w:val="both"/>
        <w:rPr>
          <w:rFonts w:ascii="Arial" w:hAnsi="Arial" w:cs="Arial"/>
          <w:sz w:val="22"/>
          <w:szCs w:val="22"/>
        </w:rPr>
      </w:pPr>
      <w:r w:rsidRPr="008A595E">
        <w:rPr>
          <w:rFonts w:ascii="Arial" w:hAnsi="Arial" w:cs="Arial"/>
          <w:sz w:val="22"/>
          <w:szCs w:val="22"/>
        </w:rPr>
        <w:t>Medicines for Human Use (Cli</w:t>
      </w:r>
      <w:r w:rsidRPr="008A595E">
        <w:rPr>
          <w:rFonts w:ascii="Arial" w:hAnsi="Arial" w:cs="Arial"/>
          <w:bCs/>
          <w:sz w:val="22"/>
          <w:szCs w:val="22"/>
        </w:rPr>
        <w:t>n</w:t>
      </w:r>
      <w:r w:rsidRPr="008A595E">
        <w:rPr>
          <w:rFonts w:ascii="Arial" w:hAnsi="Arial" w:cs="Arial"/>
          <w:sz w:val="22"/>
          <w:szCs w:val="22"/>
        </w:rPr>
        <w:t>ical Trials) UK Regulations SI 2004/1031, and subsequent amendments</w:t>
      </w:r>
    </w:p>
    <w:p w14:paraId="37A3F7AA" w14:textId="77777777" w:rsidR="00DA67E8" w:rsidRPr="008A595E" w:rsidRDefault="00DA67E8" w:rsidP="002F600D">
      <w:pPr>
        <w:numPr>
          <w:ilvl w:val="0"/>
          <w:numId w:val="2"/>
        </w:numPr>
        <w:jc w:val="both"/>
        <w:rPr>
          <w:rFonts w:ascii="Arial" w:hAnsi="Arial" w:cs="Arial"/>
          <w:sz w:val="22"/>
          <w:szCs w:val="22"/>
        </w:rPr>
      </w:pPr>
      <w:r w:rsidRPr="008A595E">
        <w:rPr>
          <w:rFonts w:ascii="Arial" w:hAnsi="Arial" w:cs="Arial"/>
          <w:sz w:val="22"/>
          <w:szCs w:val="22"/>
        </w:rPr>
        <w:t>Good Manufacturing Practice</w:t>
      </w:r>
    </w:p>
    <w:p w14:paraId="2860F559" w14:textId="77777777" w:rsidR="00DA67E8" w:rsidRPr="008A595E" w:rsidRDefault="00DA67E8" w:rsidP="002F600D">
      <w:pPr>
        <w:numPr>
          <w:ilvl w:val="0"/>
          <w:numId w:val="2"/>
        </w:numPr>
        <w:spacing w:after="240"/>
        <w:ind w:left="714" w:hanging="357"/>
        <w:jc w:val="both"/>
        <w:rPr>
          <w:rFonts w:ascii="Arial" w:hAnsi="Arial" w:cs="Arial"/>
          <w:sz w:val="22"/>
          <w:szCs w:val="22"/>
        </w:rPr>
      </w:pPr>
      <w:r w:rsidRPr="008A595E">
        <w:rPr>
          <w:rFonts w:ascii="Arial" w:hAnsi="Arial" w:cs="Arial"/>
          <w:sz w:val="22"/>
          <w:szCs w:val="22"/>
        </w:rPr>
        <w:t>the Research Governance Framework for Health and Social Care, issued by the UK Department of Health (Second Edition 2005) or the Scottish Health Department Research Governance Framework for Health and Community Care (Second Edition 2006)</w:t>
      </w:r>
    </w:p>
    <w:p w14:paraId="2AB120D7" w14:textId="77777777" w:rsidR="00DA67E8" w:rsidRDefault="00EE303A" w:rsidP="00E876A0">
      <w:pPr>
        <w:pStyle w:val="Heading2"/>
      </w:pPr>
      <w:bookmarkStart w:id="1124" w:name="_Toc283031878"/>
      <w:bookmarkStart w:id="1125" w:name="_Toc283376415"/>
      <w:bookmarkStart w:id="1126" w:name="_Toc333484807"/>
      <w:bookmarkStart w:id="1127" w:name="_Toc333484922"/>
      <w:bookmarkStart w:id="1128" w:name="_Toc351624874"/>
      <w:r>
        <w:t xml:space="preserve"> </w:t>
      </w:r>
      <w:r w:rsidR="0082753E" w:rsidRPr="00E876A0">
        <w:tab/>
      </w:r>
      <w:bookmarkStart w:id="1129" w:name="_Toc471826837"/>
      <w:bookmarkStart w:id="1130" w:name="_Toc528323604"/>
      <w:r w:rsidR="00DA67E8" w:rsidRPr="00A23D8C">
        <w:t>Ethical Approval</w:t>
      </w:r>
      <w:bookmarkEnd w:id="1124"/>
      <w:bookmarkEnd w:id="1125"/>
      <w:bookmarkEnd w:id="1126"/>
      <w:bookmarkEnd w:id="1127"/>
      <w:bookmarkEnd w:id="1128"/>
      <w:bookmarkEnd w:id="1129"/>
      <w:bookmarkEnd w:id="1130"/>
    </w:p>
    <w:p w14:paraId="684592D9" w14:textId="77777777" w:rsidR="00DA67E8" w:rsidRPr="008A595E" w:rsidRDefault="00DA67E8" w:rsidP="00D9710A">
      <w:pPr>
        <w:pStyle w:val="ProtTempparagraph"/>
        <w:spacing w:after="240"/>
        <w:rPr>
          <w:sz w:val="22"/>
          <w:szCs w:val="22"/>
        </w:rPr>
      </w:pPr>
      <w:r w:rsidRPr="008A595E">
        <w:rPr>
          <w:sz w:val="22"/>
          <w:szCs w:val="22"/>
        </w:rPr>
        <w:t xml:space="preserve">The trial will be conducted in accordance with the World Medical Association Declaration of Helsinki entitled ‘Ethical Principles for Medical Research Involving Human Subjects’ (1996 version) and in accordance with the terms and conditions of the ethical approval given to the </w:t>
      </w:r>
      <w:r w:rsidR="002F113D" w:rsidRPr="008A595E">
        <w:rPr>
          <w:sz w:val="22"/>
          <w:szCs w:val="22"/>
        </w:rPr>
        <w:t>trial. The</w:t>
      </w:r>
      <w:r w:rsidRPr="008A595E">
        <w:rPr>
          <w:sz w:val="22"/>
          <w:szCs w:val="22"/>
        </w:rPr>
        <w:t xml:space="preserve"> trial has received a favourable opinion from the </w:t>
      </w:r>
      <w:r w:rsidR="00D909E3">
        <w:rPr>
          <w:sz w:val="22"/>
          <w:szCs w:val="22"/>
        </w:rPr>
        <w:t>East Midlands</w:t>
      </w:r>
      <w:r w:rsidRPr="008A595E">
        <w:rPr>
          <w:sz w:val="22"/>
          <w:szCs w:val="22"/>
        </w:rPr>
        <w:t xml:space="preserve"> Research Ethics Committee.</w:t>
      </w:r>
      <w:r w:rsidR="0031181E">
        <w:rPr>
          <w:sz w:val="22"/>
          <w:szCs w:val="22"/>
        </w:rPr>
        <w:t xml:space="preserve"> </w:t>
      </w:r>
      <w:r w:rsidRPr="008A595E">
        <w:rPr>
          <w:sz w:val="22"/>
          <w:szCs w:val="22"/>
        </w:rPr>
        <w:t>UCL CTC will submit Annual Progress Reports to the REC, which will commence one year from the date of ethical approval for the trial.</w:t>
      </w:r>
    </w:p>
    <w:p w14:paraId="501F7841" w14:textId="77777777" w:rsidR="00DA67E8" w:rsidRPr="008A595E" w:rsidRDefault="00E876A0" w:rsidP="00E876A0">
      <w:pPr>
        <w:pStyle w:val="Heading2"/>
      </w:pPr>
      <w:bookmarkStart w:id="1131" w:name="_Toc283031879"/>
      <w:bookmarkStart w:id="1132" w:name="_Toc283376416"/>
      <w:bookmarkStart w:id="1133" w:name="_Toc333484808"/>
      <w:bookmarkStart w:id="1134" w:name="_Toc333484923"/>
      <w:bookmarkStart w:id="1135" w:name="_Toc351624875"/>
      <w:r>
        <w:rPr>
          <w:lang w:val="en-GB"/>
        </w:rPr>
        <w:t xml:space="preserve">  </w:t>
      </w:r>
      <w:bookmarkStart w:id="1136" w:name="_Toc471826838"/>
      <w:bookmarkStart w:id="1137" w:name="_Toc528323605"/>
      <w:r w:rsidR="00DA67E8" w:rsidRPr="008A595E">
        <w:t>Regulatory Approval</w:t>
      </w:r>
      <w:bookmarkEnd w:id="1131"/>
      <w:bookmarkEnd w:id="1132"/>
      <w:bookmarkEnd w:id="1133"/>
      <w:bookmarkEnd w:id="1134"/>
      <w:bookmarkEnd w:id="1135"/>
      <w:bookmarkEnd w:id="1136"/>
      <w:bookmarkEnd w:id="1137"/>
    </w:p>
    <w:p w14:paraId="62554541" w14:textId="77777777" w:rsidR="002918FF" w:rsidRPr="002918FF" w:rsidRDefault="002918FF" w:rsidP="002918FF">
      <w:pPr>
        <w:pStyle w:val="ProtTempparagraph"/>
        <w:spacing w:after="240"/>
        <w:rPr>
          <w:sz w:val="22"/>
        </w:rPr>
      </w:pPr>
      <w:r w:rsidRPr="002918FF">
        <w:rPr>
          <w:sz w:val="22"/>
        </w:rPr>
        <w:t>A Clinical Trial Authorisation (CTA) has been granted for the trial.</w:t>
      </w:r>
    </w:p>
    <w:p w14:paraId="7C4EC12D" w14:textId="77777777" w:rsidR="00DA67E8" w:rsidRPr="008A595E" w:rsidRDefault="002F113D" w:rsidP="00D9710A">
      <w:pPr>
        <w:pStyle w:val="ProtTempparagraph"/>
        <w:spacing w:after="240"/>
        <w:rPr>
          <w:sz w:val="22"/>
          <w:szCs w:val="22"/>
        </w:rPr>
      </w:pPr>
      <w:r w:rsidRPr="008A595E">
        <w:rPr>
          <w:sz w:val="22"/>
          <w:szCs w:val="22"/>
        </w:rPr>
        <w:t>The</w:t>
      </w:r>
      <w:r w:rsidR="00DA67E8" w:rsidRPr="008A595E">
        <w:rPr>
          <w:sz w:val="22"/>
          <w:szCs w:val="22"/>
        </w:rPr>
        <w:t xml:space="preserve"> trial will be conducted at approved trial sites in accordance with the trial protocol and the terms of the CTA granted by the MHRA.</w:t>
      </w:r>
    </w:p>
    <w:p w14:paraId="7455D122" w14:textId="77777777" w:rsidR="00DA67E8" w:rsidRDefault="00E876A0" w:rsidP="00E876A0">
      <w:pPr>
        <w:pStyle w:val="Heading2"/>
      </w:pPr>
      <w:bookmarkStart w:id="1138" w:name="_Toc283031880"/>
      <w:bookmarkStart w:id="1139" w:name="_Toc283376417"/>
      <w:bookmarkStart w:id="1140" w:name="_Toc333484809"/>
      <w:bookmarkStart w:id="1141" w:name="_Toc333484924"/>
      <w:bookmarkStart w:id="1142" w:name="_Toc351624876"/>
      <w:r>
        <w:rPr>
          <w:lang w:val="en-GB"/>
        </w:rPr>
        <w:t xml:space="preserve"> </w:t>
      </w:r>
      <w:bookmarkStart w:id="1143" w:name="_Toc471826839"/>
      <w:bookmarkStart w:id="1144" w:name="_Toc528323606"/>
      <w:r w:rsidR="00DA67E8" w:rsidRPr="00A23D8C">
        <w:t>Site Approval</w:t>
      </w:r>
      <w:bookmarkEnd w:id="1138"/>
      <w:bookmarkEnd w:id="1139"/>
      <w:r w:rsidR="00DA67E8">
        <w:t>s</w:t>
      </w:r>
      <w:bookmarkEnd w:id="1140"/>
      <w:bookmarkEnd w:id="1141"/>
      <w:bookmarkEnd w:id="1142"/>
      <w:bookmarkEnd w:id="1143"/>
      <w:bookmarkEnd w:id="1144"/>
    </w:p>
    <w:p w14:paraId="1B44F3E0" w14:textId="77777777" w:rsidR="00DA67E8" w:rsidRPr="008A595E" w:rsidRDefault="00DA67E8" w:rsidP="00D9710A">
      <w:pPr>
        <w:pStyle w:val="ProtTempparagraph"/>
        <w:spacing w:after="240"/>
        <w:rPr>
          <w:sz w:val="22"/>
          <w:szCs w:val="22"/>
        </w:rPr>
      </w:pPr>
      <w:r w:rsidRPr="008A595E">
        <w:rPr>
          <w:sz w:val="22"/>
          <w:szCs w:val="22"/>
        </w:rPr>
        <w:t xml:space="preserve">Evidence of approval from the Trust R&amp;D for a trial site must be provided to UCL CTC.  Sites will only be activated when all necessary local approvals for the trial have been obtained.  </w:t>
      </w:r>
    </w:p>
    <w:p w14:paraId="3F4C88DB" w14:textId="77777777" w:rsidR="00DA67E8" w:rsidRDefault="00E876A0" w:rsidP="00E876A0">
      <w:pPr>
        <w:pStyle w:val="Heading2"/>
      </w:pPr>
      <w:bookmarkStart w:id="1145" w:name="_Toc283031881"/>
      <w:bookmarkStart w:id="1146" w:name="_Toc283376418"/>
      <w:bookmarkStart w:id="1147" w:name="_Toc333484810"/>
      <w:bookmarkStart w:id="1148" w:name="_Toc333484925"/>
      <w:bookmarkStart w:id="1149" w:name="_Toc351624877"/>
      <w:bookmarkStart w:id="1150" w:name="OLE_LINK2"/>
      <w:bookmarkStart w:id="1151" w:name="OLE_LINK3"/>
      <w:r>
        <w:rPr>
          <w:lang w:val="en-GB"/>
        </w:rPr>
        <w:t xml:space="preserve">  </w:t>
      </w:r>
      <w:bookmarkStart w:id="1152" w:name="_Toc471826840"/>
      <w:bookmarkStart w:id="1153" w:name="_Toc528323607"/>
      <w:r w:rsidR="00DA67E8" w:rsidRPr="00A23D8C">
        <w:t>Protocol Amendments</w:t>
      </w:r>
      <w:bookmarkEnd w:id="1145"/>
      <w:bookmarkEnd w:id="1146"/>
      <w:bookmarkEnd w:id="1147"/>
      <w:bookmarkEnd w:id="1148"/>
      <w:bookmarkEnd w:id="1149"/>
      <w:bookmarkEnd w:id="1152"/>
      <w:bookmarkEnd w:id="1153"/>
    </w:p>
    <w:p w14:paraId="762B010A" w14:textId="77777777" w:rsidR="00DA67E8" w:rsidRPr="008A595E" w:rsidRDefault="00DA67E8" w:rsidP="00D9710A">
      <w:pPr>
        <w:pStyle w:val="ProtTempparagraph"/>
        <w:spacing w:after="240"/>
        <w:rPr>
          <w:sz w:val="22"/>
          <w:szCs w:val="22"/>
        </w:rPr>
      </w:pPr>
      <w:r w:rsidRPr="008A595E">
        <w:rPr>
          <w:sz w:val="22"/>
          <w:szCs w:val="22"/>
        </w:rPr>
        <w:t>UCL CTC will be responsible for gaining ethical and regulatory approval, as appropriate for amendments made to the protocol and other trial-related documents.  Once approved, UCL CTC will ensure that all amended documents are distributed to sites as appropriate.</w:t>
      </w:r>
    </w:p>
    <w:p w14:paraId="6AD3C169" w14:textId="77777777" w:rsidR="00DA67E8" w:rsidRPr="008A595E" w:rsidRDefault="002F113D" w:rsidP="00D9710A">
      <w:pPr>
        <w:pStyle w:val="OmniPage5"/>
        <w:tabs>
          <w:tab w:val="left" w:pos="1440"/>
          <w:tab w:val="left" w:pos="7200"/>
        </w:tabs>
        <w:spacing w:after="240" w:line="240" w:lineRule="auto"/>
        <w:ind w:right="45"/>
        <w:jc w:val="both"/>
        <w:rPr>
          <w:rFonts w:ascii="Arial" w:hAnsi="Arial" w:cs="Arial"/>
          <w:bCs/>
          <w:sz w:val="22"/>
          <w:szCs w:val="22"/>
          <w:lang w:val="en-GB"/>
        </w:rPr>
      </w:pPr>
      <w:r w:rsidRPr="008A595E">
        <w:rPr>
          <w:rFonts w:ascii="Arial" w:hAnsi="Arial" w:cs="Arial"/>
          <w:bCs/>
          <w:sz w:val="22"/>
          <w:szCs w:val="22"/>
          <w:lang w:val="en-GB"/>
        </w:rPr>
        <w:lastRenderedPageBreak/>
        <w:t>Site staff</w:t>
      </w:r>
      <w:r w:rsidR="00DA67E8" w:rsidRPr="008A595E">
        <w:rPr>
          <w:rFonts w:ascii="Arial" w:hAnsi="Arial" w:cs="Arial"/>
          <w:bCs/>
          <w:sz w:val="22"/>
          <w:szCs w:val="22"/>
          <w:lang w:val="en-GB"/>
        </w:rPr>
        <w:t xml:space="preserve"> will be responsible for acknowledging receipt of documents and </w:t>
      </w:r>
      <w:r w:rsidRPr="008A595E">
        <w:rPr>
          <w:rFonts w:ascii="Arial" w:hAnsi="Arial" w:cs="Arial"/>
          <w:bCs/>
          <w:sz w:val="22"/>
          <w:szCs w:val="22"/>
          <w:lang w:val="en-GB"/>
        </w:rPr>
        <w:t>for implementing</w:t>
      </w:r>
      <w:r w:rsidR="00DA67E8" w:rsidRPr="008A595E">
        <w:rPr>
          <w:rFonts w:ascii="Arial" w:hAnsi="Arial" w:cs="Arial"/>
          <w:bCs/>
          <w:sz w:val="22"/>
          <w:szCs w:val="22"/>
          <w:lang w:val="en-GB"/>
        </w:rPr>
        <w:t xml:space="preserve"> all amendments.</w:t>
      </w:r>
    </w:p>
    <w:p w14:paraId="58AFBED2" w14:textId="77777777" w:rsidR="00DA67E8" w:rsidRPr="00E876A0" w:rsidRDefault="0082753E" w:rsidP="00E876A0">
      <w:pPr>
        <w:pStyle w:val="Heading2"/>
        <w:rPr>
          <w:lang w:val="en-GB"/>
        </w:rPr>
      </w:pPr>
      <w:bookmarkStart w:id="1154" w:name="_Toc283031882"/>
      <w:bookmarkStart w:id="1155" w:name="_Toc283376419"/>
      <w:bookmarkStart w:id="1156" w:name="_Toc333484811"/>
      <w:bookmarkStart w:id="1157" w:name="_Toc333484926"/>
      <w:bookmarkStart w:id="1158" w:name="_Toc351624878"/>
      <w:r>
        <w:rPr>
          <w:lang w:val="en-GB"/>
        </w:rPr>
        <w:tab/>
      </w:r>
      <w:bookmarkStart w:id="1159" w:name="_Toc471826841"/>
      <w:bookmarkStart w:id="1160" w:name="_Toc528323608"/>
      <w:r w:rsidR="00DA67E8" w:rsidRPr="00E876A0">
        <w:rPr>
          <w:lang w:val="en-GB"/>
        </w:rPr>
        <w:t>Patient Confidentiality &amp; Data Protection</w:t>
      </w:r>
      <w:bookmarkEnd w:id="1154"/>
      <w:bookmarkEnd w:id="1155"/>
      <w:bookmarkEnd w:id="1156"/>
      <w:bookmarkEnd w:id="1157"/>
      <w:bookmarkEnd w:id="1158"/>
      <w:bookmarkEnd w:id="1159"/>
      <w:bookmarkEnd w:id="1160"/>
    </w:p>
    <w:p w14:paraId="69386ADC" w14:textId="684B8834" w:rsidR="00DA67E8" w:rsidRDefault="00DA67E8" w:rsidP="00D9710A">
      <w:pPr>
        <w:pStyle w:val="ProtTempparagraph"/>
        <w:spacing w:after="240"/>
        <w:rPr>
          <w:sz w:val="22"/>
          <w:szCs w:val="22"/>
        </w:rPr>
      </w:pPr>
      <w:r w:rsidRPr="008A595E">
        <w:rPr>
          <w:sz w:val="22"/>
          <w:szCs w:val="22"/>
        </w:rPr>
        <w:t xml:space="preserve">Patient identifiable data, </w:t>
      </w:r>
      <w:r w:rsidRPr="004E0899">
        <w:rPr>
          <w:sz w:val="22"/>
          <w:szCs w:val="22"/>
        </w:rPr>
        <w:t xml:space="preserve">including </w:t>
      </w:r>
      <w:r w:rsidR="007D7890" w:rsidRPr="004E0899">
        <w:rPr>
          <w:sz w:val="22"/>
          <w:szCs w:val="22"/>
        </w:rPr>
        <w:t>initials</w:t>
      </w:r>
      <w:r w:rsidRPr="004E0899">
        <w:rPr>
          <w:sz w:val="22"/>
          <w:szCs w:val="22"/>
        </w:rPr>
        <w:t xml:space="preserve">, date of birth and NHS number </w:t>
      </w:r>
      <w:r w:rsidR="002F113D" w:rsidRPr="004E0899">
        <w:rPr>
          <w:sz w:val="22"/>
          <w:szCs w:val="22"/>
        </w:rPr>
        <w:t>will</w:t>
      </w:r>
      <w:r w:rsidRPr="007D7890">
        <w:rPr>
          <w:sz w:val="22"/>
          <w:szCs w:val="22"/>
        </w:rPr>
        <w:t xml:space="preserve"> be required for the registration (phase I) /randomisation (phase II) process and will be provided</w:t>
      </w:r>
      <w:r w:rsidRPr="008A595E">
        <w:rPr>
          <w:sz w:val="22"/>
          <w:szCs w:val="22"/>
        </w:rPr>
        <w:t xml:space="preserve"> to UCL CTC. UCL CTC will preserve patient confidentiality and will not disclose or reproduce any information by which patients could be identified.</w:t>
      </w:r>
      <w:r w:rsidR="004D7C6B">
        <w:rPr>
          <w:sz w:val="22"/>
          <w:szCs w:val="22"/>
        </w:rPr>
        <w:t xml:space="preserve"> </w:t>
      </w:r>
      <w:r w:rsidRPr="008A595E">
        <w:rPr>
          <w:sz w:val="22"/>
          <w:szCs w:val="22"/>
        </w:rPr>
        <w:t xml:space="preserve">Data will be stored in a secure manner and UCL CTC trials are registered in accordance with the </w:t>
      </w:r>
      <w:r w:rsidR="000B7167">
        <w:rPr>
          <w:sz w:val="22"/>
          <w:szCs w:val="22"/>
        </w:rPr>
        <w:t xml:space="preserve">General Data Protection Regulation (GDPR) 2018 and the </w:t>
      </w:r>
      <w:r w:rsidRPr="008A595E">
        <w:rPr>
          <w:sz w:val="22"/>
          <w:szCs w:val="22"/>
        </w:rPr>
        <w:t xml:space="preserve">Data Protection Act </w:t>
      </w:r>
      <w:r w:rsidR="000B7167">
        <w:rPr>
          <w:sz w:val="22"/>
          <w:szCs w:val="22"/>
        </w:rPr>
        <w:t>2018</w:t>
      </w:r>
      <w:r w:rsidRPr="008A595E">
        <w:rPr>
          <w:sz w:val="22"/>
          <w:szCs w:val="22"/>
        </w:rPr>
        <w:t xml:space="preserve"> with the Data Protection Officer at UCL.</w:t>
      </w:r>
    </w:p>
    <w:p w14:paraId="34685B54" w14:textId="77777777" w:rsidR="00DA67E8" w:rsidRPr="008A595E" w:rsidRDefault="00DA67E8" w:rsidP="00D9710A">
      <w:pPr>
        <w:pStyle w:val="ProtTempparagraph"/>
        <w:spacing w:after="240"/>
        <w:rPr>
          <w:sz w:val="22"/>
          <w:szCs w:val="22"/>
        </w:rPr>
      </w:pPr>
    </w:p>
    <w:p w14:paraId="22848474" w14:textId="77777777" w:rsidR="00DA67E8" w:rsidRPr="009400C8" w:rsidRDefault="00DA67E8" w:rsidP="009400C8">
      <w:pPr>
        <w:pStyle w:val="Heading1"/>
      </w:pPr>
      <w:bookmarkStart w:id="1161" w:name="_Toc283027424"/>
      <w:bookmarkStart w:id="1162" w:name="_Toc283027645"/>
      <w:bookmarkStart w:id="1163" w:name="_Toc283027826"/>
      <w:bookmarkStart w:id="1164" w:name="_Toc283027991"/>
      <w:bookmarkStart w:id="1165" w:name="_Toc283028284"/>
      <w:bookmarkStart w:id="1166" w:name="_Toc283028448"/>
      <w:bookmarkStart w:id="1167" w:name="_Toc283029510"/>
      <w:bookmarkStart w:id="1168" w:name="_Toc283029675"/>
      <w:bookmarkStart w:id="1169" w:name="_Toc283031883"/>
      <w:bookmarkStart w:id="1170" w:name="_Toc283376420"/>
      <w:bookmarkEnd w:id="1150"/>
      <w:bookmarkEnd w:id="1151"/>
      <w:bookmarkEnd w:id="1161"/>
      <w:bookmarkEnd w:id="1162"/>
      <w:bookmarkEnd w:id="1163"/>
      <w:bookmarkEnd w:id="1164"/>
      <w:bookmarkEnd w:id="1165"/>
      <w:bookmarkEnd w:id="1166"/>
      <w:bookmarkEnd w:id="1167"/>
      <w:bookmarkEnd w:id="1168"/>
      <w:bookmarkEnd w:id="1169"/>
      <w:bookmarkEnd w:id="1170"/>
      <w:r>
        <w:br w:type="page"/>
      </w:r>
      <w:bookmarkStart w:id="1171" w:name="_Toc333484812"/>
      <w:bookmarkStart w:id="1172" w:name="_Toc333484927"/>
      <w:bookmarkStart w:id="1173" w:name="_Toc351624879"/>
      <w:r w:rsidRPr="009400C8">
        <w:lastRenderedPageBreak/>
        <w:tab/>
      </w:r>
      <w:bookmarkStart w:id="1174" w:name="_Toc283031884"/>
      <w:bookmarkStart w:id="1175" w:name="_Toc283376421"/>
      <w:bookmarkStart w:id="1176" w:name="_Toc471826842"/>
      <w:bookmarkStart w:id="1177" w:name="_Toc528323609"/>
      <w:r w:rsidRPr="009400C8">
        <w:t>Sponsorship and Indemnity</w:t>
      </w:r>
      <w:bookmarkEnd w:id="1171"/>
      <w:bookmarkEnd w:id="1172"/>
      <w:bookmarkEnd w:id="1173"/>
      <w:bookmarkEnd w:id="1174"/>
      <w:bookmarkEnd w:id="1175"/>
      <w:bookmarkEnd w:id="1176"/>
      <w:bookmarkEnd w:id="1177"/>
    </w:p>
    <w:p w14:paraId="50DA0EF0" w14:textId="77777777" w:rsidR="00DA67E8" w:rsidRDefault="0082753E" w:rsidP="009400C8">
      <w:pPr>
        <w:pStyle w:val="Heading2"/>
      </w:pPr>
      <w:bookmarkStart w:id="1178" w:name="_Toc283031885"/>
      <w:bookmarkStart w:id="1179" w:name="_Toc283376422"/>
      <w:bookmarkStart w:id="1180" w:name="_Toc333484813"/>
      <w:bookmarkStart w:id="1181" w:name="_Toc333484928"/>
      <w:bookmarkStart w:id="1182" w:name="_Toc351624880"/>
      <w:r w:rsidRPr="009400C8">
        <w:tab/>
      </w:r>
      <w:bookmarkStart w:id="1183" w:name="_Toc471826843"/>
      <w:bookmarkStart w:id="1184" w:name="_Toc528323610"/>
      <w:r w:rsidR="00DA67E8" w:rsidRPr="00A23D8C">
        <w:t>Sponsor Details</w:t>
      </w:r>
      <w:bookmarkEnd w:id="1178"/>
      <w:bookmarkEnd w:id="1179"/>
      <w:bookmarkEnd w:id="1180"/>
      <w:bookmarkEnd w:id="1181"/>
      <w:bookmarkEnd w:id="1182"/>
      <w:bookmarkEnd w:id="1183"/>
      <w:bookmarkEnd w:id="1184"/>
    </w:p>
    <w:tbl>
      <w:tblPr>
        <w:tblW w:w="0" w:type="auto"/>
        <w:tblLook w:val="0000" w:firstRow="0" w:lastRow="0" w:firstColumn="0" w:lastColumn="0" w:noHBand="0" w:noVBand="0"/>
      </w:tblPr>
      <w:tblGrid>
        <w:gridCol w:w="2093"/>
        <w:gridCol w:w="6967"/>
      </w:tblGrid>
      <w:tr w:rsidR="00DA67E8" w:rsidRPr="00A23D8C" w14:paraId="01571A16" w14:textId="77777777" w:rsidTr="00EC658C">
        <w:tc>
          <w:tcPr>
            <w:tcW w:w="2093" w:type="dxa"/>
            <w:vAlign w:val="center"/>
          </w:tcPr>
          <w:p w14:paraId="587BDAE3" w14:textId="77777777" w:rsidR="00DA67E8" w:rsidRPr="00EC658C" w:rsidRDefault="00DA67E8" w:rsidP="00EC658C">
            <w:pPr>
              <w:pStyle w:val="Normal1"/>
              <w:jc w:val="left"/>
              <w:rPr>
                <w:rFonts w:cs="Arial"/>
                <w:szCs w:val="22"/>
                <w:lang w:val="en-GB"/>
              </w:rPr>
            </w:pPr>
            <w:r w:rsidRPr="00EC658C">
              <w:rPr>
                <w:rFonts w:cs="Arial"/>
                <w:sz w:val="22"/>
                <w:szCs w:val="22"/>
                <w:lang w:val="en-GB"/>
              </w:rPr>
              <w:t>Sponsor Name:</w:t>
            </w:r>
          </w:p>
        </w:tc>
        <w:tc>
          <w:tcPr>
            <w:tcW w:w="6967" w:type="dxa"/>
            <w:vAlign w:val="center"/>
          </w:tcPr>
          <w:p w14:paraId="22891E2B" w14:textId="77777777" w:rsidR="00DA67E8" w:rsidRPr="00EC658C" w:rsidRDefault="00DA67E8" w:rsidP="00EC658C">
            <w:pPr>
              <w:pStyle w:val="Normal1"/>
              <w:jc w:val="left"/>
              <w:rPr>
                <w:rFonts w:cs="Arial"/>
                <w:szCs w:val="22"/>
                <w:lang w:val="en-GB"/>
              </w:rPr>
            </w:pPr>
            <w:r w:rsidRPr="00EC658C">
              <w:rPr>
                <w:rFonts w:cs="Arial"/>
                <w:sz w:val="22"/>
                <w:szCs w:val="22"/>
                <w:lang w:val="en-GB"/>
              </w:rPr>
              <w:t>University College London</w:t>
            </w:r>
          </w:p>
        </w:tc>
      </w:tr>
      <w:tr w:rsidR="009032D9" w:rsidRPr="00A23D8C" w14:paraId="377CFD47" w14:textId="77777777" w:rsidTr="00C0414B">
        <w:tc>
          <w:tcPr>
            <w:tcW w:w="9060" w:type="dxa"/>
            <w:gridSpan w:val="2"/>
            <w:vAlign w:val="center"/>
          </w:tcPr>
          <w:p w14:paraId="059075E5" w14:textId="77777777" w:rsidR="009032D9" w:rsidRDefault="009032D9" w:rsidP="00EC658C">
            <w:pPr>
              <w:pStyle w:val="Normal1"/>
              <w:jc w:val="left"/>
              <w:rPr>
                <w:rFonts w:cs="Arial"/>
                <w:sz w:val="22"/>
                <w:szCs w:val="22"/>
                <w:lang w:val="en-GB"/>
              </w:rPr>
            </w:pPr>
          </w:p>
          <w:p w14:paraId="120772A4" w14:textId="77777777" w:rsidR="009032D9" w:rsidRPr="009032D9" w:rsidRDefault="009032D9" w:rsidP="009032D9">
            <w:pPr>
              <w:pStyle w:val="Normal1"/>
              <w:jc w:val="left"/>
              <w:rPr>
                <w:rFonts w:cs="Arial"/>
                <w:szCs w:val="22"/>
                <w:lang w:val="en-GB"/>
              </w:rPr>
            </w:pPr>
            <w:r w:rsidRPr="00EC658C">
              <w:rPr>
                <w:rFonts w:cs="Arial"/>
                <w:sz w:val="22"/>
                <w:szCs w:val="22"/>
                <w:lang w:val="en-GB"/>
              </w:rPr>
              <w:t>Address:</w:t>
            </w:r>
            <w:r>
              <w:rPr>
                <w:rFonts w:cs="Arial"/>
                <w:sz w:val="22"/>
                <w:szCs w:val="22"/>
                <w:lang w:val="en-GB"/>
              </w:rPr>
              <w:t xml:space="preserve">                    </w:t>
            </w:r>
            <w:r w:rsidRPr="00EC658C">
              <w:rPr>
                <w:rFonts w:cs="Arial"/>
                <w:sz w:val="22"/>
                <w:szCs w:val="22"/>
              </w:rPr>
              <w:t>Joint Research Office</w:t>
            </w:r>
          </w:p>
          <w:p w14:paraId="42C5AF23" w14:textId="77777777" w:rsidR="009032D9" w:rsidRPr="00EC658C" w:rsidRDefault="009032D9" w:rsidP="00EC658C">
            <w:pPr>
              <w:rPr>
                <w:rFonts w:ascii="Arial" w:hAnsi="Arial" w:cs="Arial"/>
              </w:rPr>
            </w:pPr>
            <w:r>
              <w:rPr>
                <w:rFonts w:ascii="Arial" w:hAnsi="Arial" w:cs="Arial"/>
                <w:sz w:val="22"/>
                <w:szCs w:val="22"/>
              </w:rPr>
              <w:t xml:space="preserve">                                  </w:t>
            </w:r>
            <w:r w:rsidRPr="00EC658C">
              <w:rPr>
                <w:rFonts w:ascii="Arial" w:hAnsi="Arial" w:cs="Arial"/>
                <w:sz w:val="22"/>
                <w:szCs w:val="22"/>
              </w:rPr>
              <w:t xml:space="preserve">Gower Street </w:t>
            </w:r>
          </w:p>
          <w:p w14:paraId="34DCBD12" w14:textId="77777777" w:rsidR="009032D9" w:rsidRPr="00EC658C" w:rsidRDefault="009032D9" w:rsidP="00EC658C">
            <w:pPr>
              <w:rPr>
                <w:rFonts w:ascii="Arial" w:hAnsi="Arial" w:cs="Arial"/>
              </w:rPr>
            </w:pPr>
            <w:r>
              <w:rPr>
                <w:rFonts w:ascii="Arial" w:hAnsi="Arial" w:cs="Arial"/>
                <w:sz w:val="22"/>
                <w:szCs w:val="22"/>
              </w:rPr>
              <w:t xml:space="preserve">                                  </w:t>
            </w:r>
            <w:r w:rsidRPr="00EC658C">
              <w:rPr>
                <w:rFonts w:ascii="Arial" w:hAnsi="Arial" w:cs="Arial"/>
                <w:sz w:val="22"/>
                <w:szCs w:val="22"/>
              </w:rPr>
              <w:t xml:space="preserve">London </w:t>
            </w:r>
          </w:p>
          <w:p w14:paraId="134E220D" w14:textId="77777777" w:rsidR="009032D9" w:rsidRPr="00EC658C" w:rsidRDefault="009032D9" w:rsidP="00EC658C">
            <w:pPr>
              <w:rPr>
                <w:rFonts w:ascii="Arial" w:hAnsi="Arial" w:cs="Arial"/>
              </w:rPr>
            </w:pPr>
            <w:r>
              <w:rPr>
                <w:rFonts w:ascii="Arial" w:hAnsi="Arial" w:cs="Arial"/>
                <w:sz w:val="22"/>
                <w:szCs w:val="22"/>
              </w:rPr>
              <w:t xml:space="preserve">                                  </w:t>
            </w:r>
            <w:r w:rsidRPr="00EC658C">
              <w:rPr>
                <w:rFonts w:ascii="Arial" w:hAnsi="Arial" w:cs="Arial"/>
                <w:sz w:val="22"/>
                <w:szCs w:val="22"/>
              </w:rPr>
              <w:t>WC1E 6BT</w:t>
            </w:r>
          </w:p>
        </w:tc>
      </w:tr>
      <w:tr w:rsidR="00DA67E8" w:rsidRPr="00A23D8C" w14:paraId="212EDCB1" w14:textId="77777777" w:rsidTr="00EC658C">
        <w:tc>
          <w:tcPr>
            <w:tcW w:w="2093" w:type="dxa"/>
            <w:vAlign w:val="center"/>
          </w:tcPr>
          <w:p w14:paraId="510D5B3E" w14:textId="77777777" w:rsidR="00DA67E8" w:rsidRPr="00EC658C" w:rsidRDefault="00DA67E8" w:rsidP="00EC658C">
            <w:pPr>
              <w:pStyle w:val="Normal1"/>
              <w:jc w:val="left"/>
              <w:rPr>
                <w:rFonts w:cs="Arial"/>
                <w:szCs w:val="22"/>
                <w:lang w:val="en-GB"/>
              </w:rPr>
            </w:pPr>
            <w:r w:rsidRPr="00EC658C">
              <w:rPr>
                <w:rFonts w:cs="Arial"/>
                <w:sz w:val="22"/>
                <w:szCs w:val="22"/>
                <w:lang w:val="en-GB"/>
              </w:rPr>
              <w:t>Sponsor Contact:</w:t>
            </w:r>
          </w:p>
        </w:tc>
        <w:tc>
          <w:tcPr>
            <w:tcW w:w="6967" w:type="dxa"/>
            <w:vAlign w:val="center"/>
          </w:tcPr>
          <w:p w14:paraId="08723A2F" w14:textId="77777777" w:rsidR="00DA67E8" w:rsidRPr="00EC658C" w:rsidRDefault="00137830" w:rsidP="00EC658C">
            <w:pPr>
              <w:pStyle w:val="Normal1"/>
              <w:spacing w:before="240" w:after="60"/>
              <w:jc w:val="left"/>
              <w:rPr>
                <w:rFonts w:cs="Arial"/>
                <w:szCs w:val="22"/>
                <w:lang w:val="en-GB"/>
              </w:rPr>
            </w:pPr>
            <w:r>
              <w:rPr>
                <w:rFonts w:cs="Arial"/>
                <w:sz w:val="22"/>
                <w:szCs w:val="22"/>
              </w:rPr>
              <w:t xml:space="preserve">Director of Research Support </w:t>
            </w:r>
          </w:p>
        </w:tc>
      </w:tr>
      <w:tr w:rsidR="00DA67E8" w:rsidRPr="00A23D8C" w14:paraId="25873734" w14:textId="77777777" w:rsidTr="00EC658C">
        <w:tc>
          <w:tcPr>
            <w:tcW w:w="2093" w:type="dxa"/>
            <w:vAlign w:val="center"/>
          </w:tcPr>
          <w:p w14:paraId="1DD52DF2" w14:textId="77777777" w:rsidR="00DA67E8" w:rsidRPr="00EC658C" w:rsidRDefault="00DA67E8" w:rsidP="00EC658C">
            <w:pPr>
              <w:pStyle w:val="Normal1"/>
              <w:spacing w:before="240" w:after="60"/>
              <w:jc w:val="left"/>
              <w:rPr>
                <w:rFonts w:cs="Arial"/>
                <w:szCs w:val="22"/>
                <w:lang w:val="en-GB"/>
              </w:rPr>
            </w:pPr>
            <w:r w:rsidRPr="00EC658C">
              <w:rPr>
                <w:rFonts w:cs="Arial"/>
                <w:sz w:val="22"/>
                <w:szCs w:val="22"/>
                <w:lang w:val="en-GB"/>
              </w:rPr>
              <w:t>Tel:</w:t>
            </w:r>
          </w:p>
        </w:tc>
        <w:tc>
          <w:tcPr>
            <w:tcW w:w="6967" w:type="dxa"/>
            <w:vAlign w:val="center"/>
          </w:tcPr>
          <w:p w14:paraId="165066DF" w14:textId="77777777" w:rsidR="00DA67E8" w:rsidRPr="00EC658C" w:rsidRDefault="00DA67E8" w:rsidP="00EC658C">
            <w:pPr>
              <w:pStyle w:val="Normal1"/>
              <w:spacing w:after="60"/>
              <w:jc w:val="left"/>
              <w:rPr>
                <w:rFonts w:cs="Arial"/>
                <w:szCs w:val="22"/>
                <w:lang w:val="en-GB"/>
              </w:rPr>
            </w:pPr>
            <w:r w:rsidRPr="00EC658C">
              <w:rPr>
                <w:rFonts w:cs="Arial"/>
                <w:sz w:val="22"/>
                <w:szCs w:val="22"/>
              </w:rPr>
              <w:t>020 3447 9995/2178 (unit admin)</w:t>
            </w:r>
          </w:p>
        </w:tc>
      </w:tr>
      <w:tr w:rsidR="00DA67E8" w:rsidRPr="00A23D8C" w14:paraId="0B3A8F0A" w14:textId="77777777" w:rsidTr="00EC658C">
        <w:tc>
          <w:tcPr>
            <w:tcW w:w="2093" w:type="dxa"/>
          </w:tcPr>
          <w:p w14:paraId="4F5D9696" w14:textId="77777777" w:rsidR="00DA67E8" w:rsidRPr="00EC658C" w:rsidDel="00EC658C" w:rsidRDefault="00DA67E8" w:rsidP="00EC658C">
            <w:pPr>
              <w:pStyle w:val="Normal1"/>
              <w:spacing w:before="240" w:after="60"/>
              <w:jc w:val="left"/>
              <w:rPr>
                <w:rFonts w:cs="Arial"/>
                <w:szCs w:val="22"/>
                <w:lang w:val="en-GB"/>
              </w:rPr>
            </w:pPr>
            <w:r w:rsidRPr="00EC658C">
              <w:rPr>
                <w:rFonts w:cs="Arial"/>
                <w:sz w:val="22"/>
                <w:szCs w:val="22"/>
                <w:lang w:val="en-GB"/>
              </w:rPr>
              <w:t>Fax:</w:t>
            </w:r>
          </w:p>
        </w:tc>
        <w:tc>
          <w:tcPr>
            <w:tcW w:w="6967" w:type="dxa"/>
            <w:vAlign w:val="center"/>
          </w:tcPr>
          <w:p w14:paraId="5466EA62" w14:textId="77777777" w:rsidR="00DA67E8" w:rsidRPr="00EC658C" w:rsidDel="00EC658C" w:rsidRDefault="00DA67E8" w:rsidP="00EC658C">
            <w:pPr>
              <w:pStyle w:val="Normal1"/>
              <w:spacing w:after="60"/>
              <w:jc w:val="left"/>
              <w:rPr>
                <w:rFonts w:cs="Arial"/>
                <w:szCs w:val="22"/>
                <w:lang w:val="en-GB"/>
              </w:rPr>
            </w:pPr>
            <w:r w:rsidRPr="00EC658C">
              <w:rPr>
                <w:rFonts w:cs="Arial"/>
                <w:sz w:val="22"/>
                <w:szCs w:val="22"/>
              </w:rPr>
              <w:t>020 3447 9937</w:t>
            </w:r>
          </w:p>
        </w:tc>
      </w:tr>
    </w:tbl>
    <w:p w14:paraId="608E3983" w14:textId="77777777" w:rsidR="00DA67E8" w:rsidRPr="00A23D8C" w:rsidRDefault="00DA67E8">
      <w:pPr>
        <w:jc w:val="both"/>
        <w:rPr>
          <w:rFonts w:ascii="Arial" w:hAnsi="Arial" w:cs="Arial"/>
          <w:b/>
          <w:bCs/>
          <w:sz w:val="28"/>
        </w:rPr>
      </w:pPr>
    </w:p>
    <w:p w14:paraId="4B415059" w14:textId="77777777" w:rsidR="00DA67E8" w:rsidRPr="00EE303A" w:rsidRDefault="00EE303A" w:rsidP="009400C8">
      <w:pPr>
        <w:pStyle w:val="Heading2"/>
      </w:pPr>
      <w:bookmarkStart w:id="1185" w:name="_Toc319072408"/>
      <w:bookmarkStart w:id="1186" w:name="_Toc283031886"/>
      <w:bookmarkStart w:id="1187" w:name="_Toc283376423"/>
      <w:bookmarkStart w:id="1188" w:name="_Toc333484814"/>
      <w:bookmarkStart w:id="1189" w:name="_Toc333484929"/>
      <w:bookmarkStart w:id="1190" w:name="_Toc351624881"/>
      <w:r>
        <w:t xml:space="preserve"> </w:t>
      </w:r>
      <w:r w:rsidR="0082753E" w:rsidRPr="009400C8">
        <w:tab/>
      </w:r>
      <w:bookmarkStart w:id="1191" w:name="_Toc471826844"/>
      <w:bookmarkStart w:id="1192" w:name="_Toc528323611"/>
      <w:r w:rsidR="00DA67E8" w:rsidRPr="00EE303A">
        <w:t>Indemnity</w:t>
      </w:r>
      <w:bookmarkEnd w:id="1185"/>
      <w:bookmarkEnd w:id="1186"/>
      <w:bookmarkEnd w:id="1187"/>
      <w:bookmarkEnd w:id="1188"/>
      <w:bookmarkEnd w:id="1189"/>
      <w:bookmarkEnd w:id="1190"/>
      <w:bookmarkEnd w:id="1191"/>
      <w:bookmarkEnd w:id="1192"/>
    </w:p>
    <w:p w14:paraId="23B4468B" w14:textId="77777777" w:rsidR="00DA67E8" w:rsidRPr="00830BDF" w:rsidRDefault="00DA67E8" w:rsidP="00830BDF">
      <w:pPr>
        <w:jc w:val="both"/>
        <w:rPr>
          <w:rFonts w:ascii="Arial" w:hAnsi="Arial" w:cs="Arial"/>
          <w:sz w:val="22"/>
          <w:szCs w:val="22"/>
        </w:rPr>
      </w:pPr>
      <w:r w:rsidRPr="00830BDF">
        <w:rPr>
          <w:rFonts w:ascii="Arial" w:hAnsi="Arial" w:cs="Arial"/>
          <w:sz w:val="22"/>
          <w:szCs w:val="22"/>
        </w:rPr>
        <w:t>University College London holds insurance against claims from participants for injury caused by their participation in the clinical trial.  Participants may be able to claim compensation if they can prove that UCL has been negligent.  However, as this clinical trial is being carried out in a hospital, the hospital continues to have a duty of care to the participant of the clinical trial.  University College London does not accept liability for any breach in the hospital’s duty of care, or any negligence on the part of hospital employees.  This applies whether the hospital is an NHS Trust or otherwise.</w:t>
      </w:r>
    </w:p>
    <w:p w14:paraId="5602FEAA" w14:textId="77777777" w:rsidR="00DA67E8" w:rsidRPr="00830BDF" w:rsidRDefault="00DA67E8" w:rsidP="00830BDF">
      <w:pPr>
        <w:jc w:val="both"/>
        <w:rPr>
          <w:rFonts w:ascii="Arial" w:hAnsi="Arial" w:cs="Arial"/>
          <w:sz w:val="22"/>
          <w:szCs w:val="22"/>
        </w:rPr>
      </w:pPr>
    </w:p>
    <w:p w14:paraId="4BF09420" w14:textId="77777777" w:rsidR="00DA67E8" w:rsidRPr="00830BDF" w:rsidRDefault="00DA67E8" w:rsidP="00830BDF">
      <w:pPr>
        <w:jc w:val="both"/>
        <w:rPr>
          <w:rFonts w:ascii="Arial" w:hAnsi="Arial" w:cs="Arial"/>
          <w:sz w:val="22"/>
          <w:szCs w:val="22"/>
        </w:rPr>
      </w:pPr>
      <w:r w:rsidRPr="00830BDF">
        <w:rPr>
          <w:rFonts w:ascii="Arial" w:hAnsi="Arial" w:cs="Arial"/>
          <w:sz w:val="22"/>
          <w:szCs w:val="22"/>
        </w:rPr>
        <w:t>Participants may also be able to claim compensation for injury caused by participation in this clinical trial without the need to prove negligence on the part of University College London or another party.  Participants who sustain injury and wish to make a claim for compensation should do so in writing in the first instance to the Chief Investigator, who will pass the claim to the Sponsor’s Insurers, via the Sponsor’s office.</w:t>
      </w:r>
    </w:p>
    <w:p w14:paraId="676F7DB1" w14:textId="77777777" w:rsidR="00DA67E8" w:rsidRPr="00830BDF" w:rsidRDefault="00DA67E8" w:rsidP="00830BDF">
      <w:pPr>
        <w:jc w:val="both"/>
        <w:rPr>
          <w:rFonts w:ascii="Arial" w:hAnsi="Arial" w:cs="Arial"/>
          <w:sz w:val="22"/>
          <w:szCs w:val="22"/>
        </w:rPr>
      </w:pPr>
    </w:p>
    <w:p w14:paraId="3B35E8FC" w14:textId="77777777" w:rsidR="00DA67E8" w:rsidRPr="00830BDF" w:rsidRDefault="00DA67E8" w:rsidP="00830BDF">
      <w:pPr>
        <w:jc w:val="both"/>
        <w:rPr>
          <w:rFonts w:ascii="Arial" w:hAnsi="Arial" w:cs="Arial"/>
          <w:sz w:val="22"/>
          <w:szCs w:val="22"/>
        </w:rPr>
      </w:pPr>
      <w:r w:rsidRPr="00830BDF">
        <w:rPr>
          <w:rFonts w:ascii="Arial" w:hAnsi="Arial" w:cs="Arial"/>
          <w:sz w:val="22"/>
          <w:szCs w:val="22"/>
        </w:rPr>
        <w:t>Hospitals selected to participate in this clinical trial shall provide clinical negligence insurance cover for harm caused by their employees and a copy of the relevant insurance policy or summary shall be provided to University College London, upon request.</w:t>
      </w:r>
    </w:p>
    <w:p w14:paraId="1E37E4CA" w14:textId="77777777" w:rsidR="00DA67E8" w:rsidRDefault="00DA67E8">
      <w:pPr>
        <w:rPr>
          <w:rFonts w:ascii="Arial" w:hAnsi="Arial" w:cs="Arial"/>
        </w:rPr>
      </w:pPr>
    </w:p>
    <w:p w14:paraId="6150D9AB" w14:textId="77777777" w:rsidR="00DA67E8" w:rsidRPr="007D7336" w:rsidRDefault="00DA67E8" w:rsidP="009400C8">
      <w:pPr>
        <w:pStyle w:val="Heading1"/>
        <w:rPr>
          <w:sz w:val="22"/>
          <w:szCs w:val="22"/>
        </w:rPr>
      </w:pPr>
      <w:r>
        <w:br w:type="page"/>
      </w:r>
      <w:bookmarkStart w:id="1193" w:name="_Toc333484815"/>
      <w:bookmarkStart w:id="1194" w:name="_Toc333484930"/>
      <w:bookmarkStart w:id="1195" w:name="_Toc351624882"/>
      <w:r w:rsidRPr="007D7336">
        <w:rPr>
          <w:sz w:val="22"/>
          <w:szCs w:val="22"/>
        </w:rPr>
        <w:lastRenderedPageBreak/>
        <w:tab/>
      </w:r>
      <w:bookmarkStart w:id="1196" w:name="_Toc283027428"/>
      <w:bookmarkStart w:id="1197" w:name="_Toc283027649"/>
      <w:bookmarkStart w:id="1198" w:name="_Toc283027830"/>
      <w:bookmarkStart w:id="1199" w:name="_Toc283027995"/>
      <w:bookmarkStart w:id="1200" w:name="_Toc283028288"/>
      <w:bookmarkStart w:id="1201" w:name="_Toc283028452"/>
      <w:bookmarkStart w:id="1202" w:name="_Toc283029514"/>
      <w:bookmarkStart w:id="1203" w:name="_Toc283029679"/>
      <w:bookmarkStart w:id="1204" w:name="_Toc283031887"/>
      <w:bookmarkStart w:id="1205" w:name="_Toc283376424"/>
      <w:bookmarkStart w:id="1206" w:name="_Toc283031888"/>
      <w:bookmarkStart w:id="1207" w:name="_Toc283376425"/>
      <w:bookmarkStart w:id="1208" w:name="_Toc471826845"/>
      <w:bookmarkStart w:id="1209" w:name="_Toc528323612"/>
      <w:bookmarkEnd w:id="1196"/>
      <w:bookmarkEnd w:id="1197"/>
      <w:bookmarkEnd w:id="1198"/>
      <w:bookmarkEnd w:id="1199"/>
      <w:bookmarkEnd w:id="1200"/>
      <w:bookmarkEnd w:id="1201"/>
      <w:bookmarkEnd w:id="1202"/>
      <w:bookmarkEnd w:id="1203"/>
      <w:bookmarkEnd w:id="1204"/>
      <w:bookmarkEnd w:id="1205"/>
      <w:r w:rsidRPr="007D7336">
        <w:rPr>
          <w:sz w:val="22"/>
          <w:szCs w:val="22"/>
        </w:rPr>
        <w:t>Funding</w:t>
      </w:r>
      <w:bookmarkEnd w:id="1193"/>
      <w:bookmarkEnd w:id="1194"/>
      <w:bookmarkEnd w:id="1195"/>
      <w:bookmarkEnd w:id="1206"/>
      <w:bookmarkEnd w:id="1207"/>
      <w:bookmarkEnd w:id="1208"/>
      <w:bookmarkEnd w:id="1209"/>
    </w:p>
    <w:p w14:paraId="75BB6F7A" w14:textId="6BECAF23" w:rsidR="00DA67E8" w:rsidRPr="00EC658C" w:rsidRDefault="00855641" w:rsidP="00EC658C">
      <w:pPr>
        <w:pStyle w:val="ProtTempparagraph"/>
        <w:ind w:right="-58"/>
        <w:rPr>
          <w:sz w:val="22"/>
          <w:szCs w:val="22"/>
        </w:rPr>
      </w:pPr>
      <w:r w:rsidRPr="007D7336">
        <w:rPr>
          <w:sz w:val="22"/>
          <w:szCs w:val="22"/>
        </w:rPr>
        <w:t>Madrigal Pharmaceuticals Inc</w:t>
      </w:r>
      <w:r w:rsidR="000B7167">
        <w:rPr>
          <w:sz w:val="22"/>
          <w:szCs w:val="22"/>
        </w:rPr>
        <w:t>.</w:t>
      </w:r>
      <w:r w:rsidRPr="007D7336">
        <w:rPr>
          <w:sz w:val="22"/>
          <w:szCs w:val="22"/>
        </w:rPr>
        <w:t xml:space="preserve"> (formerly </w:t>
      </w:r>
      <w:proofErr w:type="spellStart"/>
      <w:r w:rsidRPr="007D7336">
        <w:rPr>
          <w:sz w:val="22"/>
          <w:szCs w:val="22"/>
        </w:rPr>
        <w:t>Synta</w:t>
      </w:r>
      <w:proofErr w:type="spellEnd"/>
      <w:r w:rsidRPr="007D7336">
        <w:rPr>
          <w:sz w:val="22"/>
          <w:szCs w:val="22"/>
        </w:rPr>
        <w:t xml:space="preserve"> Pharmaceuticals Corp</w:t>
      </w:r>
      <w:r w:rsidR="000B7167">
        <w:rPr>
          <w:sz w:val="22"/>
          <w:szCs w:val="22"/>
        </w:rPr>
        <w:t>.</w:t>
      </w:r>
      <w:r w:rsidRPr="007D7336">
        <w:rPr>
          <w:sz w:val="22"/>
          <w:szCs w:val="22"/>
        </w:rPr>
        <w:t xml:space="preserve">) </w:t>
      </w:r>
      <w:r w:rsidR="00DA67E8" w:rsidRPr="00EC658C">
        <w:rPr>
          <w:sz w:val="22"/>
          <w:szCs w:val="22"/>
        </w:rPr>
        <w:t xml:space="preserve">is providing the following for the trial: </w:t>
      </w:r>
    </w:p>
    <w:p w14:paraId="32B08CEA" w14:textId="236BFE74" w:rsidR="00DA67E8" w:rsidRPr="00EC658C" w:rsidRDefault="00CF74D4" w:rsidP="002F600D">
      <w:pPr>
        <w:pStyle w:val="ProtTempparagraph"/>
        <w:numPr>
          <w:ilvl w:val="0"/>
          <w:numId w:val="22"/>
        </w:numPr>
        <w:ind w:right="-58"/>
        <w:rPr>
          <w:sz w:val="22"/>
          <w:szCs w:val="22"/>
        </w:rPr>
      </w:pPr>
      <w:r w:rsidRPr="00EC658C">
        <w:rPr>
          <w:sz w:val="22"/>
          <w:szCs w:val="22"/>
        </w:rPr>
        <w:t>G</w:t>
      </w:r>
      <w:r w:rsidR="00DA67E8" w:rsidRPr="00EC658C">
        <w:rPr>
          <w:sz w:val="22"/>
          <w:szCs w:val="22"/>
        </w:rPr>
        <w:t>anetespib</w:t>
      </w:r>
      <w:r>
        <w:rPr>
          <w:sz w:val="22"/>
          <w:szCs w:val="22"/>
        </w:rPr>
        <w:t xml:space="preserve"> (also provided by </w:t>
      </w:r>
      <w:proofErr w:type="spellStart"/>
      <w:r>
        <w:rPr>
          <w:sz w:val="22"/>
          <w:szCs w:val="22"/>
        </w:rPr>
        <w:t>Aldeyra</w:t>
      </w:r>
      <w:proofErr w:type="spellEnd"/>
      <w:r>
        <w:rPr>
          <w:sz w:val="22"/>
          <w:szCs w:val="22"/>
        </w:rPr>
        <w:t xml:space="preserve"> T</w:t>
      </w:r>
      <w:r w:rsidRPr="00F7526D">
        <w:rPr>
          <w:sz w:val="22"/>
          <w:szCs w:val="22"/>
        </w:rPr>
        <w:t xml:space="preserve">herapeutics, Inc. </w:t>
      </w:r>
      <w:r w:rsidR="00CE0269" w:rsidRPr="00F7526D">
        <w:rPr>
          <w:sz w:val="22"/>
          <w:szCs w:val="22"/>
        </w:rPr>
        <w:t xml:space="preserve">as the IMP has since </w:t>
      </w:r>
      <w:r w:rsidR="007A381E">
        <w:rPr>
          <w:sz w:val="22"/>
          <w:szCs w:val="22"/>
        </w:rPr>
        <w:t xml:space="preserve">been </w:t>
      </w:r>
      <w:r w:rsidR="00CE0269" w:rsidRPr="00F7526D">
        <w:rPr>
          <w:sz w:val="22"/>
          <w:szCs w:val="22"/>
        </w:rPr>
        <w:t>in-licensed)</w:t>
      </w:r>
    </w:p>
    <w:p w14:paraId="3A1AAE92" w14:textId="77777777" w:rsidR="00DA67E8" w:rsidRPr="00EC658C" w:rsidRDefault="00DA67E8" w:rsidP="002F600D">
      <w:pPr>
        <w:pStyle w:val="ProtTempparagraph"/>
        <w:numPr>
          <w:ilvl w:val="0"/>
          <w:numId w:val="22"/>
        </w:numPr>
        <w:ind w:right="-58"/>
        <w:rPr>
          <w:sz w:val="22"/>
          <w:szCs w:val="22"/>
        </w:rPr>
      </w:pPr>
      <w:r w:rsidRPr="00EC658C">
        <w:rPr>
          <w:sz w:val="22"/>
          <w:szCs w:val="22"/>
        </w:rPr>
        <w:t>supporting the central coordination of the trial through UCL CTC</w:t>
      </w:r>
    </w:p>
    <w:p w14:paraId="2CA7EE68" w14:textId="77777777" w:rsidR="00DA67E8" w:rsidRPr="00EC658C" w:rsidRDefault="00DA67E8" w:rsidP="00EC658C">
      <w:pPr>
        <w:pStyle w:val="ProtTempparagraph"/>
        <w:ind w:right="-58"/>
        <w:rPr>
          <w:sz w:val="22"/>
          <w:szCs w:val="22"/>
        </w:rPr>
      </w:pPr>
    </w:p>
    <w:p w14:paraId="4171DDAE" w14:textId="77777777" w:rsidR="00DA67E8" w:rsidRDefault="00DA67E8" w:rsidP="00EC658C">
      <w:pPr>
        <w:pStyle w:val="ProtTempparagraph"/>
        <w:ind w:right="-58"/>
        <w:rPr>
          <w:sz w:val="22"/>
          <w:szCs w:val="22"/>
        </w:rPr>
      </w:pPr>
      <w:r w:rsidRPr="00EC658C">
        <w:rPr>
          <w:sz w:val="22"/>
          <w:szCs w:val="22"/>
        </w:rPr>
        <w:t xml:space="preserve">CR UK has provided endorsement for the trial (ref no. A15183) via the Clinical Trials Award &amp; Advisory Committee (CTAAC). </w:t>
      </w:r>
    </w:p>
    <w:p w14:paraId="48522424" w14:textId="77777777" w:rsidR="00DA67E8" w:rsidRDefault="00DA67E8" w:rsidP="00EC658C">
      <w:pPr>
        <w:pStyle w:val="ProtTempparagraph"/>
        <w:ind w:right="-58"/>
        <w:rPr>
          <w:sz w:val="22"/>
          <w:szCs w:val="22"/>
        </w:rPr>
      </w:pPr>
    </w:p>
    <w:p w14:paraId="1241614E" w14:textId="77777777" w:rsidR="00DA67E8" w:rsidRDefault="00DA67E8">
      <w:pPr>
        <w:rPr>
          <w:rFonts w:ascii="Arial" w:hAnsi="Arial" w:cs="Arial"/>
          <w:b/>
          <w:i/>
          <w:color w:val="0000FF"/>
        </w:rPr>
      </w:pPr>
    </w:p>
    <w:p w14:paraId="713EBA36" w14:textId="77777777" w:rsidR="00DA67E8" w:rsidRPr="009400C8" w:rsidRDefault="00DA67E8" w:rsidP="009400C8">
      <w:pPr>
        <w:pStyle w:val="Heading1"/>
      </w:pPr>
      <w:r>
        <w:br w:type="page"/>
      </w:r>
      <w:bookmarkStart w:id="1210" w:name="_Toc333484816"/>
      <w:bookmarkStart w:id="1211" w:name="_Toc333484931"/>
      <w:bookmarkStart w:id="1212" w:name="_Toc351624883"/>
      <w:r w:rsidRPr="009400C8">
        <w:lastRenderedPageBreak/>
        <w:tab/>
      </w:r>
      <w:bookmarkStart w:id="1213" w:name="_Toc283027430"/>
      <w:bookmarkStart w:id="1214" w:name="_Toc283027651"/>
      <w:bookmarkStart w:id="1215" w:name="_Toc283027832"/>
      <w:bookmarkStart w:id="1216" w:name="_Toc283027997"/>
      <w:bookmarkStart w:id="1217" w:name="_Toc283028290"/>
      <w:bookmarkStart w:id="1218" w:name="_Toc283028454"/>
      <w:bookmarkStart w:id="1219" w:name="_Toc283029516"/>
      <w:bookmarkStart w:id="1220" w:name="_Toc283029681"/>
      <w:bookmarkStart w:id="1221" w:name="_Toc283031889"/>
      <w:bookmarkStart w:id="1222" w:name="_Toc283376426"/>
      <w:bookmarkStart w:id="1223" w:name="_Toc283031890"/>
      <w:bookmarkStart w:id="1224" w:name="_Toc283376427"/>
      <w:bookmarkStart w:id="1225" w:name="_Toc471826846"/>
      <w:bookmarkStart w:id="1226" w:name="_Toc528323613"/>
      <w:bookmarkEnd w:id="1213"/>
      <w:bookmarkEnd w:id="1214"/>
      <w:bookmarkEnd w:id="1215"/>
      <w:bookmarkEnd w:id="1216"/>
      <w:bookmarkEnd w:id="1217"/>
      <w:bookmarkEnd w:id="1218"/>
      <w:bookmarkEnd w:id="1219"/>
      <w:bookmarkEnd w:id="1220"/>
      <w:bookmarkEnd w:id="1221"/>
      <w:bookmarkEnd w:id="1222"/>
      <w:r w:rsidRPr="009400C8">
        <w:t>Publication Policy</w:t>
      </w:r>
      <w:bookmarkEnd w:id="1210"/>
      <w:bookmarkEnd w:id="1211"/>
      <w:bookmarkEnd w:id="1212"/>
      <w:bookmarkEnd w:id="1223"/>
      <w:bookmarkEnd w:id="1224"/>
      <w:bookmarkEnd w:id="1225"/>
      <w:bookmarkEnd w:id="1226"/>
    </w:p>
    <w:p w14:paraId="0E7A9165" w14:textId="4539ED84" w:rsidR="00DA67E8" w:rsidRPr="00830BDF" w:rsidRDefault="00DA67E8" w:rsidP="00830BDF">
      <w:pPr>
        <w:jc w:val="both"/>
        <w:rPr>
          <w:rFonts w:ascii="Arial" w:hAnsi="Arial" w:cs="Arial"/>
          <w:kern w:val="32"/>
          <w:sz w:val="22"/>
          <w:szCs w:val="22"/>
        </w:rPr>
      </w:pPr>
      <w:r w:rsidRPr="00830BDF">
        <w:rPr>
          <w:rFonts w:ascii="Arial" w:hAnsi="Arial" w:cs="Arial"/>
          <w:kern w:val="32"/>
          <w:sz w:val="22"/>
          <w:szCs w:val="22"/>
        </w:rPr>
        <w:t xml:space="preserve">The data resulting from the trial will be published in peer reviewed medical journals.  The publications will be authorised by the CI and the TMG. The </w:t>
      </w:r>
      <w:r w:rsidRPr="00855641">
        <w:rPr>
          <w:rFonts w:ascii="Arial" w:hAnsi="Arial" w:cs="Arial"/>
          <w:kern w:val="32"/>
          <w:sz w:val="22"/>
          <w:szCs w:val="22"/>
        </w:rPr>
        <w:t xml:space="preserve">named authors will include the CI, Trial Coordinator, TMG members, trial statistician and co-investigators. </w:t>
      </w:r>
      <w:proofErr w:type="spellStart"/>
      <w:r w:rsidR="000B7167">
        <w:rPr>
          <w:rFonts w:ascii="Arial" w:hAnsi="Arial" w:cs="Arial"/>
          <w:kern w:val="32"/>
          <w:sz w:val="22"/>
          <w:szCs w:val="22"/>
        </w:rPr>
        <w:t>Aldeyra</w:t>
      </w:r>
      <w:proofErr w:type="spellEnd"/>
      <w:r w:rsidR="000F6E22">
        <w:rPr>
          <w:rFonts w:ascii="Arial" w:hAnsi="Arial" w:cs="Arial"/>
          <w:kern w:val="32"/>
          <w:sz w:val="22"/>
          <w:szCs w:val="22"/>
        </w:rPr>
        <w:t xml:space="preserve"> Therapeutics, Inc.</w:t>
      </w:r>
      <w:r w:rsidR="000B7167">
        <w:rPr>
          <w:rFonts w:ascii="Arial" w:hAnsi="Arial" w:cs="Arial"/>
          <w:kern w:val="32"/>
          <w:sz w:val="22"/>
          <w:szCs w:val="22"/>
        </w:rPr>
        <w:t xml:space="preserve"> and </w:t>
      </w:r>
      <w:r w:rsidR="00855641" w:rsidRPr="007D7336">
        <w:rPr>
          <w:rFonts w:ascii="Arial" w:hAnsi="Arial" w:cs="Arial"/>
          <w:sz w:val="22"/>
          <w:szCs w:val="22"/>
        </w:rPr>
        <w:t>Madrigal Pharmaceuticals Inc</w:t>
      </w:r>
      <w:r w:rsidR="000B7167">
        <w:rPr>
          <w:rFonts w:ascii="Arial" w:hAnsi="Arial" w:cs="Arial"/>
          <w:sz w:val="22"/>
          <w:szCs w:val="22"/>
        </w:rPr>
        <w:t>.</w:t>
      </w:r>
      <w:r w:rsidR="00855641" w:rsidRPr="007D7336">
        <w:rPr>
          <w:rFonts w:ascii="Arial" w:hAnsi="Arial" w:cs="Arial"/>
          <w:sz w:val="22"/>
          <w:szCs w:val="22"/>
        </w:rPr>
        <w:t xml:space="preserve"> (formerly </w:t>
      </w:r>
      <w:proofErr w:type="spellStart"/>
      <w:r w:rsidR="00855641" w:rsidRPr="007D7336">
        <w:rPr>
          <w:rFonts w:ascii="Arial" w:hAnsi="Arial" w:cs="Arial"/>
          <w:sz w:val="22"/>
          <w:szCs w:val="22"/>
        </w:rPr>
        <w:t>Synta</w:t>
      </w:r>
      <w:proofErr w:type="spellEnd"/>
      <w:r w:rsidR="00855641" w:rsidRPr="007D7336">
        <w:rPr>
          <w:rFonts w:ascii="Arial" w:hAnsi="Arial" w:cs="Arial"/>
          <w:sz w:val="22"/>
          <w:szCs w:val="22"/>
        </w:rPr>
        <w:t xml:space="preserve"> Pharmaceuticals Corp</w:t>
      </w:r>
      <w:r w:rsidR="000B7167">
        <w:rPr>
          <w:rFonts w:ascii="Arial" w:hAnsi="Arial" w:cs="Arial"/>
          <w:sz w:val="22"/>
          <w:szCs w:val="22"/>
        </w:rPr>
        <w:t>.</w:t>
      </w:r>
      <w:r w:rsidR="000B7167">
        <w:rPr>
          <w:rFonts w:ascii="Arial" w:hAnsi="Arial" w:cs="Arial"/>
          <w:kern w:val="32"/>
          <w:sz w:val="22"/>
          <w:szCs w:val="22"/>
        </w:rPr>
        <w:t xml:space="preserve">, </w:t>
      </w:r>
      <w:r w:rsidRPr="00855641">
        <w:rPr>
          <w:rFonts w:ascii="Arial" w:hAnsi="Arial" w:cs="Arial"/>
          <w:kern w:val="32"/>
          <w:sz w:val="22"/>
          <w:szCs w:val="22"/>
        </w:rPr>
        <w:t xml:space="preserve">USA) will be acknowledged in the publication and will be able to review the draft manuscript prior to publication. The </w:t>
      </w:r>
      <w:r w:rsidR="000B7167">
        <w:rPr>
          <w:rFonts w:ascii="Arial" w:hAnsi="Arial" w:cs="Arial"/>
          <w:kern w:val="32"/>
          <w:sz w:val="22"/>
          <w:szCs w:val="22"/>
        </w:rPr>
        <w:t xml:space="preserve">drug </w:t>
      </w:r>
      <w:r w:rsidRPr="00855641">
        <w:rPr>
          <w:rFonts w:ascii="Arial" w:hAnsi="Arial" w:cs="Arial"/>
          <w:kern w:val="32"/>
          <w:sz w:val="22"/>
          <w:szCs w:val="22"/>
        </w:rPr>
        <w:t>compan</w:t>
      </w:r>
      <w:r w:rsidR="000B7167">
        <w:rPr>
          <w:rFonts w:ascii="Arial" w:hAnsi="Arial" w:cs="Arial"/>
          <w:kern w:val="32"/>
          <w:sz w:val="22"/>
          <w:szCs w:val="22"/>
        </w:rPr>
        <w:t>ies</w:t>
      </w:r>
      <w:r w:rsidRPr="00855641">
        <w:rPr>
          <w:rFonts w:ascii="Arial" w:hAnsi="Arial" w:cs="Arial"/>
          <w:kern w:val="32"/>
          <w:sz w:val="22"/>
          <w:szCs w:val="22"/>
        </w:rPr>
        <w:t xml:space="preserve"> will be given </w:t>
      </w:r>
      <w:r w:rsidR="00373F85" w:rsidRPr="000E3773">
        <w:rPr>
          <w:rFonts w:ascii="Arial" w:hAnsi="Arial" w:cs="Arial"/>
          <w:kern w:val="32"/>
          <w:sz w:val="22"/>
          <w:szCs w:val="22"/>
        </w:rPr>
        <w:t xml:space="preserve">30 </w:t>
      </w:r>
      <w:r w:rsidRPr="000E3773">
        <w:rPr>
          <w:rFonts w:ascii="Arial" w:hAnsi="Arial" w:cs="Arial"/>
          <w:kern w:val="32"/>
          <w:sz w:val="22"/>
          <w:szCs w:val="22"/>
        </w:rPr>
        <w:t>days to review the da</w:t>
      </w:r>
      <w:r w:rsidRPr="00830BDF">
        <w:rPr>
          <w:rFonts w:ascii="Arial" w:hAnsi="Arial" w:cs="Arial"/>
          <w:kern w:val="32"/>
          <w:sz w:val="22"/>
          <w:szCs w:val="22"/>
        </w:rPr>
        <w:t xml:space="preserve">ta. Sites may not publish trial results prior to first publication by the named authors and need written consent from the TMG and CI to do so. </w:t>
      </w:r>
    </w:p>
    <w:p w14:paraId="0F289933" w14:textId="77777777" w:rsidR="00DA67E8" w:rsidRPr="00830BDF" w:rsidRDefault="00DA67E8" w:rsidP="00830BDF">
      <w:pPr>
        <w:jc w:val="both"/>
        <w:rPr>
          <w:rFonts w:ascii="Arial" w:hAnsi="Arial" w:cs="Arial"/>
          <w:kern w:val="32"/>
          <w:sz w:val="22"/>
          <w:szCs w:val="22"/>
        </w:rPr>
      </w:pPr>
    </w:p>
    <w:p w14:paraId="2389F446" w14:textId="77777777" w:rsidR="00DA67E8" w:rsidRPr="00830BDF" w:rsidRDefault="00DA67E8" w:rsidP="00830BDF">
      <w:pPr>
        <w:pStyle w:val="Text"/>
        <w:spacing w:before="0"/>
        <w:rPr>
          <w:rFonts w:ascii="Arial" w:hAnsi="Arial" w:cs="Arial"/>
          <w:sz w:val="22"/>
          <w:szCs w:val="22"/>
          <w:lang w:val="en-GB"/>
        </w:rPr>
      </w:pPr>
      <w:r w:rsidRPr="00830BDF">
        <w:rPr>
          <w:rFonts w:ascii="Arial" w:hAnsi="Arial" w:cs="Arial"/>
          <w:sz w:val="22"/>
          <w:szCs w:val="22"/>
          <w:lang w:val="en-GB"/>
        </w:rPr>
        <w:t>The ClinicalTrials.gov (or equivalent unique trial I.D.) will be quoted in all publications relating to trial. The data will be owned by the UCL CTC.</w:t>
      </w:r>
    </w:p>
    <w:p w14:paraId="7E6CE47D" w14:textId="77777777" w:rsidR="00DA67E8" w:rsidRDefault="00DA67E8">
      <w:pPr>
        <w:rPr>
          <w:rFonts w:ascii="Arial" w:eastAsia="MS Mincho" w:hAnsi="Arial" w:cs="Arial"/>
          <w:b/>
          <w:bCs/>
          <w:i/>
          <w:iCs/>
          <w:color w:val="0000FF"/>
          <w:szCs w:val="20"/>
        </w:rPr>
      </w:pPr>
    </w:p>
    <w:p w14:paraId="32867F0E" w14:textId="77777777" w:rsidR="00DA67E8" w:rsidRPr="009400C8" w:rsidRDefault="00DA67E8" w:rsidP="009400C8">
      <w:pPr>
        <w:pStyle w:val="Heading1"/>
      </w:pPr>
      <w:bookmarkStart w:id="1227" w:name="_Toc283027432"/>
      <w:bookmarkStart w:id="1228" w:name="_Toc283027653"/>
      <w:bookmarkStart w:id="1229" w:name="_Toc283027834"/>
      <w:bookmarkStart w:id="1230" w:name="_Toc283027999"/>
      <w:bookmarkStart w:id="1231" w:name="_Toc283028292"/>
      <w:bookmarkStart w:id="1232" w:name="_Toc283028456"/>
      <w:bookmarkStart w:id="1233" w:name="_Toc283029518"/>
      <w:bookmarkStart w:id="1234" w:name="_Toc283029683"/>
      <w:bookmarkStart w:id="1235" w:name="_Toc283031891"/>
      <w:bookmarkStart w:id="1236" w:name="_Toc283376428"/>
      <w:bookmarkEnd w:id="1227"/>
      <w:bookmarkEnd w:id="1228"/>
      <w:bookmarkEnd w:id="1229"/>
      <w:bookmarkEnd w:id="1230"/>
      <w:bookmarkEnd w:id="1231"/>
      <w:bookmarkEnd w:id="1232"/>
      <w:bookmarkEnd w:id="1233"/>
      <w:bookmarkEnd w:id="1234"/>
      <w:bookmarkEnd w:id="1235"/>
      <w:bookmarkEnd w:id="1236"/>
      <w:r>
        <w:rPr>
          <w:color w:val="FF0000"/>
        </w:rPr>
        <w:br w:type="page"/>
      </w:r>
      <w:bookmarkStart w:id="1237" w:name="_Toc283031892"/>
      <w:bookmarkStart w:id="1238" w:name="_Toc283376429"/>
      <w:bookmarkStart w:id="1239" w:name="_Toc333484817"/>
      <w:bookmarkStart w:id="1240" w:name="_Toc333484932"/>
      <w:bookmarkStart w:id="1241" w:name="_Toc351624884"/>
      <w:r w:rsidR="00EE303A" w:rsidRPr="009400C8">
        <w:lastRenderedPageBreak/>
        <w:t xml:space="preserve">  </w:t>
      </w:r>
      <w:bookmarkStart w:id="1242" w:name="_Toc471826847"/>
      <w:bookmarkStart w:id="1243" w:name="_Toc528323614"/>
      <w:r w:rsidRPr="009400C8">
        <w:t>Translational Research</w:t>
      </w:r>
      <w:bookmarkEnd w:id="1237"/>
      <w:bookmarkEnd w:id="1238"/>
      <w:bookmarkEnd w:id="1239"/>
      <w:bookmarkEnd w:id="1240"/>
      <w:bookmarkEnd w:id="1241"/>
      <w:bookmarkEnd w:id="1242"/>
      <w:bookmarkEnd w:id="1243"/>
    </w:p>
    <w:p w14:paraId="6CC5086F" w14:textId="77777777" w:rsidR="00DA67E8" w:rsidRPr="004A05A3" w:rsidRDefault="00DA67E8" w:rsidP="00715E92">
      <w:pPr>
        <w:pStyle w:val="Heading10"/>
        <w:rPr>
          <w:rFonts w:ascii="Arial" w:hAnsi="Arial" w:cs="Arial"/>
          <w:sz w:val="22"/>
          <w:szCs w:val="22"/>
        </w:rPr>
      </w:pPr>
      <w:bookmarkStart w:id="1244" w:name="_Toc296077002"/>
      <w:r w:rsidRPr="004A05A3">
        <w:rPr>
          <w:rFonts w:ascii="Arial" w:hAnsi="Arial" w:cs="Arial"/>
          <w:sz w:val="22"/>
          <w:szCs w:val="22"/>
        </w:rPr>
        <w:t xml:space="preserve">Diagnostic Tissue Samples </w:t>
      </w:r>
      <w:bookmarkEnd w:id="1244"/>
    </w:p>
    <w:p w14:paraId="5DE18E0C" w14:textId="77777777" w:rsidR="00DA67E8" w:rsidRPr="004A05A3" w:rsidRDefault="00DA67E8" w:rsidP="00715E92">
      <w:pPr>
        <w:spacing w:before="120"/>
        <w:jc w:val="both"/>
        <w:rPr>
          <w:rFonts w:ascii="Arial" w:hAnsi="Arial" w:cs="Arial"/>
          <w:sz w:val="22"/>
          <w:szCs w:val="22"/>
        </w:rPr>
      </w:pPr>
      <w:r w:rsidRPr="004A05A3">
        <w:rPr>
          <w:rFonts w:ascii="Arial" w:hAnsi="Arial" w:cs="Arial"/>
          <w:sz w:val="22"/>
        </w:rPr>
        <w:t xml:space="preserve">Formalin </w:t>
      </w:r>
      <w:r w:rsidRPr="004A05A3">
        <w:rPr>
          <w:rFonts w:ascii="Arial" w:hAnsi="Arial" w:cs="Arial"/>
          <w:sz w:val="22"/>
          <w:szCs w:val="22"/>
        </w:rPr>
        <w:t xml:space="preserve">fixed paraffin embedded (FFPE) diagnostic tissue blocks must be forwarded from the local site to the central laboratory for </w:t>
      </w:r>
      <w:r w:rsidRPr="004A05A3">
        <w:rPr>
          <w:rFonts w:ascii="Arial" w:hAnsi="Arial" w:cs="Arial"/>
          <w:b/>
          <w:sz w:val="22"/>
          <w:szCs w:val="22"/>
        </w:rPr>
        <w:t>all</w:t>
      </w:r>
      <w:r w:rsidRPr="004A05A3">
        <w:rPr>
          <w:rFonts w:ascii="Arial" w:hAnsi="Arial" w:cs="Arial"/>
          <w:sz w:val="22"/>
          <w:szCs w:val="22"/>
        </w:rPr>
        <w:t xml:space="preserve"> patients, where available and consent has been given, for pharmacogenomic analyses. </w:t>
      </w:r>
    </w:p>
    <w:p w14:paraId="311348CA" w14:textId="77777777" w:rsidR="00DA67E8" w:rsidRPr="004A05A3" w:rsidRDefault="00DA67E8" w:rsidP="004B4EBD">
      <w:pPr>
        <w:tabs>
          <w:tab w:val="left" w:pos="9072"/>
        </w:tabs>
        <w:ind w:right="567"/>
        <w:rPr>
          <w:rFonts w:ascii="Arial" w:hAnsi="Arial" w:cs="Arial"/>
          <w:sz w:val="22"/>
          <w:szCs w:val="22"/>
        </w:rPr>
      </w:pPr>
    </w:p>
    <w:p w14:paraId="4BDC2C79" w14:textId="77777777" w:rsidR="00DA67E8" w:rsidRPr="004A05A3" w:rsidRDefault="00DA67E8" w:rsidP="004B4EBD">
      <w:pPr>
        <w:tabs>
          <w:tab w:val="left" w:pos="9072"/>
        </w:tabs>
        <w:ind w:right="567"/>
        <w:rPr>
          <w:rFonts w:ascii="Arial" w:hAnsi="Arial" w:cs="Arial"/>
          <w:sz w:val="22"/>
          <w:szCs w:val="22"/>
        </w:rPr>
      </w:pPr>
      <w:r w:rsidRPr="004A05A3">
        <w:rPr>
          <w:rFonts w:ascii="Arial" w:hAnsi="Arial" w:cs="Arial"/>
          <w:sz w:val="22"/>
          <w:szCs w:val="22"/>
        </w:rPr>
        <w:t>Blocks will be requested from the relevant pathology department by the treating clinician, who will also forward a copy of the patient’s consent form to the pathologist in order for the block to be sent to the central laboratory.</w:t>
      </w:r>
    </w:p>
    <w:p w14:paraId="58A2F58C" w14:textId="77777777" w:rsidR="00DA67E8" w:rsidRPr="004A05A3" w:rsidRDefault="00DA67E8" w:rsidP="004B4EBD">
      <w:pPr>
        <w:tabs>
          <w:tab w:val="left" w:pos="9072"/>
        </w:tabs>
        <w:spacing w:line="320" w:lineRule="atLeast"/>
        <w:ind w:right="567"/>
        <w:rPr>
          <w:rFonts w:cs="Tahoma"/>
          <w:sz w:val="22"/>
          <w:szCs w:val="22"/>
        </w:rPr>
      </w:pPr>
    </w:p>
    <w:p w14:paraId="7EB2E2A8" w14:textId="77777777" w:rsidR="00DA67E8" w:rsidRPr="004A05A3" w:rsidRDefault="00DA67E8" w:rsidP="004B4EBD">
      <w:pPr>
        <w:tabs>
          <w:tab w:val="left" w:pos="9072"/>
        </w:tabs>
        <w:spacing w:line="320" w:lineRule="atLeast"/>
        <w:ind w:right="567"/>
        <w:rPr>
          <w:rFonts w:ascii="Arial" w:hAnsi="Arial" w:cs="Arial"/>
          <w:b/>
          <w:sz w:val="22"/>
          <w:szCs w:val="22"/>
        </w:rPr>
      </w:pPr>
      <w:r w:rsidRPr="004A05A3">
        <w:rPr>
          <w:rFonts w:ascii="Arial" w:hAnsi="Arial" w:cs="Arial"/>
          <w:b/>
          <w:sz w:val="22"/>
          <w:szCs w:val="22"/>
        </w:rPr>
        <w:t>Procedure</w:t>
      </w:r>
    </w:p>
    <w:p w14:paraId="2FAE4F54" w14:textId="77777777" w:rsidR="00DA67E8" w:rsidRPr="004A05A3" w:rsidRDefault="00DA67E8" w:rsidP="002F600D">
      <w:pPr>
        <w:numPr>
          <w:ilvl w:val="0"/>
          <w:numId w:val="23"/>
        </w:numPr>
        <w:tabs>
          <w:tab w:val="clear" w:pos="644"/>
          <w:tab w:val="num" w:pos="426"/>
          <w:tab w:val="left" w:pos="9072"/>
        </w:tabs>
        <w:spacing w:line="320" w:lineRule="atLeast"/>
        <w:ind w:left="426" w:right="567" w:hanging="426"/>
        <w:rPr>
          <w:rFonts w:ascii="Arial" w:hAnsi="Arial" w:cs="Arial"/>
          <w:iCs/>
          <w:sz w:val="22"/>
          <w:szCs w:val="22"/>
        </w:rPr>
      </w:pPr>
      <w:r w:rsidRPr="004A05A3">
        <w:rPr>
          <w:rFonts w:ascii="Arial" w:hAnsi="Arial" w:cs="Arial"/>
          <w:sz w:val="22"/>
          <w:szCs w:val="22"/>
        </w:rPr>
        <w:t xml:space="preserve">Cancer trials office will supply the </w:t>
      </w:r>
      <w:r w:rsidRPr="004A05A3">
        <w:rPr>
          <w:rFonts w:ascii="Arial" w:hAnsi="Arial" w:cs="Arial"/>
          <w:iCs/>
          <w:sz w:val="22"/>
          <w:szCs w:val="22"/>
        </w:rPr>
        <w:t>‘</w:t>
      </w:r>
      <w:proofErr w:type="spellStart"/>
      <w:r w:rsidRPr="004A05A3">
        <w:rPr>
          <w:rFonts w:ascii="Arial" w:hAnsi="Arial" w:cs="Arial"/>
          <w:iCs/>
          <w:sz w:val="22"/>
          <w:szCs w:val="22"/>
        </w:rPr>
        <w:t>safeboxes</w:t>
      </w:r>
      <w:proofErr w:type="spellEnd"/>
      <w:r w:rsidRPr="004A05A3">
        <w:rPr>
          <w:rFonts w:ascii="Arial" w:hAnsi="Arial" w:cs="Arial"/>
          <w:iCs/>
          <w:sz w:val="22"/>
          <w:szCs w:val="22"/>
        </w:rPr>
        <w:t>’ for specimen transportation to sites when a patient is randomised.</w:t>
      </w:r>
    </w:p>
    <w:p w14:paraId="4D260C93" w14:textId="77777777" w:rsidR="00DA67E8" w:rsidRPr="004A05A3" w:rsidRDefault="00DA67E8" w:rsidP="002F600D">
      <w:pPr>
        <w:numPr>
          <w:ilvl w:val="0"/>
          <w:numId w:val="23"/>
        </w:numPr>
        <w:tabs>
          <w:tab w:val="clear" w:pos="644"/>
          <w:tab w:val="num" w:pos="426"/>
          <w:tab w:val="left" w:pos="9072"/>
        </w:tabs>
        <w:spacing w:before="120" w:after="60" w:line="320" w:lineRule="atLeast"/>
        <w:ind w:left="426" w:right="567" w:hanging="426"/>
        <w:rPr>
          <w:rFonts w:ascii="Arial" w:hAnsi="Arial" w:cs="Arial"/>
          <w:i/>
          <w:sz w:val="22"/>
          <w:szCs w:val="22"/>
        </w:rPr>
      </w:pPr>
      <w:r w:rsidRPr="004A05A3">
        <w:rPr>
          <w:rFonts w:ascii="Arial" w:hAnsi="Arial" w:cs="Arial"/>
          <w:sz w:val="22"/>
          <w:szCs w:val="22"/>
        </w:rPr>
        <w:t>Send paraffin embedded tissue block.  Specimen/s to be labelled with: biopsy reference number and patient trial number.</w:t>
      </w:r>
    </w:p>
    <w:p w14:paraId="47BD530C" w14:textId="77777777" w:rsidR="00DA67E8" w:rsidRPr="004A05A3" w:rsidRDefault="00DA67E8" w:rsidP="002F600D">
      <w:pPr>
        <w:numPr>
          <w:ilvl w:val="0"/>
          <w:numId w:val="23"/>
        </w:numPr>
        <w:tabs>
          <w:tab w:val="clear" w:pos="644"/>
          <w:tab w:val="num" w:pos="426"/>
          <w:tab w:val="left" w:pos="9072"/>
        </w:tabs>
        <w:spacing w:before="120" w:after="60" w:line="320" w:lineRule="atLeast"/>
        <w:ind w:left="426" w:right="567" w:hanging="426"/>
        <w:rPr>
          <w:rFonts w:ascii="Arial" w:hAnsi="Arial" w:cs="Arial"/>
          <w:i/>
          <w:sz w:val="22"/>
          <w:szCs w:val="22"/>
        </w:rPr>
      </w:pPr>
      <w:r w:rsidRPr="004A05A3">
        <w:rPr>
          <w:rFonts w:ascii="Arial" w:hAnsi="Arial" w:cs="Arial"/>
          <w:sz w:val="22"/>
          <w:szCs w:val="22"/>
        </w:rPr>
        <w:t xml:space="preserve">Enclose a copy of the pathology report, ensuring that all </w:t>
      </w:r>
      <w:r w:rsidR="002F113D" w:rsidRPr="004A05A3">
        <w:rPr>
          <w:rFonts w:ascii="Arial" w:hAnsi="Arial" w:cs="Arial"/>
          <w:sz w:val="22"/>
          <w:szCs w:val="22"/>
        </w:rPr>
        <w:t>identi</w:t>
      </w:r>
      <w:r w:rsidR="002F113D">
        <w:rPr>
          <w:rFonts w:ascii="Arial" w:hAnsi="Arial" w:cs="Arial"/>
          <w:sz w:val="22"/>
          <w:szCs w:val="22"/>
        </w:rPr>
        <w:t>fi</w:t>
      </w:r>
      <w:r w:rsidR="002F113D" w:rsidRPr="004A05A3">
        <w:rPr>
          <w:rFonts w:ascii="Arial" w:hAnsi="Arial" w:cs="Arial"/>
          <w:sz w:val="22"/>
          <w:szCs w:val="22"/>
        </w:rPr>
        <w:t>ers</w:t>
      </w:r>
      <w:r w:rsidRPr="004A05A3">
        <w:rPr>
          <w:rFonts w:ascii="Arial" w:hAnsi="Arial" w:cs="Arial"/>
          <w:sz w:val="22"/>
          <w:szCs w:val="22"/>
        </w:rPr>
        <w:t xml:space="preserve"> are obscured other than biopsy reference number and add the patient trial number. </w:t>
      </w:r>
    </w:p>
    <w:p w14:paraId="4527BF90" w14:textId="77777777" w:rsidR="00DA67E8" w:rsidRPr="004A05A3" w:rsidRDefault="00DA67E8" w:rsidP="002F600D">
      <w:pPr>
        <w:numPr>
          <w:ilvl w:val="0"/>
          <w:numId w:val="23"/>
        </w:numPr>
        <w:tabs>
          <w:tab w:val="clear" w:pos="644"/>
          <w:tab w:val="num" w:pos="426"/>
          <w:tab w:val="left" w:pos="9072"/>
        </w:tabs>
        <w:spacing w:before="120" w:after="60" w:line="320" w:lineRule="atLeast"/>
        <w:ind w:left="426" w:right="567" w:hanging="426"/>
        <w:rPr>
          <w:rFonts w:ascii="Arial" w:hAnsi="Arial" w:cs="Arial"/>
          <w:i/>
          <w:sz w:val="22"/>
          <w:szCs w:val="22"/>
        </w:rPr>
      </w:pPr>
      <w:r w:rsidRPr="004A05A3">
        <w:rPr>
          <w:rFonts w:ascii="Arial" w:hAnsi="Arial" w:cs="Arial"/>
          <w:sz w:val="22"/>
          <w:szCs w:val="22"/>
        </w:rPr>
        <w:t>These should be placed into plastic slide carrier boxes -</w:t>
      </w:r>
      <w:r w:rsidRPr="004A05A3">
        <w:rPr>
          <w:rFonts w:ascii="Arial" w:hAnsi="Arial" w:cs="Arial"/>
          <w:iCs/>
          <w:sz w:val="22"/>
          <w:szCs w:val="22"/>
        </w:rPr>
        <w:t xml:space="preserve"> which should also be labelled with the </w:t>
      </w:r>
      <w:r w:rsidRPr="004A05A3">
        <w:rPr>
          <w:rFonts w:ascii="Arial" w:hAnsi="Arial" w:cs="Arial"/>
          <w:sz w:val="22"/>
          <w:szCs w:val="22"/>
        </w:rPr>
        <w:t>patient trial number.</w:t>
      </w:r>
    </w:p>
    <w:p w14:paraId="20ECC6BD" w14:textId="77777777" w:rsidR="00DA67E8" w:rsidRPr="004A05A3" w:rsidRDefault="00DA67E8" w:rsidP="002F600D">
      <w:pPr>
        <w:numPr>
          <w:ilvl w:val="0"/>
          <w:numId w:val="23"/>
        </w:numPr>
        <w:tabs>
          <w:tab w:val="clear" w:pos="644"/>
          <w:tab w:val="num" w:pos="426"/>
          <w:tab w:val="left" w:pos="9072"/>
        </w:tabs>
        <w:spacing w:before="120" w:after="60" w:line="320" w:lineRule="atLeast"/>
        <w:ind w:left="426" w:right="567" w:hanging="426"/>
        <w:rPr>
          <w:rFonts w:ascii="Arial" w:hAnsi="Arial" w:cs="Arial"/>
          <w:i/>
          <w:sz w:val="22"/>
          <w:szCs w:val="22"/>
        </w:rPr>
      </w:pPr>
      <w:r w:rsidRPr="004A05A3">
        <w:rPr>
          <w:rFonts w:ascii="Arial" w:hAnsi="Arial" w:cs="Arial"/>
          <w:iCs/>
          <w:sz w:val="22"/>
          <w:szCs w:val="22"/>
        </w:rPr>
        <w:t>Container is then to be sealed in a ‘</w:t>
      </w:r>
      <w:proofErr w:type="spellStart"/>
      <w:r w:rsidRPr="004A05A3">
        <w:rPr>
          <w:rFonts w:ascii="Arial" w:hAnsi="Arial" w:cs="Arial"/>
          <w:iCs/>
          <w:sz w:val="22"/>
          <w:szCs w:val="22"/>
        </w:rPr>
        <w:t>safebox</w:t>
      </w:r>
      <w:proofErr w:type="spellEnd"/>
      <w:r w:rsidRPr="004A05A3">
        <w:rPr>
          <w:rFonts w:ascii="Arial" w:hAnsi="Arial" w:cs="Arial"/>
          <w:iCs/>
          <w:sz w:val="22"/>
          <w:szCs w:val="22"/>
        </w:rPr>
        <w:t>’ and posted to:</w:t>
      </w:r>
    </w:p>
    <w:p w14:paraId="369108D1" w14:textId="77777777" w:rsidR="00DA67E8" w:rsidRPr="004A05A3" w:rsidRDefault="00DA67E8" w:rsidP="004B4EBD">
      <w:pPr>
        <w:pStyle w:val="PlainText"/>
        <w:ind w:left="644"/>
        <w:rPr>
          <w:rFonts w:ascii="Arial" w:hAnsi="Arial" w:cs="Arial"/>
          <w:sz w:val="22"/>
          <w:szCs w:val="22"/>
        </w:rPr>
      </w:pPr>
    </w:p>
    <w:p w14:paraId="750C10B1" w14:textId="77777777" w:rsidR="00D856C1" w:rsidRPr="007A4374" w:rsidRDefault="00D856C1" w:rsidP="00D856C1">
      <w:pPr>
        <w:pStyle w:val="List"/>
        <w:keepNext/>
        <w:numPr>
          <w:ilvl w:val="0"/>
          <w:numId w:val="0"/>
        </w:numPr>
        <w:spacing w:before="0" w:after="0" w:line="276" w:lineRule="auto"/>
        <w:ind w:left="1701"/>
        <w:rPr>
          <w:rFonts w:ascii="Arial" w:hAnsi="Arial"/>
          <w:sz w:val="20"/>
        </w:rPr>
      </w:pPr>
      <w:r w:rsidRPr="007A4374">
        <w:rPr>
          <w:rFonts w:ascii="Arial" w:hAnsi="Arial"/>
          <w:sz w:val="20"/>
        </w:rPr>
        <w:t>MESO-02 TRIAL</w:t>
      </w:r>
    </w:p>
    <w:p w14:paraId="6AE93D2D" w14:textId="77777777" w:rsidR="00D856C1" w:rsidRPr="007A4374" w:rsidRDefault="00D856C1" w:rsidP="00D856C1">
      <w:pPr>
        <w:pStyle w:val="List"/>
        <w:keepNext/>
        <w:numPr>
          <w:ilvl w:val="0"/>
          <w:numId w:val="0"/>
        </w:numPr>
        <w:spacing w:before="0" w:after="0" w:line="276" w:lineRule="auto"/>
        <w:ind w:left="1701"/>
        <w:rPr>
          <w:rFonts w:ascii="Arial" w:hAnsi="Arial"/>
          <w:sz w:val="20"/>
        </w:rPr>
      </w:pPr>
      <w:r w:rsidRPr="007A4374">
        <w:rPr>
          <w:rFonts w:ascii="Arial" w:hAnsi="Arial"/>
          <w:sz w:val="20"/>
        </w:rPr>
        <w:t>C/O Professor Dean Fennell</w:t>
      </w:r>
    </w:p>
    <w:p w14:paraId="10DCD053" w14:textId="77777777" w:rsidR="003F6B75" w:rsidRPr="003F6B75" w:rsidRDefault="003F6B75" w:rsidP="00D856C1">
      <w:pPr>
        <w:pStyle w:val="List"/>
        <w:keepNext/>
        <w:numPr>
          <w:ilvl w:val="0"/>
          <w:numId w:val="0"/>
        </w:numPr>
        <w:spacing w:before="0" w:after="0" w:line="276" w:lineRule="auto"/>
        <w:ind w:left="1701"/>
        <w:rPr>
          <w:rFonts w:ascii="Arial" w:hAnsi="Arial"/>
          <w:bCs/>
          <w:sz w:val="20"/>
          <w:szCs w:val="20"/>
        </w:rPr>
      </w:pPr>
      <w:r w:rsidRPr="003F6B75">
        <w:rPr>
          <w:rFonts w:ascii="Arial" w:hAnsi="Arial"/>
          <w:bCs/>
          <w:sz w:val="20"/>
          <w:szCs w:val="20"/>
        </w:rPr>
        <w:t>University of Leicester</w:t>
      </w:r>
    </w:p>
    <w:p w14:paraId="0230C611" w14:textId="77777777" w:rsidR="003F6B75" w:rsidRPr="003F6B75" w:rsidRDefault="003F6B75" w:rsidP="00D856C1">
      <w:pPr>
        <w:pStyle w:val="List"/>
        <w:keepNext/>
        <w:numPr>
          <w:ilvl w:val="0"/>
          <w:numId w:val="0"/>
        </w:numPr>
        <w:spacing w:before="0" w:after="0" w:line="276" w:lineRule="auto"/>
        <w:ind w:left="1701"/>
        <w:rPr>
          <w:rFonts w:ascii="Arial" w:hAnsi="Arial"/>
          <w:bCs/>
          <w:sz w:val="20"/>
          <w:szCs w:val="20"/>
        </w:rPr>
      </w:pPr>
      <w:r w:rsidRPr="003F6B75">
        <w:rPr>
          <w:rFonts w:ascii="Arial" w:hAnsi="Arial"/>
          <w:bCs/>
          <w:sz w:val="20"/>
          <w:szCs w:val="20"/>
        </w:rPr>
        <w:t>The Thoracic oncology Research Group</w:t>
      </w:r>
    </w:p>
    <w:p w14:paraId="242B1959" w14:textId="77777777" w:rsidR="003F6B75" w:rsidRPr="003F6B75" w:rsidRDefault="003F6B75" w:rsidP="00D856C1">
      <w:pPr>
        <w:pStyle w:val="List"/>
        <w:keepNext/>
        <w:numPr>
          <w:ilvl w:val="0"/>
          <w:numId w:val="0"/>
        </w:numPr>
        <w:spacing w:before="0" w:after="0" w:line="276" w:lineRule="auto"/>
        <w:ind w:left="1701"/>
        <w:rPr>
          <w:rFonts w:ascii="Arial" w:hAnsi="Arial"/>
          <w:bCs/>
          <w:sz w:val="20"/>
          <w:szCs w:val="20"/>
        </w:rPr>
      </w:pPr>
      <w:r w:rsidRPr="003F6B75">
        <w:rPr>
          <w:rFonts w:ascii="Arial" w:hAnsi="Arial"/>
          <w:bCs/>
          <w:sz w:val="20"/>
          <w:szCs w:val="20"/>
        </w:rPr>
        <w:t>University of Leicester</w:t>
      </w:r>
    </w:p>
    <w:p w14:paraId="24783464" w14:textId="77777777" w:rsidR="003F6B75" w:rsidRPr="003F6B75" w:rsidRDefault="003F6B75" w:rsidP="00D856C1">
      <w:pPr>
        <w:pStyle w:val="List"/>
        <w:keepNext/>
        <w:numPr>
          <w:ilvl w:val="0"/>
          <w:numId w:val="0"/>
        </w:numPr>
        <w:spacing w:before="0" w:after="0" w:line="276" w:lineRule="auto"/>
        <w:ind w:left="1701"/>
        <w:rPr>
          <w:rFonts w:ascii="Arial" w:hAnsi="Arial"/>
          <w:bCs/>
          <w:sz w:val="20"/>
          <w:szCs w:val="20"/>
        </w:rPr>
      </w:pPr>
      <w:r w:rsidRPr="003F6B75">
        <w:rPr>
          <w:rFonts w:ascii="Arial" w:hAnsi="Arial"/>
          <w:bCs/>
          <w:sz w:val="20"/>
          <w:szCs w:val="20"/>
        </w:rPr>
        <w:t>Cancer Studies, Hodgkin Building</w:t>
      </w:r>
    </w:p>
    <w:p w14:paraId="327EAEA1" w14:textId="77777777" w:rsidR="003F6B75" w:rsidRPr="003F6B75" w:rsidRDefault="003F6B75" w:rsidP="00D856C1">
      <w:pPr>
        <w:pStyle w:val="List"/>
        <w:keepNext/>
        <w:numPr>
          <w:ilvl w:val="0"/>
          <w:numId w:val="0"/>
        </w:numPr>
        <w:spacing w:before="0" w:after="0" w:line="276" w:lineRule="auto"/>
        <w:ind w:left="1701"/>
        <w:rPr>
          <w:rFonts w:ascii="Arial" w:hAnsi="Arial"/>
          <w:bCs/>
          <w:sz w:val="20"/>
          <w:szCs w:val="20"/>
        </w:rPr>
      </w:pPr>
      <w:r w:rsidRPr="003F6B75">
        <w:rPr>
          <w:rFonts w:ascii="Arial" w:hAnsi="Arial"/>
          <w:bCs/>
          <w:sz w:val="20"/>
          <w:szCs w:val="20"/>
        </w:rPr>
        <w:t xml:space="preserve">PO BOX 138 </w:t>
      </w:r>
    </w:p>
    <w:p w14:paraId="40FE2936" w14:textId="77777777" w:rsidR="003F6B75" w:rsidRPr="003F6B75" w:rsidRDefault="003F6B75" w:rsidP="00D856C1">
      <w:pPr>
        <w:pStyle w:val="List"/>
        <w:keepNext/>
        <w:numPr>
          <w:ilvl w:val="0"/>
          <w:numId w:val="0"/>
        </w:numPr>
        <w:spacing w:before="0" w:after="0" w:line="276" w:lineRule="auto"/>
        <w:ind w:left="1701"/>
        <w:rPr>
          <w:rFonts w:ascii="Arial" w:hAnsi="Arial"/>
          <w:bCs/>
          <w:sz w:val="20"/>
          <w:szCs w:val="20"/>
        </w:rPr>
      </w:pPr>
      <w:r w:rsidRPr="003F6B75">
        <w:rPr>
          <w:rFonts w:ascii="Arial" w:hAnsi="Arial"/>
          <w:bCs/>
          <w:sz w:val="20"/>
          <w:szCs w:val="20"/>
        </w:rPr>
        <w:t xml:space="preserve">Lancaster Road </w:t>
      </w:r>
    </w:p>
    <w:p w14:paraId="717FC479" w14:textId="77777777" w:rsidR="00621BD4" w:rsidRPr="003F6B75" w:rsidRDefault="003F6B75" w:rsidP="00D856C1">
      <w:pPr>
        <w:pStyle w:val="List"/>
        <w:keepNext/>
        <w:numPr>
          <w:ilvl w:val="0"/>
          <w:numId w:val="0"/>
        </w:numPr>
        <w:spacing w:before="0" w:after="0" w:line="276" w:lineRule="auto"/>
        <w:ind w:left="1701"/>
        <w:rPr>
          <w:rFonts w:ascii="Arial" w:hAnsi="Arial"/>
          <w:sz w:val="20"/>
          <w:szCs w:val="20"/>
        </w:rPr>
      </w:pPr>
      <w:r w:rsidRPr="003F6B75">
        <w:rPr>
          <w:rFonts w:ascii="Arial" w:hAnsi="Arial"/>
          <w:bCs/>
          <w:sz w:val="20"/>
          <w:szCs w:val="20"/>
        </w:rPr>
        <w:t>Leicester LE1 9HN</w:t>
      </w:r>
    </w:p>
    <w:p w14:paraId="4DA13737" w14:textId="77777777" w:rsidR="00137830" w:rsidRDefault="00137830" w:rsidP="00621BD4">
      <w:pPr>
        <w:pStyle w:val="Heading10"/>
        <w:rPr>
          <w:rFonts w:ascii="Arial" w:hAnsi="Arial" w:cs="Arial"/>
          <w:sz w:val="22"/>
          <w:szCs w:val="22"/>
          <w:lang w:val="en-GB"/>
        </w:rPr>
      </w:pPr>
    </w:p>
    <w:p w14:paraId="3CD00A21" w14:textId="77777777" w:rsidR="00621BD4" w:rsidRPr="004A05A3" w:rsidRDefault="00621BD4" w:rsidP="00621BD4">
      <w:pPr>
        <w:pStyle w:val="Heading10"/>
        <w:rPr>
          <w:rFonts w:ascii="Arial" w:hAnsi="Arial" w:cs="Arial"/>
          <w:sz w:val="22"/>
          <w:szCs w:val="22"/>
        </w:rPr>
      </w:pPr>
      <w:r>
        <w:rPr>
          <w:rFonts w:ascii="Arial" w:hAnsi="Arial" w:cs="Arial"/>
          <w:sz w:val="22"/>
          <w:szCs w:val="22"/>
          <w:lang w:val="en-GB"/>
        </w:rPr>
        <w:t>Blood</w:t>
      </w:r>
      <w:r w:rsidRPr="004A05A3">
        <w:rPr>
          <w:rFonts w:ascii="Arial" w:hAnsi="Arial" w:cs="Arial"/>
          <w:sz w:val="22"/>
          <w:szCs w:val="22"/>
        </w:rPr>
        <w:t xml:space="preserve"> Samples </w:t>
      </w:r>
    </w:p>
    <w:p w14:paraId="142162F7" w14:textId="77777777" w:rsidR="00715E92" w:rsidRPr="00156EB6" w:rsidRDefault="00DC2D6D" w:rsidP="00156EB6">
      <w:pPr>
        <w:tabs>
          <w:tab w:val="left" w:pos="9072"/>
        </w:tabs>
        <w:ind w:right="567"/>
        <w:jc w:val="both"/>
        <w:rPr>
          <w:rFonts w:ascii="Arial" w:hAnsi="Arial" w:cs="Arial"/>
          <w:sz w:val="22"/>
          <w:szCs w:val="22"/>
        </w:rPr>
      </w:pPr>
      <w:bookmarkStart w:id="1245" w:name="_Toc333484818"/>
      <w:bookmarkStart w:id="1246" w:name="_Toc333484933"/>
      <w:bookmarkStart w:id="1247" w:name="_Toc351624885"/>
      <w:r w:rsidRPr="00156EB6">
        <w:rPr>
          <w:rFonts w:ascii="Arial" w:hAnsi="Arial" w:cs="Arial"/>
          <w:sz w:val="22"/>
          <w:szCs w:val="22"/>
        </w:rPr>
        <w:t xml:space="preserve">Patients in the cisplatin </w:t>
      </w:r>
      <w:r w:rsidR="00E034F7" w:rsidRPr="00156EB6">
        <w:rPr>
          <w:rFonts w:ascii="Arial" w:hAnsi="Arial" w:cs="Arial"/>
          <w:sz w:val="22"/>
          <w:szCs w:val="22"/>
        </w:rPr>
        <w:t xml:space="preserve">and carboplatin </w:t>
      </w:r>
      <w:r w:rsidRPr="00156EB6">
        <w:rPr>
          <w:rFonts w:ascii="Arial" w:hAnsi="Arial" w:cs="Arial"/>
          <w:sz w:val="22"/>
          <w:szCs w:val="22"/>
        </w:rPr>
        <w:t>cohort used to confirm MTD and all patients i</w:t>
      </w:r>
      <w:r w:rsidR="00621BD4" w:rsidRPr="00156EB6">
        <w:rPr>
          <w:rFonts w:ascii="Arial" w:hAnsi="Arial" w:cs="Arial"/>
          <w:sz w:val="22"/>
          <w:szCs w:val="22"/>
        </w:rPr>
        <w:t xml:space="preserve">n the phase II trial, </w:t>
      </w:r>
      <w:r w:rsidR="00715E92" w:rsidRPr="00156EB6">
        <w:rPr>
          <w:rFonts w:ascii="Arial" w:hAnsi="Arial" w:cs="Arial"/>
          <w:sz w:val="22"/>
          <w:szCs w:val="22"/>
        </w:rPr>
        <w:t xml:space="preserve">must consent to </w:t>
      </w:r>
      <w:r w:rsidR="00471A15" w:rsidRPr="00156EB6">
        <w:rPr>
          <w:rFonts w:ascii="Arial" w:hAnsi="Arial" w:cs="Arial"/>
          <w:sz w:val="22"/>
          <w:szCs w:val="22"/>
        </w:rPr>
        <w:t>provide blood</w:t>
      </w:r>
      <w:r w:rsidR="00715E92" w:rsidRPr="00156EB6">
        <w:rPr>
          <w:rFonts w:ascii="Arial" w:hAnsi="Arial" w:cs="Arial"/>
          <w:sz w:val="22"/>
          <w:szCs w:val="22"/>
        </w:rPr>
        <w:t xml:space="preserve"> samples for the isolation of circulating free tumour DNA for future pharmacogenomics studies. A 15mL sample will be collected at baseline and at the time of progression.</w:t>
      </w:r>
      <w:bookmarkEnd w:id="1245"/>
      <w:bookmarkEnd w:id="1246"/>
      <w:bookmarkEnd w:id="1247"/>
      <w:r w:rsidR="00715E92" w:rsidRPr="00156EB6">
        <w:rPr>
          <w:rFonts w:ascii="Arial" w:hAnsi="Arial" w:cs="Arial"/>
          <w:sz w:val="22"/>
          <w:szCs w:val="22"/>
        </w:rPr>
        <w:t xml:space="preserve"> </w:t>
      </w:r>
    </w:p>
    <w:p w14:paraId="5FDE6270" w14:textId="77777777" w:rsidR="00156EB6" w:rsidRDefault="00156EB6" w:rsidP="00156EB6">
      <w:pPr>
        <w:tabs>
          <w:tab w:val="left" w:pos="9072"/>
        </w:tabs>
        <w:ind w:right="567"/>
        <w:jc w:val="both"/>
        <w:rPr>
          <w:rFonts w:ascii="Arial" w:hAnsi="Arial" w:cs="Arial"/>
          <w:sz w:val="22"/>
          <w:szCs w:val="22"/>
        </w:rPr>
      </w:pPr>
      <w:bookmarkStart w:id="1248" w:name="_Toc333484819"/>
      <w:bookmarkStart w:id="1249" w:name="_Toc333484934"/>
      <w:bookmarkStart w:id="1250" w:name="_Toc351624886"/>
    </w:p>
    <w:p w14:paraId="7173522E" w14:textId="77777777" w:rsidR="00471A15" w:rsidRPr="00156EB6" w:rsidRDefault="00471A15" w:rsidP="00156EB6">
      <w:pPr>
        <w:tabs>
          <w:tab w:val="left" w:pos="9072"/>
        </w:tabs>
        <w:ind w:right="567"/>
        <w:jc w:val="both"/>
        <w:rPr>
          <w:rFonts w:ascii="Arial" w:hAnsi="Arial" w:cs="Arial"/>
          <w:sz w:val="22"/>
          <w:szCs w:val="22"/>
        </w:rPr>
      </w:pPr>
      <w:r w:rsidRPr="00156EB6">
        <w:rPr>
          <w:rFonts w:ascii="Arial" w:hAnsi="Arial" w:cs="Arial"/>
          <w:sz w:val="22"/>
          <w:szCs w:val="22"/>
        </w:rPr>
        <w:t>Samples must be processed at each site to isolate plasma, the buffy coat and packed red blood cells. These are to be stored at -80OC. Samples will be shipped to the central lab at the end of the trial.</w:t>
      </w:r>
      <w:bookmarkEnd w:id="1248"/>
      <w:bookmarkEnd w:id="1249"/>
      <w:bookmarkEnd w:id="1250"/>
    </w:p>
    <w:p w14:paraId="70249356" w14:textId="77777777" w:rsidR="00156EB6" w:rsidRDefault="00156EB6" w:rsidP="00156EB6">
      <w:pPr>
        <w:tabs>
          <w:tab w:val="left" w:pos="9072"/>
        </w:tabs>
        <w:ind w:right="567"/>
        <w:jc w:val="both"/>
        <w:rPr>
          <w:rFonts w:ascii="Arial" w:hAnsi="Arial" w:cs="Arial"/>
          <w:sz w:val="22"/>
          <w:szCs w:val="22"/>
        </w:rPr>
      </w:pPr>
      <w:bookmarkStart w:id="1251" w:name="_Toc333484820"/>
      <w:bookmarkStart w:id="1252" w:name="_Toc333484935"/>
      <w:bookmarkStart w:id="1253" w:name="_Toc351624887"/>
    </w:p>
    <w:p w14:paraId="46354859" w14:textId="77777777" w:rsidR="00471A15" w:rsidRPr="00156EB6" w:rsidRDefault="00471A15" w:rsidP="00156EB6">
      <w:pPr>
        <w:tabs>
          <w:tab w:val="left" w:pos="9072"/>
        </w:tabs>
        <w:ind w:right="567"/>
        <w:jc w:val="both"/>
        <w:rPr>
          <w:rFonts w:ascii="Arial" w:hAnsi="Arial" w:cs="Arial"/>
          <w:sz w:val="22"/>
          <w:szCs w:val="22"/>
        </w:rPr>
      </w:pPr>
      <w:r w:rsidRPr="00156EB6">
        <w:rPr>
          <w:rFonts w:ascii="Arial" w:hAnsi="Arial" w:cs="Arial"/>
          <w:sz w:val="22"/>
          <w:szCs w:val="22"/>
        </w:rPr>
        <w:t>Please refer to the laboratory manual for further details.</w:t>
      </w:r>
      <w:bookmarkEnd w:id="1251"/>
      <w:bookmarkEnd w:id="1252"/>
      <w:bookmarkEnd w:id="1253"/>
    </w:p>
    <w:p w14:paraId="05254CC9" w14:textId="77777777" w:rsidR="00471A15" w:rsidRDefault="00471A15" w:rsidP="00471A15">
      <w:pPr>
        <w:autoSpaceDE w:val="0"/>
        <w:autoSpaceDN w:val="0"/>
        <w:adjustRightInd w:val="0"/>
        <w:rPr>
          <w:rFonts w:ascii="Times-Roman" w:hAnsi="Times-Roman" w:cs="Times-Roman"/>
          <w:lang w:eastAsia="en-GB"/>
        </w:rPr>
      </w:pPr>
    </w:p>
    <w:p w14:paraId="02FF7551" w14:textId="77777777" w:rsidR="00DA67E8" w:rsidRPr="009400C8" w:rsidRDefault="00EE303A" w:rsidP="009400C8">
      <w:pPr>
        <w:pStyle w:val="Heading1"/>
      </w:pPr>
      <w:bookmarkStart w:id="1254" w:name="_Toc283027434"/>
      <w:bookmarkStart w:id="1255" w:name="_Toc283027655"/>
      <w:bookmarkStart w:id="1256" w:name="_Toc283027836"/>
      <w:bookmarkStart w:id="1257" w:name="_Toc283028001"/>
      <w:bookmarkStart w:id="1258" w:name="_Toc283028294"/>
      <w:bookmarkStart w:id="1259" w:name="_Toc283028458"/>
      <w:bookmarkStart w:id="1260" w:name="_Toc283029520"/>
      <w:bookmarkStart w:id="1261" w:name="_Toc283029685"/>
      <w:bookmarkStart w:id="1262" w:name="_Toc283031893"/>
      <w:bookmarkStart w:id="1263" w:name="_Toc283376430"/>
      <w:bookmarkStart w:id="1264" w:name="_Toc283031894"/>
      <w:bookmarkStart w:id="1265" w:name="_Toc283376431"/>
      <w:bookmarkStart w:id="1266" w:name="_Toc333484821"/>
      <w:bookmarkStart w:id="1267" w:name="_Toc333484936"/>
      <w:bookmarkStart w:id="1268" w:name="_Toc351624888"/>
      <w:bookmarkEnd w:id="1254"/>
      <w:bookmarkEnd w:id="1255"/>
      <w:bookmarkEnd w:id="1256"/>
      <w:bookmarkEnd w:id="1257"/>
      <w:bookmarkEnd w:id="1258"/>
      <w:bookmarkEnd w:id="1259"/>
      <w:bookmarkEnd w:id="1260"/>
      <w:bookmarkEnd w:id="1261"/>
      <w:bookmarkEnd w:id="1262"/>
      <w:bookmarkEnd w:id="1263"/>
      <w:r w:rsidRPr="009400C8">
        <w:lastRenderedPageBreak/>
        <w:t xml:space="preserve"> </w:t>
      </w:r>
      <w:bookmarkStart w:id="1269" w:name="_Toc471826848"/>
      <w:bookmarkStart w:id="1270" w:name="_Toc528323615"/>
      <w:r w:rsidR="00DA67E8" w:rsidRPr="009400C8">
        <w:t>References</w:t>
      </w:r>
      <w:bookmarkEnd w:id="1264"/>
      <w:bookmarkEnd w:id="1265"/>
      <w:bookmarkEnd w:id="1266"/>
      <w:bookmarkEnd w:id="1267"/>
      <w:bookmarkEnd w:id="1268"/>
      <w:bookmarkEnd w:id="1269"/>
      <w:bookmarkEnd w:id="1270"/>
    </w:p>
    <w:p w14:paraId="1D44640B" w14:textId="77777777" w:rsidR="00DA67E8" w:rsidRPr="00F62DC2" w:rsidRDefault="00625F72" w:rsidP="00F62DC2">
      <w:pPr>
        <w:jc w:val="both"/>
        <w:rPr>
          <w:rFonts w:ascii="Arial" w:hAnsi="Arial" w:cs="Arial"/>
          <w:sz w:val="22"/>
          <w:szCs w:val="22"/>
        </w:rPr>
      </w:pPr>
      <w:hyperlink r:id="rId35" w:history="1">
        <w:r w:rsidR="00DA67E8" w:rsidRPr="001810D2">
          <w:rPr>
            <w:rFonts w:ascii="Arial" w:hAnsi="Arial" w:cs="Arial"/>
            <w:sz w:val="22"/>
            <w:szCs w:val="22"/>
            <w:lang w:val="it-IT"/>
          </w:rPr>
          <w:t>Altomare DA</w:t>
        </w:r>
      </w:hyperlink>
      <w:r w:rsidR="00DA67E8" w:rsidRPr="001810D2">
        <w:rPr>
          <w:rFonts w:ascii="Arial" w:hAnsi="Arial" w:cs="Arial"/>
          <w:sz w:val="22"/>
          <w:szCs w:val="22"/>
          <w:lang w:val="it-IT"/>
        </w:rPr>
        <w:t xml:space="preserve">, </w:t>
      </w:r>
      <w:hyperlink r:id="rId36" w:history="1">
        <w:r w:rsidR="00DA67E8" w:rsidRPr="001810D2">
          <w:rPr>
            <w:rFonts w:ascii="Arial" w:hAnsi="Arial" w:cs="Arial"/>
            <w:sz w:val="22"/>
            <w:szCs w:val="22"/>
            <w:lang w:val="it-IT"/>
          </w:rPr>
          <w:t>Vaslet CA</w:t>
        </w:r>
      </w:hyperlink>
      <w:r w:rsidR="00DA67E8" w:rsidRPr="001810D2">
        <w:rPr>
          <w:rFonts w:ascii="Arial" w:hAnsi="Arial" w:cs="Arial"/>
          <w:sz w:val="22"/>
          <w:szCs w:val="22"/>
          <w:lang w:val="it-IT"/>
        </w:rPr>
        <w:t xml:space="preserve">, </w:t>
      </w:r>
      <w:hyperlink r:id="rId37" w:history="1">
        <w:r w:rsidR="00DA67E8" w:rsidRPr="001810D2">
          <w:rPr>
            <w:rFonts w:ascii="Arial" w:hAnsi="Arial" w:cs="Arial"/>
            <w:sz w:val="22"/>
            <w:szCs w:val="22"/>
            <w:lang w:val="it-IT"/>
          </w:rPr>
          <w:t>Skele KL</w:t>
        </w:r>
      </w:hyperlink>
      <w:r w:rsidR="00DA67E8" w:rsidRPr="001810D2">
        <w:rPr>
          <w:rFonts w:ascii="Arial" w:hAnsi="Arial" w:cs="Arial"/>
          <w:sz w:val="22"/>
          <w:szCs w:val="22"/>
          <w:lang w:val="it-IT"/>
        </w:rPr>
        <w:t xml:space="preserve">, </w:t>
      </w:r>
      <w:hyperlink r:id="rId38" w:history="1">
        <w:r w:rsidR="00DA67E8" w:rsidRPr="001810D2">
          <w:rPr>
            <w:rFonts w:ascii="Arial" w:hAnsi="Arial" w:cs="Arial"/>
            <w:sz w:val="22"/>
            <w:szCs w:val="22"/>
            <w:lang w:val="it-IT"/>
          </w:rPr>
          <w:t>De Rienzo A</w:t>
        </w:r>
      </w:hyperlink>
      <w:r w:rsidR="00DA67E8" w:rsidRPr="001810D2">
        <w:rPr>
          <w:rFonts w:ascii="Arial" w:hAnsi="Arial" w:cs="Arial"/>
          <w:sz w:val="22"/>
          <w:szCs w:val="22"/>
          <w:lang w:val="it-IT"/>
        </w:rPr>
        <w:t xml:space="preserve">, </w:t>
      </w:r>
      <w:hyperlink r:id="rId39" w:history="1">
        <w:r w:rsidR="00DA67E8" w:rsidRPr="001810D2">
          <w:rPr>
            <w:rFonts w:ascii="Arial" w:hAnsi="Arial" w:cs="Arial"/>
            <w:sz w:val="22"/>
            <w:szCs w:val="22"/>
            <w:lang w:val="it-IT"/>
          </w:rPr>
          <w:t>Devarajan K</w:t>
        </w:r>
      </w:hyperlink>
      <w:r w:rsidR="00DA67E8" w:rsidRPr="001810D2">
        <w:rPr>
          <w:rFonts w:ascii="Arial" w:hAnsi="Arial" w:cs="Arial"/>
          <w:sz w:val="22"/>
          <w:szCs w:val="22"/>
          <w:lang w:val="it-IT"/>
        </w:rPr>
        <w:t xml:space="preserve">, </w:t>
      </w:r>
      <w:hyperlink r:id="rId40" w:history="1">
        <w:r w:rsidR="00DA67E8" w:rsidRPr="001810D2">
          <w:rPr>
            <w:rFonts w:ascii="Arial" w:hAnsi="Arial" w:cs="Arial"/>
            <w:sz w:val="22"/>
            <w:szCs w:val="22"/>
            <w:lang w:val="it-IT"/>
          </w:rPr>
          <w:t>Jhanwar SC</w:t>
        </w:r>
      </w:hyperlink>
      <w:r w:rsidR="00DA67E8" w:rsidRPr="001810D2">
        <w:rPr>
          <w:rFonts w:ascii="Arial" w:hAnsi="Arial" w:cs="Arial"/>
          <w:sz w:val="22"/>
          <w:szCs w:val="22"/>
          <w:lang w:val="it-IT"/>
        </w:rPr>
        <w:t xml:space="preserve">, </w:t>
      </w:r>
      <w:hyperlink r:id="rId41" w:history="1">
        <w:r w:rsidR="00DA67E8" w:rsidRPr="001810D2">
          <w:rPr>
            <w:rFonts w:ascii="Arial" w:hAnsi="Arial" w:cs="Arial"/>
            <w:sz w:val="22"/>
            <w:szCs w:val="22"/>
            <w:lang w:val="it-IT"/>
          </w:rPr>
          <w:t>McClatchey AI</w:t>
        </w:r>
      </w:hyperlink>
      <w:r w:rsidR="00DA67E8" w:rsidRPr="001810D2">
        <w:rPr>
          <w:rFonts w:ascii="Arial" w:hAnsi="Arial" w:cs="Arial"/>
          <w:sz w:val="22"/>
          <w:szCs w:val="22"/>
          <w:lang w:val="it-IT"/>
        </w:rPr>
        <w:t xml:space="preserve">, </w:t>
      </w:r>
      <w:hyperlink r:id="rId42" w:history="1">
        <w:r w:rsidR="00DA67E8" w:rsidRPr="001810D2">
          <w:rPr>
            <w:rFonts w:ascii="Arial" w:hAnsi="Arial" w:cs="Arial"/>
            <w:sz w:val="22"/>
            <w:szCs w:val="22"/>
            <w:lang w:val="it-IT"/>
          </w:rPr>
          <w:t>Kane AB</w:t>
        </w:r>
      </w:hyperlink>
      <w:r w:rsidR="00DA67E8" w:rsidRPr="001810D2">
        <w:rPr>
          <w:rFonts w:ascii="Arial" w:hAnsi="Arial" w:cs="Arial"/>
          <w:sz w:val="22"/>
          <w:szCs w:val="22"/>
          <w:lang w:val="it-IT"/>
        </w:rPr>
        <w:t xml:space="preserve">, </w:t>
      </w:r>
      <w:hyperlink r:id="rId43" w:history="1">
        <w:r w:rsidR="00DA67E8" w:rsidRPr="001810D2">
          <w:rPr>
            <w:rFonts w:ascii="Arial" w:hAnsi="Arial" w:cs="Arial"/>
            <w:sz w:val="22"/>
            <w:szCs w:val="22"/>
            <w:lang w:val="it-IT"/>
          </w:rPr>
          <w:t>Testa JR</w:t>
        </w:r>
      </w:hyperlink>
      <w:r w:rsidR="00DA67E8" w:rsidRPr="001810D2">
        <w:rPr>
          <w:rFonts w:ascii="Arial" w:hAnsi="Arial" w:cs="Arial"/>
          <w:sz w:val="22"/>
          <w:szCs w:val="22"/>
          <w:lang w:val="it-IT"/>
        </w:rPr>
        <w:t xml:space="preserve">. </w:t>
      </w:r>
      <w:r w:rsidR="00DA67E8" w:rsidRPr="00F62DC2">
        <w:rPr>
          <w:rFonts w:ascii="Arial" w:hAnsi="Arial" w:cs="Arial"/>
          <w:sz w:val="22"/>
          <w:szCs w:val="22"/>
        </w:rPr>
        <w:t>A mouse model recapitulating molecular features of human mesothelioma. Cancer Res 2005; 65(18):8090-5.</w:t>
      </w:r>
    </w:p>
    <w:p w14:paraId="63BEB5A4" w14:textId="77777777" w:rsidR="00DA67E8" w:rsidRPr="00F62DC2" w:rsidRDefault="00DA67E8" w:rsidP="00F62DC2">
      <w:pPr>
        <w:jc w:val="both"/>
        <w:rPr>
          <w:rFonts w:ascii="Arial" w:hAnsi="Arial" w:cs="Arial"/>
          <w:sz w:val="22"/>
          <w:szCs w:val="22"/>
        </w:rPr>
      </w:pPr>
    </w:p>
    <w:p w14:paraId="0DD62603" w14:textId="03FD6960" w:rsidR="00E2159E" w:rsidRPr="00E2159E" w:rsidRDefault="007F1498" w:rsidP="007F1498">
      <w:pPr>
        <w:rPr>
          <w:rFonts w:ascii="Arial" w:hAnsi="Arial" w:cs="Arial"/>
          <w:sz w:val="22"/>
          <w:szCs w:val="22"/>
          <w:lang w:val="it-IT"/>
        </w:rPr>
      </w:pPr>
      <w:r>
        <w:rPr>
          <w:rFonts w:ascii="Arial" w:hAnsi="Arial" w:cs="Arial"/>
          <w:sz w:val="22"/>
          <w:szCs w:val="22"/>
          <w:lang w:val="it-IT"/>
        </w:rPr>
        <w:t xml:space="preserve">Armato SG, Nowak AK. J. </w:t>
      </w:r>
      <w:r w:rsidR="00E2159E" w:rsidRPr="00E2159E">
        <w:rPr>
          <w:rFonts w:ascii="Arial" w:hAnsi="Arial" w:cs="Arial"/>
          <w:sz w:val="22"/>
          <w:szCs w:val="22"/>
          <w:lang w:val="it-IT"/>
        </w:rPr>
        <w:t>Revised Modified Response Evaluation Criteria in Solid Tumors for Assessment of Response in Malignant Pleural Mesothelioma (Version 1.1).</w:t>
      </w:r>
      <w:r>
        <w:rPr>
          <w:rFonts w:ascii="Arial" w:hAnsi="Arial" w:cs="Arial"/>
          <w:sz w:val="22"/>
          <w:szCs w:val="22"/>
          <w:lang w:val="it-IT"/>
        </w:rPr>
        <w:t xml:space="preserve"> </w:t>
      </w:r>
      <w:r w:rsidRPr="00E2159E">
        <w:rPr>
          <w:rFonts w:ascii="Arial" w:hAnsi="Arial" w:cs="Arial"/>
          <w:sz w:val="22"/>
          <w:szCs w:val="22"/>
          <w:lang w:val="it-IT"/>
        </w:rPr>
        <w:t>Thorac Oncol. 2018 Jul;13(7):1012-1021.</w:t>
      </w:r>
    </w:p>
    <w:p w14:paraId="085B00B6" w14:textId="77777777" w:rsidR="00E2159E" w:rsidRDefault="00E2159E" w:rsidP="00F62DC2">
      <w:pPr>
        <w:jc w:val="both"/>
      </w:pPr>
    </w:p>
    <w:p w14:paraId="264B358A" w14:textId="5138BA97" w:rsidR="00DA67E8" w:rsidRPr="00F62DC2" w:rsidRDefault="00625F72" w:rsidP="00F62DC2">
      <w:pPr>
        <w:jc w:val="both"/>
        <w:rPr>
          <w:rFonts w:ascii="Arial" w:hAnsi="Arial" w:cs="Arial"/>
          <w:sz w:val="22"/>
          <w:szCs w:val="22"/>
        </w:rPr>
      </w:pPr>
      <w:hyperlink r:id="rId44" w:history="1">
        <w:r w:rsidR="00DA67E8" w:rsidRPr="00F62DC2">
          <w:rPr>
            <w:rFonts w:ascii="Arial" w:hAnsi="Arial" w:cs="Arial"/>
            <w:sz w:val="22"/>
            <w:szCs w:val="22"/>
          </w:rPr>
          <w:t>Bansal H</w:t>
        </w:r>
      </w:hyperlink>
      <w:r w:rsidR="00DA67E8" w:rsidRPr="00F62DC2">
        <w:rPr>
          <w:rFonts w:ascii="Arial" w:hAnsi="Arial" w:cs="Arial"/>
          <w:sz w:val="22"/>
          <w:szCs w:val="22"/>
        </w:rPr>
        <w:t xml:space="preserve">, </w:t>
      </w:r>
      <w:hyperlink r:id="rId45" w:history="1">
        <w:r w:rsidR="00DA67E8" w:rsidRPr="00F62DC2">
          <w:rPr>
            <w:rFonts w:ascii="Arial" w:hAnsi="Arial" w:cs="Arial"/>
            <w:sz w:val="22"/>
            <w:szCs w:val="22"/>
          </w:rPr>
          <w:t>Bansal S</w:t>
        </w:r>
      </w:hyperlink>
      <w:r w:rsidR="00DA67E8" w:rsidRPr="00F62DC2">
        <w:rPr>
          <w:rFonts w:ascii="Arial" w:hAnsi="Arial" w:cs="Arial"/>
          <w:sz w:val="22"/>
          <w:szCs w:val="22"/>
        </w:rPr>
        <w:t xml:space="preserve">, </w:t>
      </w:r>
      <w:hyperlink r:id="rId46" w:history="1">
        <w:r w:rsidR="00DA67E8" w:rsidRPr="00F62DC2">
          <w:rPr>
            <w:rFonts w:ascii="Arial" w:hAnsi="Arial" w:cs="Arial"/>
            <w:sz w:val="22"/>
            <w:szCs w:val="22"/>
          </w:rPr>
          <w:t>Rao M</w:t>
        </w:r>
      </w:hyperlink>
      <w:r w:rsidR="00DA67E8" w:rsidRPr="00F62DC2">
        <w:rPr>
          <w:rFonts w:ascii="Arial" w:hAnsi="Arial" w:cs="Arial"/>
          <w:sz w:val="22"/>
          <w:szCs w:val="22"/>
        </w:rPr>
        <w:t xml:space="preserve">, </w:t>
      </w:r>
      <w:hyperlink r:id="rId47" w:history="1">
        <w:r w:rsidR="00DA67E8" w:rsidRPr="00F62DC2">
          <w:rPr>
            <w:rFonts w:ascii="Arial" w:hAnsi="Arial" w:cs="Arial"/>
            <w:sz w:val="22"/>
            <w:szCs w:val="22"/>
          </w:rPr>
          <w:t>Foley KP</w:t>
        </w:r>
      </w:hyperlink>
      <w:r w:rsidR="00DA67E8" w:rsidRPr="00F62DC2">
        <w:rPr>
          <w:rFonts w:ascii="Arial" w:hAnsi="Arial" w:cs="Arial"/>
          <w:sz w:val="22"/>
          <w:szCs w:val="22"/>
        </w:rPr>
        <w:t xml:space="preserve">, </w:t>
      </w:r>
      <w:hyperlink r:id="rId48" w:history="1">
        <w:r w:rsidR="00DA67E8" w:rsidRPr="00F62DC2">
          <w:rPr>
            <w:rFonts w:ascii="Arial" w:hAnsi="Arial" w:cs="Arial"/>
            <w:sz w:val="22"/>
            <w:szCs w:val="22"/>
          </w:rPr>
          <w:t>Sang J</w:t>
        </w:r>
      </w:hyperlink>
      <w:r w:rsidR="00DA67E8" w:rsidRPr="00F62DC2">
        <w:rPr>
          <w:rFonts w:ascii="Arial" w:hAnsi="Arial" w:cs="Arial"/>
          <w:sz w:val="22"/>
          <w:szCs w:val="22"/>
        </w:rPr>
        <w:t xml:space="preserve">, </w:t>
      </w:r>
      <w:hyperlink r:id="rId49" w:history="1">
        <w:proofErr w:type="spellStart"/>
        <w:r w:rsidR="00DA67E8" w:rsidRPr="00F62DC2">
          <w:rPr>
            <w:rFonts w:ascii="Arial" w:hAnsi="Arial" w:cs="Arial"/>
            <w:sz w:val="22"/>
            <w:szCs w:val="22"/>
          </w:rPr>
          <w:t>Proia</w:t>
        </w:r>
        <w:proofErr w:type="spellEnd"/>
        <w:r w:rsidR="00DA67E8" w:rsidRPr="00F62DC2">
          <w:rPr>
            <w:rFonts w:ascii="Arial" w:hAnsi="Arial" w:cs="Arial"/>
            <w:sz w:val="22"/>
            <w:szCs w:val="22"/>
          </w:rPr>
          <w:t xml:space="preserve"> DA</w:t>
        </w:r>
      </w:hyperlink>
      <w:r w:rsidR="00DA67E8" w:rsidRPr="00F62DC2">
        <w:rPr>
          <w:rFonts w:ascii="Arial" w:hAnsi="Arial" w:cs="Arial"/>
          <w:sz w:val="22"/>
          <w:szCs w:val="22"/>
        </w:rPr>
        <w:t xml:space="preserve">, </w:t>
      </w:r>
      <w:hyperlink r:id="rId50" w:history="1">
        <w:r w:rsidR="00DA67E8" w:rsidRPr="00F62DC2">
          <w:rPr>
            <w:rFonts w:ascii="Arial" w:hAnsi="Arial" w:cs="Arial"/>
            <w:sz w:val="22"/>
            <w:szCs w:val="22"/>
          </w:rPr>
          <w:t>Blackman RK</w:t>
        </w:r>
      </w:hyperlink>
      <w:r w:rsidR="00DA67E8" w:rsidRPr="00F62DC2">
        <w:rPr>
          <w:rFonts w:ascii="Arial" w:hAnsi="Arial" w:cs="Arial"/>
          <w:sz w:val="22"/>
          <w:szCs w:val="22"/>
        </w:rPr>
        <w:t xml:space="preserve">, </w:t>
      </w:r>
      <w:hyperlink r:id="rId51" w:history="1">
        <w:r w:rsidR="00DA67E8" w:rsidRPr="00F62DC2">
          <w:rPr>
            <w:rFonts w:ascii="Arial" w:hAnsi="Arial" w:cs="Arial"/>
            <w:sz w:val="22"/>
            <w:szCs w:val="22"/>
          </w:rPr>
          <w:t>Ying W</w:t>
        </w:r>
      </w:hyperlink>
      <w:r w:rsidR="00DA67E8" w:rsidRPr="00F62DC2">
        <w:rPr>
          <w:rFonts w:ascii="Arial" w:hAnsi="Arial" w:cs="Arial"/>
          <w:sz w:val="22"/>
          <w:szCs w:val="22"/>
        </w:rPr>
        <w:t xml:space="preserve">, </w:t>
      </w:r>
      <w:hyperlink r:id="rId52" w:history="1">
        <w:proofErr w:type="spellStart"/>
        <w:r w:rsidR="00DA67E8" w:rsidRPr="00F62DC2">
          <w:rPr>
            <w:rFonts w:ascii="Arial" w:hAnsi="Arial" w:cs="Arial"/>
            <w:sz w:val="22"/>
            <w:szCs w:val="22"/>
          </w:rPr>
          <w:t>Barsoum</w:t>
        </w:r>
        <w:proofErr w:type="spellEnd"/>
        <w:r w:rsidR="00DA67E8" w:rsidRPr="00F62DC2">
          <w:rPr>
            <w:rFonts w:ascii="Arial" w:hAnsi="Arial" w:cs="Arial"/>
            <w:sz w:val="22"/>
            <w:szCs w:val="22"/>
          </w:rPr>
          <w:t xml:space="preserve"> J</w:t>
        </w:r>
      </w:hyperlink>
      <w:r w:rsidR="00DA67E8" w:rsidRPr="00F62DC2">
        <w:rPr>
          <w:rFonts w:ascii="Arial" w:hAnsi="Arial" w:cs="Arial"/>
          <w:sz w:val="22"/>
          <w:szCs w:val="22"/>
        </w:rPr>
        <w:t xml:space="preserve">, </w:t>
      </w:r>
      <w:hyperlink r:id="rId53" w:history="1">
        <w:r w:rsidR="00DA67E8" w:rsidRPr="00F62DC2">
          <w:rPr>
            <w:rFonts w:ascii="Arial" w:hAnsi="Arial" w:cs="Arial"/>
            <w:sz w:val="22"/>
            <w:szCs w:val="22"/>
          </w:rPr>
          <w:t>Baer MR</w:t>
        </w:r>
      </w:hyperlink>
      <w:r w:rsidR="00DA67E8" w:rsidRPr="00F62DC2">
        <w:rPr>
          <w:rFonts w:ascii="Arial" w:hAnsi="Arial" w:cs="Arial"/>
          <w:sz w:val="22"/>
          <w:szCs w:val="22"/>
        </w:rPr>
        <w:t xml:space="preserve">, </w:t>
      </w:r>
      <w:hyperlink r:id="rId54" w:history="1">
        <w:r w:rsidR="00DA67E8" w:rsidRPr="00F62DC2">
          <w:rPr>
            <w:rFonts w:ascii="Arial" w:hAnsi="Arial" w:cs="Arial"/>
            <w:sz w:val="22"/>
            <w:szCs w:val="22"/>
          </w:rPr>
          <w:t>Kelly K</w:t>
        </w:r>
      </w:hyperlink>
      <w:r w:rsidR="00DA67E8" w:rsidRPr="00F62DC2">
        <w:rPr>
          <w:rFonts w:ascii="Arial" w:hAnsi="Arial" w:cs="Arial"/>
          <w:sz w:val="22"/>
          <w:szCs w:val="22"/>
        </w:rPr>
        <w:t xml:space="preserve">, </w:t>
      </w:r>
      <w:hyperlink r:id="rId55" w:history="1">
        <w:r w:rsidR="00DA67E8" w:rsidRPr="00F62DC2">
          <w:rPr>
            <w:rFonts w:ascii="Arial" w:hAnsi="Arial" w:cs="Arial"/>
            <w:sz w:val="22"/>
            <w:szCs w:val="22"/>
          </w:rPr>
          <w:t>Swords R</w:t>
        </w:r>
      </w:hyperlink>
      <w:r w:rsidR="00DA67E8" w:rsidRPr="00F62DC2">
        <w:rPr>
          <w:rFonts w:ascii="Arial" w:hAnsi="Arial" w:cs="Arial"/>
          <w:sz w:val="22"/>
          <w:szCs w:val="22"/>
        </w:rPr>
        <w:t xml:space="preserve">, </w:t>
      </w:r>
      <w:hyperlink r:id="rId56" w:history="1">
        <w:r w:rsidR="00DA67E8" w:rsidRPr="00F62DC2">
          <w:rPr>
            <w:rFonts w:ascii="Arial" w:hAnsi="Arial" w:cs="Arial"/>
            <w:sz w:val="22"/>
            <w:szCs w:val="22"/>
          </w:rPr>
          <w:t>Tomlinson GE</w:t>
        </w:r>
      </w:hyperlink>
      <w:r w:rsidR="00DA67E8" w:rsidRPr="00F62DC2">
        <w:rPr>
          <w:rFonts w:ascii="Arial" w:hAnsi="Arial" w:cs="Arial"/>
          <w:sz w:val="22"/>
          <w:szCs w:val="22"/>
        </w:rPr>
        <w:t xml:space="preserve">, </w:t>
      </w:r>
      <w:hyperlink r:id="rId57" w:history="1">
        <w:proofErr w:type="spellStart"/>
        <w:r w:rsidR="00DA67E8" w:rsidRPr="00F62DC2">
          <w:rPr>
            <w:rFonts w:ascii="Arial" w:hAnsi="Arial" w:cs="Arial"/>
            <w:sz w:val="22"/>
            <w:szCs w:val="22"/>
          </w:rPr>
          <w:t>Battiwalla</w:t>
        </w:r>
        <w:proofErr w:type="spellEnd"/>
        <w:r w:rsidR="00DA67E8" w:rsidRPr="00F62DC2">
          <w:rPr>
            <w:rFonts w:ascii="Arial" w:hAnsi="Arial" w:cs="Arial"/>
            <w:sz w:val="22"/>
            <w:szCs w:val="22"/>
          </w:rPr>
          <w:t xml:space="preserve"> M</w:t>
        </w:r>
      </w:hyperlink>
      <w:r w:rsidR="00DA67E8" w:rsidRPr="00F62DC2">
        <w:rPr>
          <w:rFonts w:ascii="Arial" w:hAnsi="Arial" w:cs="Arial"/>
          <w:sz w:val="22"/>
          <w:szCs w:val="22"/>
        </w:rPr>
        <w:t xml:space="preserve">, </w:t>
      </w:r>
      <w:hyperlink r:id="rId58" w:history="1">
        <w:r w:rsidR="00DA67E8" w:rsidRPr="00F62DC2">
          <w:rPr>
            <w:rFonts w:ascii="Arial" w:hAnsi="Arial" w:cs="Arial"/>
            <w:sz w:val="22"/>
            <w:szCs w:val="22"/>
          </w:rPr>
          <w:t>Giles FJ</w:t>
        </w:r>
      </w:hyperlink>
      <w:r w:rsidR="00DA67E8" w:rsidRPr="00F62DC2">
        <w:rPr>
          <w:rFonts w:ascii="Arial" w:hAnsi="Arial" w:cs="Arial"/>
          <w:sz w:val="22"/>
          <w:szCs w:val="22"/>
        </w:rPr>
        <w:t xml:space="preserve">, </w:t>
      </w:r>
      <w:hyperlink r:id="rId59" w:history="1">
        <w:r w:rsidR="00DA67E8" w:rsidRPr="00F62DC2">
          <w:rPr>
            <w:rFonts w:ascii="Arial" w:hAnsi="Arial" w:cs="Arial"/>
            <w:sz w:val="22"/>
            <w:szCs w:val="22"/>
          </w:rPr>
          <w:t>Lee KP</w:t>
        </w:r>
      </w:hyperlink>
      <w:r w:rsidR="00DA67E8" w:rsidRPr="00F62DC2">
        <w:rPr>
          <w:rFonts w:ascii="Arial" w:hAnsi="Arial" w:cs="Arial"/>
          <w:sz w:val="22"/>
          <w:szCs w:val="22"/>
        </w:rPr>
        <w:t xml:space="preserve">, </w:t>
      </w:r>
      <w:hyperlink r:id="rId60" w:history="1">
        <w:r w:rsidR="00DA67E8" w:rsidRPr="00F62DC2">
          <w:rPr>
            <w:rFonts w:ascii="Arial" w:hAnsi="Arial" w:cs="Arial"/>
            <w:sz w:val="22"/>
            <w:szCs w:val="22"/>
          </w:rPr>
          <w:t>Padmanabhan S</w:t>
        </w:r>
      </w:hyperlink>
      <w:r w:rsidR="00DA67E8" w:rsidRPr="00F62DC2">
        <w:rPr>
          <w:rFonts w:ascii="Arial" w:hAnsi="Arial" w:cs="Arial"/>
          <w:sz w:val="22"/>
          <w:szCs w:val="22"/>
        </w:rPr>
        <w:t xml:space="preserve">. Heat shock protein 90 regulates the expression of Wilms </w:t>
      </w:r>
      <w:r w:rsidR="003220D2" w:rsidRPr="00F62DC2">
        <w:rPr>
          <w:rFonts w:ascii="Arial" w:hAnsi="Arial" w:cs="Arial"/>
          <w:sz w:val="22"/>
          <w:szCs w:val="22"/>
        </w:rPr>
        <w:t>tumour</w:t>
      </w:r>
      <w:r w:rsidR="00DA67E8" w:rsidRPr="00F62DC2">
        <w:rPr>
          <w:rFonts w:ascii="Arial" w:hAnsi="Arial" w:cs="Arial"/>
          <w:sz w:val="22"/>
          <w:szCs w:val="22"/>
        </w:rPr>
        <w:t xml:space="preserve"> 1 protein in myeloid </w:t>
      </w:r>
      <w:proofErr w:type="spellStart"/>
      <w:r w:rsidR="00DA67E8" w:rsidRPr="00F62DC2">
        <w:rPr>
          <w:rFonts w:ascii="Arial" w:hAnsi="Arial" w:cs="Arial"/>
          <w:sz w:val="22"/>
          <w:szCs w:val="22"/>
        </w:rPr>
        <w:t>leukemias</w:t>
      </w:r>
      <w:proofErr w:type="spellEnd"/>
      <w:r w:rsidR="00DA67E8" w:rsidRPr="00F62DC2">
        <w:rPr>
          <w:rFonts w:ascii="Arial" w:hAnsi="Arial" w:cs="Arial"/>
          <w:sz w:val="22"/>
          <w:szCs w:val="22"/>
        </w:rPr>
        <w:t>. Blood 2010; 116(22):4591-9.</w:t>
      </w:r>
    </w:p>
    <w:p w14:paraId="2E51A442" w14:textId="77777777" w:rsidR="00DA67E8" w:rsidRPr="00F62DC2" w:rsidRDefault="00DA67E8" w:rsidP="00F62DC2">
      <w:pPr>
        <w:jc w:val="both"/>
        <w:rPr>
          <w:rFonts w:ascii="Arial" w:hAnsi="Arial" w:cs="Arial"/>
          <w:sz w:val="22"/>
          <w:szCs w:val="22"/>
        </w:rPr>
      </w:pPr>
    </w:p>
    <w:p w14:paraId="0D174981" w14:textId="77777777" w:rsidR="006D68DB" w:rsidRPr="00F62DC2" w:rsidRDefault="00625F72" w:rsidP="00F62DC2">
      <w:pPr>
        <w:jc w:val="both"/>
        <w:rPr>
          <w:rFonts w:ascii="Arial" w:hAnsi="Arial" w:cs="Arial"/>
          <w:sz w:val="22"/>
          <w:szCs w:val="22"/>
        </w:rPr>
      </w:pPr>
      <w:hyperlink r:id="rId61" w:history="1">
        <w:r w:rsidR="00DA67E8" w:rsidRPr="00F62DC2">
          <w:rPr>
            <w:rFonts w:ascii="Arial" w:hAnsi="Arial" w:cs="Arial"/>
            <w:sz w:val="22"/>
            <w:szCs w:val="22"/>
          </w:rPr>
          <w:t>Benson AB 3rd</w:t>
        </w:r>
      </w:hyperlink>
      <w:r w:rsidR="00DA67E8" w:rsidRPr="00F62DC2">
        <w:rPr>
          <w:rFonts w:ascii="Arial" w:hAnsi="Arial" w:cs="Arial"/>
          <w:sz w:val="22"/>
          <w:szCs w:val="22"/>
        </w:rPr>
        <w:t xml:space="preserve">, </w:t>
      </w:r>
      <w:hyperlink r:id="rId62" w:history="1">
        <w:r w:rsidR="00DA67E8" w:rsidRPr="00F62DC2">
          <w:rPr>
            <w:rFonts w:ascii="Arial" w:hAnsi="Arial" w:cs="Arial"/>
            <w:sz w:val="22"/>
            <w:szCs w:val="22"/>
          </w:rPr>
          <w:t>Ajani JA</w:t>
        </w:r>
      </w:hyperlink>
      <w:r w:rsidR="00DA67E8" w:rsidRPr="00F62DC2">
        <w:rPr>
          <w:rFonts w:ascii="Arial" w:hAnsi="Arial" w:cs="Arial"/>
          <w:sz w:val="22"/>
          <w:szCs w:val="22"/>
        </w:rPr>
        <w:t xml:space="preserve">, </w:t>
      </w:r>
      <w:hyperlink r:id="rId63" w:history="1">
        <w:r w:rsidR="00DA67E8" w:rsidRPr="00F62DC2">
          <w:rPr>
            <w:rFonts w:ascii="Arial" w:hAnsi="Arial" w:cs="Arial"/>
            <w:sz w:val="22"/>
            <w:szCs w:val="22"/>
          </w:rPr>
          <w:t>Catalano RB</w:t>
        </w:r>
      </w:hyperlink>
      <w:r w:rsidR="00DA67E8" w:rsidRPr="00F62DC2">
        <w:rPr>
          <w:rFonts w:ascii="Arial" w:hAnsi="Arial" w:cs="Arial"/>
          <w:sz w:val="22"/>
          <w:szCs w:val="22"/>
        </w:rPr>
        <w:t xml:space="preserve">, </w:t>
      </w:r>
      <w:hyperlink r:id="rId64" w:history="1">
        <w:proofErr w:type="spellStart"/>
        <w:r w:rsidR="00DA67E8" w:rsidRPr="00F62DC2">
          <w:rPr>
            <w:rFonts w:ascii="Arial" w:hAnsi="Arial" w:cs="Arial"/>
            <w:sz w:val="22"/>
            <w:szCs w:val="22"/>
          </w:rPr>
          <w:t>Engelking</w:t>
        </w:r>
        <w:proofErr w:type="spellEnd"/>
        <w:r w:rsidR="00DA67E8" w:rsidRPr="00F62DC2">
          <w:rPr>
            <w:rFonts w:ascii="Arial" w:hAnsi="Arial" w:cs="Arial"/>
            <w:sz w:val="22"/>
            <w:szCs w:val="22"/>
          </w:rPr>
          <w:t xml:space="preserve"> C</w:t>
        </w:r>
      </w:hyperlink>
      <w:r w:rsidR="00DA67E8" w:rsidRPr="00F62DC2">
        <w:rPr>
          <w:rFonts w:ascii="Arial" w:hAnsi="Arial" w:cs="Arial"/>
          <w:sz w:val="22"/>
          <w:szCs w:val="22"/>
        </w:rPr>
        <w:t xml:space="preserve">, </w:t>
      </w:r>
      <w:hyperlink r:id="rId65" w:history="1">
        <w:proofErr w:type="spellStart"/>
        <w:r w:rsidR="00DA67E8" w:rsidRPr="00F62DC2">
          <w:rPr>
            <w:rFonts w:ascii="Arial" w:hAnsi="Arial" w:cs="Arial"/>
            <w:sz w:val="22"/>
            <w:szCs w:val="22"/>
          </w:rPr>
          <w:t>Kornblau</w:t>
        </w:r>
        <w:proofErr w:type="spellEnd"/>
        <w:r w:rsidR="00DA67E8" w:rsidRPr="00F62DC2">
          <w:rPr>
            <w:rFonts w:ascii="Arial" w:hAnsi="Arial" w:cs="Arial"/>
            <w:sz w:val="22"/>
            <w:szCs w:val="22"/>
          </w:rPr>
          <w:t xml:space="preserve"> SM</w:t>
        </w:r>
      </w:hyperlink>
      <w:r w:rsidR="00DA67E8" w:rsidRPr="00F62DC2">
        <w:rPr>
          <w:rFonts w:ascii="Arial" w:hAnsi="Arial" w:cs="Arial"/>
          <w:sz w:val="22"/>
          <w:szCs w:val="22"/>
        </w:rPr>
        <w:t xml:space="preserve">, </w:t>
      </w:r>
      <w:hyperlink r:id="rId66" w:history="1">
        <w:proofErr w:type="spellStart"/>
        <w:r w:rsidR="00DA67E8" w:rsidRPr="00F62DC2">
          <w:rPr>
            <w:rFonts w:ascii="Arial" w:hAnsi="Arial" w:cs="Arial"/>
            <w:sz w:val="22"/>
            <w:szCs w:val="22"/>
          </w:rPr>
          <w:t>Martenson</w:t>
        </w:r>
        <w:proofErr w:type="spellEnd"/>
        <w:r w:rsidR="00DA67E8" w:rsidRPr="00F62DC2">
          <w:rPr>
            <w:rFonts w:ascii="Arial" w:hAnsi="Arial" w:cs="Arial"/>
            <w:sz w:val="22"/>
            <w:szCs w:val="22"/>
          </w:rPr>
          <w:t xml:space="preserve"> JA Jr</w:t>
        </w:r>
      </w:hyperlink>
      <w:r w:rsidR="00DA67E8" w:rsidRPr="00F62DC2">
        <w:rPr>
          <w:rFonts w:ascii="Arial" w:hAnsi="Arial" w:cs="Arial"/>
          <w:sz w:val="22"/>
          <w:szCs w:val="22"/>
        </w:rPr>
        <w:t xml:space="preserve">, </w:t>
      </w:r>
      <w:hyperlink r:id="rId67" w:history="1">
        <w:r w:rsidR="00DA67E8" w:rsidRPr="00F62DC2">
          <w:rPr>
            <w:rFonts w:ascii="Arial" w:hAnsi="Arial" w:cs="Arial"/>
            <w:sz w:val="22"/>
            <w:szCs w:val="22"/>
          </w:rPr>
          <w:t>McCallum R</w:t>
        </w:r>
      </w:hyperlink>
      <w:r w:rsidR="00DA67E8" w:rsidRPr="00F62DC2">
        <w:rPr>
          <w:rFonts w:ascii="Arial" w:hAnsi="Arial" w:cs="Arial"/>
          <w:sz w:val="22"/>
          <w:szCs w:val="22"/>
        </w:rPr>
        <w:t xml:space="preserve">, </w:t>
      </w:r>
      <w:hyperlink r:id="rId68" w:history="1">
        <w:r w:rsidR="00DA67E8" w:rsidRPr="00F62DC2">
          <w:rPr>
            <w:rFonts w:ascii="Arial" w:hAnsi="Arial" w:cs="Arial"/>
            <w:sz w:val="22"/>
            <w:szCs w:val="22"/>
          </w:rPr>
          <w:t>Mitchell EP</w:t>
        </w:r>
      </w:hyperlink>
      <w:r w:rsidR="00DA67E8" w:rsidRPr="00F62DC2">
        <w:rPr>
          <w:rFonts w:ascii="Arial" w:hAnsi="Arial" w:cs="Arial"/>
          <w:sz w:val="22"/>
          <w:szCs w:val="22"/>
        </w:rPr>
        <w:t xml:space="preserve">, </w:t>
      </w:r>
      <w:hyperlink r:id="rId69" w:history="1">
        <w:proofErr w:type="spellStart"/>
        <w:r w:rsidR="00DA67E8" w:rsidRPr="00F62DC2">
          <w:rPr>
            <w:rFonts w:ascii="Arial" w:hAnsi="Arial" w:cs="Arial"/>
            <w:sz w:val="22"/>
            <w:szCs w:val="22"/>
          </w:rPr>
          <w:t>O'Dorisio</w:t>
        </w:r>
        <w:proofErr w:type="spellEnd"/>
        <w:r w:rsidR="00DA67E8" w:rsidRPr="00F62DC2">
          <w:rPr>
            <w:rFonts w:ascii="Arial" w:hAnsi="Arial" w:cs="Arial"/>
            <w:sz w:val="22"/>
            <w:szCs w:val="22"/>
          </w:rPr>
          <w:t xml:space="preserve"> TM</w:t>
        </w:r>
      </w:hyperlink>
      <w:r w:rsidR="00DA67E8" w:rsidRPr="00F62DC2">
        <w:rPr>
          <w:rFonts w:ascii="Arial" w:hAnsi="Arial" w:cs="Arial"/>
          <w:sz w:val="22"/>
          <w:szCs w:val="22"/>
        </w:rPr>
        <w:t xml:space="preserve">, </w:t>
      </w:r>
      <w:hyperlink r:id="rId70" w:history="1">
        <w:proofErr w:type="spellStart"/>
        <w:r w:rsidR="00DA67E8" w:rsidRPr="00F62DC2">
          <w:rPr>
            <w:rFonts w:ascii="Arial" w:hAnsi="Arial" w:cs="Arial"/>
            <w:sz w:val="22"/>
            <w:szCs w:val="22"/>
          </w:rPr>
          <w:t>Vokes</w:t>
        </w:r>
        <w:proofErr w:type="spellEnd"/>
        <w:r w:rsidR="00DA67E8" w:rsidRPr="00F62DC2">
          <w:rPr>
            <w:rFonts w:ascii="Arial" w:hAnsi="Arial" w:cs="Arial"/>
            <w:sz w:val="22"/>
            <w:szCs w:val="22"/>
          </w:rPr>
          <w:t xml:space="preserve"> EE</w:t>
        </w:r>
      </w:hyperlink>
      <w:r w:rsidR="00DA67E8" w:rsidRPr="00F62DC2">
        <w:rPr>
          <w:rFonts w:ascii="Arial" w:hAnsi="Arial" w:cs="Arial"/>
          <w:sz w:val="22"/>
          <w:szCs w:val="22"/>
        </w:rPr>
        <w:t xml:space="preserve">, </w:t>
      </w:r>
      <w:hyperlink r:id="rId71" w:history="1">
        <w:proofErr w:type="spellStart"/>
        <w:r w:rsidR="00DA67E8" w:rsidRPr="00F62DC2">
          <w:rPr>
            <w:rFonts w:ascii="Arial" w:hAnsi="Arial" w:cs="Arial"/>
            <w:sz w:val="22"/>
            <w:szCs w:val="22"/>
          </w:rPr>
          <w:t>Wadler</w:t>
        </w:r>
        <w:proofErr w:type="spellEnd"/>
        <w:r w:rsidR="00DA67E8" w:rsidRPr="00F62DC2">
          <w:rPr>
            <w:rFonts w:ascii="Arial" w:hAnsi="Arial" w:cs="Arial"/>
            <w:sz w:val="22"/>
            <w:szCs w:val="22"/>
          </w:rPr>
          <w:t xml:space="preserve"> S</w:t>
        </w:r>
      </w:hyperlink>
      <w:r w:rsidR="00DA67E8" w:rsidRPr="00F62DC2">
        <w:rPr>
          <w:rFonts w:ascii="Arial" w:hAnsi="Arial" w:cs="Arial"/>
          <w:sz w:val="22"/>
          <w:szCs w:val="22"/>
        </w:rPr>
        <w:t>.</w:t>
      </w:r>
      <w:r w:rsidR="008533D3">
        <w:rPr>
          <w:rFonts w:ascii="Arial" w:hAnsi="Arial" w:cs="Arial"/>
          <w:sz w:val="22"/>
          <w:szCs w:val="22"/>
        </w:rPr>
        <w:t xml:space="preserve"> </w:t>
      </w:r>
      <w:r w:rsidR="00DA67E8" w:rsidRPr="00F62DC2">
        <w:rPr>
          <w:rFonts w:ascii="Arial" w:hAnsi="Arial" w:cs="Arial"/>
          <w:sz w:val="22"/>
          <w:szCs w:val="22"/>
        </w:rPr>
        <w:t xml:space="preserve">Recommended guidelines for the treatment of cancer treatment-induced </w:t>
      </w:r>
      <w:r w:rsidR="00E15609">
        <w:rPr>
          <w:rFonts w:ascii="Arial" w:hAnsi="Arial" w:cs="Arial"/>
          <w:sz w:val="22"/>
          <w:szCs w:val="22"/>
        </w:rPr>
        <w:t>diarrhoea</w:t>
      </w:r>
      <w:r w:rsidR="00DA67E8" w:rsidRPr="00F62DC2">
        <w:rPr>
          <w:rFonts w:ascii="Arial" w:hAnsi="Arial" w:cs="Arial"/>
          <w:sz w:val="22"/>
          <w:szCs w:val="22"/>
        </w:rPr>
        <w:t>. J Clin Oncol 2004;22(14):2918-26</w:t>
      </w:r>
      <w:r w:rsidR="006D68DB" w:rsidRPr="00F62DC2">
        <w:rPr>
          <w:rFonts w:ascii="Arial" w:hAnsi="Arial" w:cs="Arial"/>
          <w:sz w:val="22"/>
          <w:szCs w:val="22"/>
        </w:rPr>
        <w:t xml:space="preserve">Byrne MJ, Nowak AK. Modified RECIST criteria for assessment of response in malignant pleural mesothelioma. </w:t>
      </w:r>
      <w:hyperlink r:id="rId72" w:tooltip="Annals of oncology : official journal of the European Society for Medical Oncology / ESMO." w:history="1">
        <w:r w:rsidR="006D68DB" w:rsidRPr="00F62DC2">
          <w:rPr>
            <w:rFonts w:ascii="Arial" w:hAnsi="Arial" w:cs="Arial"/>
            <w:sz w:val="22"/>
            <w:szCs w:val="22"/>
          </w:rPr>
          <w:t>Ann Oncol.</w:t>
        </w:r>
      </w:hyperlink>
      <w:r w:rsidR="006D68DB" w:rsidRPr="00F62DC2">
        <w:rPr>
          <w:rFonts w:ascii="Arial" w:hAnsi="Arial" w:cs="Arial"/>
          <w:sz w:val="22"/>
          <w:szCs w:val="22"/>
        </w:rPr>
        <w:t xml:space="preserve"> 2004;15(2):257-60.</w:t>
      </w:r>
    </w:p>
    <w:p w14:paraId="516B7EF4" w14:textId="77777777" w:rsidR="006D68DB" w:rsidRPr="00F62DC2" w:rsidRDefault="006D68DB" w:rsidP="00F62DC2">
      <w:pPr>
        <w:jc w:val="both"/>
        <w:rPr>
          <w:rFonts w:ascii="Arial" w:hAnsi="Arial" w:cs="Arial"/>
          <w:sz w:val="22"/>
          <w:szCs w:val="22"/>
        </w:rPr>
      </w:pPr>
    </w:p>
    <w:p w14:paraId="23F22D1C" w14:textId="77777777" w:rsidR="00DA67E8" w:rsidRPr="00F62DC2" w:rsidRDefault="00DA67E8" w:rsidP="00F62DC2">
      <w:pPr>
        <w:jc w:val="both"/>
        <w:rPr>
          <w:rFonts w:ascii="Arial" w:hAnsi="Arial" w:cs="Arial"/>
          <w:sz w:val="22"/>
          <w:szCs w:val="22"/>
        </w:rPr>
      </w:pPr>
      <w:proofErr w:type="spellStart"/>
      <w:r w:rsidRPr="00F62DC2">
        <w:rPr>
          <w:rFonts w:ascii="Arial" w:hAnsi="Arial" w:cs="Arial"/>
          <w:sz w:val="22"/>
          <w:szCs w:val="22"/>
        </w:rPr>
        <w:t>CancerStats</w:t>
      </w:r>
      <w:proofErr w:type="spellEnd"/>
      <w:r w:rsidRPr="00F62DC2">
        <w:rPr>
          <w:rFonts w:ascii="Arial" w:hAnsi="Arial" w:cs="Arial"/>
          <w:sz w:val="22"/>
          <w:szCs w:val="22"/>
        </w:rPr>
        <w:t xml:space="preserve"> Monograph. Report. London: Cancer Research UK; 2004.</w:t>
      </w:r>
    </w:p>
    <w:p w14:paraId="1CB9562D" w14:textId="77777777" w:rsidR="00DA67E8" w:rsidRPr="00F62DC2" w:rsidRDefault="00DA67E8" w:rsidP="00F62DC2">
      <w:pPr>
        <w:jc w:val="both"/>
        <w:rPr>
          <w:rFonts w:ascii="Arial" w:hAnsi="Arial" w:cs="Arial"/>
          <w:sz w:val="22"/>
          <w:szCs w:val="22"/>
        </w:rPr>
      </w:pPr>
    </w:p>
    <w:p w14:paraId="0D2BCF5F"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Common Toxicity Criteria for Adverse Events (NCI CTCAE), Version 4.0. National Cancer Institute http://evs.nci.nih.gov/ftp1/CTCAE/About.html</w:t>
      </w:r>
    </w:p>
    <w:p w14:paraId="64BF2CE0" w14:textId="77777777" w:rsidR="00DA67E8" w:rsidRPr="00F62DC2" w:rsidRDefault="00DA67E8" w:rsidP="00F62DC2">
      <w:pPr>
        <w:jc w:val="both"/>
        <w:rPr>
          <w:rFonts w:ascii="Arial" w:hAnsi="Arial" w:cs="Arial"/>
          <w:sz w:val="22"/>
          <w:szCs w:val="22"/>
        </w:rPr>
      </w:pPr>
    </w:p>
    <w:p w14:paraId="15298484"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 xml:space="preserve">Dupont WD and Plummer WD: PS power and sample size program available for free on the Internet.  Controlled Clin Trials </w:t>
      </w:r>
      <w:proofErr w:type="gramStart"/>
      <w:r w:rsidRPr="00F62DC2">
        <w:rPr>
          <w:rFonts w:ascii="Arial" w:hAnsi="Arial" w:cs="Arial"/>
          <w:sz w:val="22"/>
          <w:szCs w:val="22"/>
        </w:rPr>
        <w:t>1997;18:274</w:t>
      </w:r>
      <w:proofErr w:type="gramEnd"/>
    </w:p>
    <w:p w14:paraId="74CD6815" w14:textId="77777777" w:rsidR="00DA67E8" w:rsidRPr="00F62DC2" w:rsidRDefault="00DA67E8" w:rsidP="00F62DC2">
      <w:pPr>
        <w:jc w:val="both"/>
        <w:rPr>
          <w:rFonts w:ascii="Arial" w:hAnsi="Arial" w:cs="Arial"/>
          <w:sz w:val="22"/>
          <w:szCs w:val="22"/>
        </w:rPr>
      </w:pPr>
    </w:p>
    <w:p w14:paraId="071EED4F" w14:textId="77777777" w:rsidR="00DA67E8" w:rsidRPr="00F62DC2" w:rsidRDefault="00625F72" w:rsidP="00F62DC2">
      <w:pPr>
        <w:jc w:val="both"/>
        <w:rPr>
          <w:rFonts w:ascii="Arial" w:hAnsi="Arial" w:cs="Arial"/>
          <w:sz w:val="22"/>
          <w:szCs w:val="22"/>
        </w:rPr>
      </w:pPr>
      <w:hyperlink r:id="rId73" w:history="1">
        <w:r w:rsidR="00DA67E8" w:rsidRPr="00F62DC2">
          <w:rPr>
            <w:rFonts w:ascii="Arial" w:hAnsi="Arial" w:cs="Arial"/>
            <w:sz w:val="22"/>
            <w:szCs w:val="22"/>
          </w:rPr>
          <w:t>Fennell DA</w:t>
        </w:r>
      </w:hyperlink>
      <w:r w:rsidR="00DA67E8" w:rsidRPr="00F62DC2">
        <w:rPr>
          <w:rFonts w:ascii="Arial" w:hAnsi="Arial" w:cs="Arial"/>
          <w:sz w:val="22"/>
          <w:szCs w:val="22"/>
        </w:rPr>
        <w:t xml:space="preserve">, </w:t>
      </w:r>
      <w:hyperlink r:id="rId74" w:history="1">
        <w:r w:rsidR="00DA67E8" w:rsidRPr="00F62DC2">
          <w:rPr>
            <w:rFonts w:ascii="Arial" w:hAnsi="Arial" w:cs="Arial"/>
            <w:sz w:val="22"/>
            <w:szCs w:val="22"/>
          </w:rPr>
          <w:t>Parmar A</w:t>
        </w:r>
      </w:hyperlink>
      <w:r w:rsidR="00DA67E8" w:rsidRPr="00F62DC2">
        <w:rPr>
          <w:rFonts w:ascii="Arial" w:hAnsi="Arial" w:cs="Arial"/>
          <w:sz w:val="22"/>
          <w:szCs w:val="22"/>
        </w:rPr>
        <w:t xml:space="preserve">, </w:t>
      </w:r>
      <w:hyperlink r:id="rId75" w:history="1">
        <w:r w:rsidR="00DA67E8" w:rsidRPr="00F62DC2">
          <w:rPr>
            <w:rFonts w:ascii="Arial" w:hAnsi="Arial" w:cs="Arial"/>
            <w:sz w:val="22"/>
            <w:szCs w:val="22"/>
          </w:rPr>
          <w:t>Shamash J</w:t>
        </w:r>
      </w:hyperlink>
      <w:r w:rsidR="00DA67E8" w:rsidRPr="00F62DC2">
        <w:rPr>
          <w:rFonts w:ascii="Arial" w:hAnsi="Arial" w:cs="Arial"/>
          <w:sz w:val="22"/>
          <w:szCs w:val="22"/>
        </w:rPr>
        <w:t xml:space="preserve">, </w:t>
      </w:r>
      <w:hyperlink r:id="rId76" w:history="1">
        <w:r w:rsidR="00DA67E8" w:rsidRPr="00F62DC2">
          <w:rPr>
            <w:rFonts w:ascii="Arial" w:hAnsi="Arial" w:cs="Arial"/>
            <w:sz w:val="22"/>
            <w:szCs w:val="22"/>
          </w:rPr>
          <w:t>Evans MT</w:t>
        </w:r>
      </w:hyperlink>
      <w:r w:rsidR="00DA67E8" w:rsidRPr="00F62DC2">
        <w:rPr>
          <w:rFonts w:ascii="Arial" w:hAnsi="Arial" w:cs="Arial"/>
          <w:sz w:val="22"/>
          <w:szCs w:val="22"/>
        </w:rPr>
        <w:t xml:space="preserve">, </w:t>
      </w:r>
      <w:hyperlink r:id="rId77" w:history="1">
        <w:proofErr w:type="spellStart"/>
        <w:r w:rsidR="00DA67E8" w:rsidRPr="00F62DC2">
          <w:rPr>
            <w:rFonts w:ascii="Arial" w:hAnsi="Arial" w:cs="Arial"/>
            <w:sz w:val="22"/>
            <w:szCs w:val="22"/>
          </w:rPr>
          <w:t>Sheaff</w:t>
        </w:r>
        <w:proofErr w:type="spellEnd"/>
        <w:r w:rsidR="00DA67E8" w:rsidRPr="00F62DC2">
          <w:rPr>
            <w:rFonts w:ascii="Arial" w:hAnsi="Arial" w:cs="Arial"/>
            <w:sz w:val="22"/>
            <w:szCs w:val="22"/>
          </w:rPr>
          <w:t xml:space="preserve"> MT</w:t>
        </w:r>
      </w:hyperlink>
      <w:r w:rsidR="00DA67E8" w:rsidRPr="00F62DC2">
        <w:rPr>
          <w:rFonts w:ascii="Arial" w:hAnsi="Arial" w:cs="Arial"/>
          <w:sz w:val="22"/>
          <w:szCs w:val="22"/>
        </w:rPr>
        <w:t xml:space="preserve">, </w:t>
      </w:r>
      <w:hyperlink r:id="rId78" w:history="1">
        <w:r w:rsidR="00DA67E8" w:rsidRPr="00F62DC2">
          <w:rPr>
            <w:rFonts w:ascii="Arial" w:hAnsi="Arial" w:cs="Arial"/>
            <w:sz w:val="22"/>
            <w:szCs w:val="22"/>
          </w:rPr>
          <w:t>Sylvester R</w:t>
        </w:r>
      </w:hyperlink>
      <w:r w:rsidR="00DA67E8" w:rsidRPr="00F62DC2">
        <w:rPr>
          <w:rFonts w:ascii="Arial" w:hAnsi="Arial" w:cs="Arial"/>
          <w:sz w:val="22"/>
          <w:szCs w:val="22"/>
        </w:rPr>
        <w:t xml:space="preserve">, </w:t>
      </w:r>
      <w:hyperlink r:id="rId79" w:history="1">
        <w:r w:rsidR="00DA67E8" w:rsidRPr="00F62DC2">
          <w:rPr>
            <w:rFonts w:ascii="Arial" w:hAnsi="Arial" w:cs="Arial"/>
            <w:sz w:val="22"/>
            <w:szCs w:val="22"/>
          </w:rPr>
          <w:t>Dhaliwal K</w:t>
        </w:r>
      </w:hyperlink>
      <w:r w:rsidR="00DA67E8" w:rsidRPr="00F62DC2">
        <w:rPr>
          <w:rFonts w:ascii="Arial" w:hAnsi="Arial" w:cs="Arial"/>
          <w:sz w:val="22"/>
          <w:szCs w:val="22"/>
        </w:rPr>
        <w:t xml:space="preserve">, </w:t>
      </w:r>
      <w:hyperlink r:id="rId80" w:history="1">
        <w:r w:rsidR="00DA67E8" w:rsidRPr="00F62DC2">
          <w:rPr>
            <w:rFonts w:ascii="Arial" w:hAnsi="Arial" w:cs="Arial"/>
            <w:sz w:val="22"/>
            <w:szCs w:val="22"/>
          </w:rPr>
          <w:t>Gower N</w:t>
        </w:r>
      </w:hyperlink>
      <w:r w:rsidR="00DA67E8" w:rsidRPr="00F62DC2">
        <w:rPr>
          <w:rFonts w:ascii="Arial" w:hAnsi="Arial" w:cs="Arial"/>
          <w:sz w:val="22"/>
          <w:szCs w:val="22"/>
        </w:rPr>
        <w:t xml:space="preserve">, </w:t>
      </w:r>
      <w:hyperlink r:id="rId81" w:history="1">
        <w:r w:rsidR="00DA67E8" w:rsidRPr="00F62DC2">
          <w:rPr>
            <w:rFonts w:ascii="Arial" w:hAnsi="Arial" w:cs="Arial"/>
            <w:sz w:val="22"/>
            <w:szCs w:val="22"/>
          </w:rPr>
          <w:t>Steele J</w:t>
        </w:r>
      </w:hyperlink>
      <w:r w:rsidR="00DA67E8" w:rsidRPr="00F62DC2">
        <w:rPr>
          <w:rFonts w:ascii="Arial" w:hAnsi="Arial" w:cs="Arial"/>
          <w:sz w:val="22"/>
          <w:szCs w:val="22"/>
        </w:rPr>
        <w:t xml:space="preserve">, </w:t>
      </w:r>
      <w:hyperlink r:id="rId82" w:history="1">
        <w:r w:rsidR="00DA67E8" w:rsidRPr="00F62DC2">
          <w:rPr>
            <w:rFonts w:ascii="Arial" w:hAnsi="Arial" w:cs="Arial"/>
            <w:sz w:val="22"/>
            <w:szCs w:val="22"/>
          </w:rPr>
          <w:t>Rudd R</w:t>
        </w:r>
      </w:hyperlink>
      <w:r w:rsidR="00DA67E8" w:rsidRPr="00F62DC2">
        <w:rPr>
          <w:rFonts w:ascii="Arial" w:hAnsi="Arial" w:cs="Arial"/>
          <w:sz w:val="22"/>
          <w:szCs w:val="22"/>
        </w:rPr>
        <w:t xml:space="preserve">. Statistical Analysis </w:t>
      </w:r>
      <w:proofErr w:type="gramStart"/>
      <w:r w:rsidR="00DA67E8" w:rsidRPr="00F62DC2">
        <w:rPr>
          <w:rFonts w:ascii="Arial" w:hAnsi="Arial" w:cs="Arial"/>
          <w:sz w:val="22"/>
          <w:szCs w:val="22"/>
        </w:rPr>
        <w:t>Of</w:t>
      </w:r>
      <w:proofErr w:type="gramEnd"/>
      <w:r w:rsidR="00DA67E8" w:rsidRPr="00F62DC2">
        <w:rPr>
          <w:rFonts w:ascii="Arial" w:hAnsi="Arial" w:cs="Arial"/>
          <w:sz w:val="22"/>
          <w:szCs w:val="22"/>
        </w:rPr>
        <w:t xml:space="preserve"> The Interval Between Diagnosis And Chemotherapy In Malignant Pleural Mesothelioma IMIG Conference proceedings (2004a).</w:t>
      </w:r>
      <w:r w:rsidR="00DA67E8" w:rsidRPr="00F62DC2">
        <w:rPr>
          <w:rFonts w:ascii="Arial" w:hAnsi="Arial" w:cs="Arial"/>
          <w:sz w:val="22"/>
          <w:szCs w:val="22"/>
        </w:rPr>
        <w:br/>
      </w:r>
    </w:p>
    <w:p w14:paraId="4882B6F5"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Fennell DA, Rudd RM. Defective core-apoptosis signalling in diffuse malignant pleural mesothelioma: opportunities for effective drug development. Lancet Oncology 2004b;5(6):354-62.</w:t>
      </w:r>
    </w:p>
    <w:p w14:paraId="59B1A4E0" w14:textId="77777777" w:rsidR="00DA67E8" w:rsidRPr="00F62DC2" w:rsidRDefault="00DA67E8" w:rsidP="00F62DC2">
      <w:pPr>
        <w:jc w:val="both"/>
        <w:rPr>
          <w:rFonts w:ascii="Arial" w:hAnsi="Arial" w:cs="Arial"/>
          <w:sz w:val="22"/>
          <w:szCs w:val="22"/>
        </w:rPr>
      </w:pPr>
    </w:p>
    <w:p w14:paraId="0F0F1758"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 xml:space="preserve">Fennell DA, Parmar A, Shamash J, Evans MT, </w:t>
      </w:r>
      <w:proofErr w:type="spellStart"/>
      <w:r w:rsidRPr="00F62DC2">
        <w:rPr>
          <w:rFonts w:ascii="Arial" w:hAnsi="Arial" w:cs="Arial"/>
          <w:sz w:val="22"/>
          <w:szCs w:val="22"/>
        </w:rPr>
        <w:t>Sheaff</w:t>
      </w:r>
      <w:proofErr w:type="spellEnd"/>
      <w:r w:rsidRPr="00F62DC2">
        <w:rPr>
          <w:rFonts w:ascii="Arial" w:hAnsi="Arial" w:cs="Arial"/>
          <w:sz w:val="22"/>
          <w:szCs w:val="22"/>
        </w:rPr>
        <w:t xml:space="preserve"> MT, Sylvester R, Dhaliwal K, Gower N, Steele J, Rudd R. Statistical validation of the EORTC prognostic model for malignant pleural mesothelioma based on three consecutive phase II trials. J Clin Oncol2005; 23: 184-9.</w:t>
      </w:r>
      <w:r w:rsidRPr="00F62DC2">
        <w:rPr>
          <w:rFonts w:ascii="Arial" w:hAnsi="Arial" w:cs="Arial"/>
          <w:sz w:val="22"/>
          <w:szCs w:val="22"/>
        </w:rPr>
        <w:br/>
      </w:r>
    </w:p>
    <w:p w14:paraId="50FF4902"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 xml:space="preserve">Fennell DA, </w:t>
      </w:r>
      <w:proofErr w:type="spellStart"/>
      <w:r w:rsidRPr="00F62DC2">
        <w:rPr>
          <w:rFonts w:ascii="Arial" w:hAnsi="Arial" w:cs="Arial"/>
          <w:sz w:val="22"/>
          <w:szCs w:val="22"/>
        </w:rPr>
        <w:t>Gaudino</w:t>
      </w:r>
      <w:proofErr w:type="spellEnd"/>
      <w:r w:rsidRPr="00F62DC2">
        <w:rPr>
          <w:rFonts w:ascii="Arial" w:hAnsi="Arial" w:cs="Arial"/>
          <w:sz w:val="22"/>
          <w:szCs w:val="22"/>
        </w:rPr>
        <w:t xml:space="preserve"> G, O'Byrne KJ, </w:t>
      </w:r>
      <w:proofErr w:type="spellStart"/>
      <w:r w:rsidRPr="00F62DC2">
        <w:rPr>
          <w:rFonts w:ascii="Arial" w:hAnsi="Arial" w:cs="Arial"/>
          <w:sz w:val="22"/>
          <w:szCs w:val="22"/>
        </w:rPr>
        <w:t>Mutti</w:t>
      </w:r>
      <w:proofErr w:type="spellEnd"/>
      <w:r w:rsidRPr="00F62DC2">
        <w:rPr>
          <w:rFonts w:ascii="Arial" w:hAnsi="Arial" w:cs="Arial"/>
          <w:sz w:val="22"/>
          <w:szCs w:val="22"/>
        </w:rPr>
        <w:t xml:space="preserve"> L, van </w:t>
      </w:r>
      <w:proofErr w:type="spellStart"/>
      <w:r w:rsidRPr="00F62DC2">
        <w:rPr>
          <w:rFonts w:ascii="Arial" w:hAnsi="Arial" w:cs="Arial"/>
          <w:sz w:val="22"/>
          <w:szCs w:val="22"/>
        </w:rPr>
        <w:t>Meerbeeck</w:t>
      </w:r>
      <w:proofErr w:type="spellEnd"/>
      <w:r w:rsidRPr="00F62DC2">
        <w:rPr>
          <w:rFonts w:ascii="Arial" w:hAnsi="Arial" w:cs="Arial"/>
          <w:sz w:val="22"/>
          <w:szCs w:val="22"/>
        </w:rPr>
        <w:t xml:space="preserve"> J. Advances in the systemic therapy of malignant pleural mesothelioma. Nature Clinical Practice 2008;5(3):136-47.</w:t>
      </w:r>
    </w:p>
    <w:p w14:paraId="6CA0BAD9" w14:textId="77777777" w:rsidR="00DA67E8" w:rsidRPr="00F62DC2" w:rsidRDefault="00DA67E8" w:rsidP="00F62DC2">
      <w:pPr>
        <w:jc w:val="both"/>
        <w:rPr>
          <w:rFonts w:ascii="Arial" w:hAnsi="Arial" w:cs="Arial"/>
          <w:sz w:val="22"/>
          <w:szCs w:val="22"/>
        </w:rPr>
      </w:pPr>
    </w:p>
    <w:p w14:paraId="6D2D10F6"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Fennell DA. Genetics and molecular biology of mesothelioma. Recent Results Cancer Res. 2011; 189:149-67.</w:t>
      </w:r>
    </w:p>
    <w:p w14:paraId="74F0B090" w14:textId="77777777" w:rsidR="00DA67E8" w:rsidRPr="00F62DC2" w:rsidRDefault="00DA67E8" w:rsidP="00F62DC2">
      <w:pPr>
        <w:jc w:val="both"/>
        <w:rPr>
          <w:rFonts w:ascii="Arial" w:hAnsi="Arial" w:cs="Arial"/>
          <w:sz w:val="22"/>
          <w:szCs w:val="22"/>
        </w:rPr>
      </w:pPr>
    </w:p>
    <w:p w14:paraId="50B2869D" w14:textId="77777777" w:rsidR="00DA67E8" w:rsidRPr="00F62DC2" w:rsidRDefault="00DA67E8" w:rsidP="00F62DC2">
      <w:pPr>
        <w:jc w:val="both"/>
        <w:rPr>
          <w:rFonts w:ascii="Arial" w:hAnsi="Arial" w:cs="Arial"/>
          <w:sz w:val="22"/>
          <w:szCs w:val="22"/>
        </w:rPr>
      </w:pPr>
      <w:proofErr w:type="spellStart"/>
      <w:r w:rsidRPr="00F62DC2">
        <w:rPr>
          <w:rFonts w:ascii="Arial" w:hAnsi="Arial" w:cs="Arial"/>
          <w:bCs/>
          <w:sz w:val="22"/>
          <w:szCs w:val="22"/>
        </w:rPr>
        <w:t>Francart</w:t>
      </w:r>
      <w:proofErr w:type="spellEnd"/>
      <w:r w:rsidRPr="00F62DC2">
        <w:rPr>
          <w:rFonts w:ascii="Arial" w:hAnsi="Arial" w:cs="Arial"/>
          <w:bCs/>
          <w:sz w:val="22"/>
          <w:szCs w:val="22"/>
        </w:rPr>
        <w:t xml:space="preserve"> J, Legrand C, Sylvester R, Van </w:t>
      </w:r>
      <w:proofErr w:type="spellStart"/>
      <w:r w:rsidRPr="00F62DC2">
        <w:rPr>
          <w:rFonts w:ascii="Arial" w:hAnsi="Arial" w:cs="Arial"/>
          <w:bCs/>
          <w:sz w:val="22"/>
          <w:szCs w:val="22"/>
        </w:rPr>
        <w:t>Glabbeke</w:t>
      </w:r>
      <w:proofErr w:type="spellEnd"/>
      <w:r w:rsidRPr="00F62DC2">
        <w:rPr>
          <w:rFonts w:ascii="Arial" w:hAnsi="Arial" w:cs="Arial"/>
          <w:bCs/>
          <w:sz w:val="22"/>
          <w:szCs w:val="22"/>
        </w:rPr>
        <w:t xml:space="preserve"> M, van </w:t>
      </w:r>
      <w:proofErr w:type="spellStart"/>
      <w:r w:rsidRPr="00F62DC2">
        <w:rPr>
          <w:rFonts w:ascii="Arial" w:hAnsi="Arial" w:cs="Arial"/>
          <w:bCs/>
          <w:sz w:val="22"/>
          <w:szCs w:val="22"/>
        </w:rPr>
        <w:t>Meerbeeck</w:t>
      </w:r>
      <w:proofErr w:type="spellEnd"/>
      <w:r w:rsidRPr="00F62DC2">
        <w:rPr>
          <w:rFonts w:ascii="Arial" w:hAnsi="Arial" w:cs="Arial"/>
          <w:bCs/>
          <w:sz w:val="22"/>
          <w:szCs w:val="22"/>
        </w:rPr>
        <w:t xml:space="preserve"> JP, Robert A. </w:t>
      </w:r>
      <w:r w:rsidRPr="00F62DC2">
        <w:rPr>
          <w:rFonts w:ascii="Arial" w:hAnsi="Arial" w:cs="Arial"/>
          <w:sz w:val="22"/>
          <w:szCs w:val="22"/>
        </w:rPr>
        <w:t>Progression-Free Survival Rate As Primary End Point for Phase II Cancer Clinical Trials: Application to Mesothelioma—The EORTC Lung Cancer Group. J Clin Oncol2006; 24(19), 3007-3012</w:t>
      </w:r>
    </w:p>
    <w:p w14:paraId="6BE30A14" w14:textId="77777777" w:rsidR="00DA67E8" w:rsidRPr="00F62DC2" w:rsidRDefault="00DA67E8" w:rsidP="00F62DC2">
      <w:pPr>
        <w:jc w:val="both"/>
        <w:rPr>
          <w:rFonts w:ascii="Arial" w:hAnsi="Arial" w:cs="Arial"/>
          <w:sz w:val="22"/>
          <w:szCs w:val="22"/>
        </w:rPr>
      </w:pPr>
    </w:p>
    <w:p w14:paraId="00068154" w14:textId="77777777" w:rsidR="00DA67E8" w:rsidRPr="00F62DC2" w:rsidRDefault="00625F72" w:rsidP="00F62DC2">
      <w:pPr>
        <w:jc w:val="both"/>
        <w:rPr>
          <w:rFonts w:ascii="Arial" w:hAnsi="Arial" w:cs="Arial"/>
          <w:sz w:val="22"/>
          <w:szCs w:val="22"/>
        </w:rPr>
      </w:pPr>
      <w:hyperlink r:id="rId83" w:history="1">
        <w:proofErr w:type="spellStart"/>
        <w:r w:rsidR="00DA67E8" w:rsidRPr="00F62DC2">
          <w:rPr>
            <w:rFonts w:ascii="Arial" w:hAnsi="Arial" w:cs="Arial"/>
            <w:sz w:val="22"/>
            <w:szCs w:val="22"/>
          </w:rPr>
          <w:t>Jagadeeswaran</w:t>
        </w:r>
        <w:proofErr w:type="spellEnd"/>
        <w:r w:rsidR="00DA67E8" w:rsidRPr="00F62DC2">
          <w:rPr>
            <w:rFonts w:ascii="Arial" w:hAnsi="Arial" w:cs="Arial"/>
            <w:sz w:val="22"/>
            <w:szCs w:val="22"/>
          </w:rPr>
          <w:t xml:space="preserve"> R</w:t>
        </w:r>
      </w:hyperlink>
      <w:r w:rsidR="00DA67E8" w:rsidRPr="00F62DC2">
        <w:rPr>
          <w:rFonts w:ascii="Arial" w:hAnsi="Arial" w:cs="Arial"/>
          <w:sz w:val="22"/>
          <w:szCs w:val="22"/>
        </w:rPr>
        <w:t xml:space="preserve">, </w:t>
      </w:r>
      <w:hyperlink r:id="rId84" w:history="1">
        <w:r w:rsidR="00DA67E8" w:rsidRPr="00F62DC2">
          <w:rPr>
            <w:rFonts w:ascii="Arial" w:hAnsi="Arial" w:cs="Arial"/>
            <w:sz w:val="22"/>
            <w:szCs w:val="22"/>
          </w:rPr>
          <w:t>Ma PC</w:t>
        </w:r>
      </w:hyperlink>
      <w:r w:rsidR="00DA67E8" w:rsidRPr="00F62DC2">
        <w:rPr>
          <w:rFonts w:ascii="Arial" w:hAnsi="Arial" w:cs="Arial"/>
          <w:sz w:val="22"/>
          <w:szCs w:val="22"/>
        </w:rPr>
        <w:t xml:space="preserve">, </w:t>
      </w:r>
      <w:hyperlink r:id="rId85" w:history="1">
        <w:proofErr w:type="spellStart"/>
        <w:r w:rsidR="00DA67E8" w:rsidRPr="00F62DC2">
          <w:rPr>
            <w:rFonts w:ascii="Arial" w:hAnsi="Arial" w:cs="Arial"/>
            <w:sz w:val="22"/>
            <w:szCs w:val="22"/>
          </w:rPr>
          <w:t>Seiwert</w:t>
        </w:r>
        <w:proofErr w:type="spellEnd"/>
        <w:r w:rsidR="00DA67E8" w:rsidRPr="00F62DC2">
          <w:rPr>
            <w:rFonts w:ascii="Arial" w:hAnsi="Arial" w:cs="Arial"/>
            <w:sz w:val="22"/>
            <w:szCs w:val="22"/>
          </w:rPr>
          <w:t xml:space="preserve"> TY</w:t>
        </w:r>
      </w:hyperlink>
      <w:r w:rsidR="00DA67E8" w:rsidRPr="00F62DC2">
        <w:rPr>
          <w:rFonts w:ascii="Arial" w:hAnsi="Arial" w:cs="Arial"/>
          <w:sz w:val="22"/>
          <w:szCs w:val="22"/>
        </w:rPr>
        <w:t xml:space="preserve">, </w:t>
      </w:r>
      <w:hyperlink r:id="rId86" w:history="1">
        <w:proofErr w:type="spellStart"/>
        <w:r w:rsidR="00DA67E8" w:rsidRPr="00F62DC2">
          <w:rPr>
            <w:rFonts w:ascii="Arial" w:hAnsi="Arial" w:cs="Arial"/>
            <w:sz w:val="22"/>
            <w:szCs w:val="22"/>
          </w:rPr>
          <w:t>Jagadeeswaran</w:t>
        </w:r>
        <w:proofErr w:type="spellEnd"/>
        <w:r w:rsidR="00DA67E8" w:rsidRPr="00F62DC2">
          <w:rPr>
            <w:rFonts w:ascii="Arial" w:hAnsi="Arial" w:cs="Arial"/>
            <w:sz w:val="22"/>
            <w:szCs w:val="22"/>
          </w:rPr>
          <w:t xml:space="preserve"> S</w:t>
        </w:r>
      </w:hyperlink>
      <w:r w:rsidR="00DA67E8" w:rsidRPr="00F62DC2">
        <w:rPr>
          <w:rFonts w:ascii="Arial" w:hAnsi="Arial" w:cs="Arial"/>
          <w:sz w:val="22"/>
          <w:szCs w:val="22"/>
        </w:rPr>
        <w:t xml:space="preserve">, </w:t>
      </w:r>
      <w:hyperlink r:id="rId87" w:history="1">
        <w:r w:rsidR="00DA67E8" w:rsidRPr="00F62DC2">
          <w:rPr>
            <w:rFonts w:ascii="Arial" w:hAnsi="Arial" w:cs="Arial"/>
            <w:sz w:val="22"/>
            <w:szCs w:val="22"/>
          </w:rPr>
          <w:t>Zumba O</w:t>
        </w:r>
      </w:hyperlink>
      <w:r w:rsidR="00DA67E8" w:rsidRPr="00F62DC2">
        <w:rPr>
          <w:rFonts w:ascii="Arial" w:hAnsi="Arial" w:cs="Arial"/>
          <w:sz w:val="22"/>
          <w:szCs w:val="22"/>
        </w:rPr>
        <w:t xml:space="preserve">, </w:t>
      </w:r>
      <w:hyperlink r:id="rId88" w:history="1">
        <w:proofErr w:type="spellStart"/>
        <w:r w:rsidR="00DA67E8" w:rsidRPr="00F62DC2">
          <w:rPr>
            <w:rFonts w:ascii="Arial" w:hAnsi="Arial" w:cs="Arial"/>
            <w:sz w:val="22"/>
            <w:szCs w:val="22"/>
          </w:rPr>
          <w:t>Nallasura</w:t>
        </w:r>
        <w:proofErr w:type="spellEnd"/>
        <w:r w:rsidR="00DA67E8" w:rsidRPr="00F62DC2">
          <w:rPr>
            <w:rFonts w:ascii="Arial" w:hAnsi="Arial" w:cs="Arial"/>
            <w:sz w:val="22"/>
            <w:szCs w:val="22"/>
          </w:rPr>
          <w:t xml:space="preserve"> V</w:t>
        </w:r>
      </w:hyperlink>
      <w:r w:rsidR="00DA67E8" w:rsidRPr="00F62DC2">
        <w:rPr>
          <w:rFonts w:ascii="Arial" w:hAnsi="Arial" w:cs="Arial"/>
          <w:sz w:val="22"/>
          <w:szCs w:val="22"/>
        </w:rPr>
        <w:t xml:space="preserve">, </w:t>
      </w:r>
      <w:hyperlink r:id="rId89" w:history="1">
        <w:r w:rsidR="00DA67E8" w:rsidRPr="00F62DC2">
          <w:rPr>
            <w:rFonts w:ascii="Arial" w:hAnsi="Arial" w:cs="Arial"/>
            <w:sz w:val="22"/>
            <w:szCs w:val="22"/>
          </w:rPr>
          <w:t>Ahmed S</w:t>
        </w:r>
      </w:hyperlink>
      <w:r w:rsidR="00DA67E8" w:rsidRPr="00F62DC2">
        <w:rPr>
          <w:rFonts w:ascii="Arial" w:hAnsi="Arial" w:cs="Arial"/>
          <w:sz w:val="22"/>
          <w:szCs w:val="22"/>
        </w:rPr>
        <w:t xml:space="preserve">, </w:t>
      </w:r>
      <w:hyperlink r:id="rId90" w:history="1">
        <w:proofErr w:type="spellStart"/>
        <w:r w:rsidR="00DA67E8" w:rsidRPr="00F62DC2">
          <w:rPr>
            <w:rFonts w:ascii="Arial" w:hAnsi="Arial" w:cs="Arial"/>
            <w:sz w:val="22"/>
            <w:szCs w:val="22"/>
          </w:rPr>
          <w:t>Filiberti</w:t>
        </w:r>
        <w:proofErr w:type="spellEnd"/>
        <w:r w:rsidR="00DA67E8" w:rsidRPr="00F62DC2">
          <w:rPr>
            <w:rFonts w:ascii="Arial" w:hAnsi="Arial" w:cs="Arial"/>
            <w:sz w:val="22"/>
            <w:szCs w:val="22"/>
          </w:rPr>
          <w:t xml:space="preserve"> R</w:t>
        </w:r>
      </w:hyperlink>
      <w:r w:rsidR="00DA67E8" w:rsidRPr="00F62DC2">
        <w:rPr>
          <w:rFonts w:ascii="Arial" w:hAnsi="Arial" w:cs="Arial"/>
          <w:sz w:val="22"/>
          <w:szCs w:val="22"/>
        </w:rPr>
        <w:t xml:space="preserve">, </w:t>
      </w:r>
      <w:hyperlink r:id="rId91" w:history="1">
        <w:proofErr w:type="spellStart"/>
        <w:r w:rsidR="00DA67E8" w:rsidRPr="00F62DC2">
          <w:rPr>
            <w:rFonts w:ascii="Arial" w:hAnsi="Arial" w:cs="Arial"/>
            <w:sz w:val="22"/>
            <w:szCs w:val="22"/>
          </w:rPr>
          <w:t>Paganuzzi</w:t>
        </w:r>
        <w:proofErr w:type="spellEnd"/>
        <w:r w:rsidR="00DA67E8" w:rsidRPr="00F62DC2">
          <w:rPr>
            <w:rFonts w:ascii="Arial" w:hAnsi="Arial" w:cs="Arial"/>
            <w:sz w:val="22"/>
            <w:szCs w:val="22"/>
          </w:rPr>
          <w:t xml:space="preserve"> M</w:t>
        </w:r>
      </w:hyperlink>
      <w:r w:rsidR="00DA67E8" w:rsidRPr="00F62DC2">
        <w:rPr>
          <w:rFonts w:ascii="Arial" w:hAnsi="Arial" w:cs="Arial"/>
          <w:sz w:val="22"/>
          <w:szCs w:val="22"/>
        </w:rPr>
        <w:t xml:space="preserve">, </w:t>
      </w:r>
      <w:hyperlink r:id="rId92" w:history="1">
        <w:proofErr w:type="spellStart"/>
        <w:r w:rsidR="00DA67E8" w:rsidRPr="00F62DC2">
          <w:rPr>
            <w:rFonts w:ascii="Arial" w:hAnsi="Arial" w:cs="Arial"/>
            <w:sz w:val="22"/>
            <w:szCs w:val="22"/>
          </w:rPr>
          <w:t>Puntoni</w:t>
        </w:r>
        <w:proofErr w:type="spellEnd"/>
        <w:r w:rsidR="00DA67E8" w:rsidRPr="00F62DC2">
          <w:rPr>
            <w:rFonts w:ascii="Arial" w:hAnsi="Arial" w:cs="Arial"/>
            <w:sz w:val="22"/>
            <w:szCs w:val="22"/>
          </w:rPr>
          <w:t xml:space="preserve"> R</w:t>
        </w:r>
      </w:hyperlink>
      <w:r w:rsidR="00DA67E8" w:rsidRPr="00F62DC2">
        <w:rPr>
          <w:rFonts w:ascii="Arial" w:hAnsi="Arial" w:cs="Arial"/>
          <w:sz w:val="22"/>
          <w:szCs w:val="22"/>
        </w:rPr>
        <w:t xml:space="preserve">, </w:t>
      </w:r>
      <w:hyperlink r:id="rId93" w:history="1">
        <w:proofErr w:type="spellStart"/>
        <w:r w:rsidR="00DA67E8" w:rsidRPr="00F62DC2">
          <w:rPr>
            <w:rFonts w:ascii="Arial" w:hAnsi="Arial" w:cs="Arial"/>
            <w:sz w:val="22"/>
            <w:szCs w:val="22"/>
          </w:rPr>
          <w:t>Kratzke</w:t>
        </w:r>
        <w:proofErr w:type="spellEnd"/>
        <w:r w:rsidR="00DA67E8" w:rsidRPr="00F62DC2">
          <w:rPr>
            <w:rFonts w:ascii="Arial" w:hAnsi="Arial" w:cs="Arial"/>
            <w:sz w:val="22"/>
            <w:szCs w:val="22"/>
          </w:rPr>
          <w:t xml:space="preserve"> RA</w:t>
        </w:r>
      </w:hyperlink>
      <w:r w:rsidR="00DA67E8" w:rsidRPr="00F62DC2">
        <w:rPr>
          <w:rFonts w:ascii="Arial" w:hAnsi="Arial" w:cs="Arial"/>
          <w:sz w:val="22"/>
          <w:szCs w:val="22"/>
        </w:rPr>
        <w:t xml:space="preserve">, </w:t>
      </w:r>
      <w:hyperlink r:id="rId94" w:history="1">
        <w:r w:rsidR="00DA67E8" w:rsidRPr="00F62DC2">
          <w:rPr>
            <w:rFonts w:ascii="Arial" w:hAnsi="Arial" w:cs="Arial"/>
            <w:sz w:val="22"/>
            <w:szCs w:val="22"/>
          </w:rPr>
          <w:t>Gordon GJ</w:t>
        </w:r>
      </w:hyperlink>
      <w:r w:rsidR="00DA67E8" w:rsidRPr="00F62DC2">
        <w:rPr>
          <w:rFonts w:ascii="Arial" w:hAnsi="Arial" w:cs="Arial"/>
          <w:sz w:val="22"/>
          <w:szCs w:val="22"/>
        </w:rPr>
        <w:t xml:space="preserve">, </w:t>
      </w:r>
      <w:hyperlink r:id="rId95" w:history="1">
        <w:proofErr w:type="spellStart"/>
        <w:r w:rsidR="00DA67E8" w:rsidRPr="00F62DC2">
          <w:rPr>
            <w:rFonts w:ascii="Arial" w:hAnsi="Arial" w:cs="Arial"/>
            <w:sz w:val="22"/>
            <w:szCs w:val="22"/>
          </w:rPr>
          <w:t>Sugarbaker</w:t>
        </w:r>
        <w:proofErr w:type="spellEnd"/>
        <w:r w:rsidR="00DA67E8" w:rsidRPr="00F62DC2">
          <w:rPr>
            <w:rFonts w:ascii="Arial" w:hAnsi="Arial" w:cs="Arial"/>
            <w:sz w:val="22"/>
            <w:szCs w:val="22"/>
          </w:rPr>
          <w:t xml:space="preserve"> DJ</w:t>
        </w:r>
      </w:hyperlink>
      <w:r w:rsidR="00DA67E8" w:rsidRPr="00F62DC2">
        <w:rPr>
          <w:rFonts w:ascii="Arial" w:hAnsi="Arial" w:cs="Arial"/>
          <w:sz w:val="22"/>
          <w:szCs w:val="22"/>
        </w:rPr>
        <w:t xml:space="preserve">, </w:t>
      </w:r>
      <w:hyperlink r:id="rId96" w:history="1">
        <w:r w:rsidR="00DA67E8" w:rsidRPr="00F62DC2">
          <w:rPr>
            <w:rFonts w:ascii="Arial" w:hAnsi="Arial" w:cs="Arial"/>
            <w:sz w:val="22"/>
            <w:szCs w:val="22"/>
          </w:rPr>
          <w:t>Bueno R</w:t>
        </w:r>
      </w:hyperlink>
      <w:r w:rsidR="00DA67E8" w:rsidRPr="00F62DC2">
        <w:rPr>
          <w:rFonts w:ascii="Arial" w:hAnsi="Arial" w:cs="Arial"/>
          <w:sz w:val="22"/>
          <w:szCs w:val="22"/>
        </w:rPr>
        <w:t xml:space="preserve">, </w:t>
      </w:r>
      <w:hyperlink r:id="rId97" w:history="1">
        <w:proofErr w:type="spellStart"/>
        <w:r w:rsidR="00DA67E8" w:rsidRPr="00F62DC2">
          <w:rPr>
            <w:rFonts w:ascii="Arial" w:hAnsi="Arial" w:cs="Arial"/>
            <w:sz w:val="22"/>
            <w:szCs w:val="22"/>
          </w:rPr>
          <w:t>Janamanchi</w:t>
        </w:r>
        <w:proofErr w:type="spellEnd"/>
        <w:r w:rsidR="00DA67E8" w:rsidRPr="00F62DC2">
          <w:rPr>
            <w:rFonts w:ascii="Arial" w:hAnsi="Arial" w:cs="Arial"/>
            <w:sz w:val="22"/>
            <w:szCs w:val="22"/>
          </w:rPr>
          <w:t xml:space="preserve"> V</w:t>
        </w:r>
      </w:hyperlink>
      <w:r w:rsidR="00DA67E8" w:rsidRPr="00F62DC2">
        <w:rPr>
          <w:rFonts w:ascii="Arial" w:hAnsi="Arial" w:cs="Arial"/>
          <w:sz w:val="22"/>
          <w:szCs w:val="22"/>
        </w:rPr>
        <w:t xml:space="preserve">, </w:t>
      </w:r>
      <w:hyperlink r:id="rId98" w:history="1">
        <w:proofErr w:type="spellStart"/>
        <w:r w:rsidR="00DA67E8" w:rsidRPr="00F62DC2">
          <w:rPr>
            <w:rFonts w:ascii="Arial" w:hAnsi="Arial" w:cs="Arial"/>
            <w:sz w:val="22"/>
            <w:szCs w:val="22"/>
          </w:rPr>
          <w:t>Bindokas</w:t>
        </w:r>
        <w:proofErr w:type="spellEnd"/>
        <w:r w:rsidR="00DA67E8" w:rsidRPr="00F62DC2">
          <w:rPr>
            <w:rFonts w:ascii="Arial" w:hAnsi="Arial" w:cs="Arial"/>
            <w:sz w:val="22"/>
            <w:szCs w:val="22"/>
          </w:rPr>
          <w:t xml:space="preserve"> VP</w:t>
        </w:r>
      </w:hyperlink>
      <w:r w:rsidR="00DA67E8" w:rsidRPr="00F62DC2">
        <w:rPr>
          <w:rFonts w:ascii="Arial" w:hAnsi="Arial" w:cs="Arial"/>
          <w:sz w:val="22"/>
          <w:szCs w:val="22"/>
        </w:rPr>
        <w:t xml:space="preserve">, </w:t>
      </w:r>
      <w:hyperlink r:id="rId99" w:history="1">
        <w:r w:rsidR="00DA67E8" w:rsidRPr="00F62DC2">
          <w:rPr>
            <w:rFonts w:ascii="Arial" w:hAnsi="Arial" w:cs="Arial"/>
            <w:sz w:val="22"/>
            <w:szCs w:val="22"/>
          </w:rPr>
          <w:t>Kindler HL</w:t>
        </w:r>
      </w:hyperlink>
      <w:r w:rsidR="00DA67E8" w:rsidRPr="00F62DC2">
        <w:rPr>
          <w:rFonts w:ascii="Arial" w:hAnsi="Arial" w:cs="Arial"/>
          <w:sz w:val="22"/>
          <w:szCs w:val="22"/>
        </w:rPr>
        <w:t xml:space="preserve">, </w:t>
      </w:r>
      <w:hyperlink r:id="rId100" w:history="1">
        <w:proofErr w:type="spellStart"/>
        <w:r w:rsidR="00DA67E8" w:rsidRPr="00F62DC2">
          <w:rPr>
            <w:rFonts w:ascii="Arial" w:hAnsi="Arial" w:cs="Arial"/>
            <w:sz w:val="22"/>
            <w:szCs w:val="22"/>
          </w:rPr>
          <w:t>Salgia</w:t>
        </w:r>
        <w:proofErr w:type="spellEnd"/>
        <w:r w:rsidR="00DA67E8" w:rsidRPr="00F62DC2">
          <w:rPr>
            <w:rFonts w:ascii="Arial" w:hAnsi="Arial" w:cs="Arial"/>
            <w:sz w:val="22"/>
            <w:szCs w:val="22"/>
          </w:rPr>
          <w:t xml:space="preserve"> R</w:t>
        </w:r>
      </w:hyperlink>
      <w:r w:rsidR="00DA67E8" w:rsidRPr="00F62DC2">
        <w:rPr>
          <w:rFonts w:ascii="Arial" w:hAnsi="Arial" w:cs="Arial"/>
          <w:sz w:val="22"/>
          <w:szCs w:val="22"/>
        </w:rPr>
        <w:t>. Functional analysis of c-Met/hepatocyte growth factor pathway in malignant pleural mesothelioma. Cancer Res 2006; 66(1):352-61.</w:t>
      </w:r>
    </w:p>
    <w:p w14:paraId="149C21E6" w14:textId="77777777" w:rsidR="00DA67E8" w:rsidRPr="00F62DC2" w:rsidRDefault="00DA67E8" w:rsidP="00F62DC2">
      <w:pPr>
        <w:jc w:val="both"/>
        <w:rPr>
          <w:rFonts w:ascii="Arial" w:hAnsi="Arial" w:cs="Arial"/>
          <w:sz w:val="22"/>
          <w:szCs w:val="22"/>
        </w:rPr>
      </w:pPr>
    </w:p>
    <w:p w14:paraId="44CD38BE" w14:textId="77777777" w:rsidR="00DA67E8" w:rsidRPr="00F62DC2" w:rsidRDefault="00625F72" w:rsidP="00F62DC2">
      <w:pPr>
        <w:jc w:val="both"/>
        <w:rPr>
          <w:rFonts w:ascii="Arial" w:hAnsi="Arial" w:cs="Arial"/>
          <w:sz w:val="22"/>
          <w:szCs w:val="22"/>
        </w:rPr>
      </w:pPr>
      <w:hyperlink r:id="rId101" w:history="1">
        <w:r w:rsidR="00DA67E8" w:rsidRPr="00F62DC2">
          <w:rPr>
            <w:rFonts w:ascii="Arial" w:hAnsi="Arial" w:cs="Arial"/>
            <w:sz w:val="22"/>
            <w:szCs w:val="22"/>
          </w:rPr>
          <w:t>Lee JH</w:t>
        </w:r>
      </w:hyperlink>
      <w:r w:rsidR="00DA67E8" w:rsidRPr="00F62DC2">
        <w:rPr>
          <w:rFonts w:ascii="Arial" w:hAnsi="Arial" w:cs="Arial"/>
          <w:sz w:val="22"/>
          <w:szCs w:val="22"/>
        </w:rPr>
        <w:t xml:space="preserve">, </w:t>
      </w:r>
      <w:hyperlink r:id="rId102" w:history="1">
        <w:r w:rsidR="00DA67E8" w:rsidRPr="00F62DC2">
          <w:rPr>
            <w:rFonts w:ascii="Arial" w:hAnsi="Arial" w:cs="Arial"/>
            <w:sz w:val="22"/>
            <w:szCs w:val="22"/>
          </w:rPr>
          <w:t>Park JH</w:t>
        </w:r>
      </w:hyperlink>
      <w:r w:rsidR="00DA67E8" w:rsidRPr="00F62DC2">
        <w:rPr>
          <w:rFonts w:ascii="Arial" w:hAnsi="Arial" w:cs="Arial"/>
          <w:sz w:val="22"/>
          <w:szCs w:val="22"/>
        </w:rPr>
        <w:t xml:space="preserve">, </w:t>
      </w:r>
      <w:hyperlink r:id="rId103" w:history="1">
        <w:r w:rsidR="00DA67E8" w:rsidRPr="00F62DC2">
          <w:rPr>
            <w:rFonts w:ascii="Arial" w:hAnsi="Arial" w:cs="Arial"/>
            <w:sz w:val="22"/>
            <w:szCs w:val="22"/>
          </w:rPr>
          <w:t>Jung Y</w:t>
        </w:r>
      </w:hyperlink>
      <w:r w:rsidR="00DA67E8" w:rsidRPr="00F62DC2">
        <w:rPr>
          <w:rFonts w:ascii="Arial" w:hAnsi="Arial" w:cs="Arial"/>
          <w:sz w:val="22"/>
          <w:szCs w:val="22"/>
        </w:rPr>
        <w:t xml:space="preserve">, </w:t>
      </w:r>
      <w:hyperlink r:id="rId104" w:history="1">
        <w:r w:rsidR="00DA67E8" w:rsidRPr="00F62DC2">
          <w:rPr>
            <w:rFonts w:ascii="Arial" w:hAnsi="Arial" w:cs="Arial"/>
            <w:sz w:val="22"/>
            <w:szCs w:val="22"/>
          </w:rPr>
          <w:t>Kim JH</w:t>
        </w:r>
      </w:hyperlink>
      <w:r w:rsidR="00DA67E8" w:rsidRPr="00F62DC2">
        <w:rPr>
          <w:rFonts w:ascii="Arial" w:hAnsi="Arial" w:cs="Arial"/>
          <w:sz w:val="22"/>
          <w:szCs w:val="22"/>
        </w:rPr>
        <w:t xml:space="preserve">, </w:t>
      </w:r>
      <w:hyperlink r:id="rId105" w:history="1">
        <w:r w:rsidR="00DA67E8" w:rsidRPr="00F62DC2">
          <w:rPr>
            <w:rFonts w:ascii="Arial" w:hAnsi="Arial" w:cs="Arial"/>
            <w:sz w:val="22"/>
            <w:szCs w:val="22"/>
          </w:rPr>
          <w:t>Jong HS</w:t>
        </w:r>
      </w:hyperlink>
      <w:r w:rsidR="00DA67E8" w:rsidRPr="00F62DC2">
        <w:rPr>
          <w:rFonts w:ascii="Arial" w:hAnsi="Arial" w:cs="Arial"/>
          <w:sz w:val="22"/>
          <w:szCs w:val="22"/>
        </w:rPr>
        <w:t xml:space="preserve">, </w:t>
      </w:r>
      <w:hyperlink r:id="rId106" w:history="1">
        <w:r w:rsidR="00DA67E8" w:rsidRPr="00F62DC2">
          <w:rPr>
            <w:rFonts w:ascii="Arial" w:hAnsi="Arial" w:cs="Arial"/>
            <w:sz w:val="22"/>
            <w:szCs w:val="22"/>
          </w:rPr>
          <w:t>Kim TY</w:t>
        </w:r>
      </w:hyperlink>
      <w:r w:rsidR="00DA67E8" w:rsidRPr="00F62DC2">
        <w:rPr>
          <w:rFonts w:ascii="Arial" w:hAnsi="Arial" w:cs="Arial"/>
          <w:sz w:val="22"/>
          <w:szCs w:val="22"/>
        </w:rPr>
        <w:t xml:space="preserve">, Bang YJ. Histone deacetylase inhibitor enhances 5-fluorouracil cytotoxicity by down-regulating thymidylate synthase in human cancer cells. Mol Cancer </w:t>
      </w:r>
      <w:proofErr w:type="spellStart"/>
      <w:r w:rsidR="00DA67E8" w:rsidRPr="00F62DC2">
        <w:rPr>
          <w:rFonts w:ascii="Arial" w:hAnsi="Arial" w:cs="Arial"/>
          <w:sz w:val="22"/>
          <w:szCs w:val="22"/>
        </w:rPr>
        <w:t>Ther</w:t>
      </w:r>
      <w:proofErr w:type="spellEnd"/>
      <w:r w:rsidR="00DA67E8" w:rsidRPr="00F62DC2">
        <w:rPr>
          <w:rFonts w:ascii="Arial" w:hAnsi="Arial" w:cs="Arial"/>
          <w:sz w:val="22"/>
          <w:szCs w:val="22"/>
        </w:rPr>
        <w:t xml:space="preserve"> 2006. 5(12):3085-95</w:t>
      </w:r>
    </w:p>
    <w:p w14:paraId="10069D66" w14:textId="77777777" w:rsidR="00DA67E8" w:rsidRPr="00F62DC2" w:rsidRDefault="00DA67E8" w:rsidP="00F62DC2">
      <w:pPr>
        <w:jc w:val="both"/>
        <w:rPr>
          <w:rFonts w:ascii="Arial" w:hAnsi="Arial" w:cs="Arial"/>
          <w:sz w:val="22"/>
          <w:szCs w:val="22"/>
        </w:rPr>
      </w:pPr>
    </w:p>
    <w:p w14:paraId="68D1012F" w14:textId="77777777" w:rsidR="00DA67E8" w:rsidRPr="00F62DC2" w:rsidRDefault="00625F72" w:rsidP="00F62DC2">
      <w:pPr>
        <w:jc w:val="both"/>
        <w:rPr>
          <w:rFonts w:ascii="Arial" w:hAnsi="Arial" w:cs="Arial"/>
          <w:sz w:val="22"/>
          <w:szCs w:val="22"/>
        </w:rPr>
      </w:pPr>
      <w:hyperlink r:id="rId107" w:history="1">
        <w:r w:rsidR="00DA67E8" w:rsidRPr="00F62DC2">
          <w:rPr>
            <w:rFonts w:ascii="Arial" w:hAnsi="Arial" w:cs="Arial"/>
            <w:sz w:val="22"/>
            <w:szCs w:val="22"/>
          </w:rPr>
          <w:t>Longley DB</w:t>
        </w:r>
      </w:hyperlink>
      <w:r w:rsidR="00DA67E8" w:rsidRPr="00F62DC2">
        <w:rPr>
          <w:rFonts w:ascii="Arial" w:hAnsi="Arial" w:cs="Arial"/>
          <w:sz w:val="22"/>
          <w:szCs w:val="22"/>
        </w:rPr>
        <w:t xml:space="preserve">, </w:t>
      </w:r>
      <w:hyperlink r:id="rId108" w:history="1">
        <w:r w:rsidR="00DA67E8" w:rsidRPr="00F62DC2">
          <w:rPr>
            <w:rFonts w:ascii="Arial" w:hAnsi="Arial" w:cs="Arial"/>
            <w:sz w:val="22"/>
            <w:szCs w:val="22"/>
          </w:rPr>
          <w:t>Ferguson PR</w:t>
        </w:r>
      </w:hyperlink>
      <w:r w:rsidR="00DA67E8" w:rsidRPr="00F62DC2">
        <w:rPr>
          <w:rFonts w:ascii="Arial" w:hAnsi="Arial" w:cs="Arial"/>
          <w:sz w:val="22"/>
          <w:szCs w:val="22"/>
        </w:rPr>
        <w:t xml:space="preserve">, </w:t>
      </w:r>
      <w:hyperlink r:id="rId109" w:history="1">
        <w:r w:rsidR="00DA67E8" w:rsidRPr="00F62DC2">
          <w:rPr>
            <w:rFonts w:ascii="Arial" w:hAnsi="Arial" w:cs="Arial"/>
            <w:sz w:val="22"/>
            <w:szCs w:val="22"/>
          </w:rPr>
          <w:t>Boyer J</w:t>
        </w:r>
      </w:hyperlink>
      <w:r w:rsidR="00DA67E8" w:rsidRPr="00F62DC2">
        <w:rPr>
          <w:rFonts w:ascii="Arial" w:hAnsi="Arial" w:cs="Arial"/>
          <w:sz w:val="22"/>
          <w:szCs w:val="22"/>
        </w:rPr>
        <w:t xml:space="preserve">, </w:t>
      </w:r>
      <w:hyperlink r:id="rId110" w:history="1">
        <w:r w:rsidR="00DA67E8" w:rsidRPr="00F62DC2">
          <w:rPr>
            <w:rFonts w:ascii="Arial" w:hAnsi="Arial" w:cs="Arial"/>
            <w:sz w:val="22"/>
            <w:szCs w:val="22"/>
          </w:rPr>
          <w:t>Latif T</w:t>
        </w:r>
      </w:hyperlink>
      <w:r w:rsidR="00DA67E8" w:rsidRPr="00F62DC2">
        <w:rPr>
          <w:rFonts w:ascii="Arial" w:hAnsi="Arial" w:cs="Arial"/>
          <w:sz w:val="22"/>
          <w:szCs w:val="22"/>
        </w:rPr>
        <w:t xml:space="preserve">, </w:t>
      </w:r>
      <w:hyperlink r:id="rId111" w:history="1">
        <w:r w:rsidR="00DA67E8" w:rsidRPr="00F62DC2">
          <w:rPr>
            <w:rFonts w:ascii="Arial" w:hAnsi="Arial" w:cs="Arial"/>
            <w:sz w:val="22"/>
            <w:szCs w:val="22"/>
          </w:rPr>
          <w:t>Lynch M</w:t>
        </w:r>
      </w:hyperlink>
      <w:r w:rsidR="00DA67E8" w:rsidRPr="00F62DC2">
        <w:rPr>
          <w:rFonts w:ascii="Arial" w:hAnsi="Arial" w:cs="Arial"/>
          <w:sz w:val="22"/>
          <w:szCs w:val="22"/>
        </w:rPr>
        <w:t xml:space="preserve">, </w:t>
      </w:r>
      <w:hyperlink r:id="rId112" w:history="1">
        <w:r w:rsidR="00DA67E8" w:rsidRPr="00F62DC2">
          <w:rPr>
            <w:rFonts w:ascii="Arial" w:hAnsi="Arial" w:cs="Arial"/>
            <w:sz w:val="22"/>
            <w:szCs w:val="22"/>
          </w:rPr>
          <w:t>Maxwell P</w:t>
        </w:r>
      </w:hyperlink>
      <w:r w:rsidR="00DA67E8" w:rsidRPr="00F62DC2">
        <w:rPr>
          <w:rFonts w:ascii="Arial" w:hAnsi="Arial" w:cs="Arial"/>
          <w:sz w:val="22"/>
          <w:szCs w:val="22"/>
        </w:rPr>
        <w:t xml:space="preserve">, </w:t>
      </w:r>
      <w:hyperlink r:id="rId113" w:history="1">
        <w:r w:rsidR="00DA67E8" w:rsidRPr="00F62DC2">
          <w:rPr>
            <w:rFonts w:ascii="Arial" w:hAnsi="Arial" w:cs="Arial"/>
            <w:sz w:val="22"/>
            <w:szCs w:val="22"/>
          </w:rPr>
          <w:t>Harkin DP</w:t>
        </w:r>
      </w:hyperlink>
      <w:r w:rsidR="00DA67E8" w:rsidRPr="00F62DC2">
        <w:rPr>
          <w:rFonts w:ascii="Arial" w:hAnsi="Arial" w:cs="Arial"/>
          <w:sz w:val="22"/>
          <w:szCs w:val="22"/>
        </w:rPr>
        <w:t xml:space="preserve">, </w:t>
      </w:r>
      <w:hyperlink r:id="rId114" w:history="1">
        <w:r w:rsidR="00DA67E8" w:rsidRPr="00F62DC2">
          <w:rPr>
            <w:rFonts w:ascii="Arial" w:hAnsi="Arial" w:cs="Arial"/>
            <w:sz w:val="22"/>
            <w:szCs w:val="22"/>
          </w:rPr>
          <w:t>Johnston PG</w:t>
        </w:r>
      </w:hyperlink>
      <w:r w:rsidR="00DA67E8" w:rsidRPr="00F62DC2">
        <w:rPr>
          <w:rFonts w:ascii="Arial" w:hAnsi="Arial" w:cs="Arial"/>
          <w:sz w:val="22"/>
          <w:szCs w:val="22"/>
        </w:rPr>
        <w:t>. Characterization of a thymidylate synthase (TS)-inducible cell line: a model system for studying sensitivity to TS- and non-TS-targeted chemotherapies. Clin Cancer Res 2001. 7(11):3533-9.</w:t>
      </w:r>
    </w:p>
    <w:p w14:paraId="35274B94" w14:textId="77777777" w:rsidR="00DA67E8" w:rsidRPr="00F62DC2" w:rsidRDefault="00DA67E8" w:rsidP="00F62DC2">
      <w:pPr>
        <w:jc w:val="both"/>
        <w:rPr>
          <w:rFonts w:ascii="Arial" w:hAnsi="Arial" w:cs="Arial"/>
          <w:sz w:val="22"/>
          <w:szCs w:val="22"/>
        </w:rPr>
      </w:pPr>
    </w:p>
    <w:p w14:paraId="3F8B4EFF" w14:textId="77777777" w:rsidR="00DA67E8" w:rsidRPr="00F62DC2" w:rsidRDefault="00625F72" w:rsidP="00F62DC2">
      <w:pPr>
        <w:jc w:val="both"/>
        <w:rPr>
          <w:rFonts w:ascii="Arial" w:hAnsi="Arial" w:cs="Arial"/>
          <w:sz w:val="22"/>
          <w:szCs w:val="22"/>
        </w:rPr>
      </w:pPr>
      <w:hyperlink r:id="rId115" w:history="1">
        <w:r w:rsidR="00DA67E8" w:rsidRPr="00F62DC2">
          <w:rPr>
            <w:rFonts w:ascii="Arial" w:hAnsi="Arial" w:cs="Arial"/>
            <w:sz w:val="22"/>
            <w:szCs w:val="22"/>
          </w:rPr>
          <w:t>Mohiuddin I</w:t>
        </w:r>
      </w:hyperlink>
      <w:r w:rsidR="00DA67E8" w:rsidRPr="00F62DC2">
        <w:rPr>
          <w:rFonts w:ascii="Arial" w:hAnsi="Arial" w:cs="Arial"/>
          <w:sz w:val="22"/>
          <w:szCs w:val="22"/>
        </w:rPr>
        <w:t xml:space="preserve">, </w:t>
      </w:r>
      <w:hyperlink r:id="rId116" w:history="1">
        <w:r w:rsidR="00DA67E8" w:rsidRPr="00F62DC2">
          <w:rPr>
            <w:rFonts w:ascii="Arial" w:hAnsi="Arial" w:cs="Arial"/>
            <w:sz w:val="22"/>
            <w:szCs w:val="22"/>
          </w:rPr>
          <w:t>Cao X</w:t>
        </w:r>
      </w:hyperlink>
      <w:r w:rsidR="00DA67E8" w:rsidRPr="00F62DC2">
        <w:rPr>
          <w:rFonts w:ascii="Arial" w:hAnsi="Arial" w:cs="Arial"/>
          <w:sz w:val="22"/>
          <w:szCs w:val="22"/>
        </w:rPr>
        <w:t xml:space="preserve">, </w:t>
      </w:r>
      <w:hyperlink r:id="rId117" w:history="1">
        <w:proofErr w:type="spellStart"/>
        <w:r w:rsidR="00DA67E8" w:rsidRPr="00F62DC2">
          <w:rPr>
            <w:rFonts w:ascii="Arial" w:hAnsi="Arial" w:cs="Arial"/>
            <w:sz w:val="22"/>
            <w:szCs w:val="22"/>
          </w:rPr>
          <w:t>Ozvaran</w:t>
        </w:r>
        <w:proofErr w:type="spellEnd"/>
        <w:r w:rsidR="00DA67E8" w:rsidRPr="00F62DC2">
          <w:rPr>
            <w:rFonts w:ascii="Arial" w:hAnsi="Arial" w:cs="Arial"/>
            <w:sz w:val="22"/>
            <w:szCs w:val="22"/>
          </w:rPr>
          <w:t xml:space="preserve"> MK</w:t>
        </w:r>
      </w:hyperlink>
      <w:r w:rsidR="00DA67E8" w:rsidRPr="00F62DC2">
        <w:rPr>
          <w:rFonts w:ascii="Arial" w:hAnsi="Arial" w:cs="Arial"/>
          <w:sz w:val="22"/>
          <w:szCs w:val="22"/>
        </w:rPr>
        <w:t xml:space="preserve">, </w:t>
      </w:r>
      <w:hyperlink r:id="rId118" w:history="1">
        <w:proofErr w:type="spellStart"/>
        <w:r w:rsidR="00DA67E8" w:rsidRPr="00F62DC2">
          <w:rPr>
            <w:rFonts w:ascii="Arial" w:hAnsi="Arial" w:cs="Arial"/>
            <w:sz w:val="22"/>
            <w:szCs w:val="22"/>
          </w:rPr>
          <w:t>Zumstein</w:t>
        </w:r>
        <w:proofErr w:type="spellEnd"/>
        <w:r w:rsidR="00DA67E8" w:rsidRPr="00F62DC2">
          <w:rPr>
            <w:rFonts w:ascii="Arial" w:hAnsi="Arial" w:cs="Arial"/>
            <w:sz w:val="22"/>
            <w:szCs w:val="22"/>
          </w:rPr>
          <w:t xml:space="preserve"> L</w:t>
        </w:r>
      </w:hyperlink>
      <w:r w:rsidR="00DA67E8" w:rsidRPr="00F62DC2">
        <w:rPr>
          <w:rFonts w:ascii="Arial" w:hAnsi="Arial" w:cs="Arial"/>
          <w:sz w:val="22"/>
          <w:szCs w:val="22"/>
        </w:rPr>
        <w:t xml:space="preserve">, </w:t>
      </w:r>
      <w:hyperlink r:id="rId119" w:history="1">
        <w:proofErr w:type="spellStart"/>
        <w:r w:rsidR="00DA67E8" w:rsidRPr="00F62DC2">
          <w:rPr>
            <w:rFonts w:ascii="Arial" w:hAnsi="Arial" w:cs="Arial"/>
            <w:sz w:val="22"/>
            <w:szCs w:val="22"/>
          </w:rPr>
          <w:t>Chada</w:t>
        </w:r>
        <w:proofErr w:type="spellEnd"/>
        <w:r w:rsidR="00DA67E8" w:rsidRPr="00F62DC2">
          <w:rPr>
            <w:rFonts w:ascii="Arial" w:hAnsi="Arial" w:cs="Arial"/>
            <w:sz w:val="22"/>
            <w:szCs w:val="22"/>
          </w:rPr>
          <w:t xml:space="preserve"> S</w:t>
        </w:r>
      </w:hyperlink>
      <w:r w:rsidR="00DA67E8" w:rsidRPr="00F62DC2">
        <w:rPr>
          <w:rFonts w:ascii="Arial" w:hAnsi="Arial" w:cs="Arial"/>
          <w:sz w:val="22"/>
          <w:szCs w:val="22"/>
        </w:rPr>
        <w:t xml:space="preserve">, </w:t>
      </w:r>
      <w:hyperlink r:id="rId120" w:history="1">
        <w:r w:rsidR="00DA67E8" w:rsidRPr="00F62DC2">
          <w:rPr>
            <w:rFonts w:ascii="Arial" w:hAnsi="Arial" w:cs="Arial"/>
            <w:sz w:val="22"/>
            <w:szCs w:val="22"/>
          </w:rPr>
          <w:t>Smythe WR</w:t>
        </w:r>
      </w:hyperlink>
      <w:r w:rsidR="00DA67E8" w:rsidRPr="00F62DC2">
        <w:rPr>
          <w:rFonts w:ascii="Arial" w:hAnsi="Arial" w:cs="Arial"/>
          <w:sz w:val="22"/>
          <w:szCs w:val="22"/>
        </w:rPr>
        <w:t xml:space="preserve">. Phosphatase and </w:t>
      </w:r>
      <w:proofErr w:type="spellStart"/>
      <w:r w:rsidR="00DA67E8" w:rsidRPr="00F62DC2">
        <w:rPr>
          <w:rFonts w:ascii="Arial" w:hAnsi="Arial" w:cs="Arial"/>
          <w:sz w:val="22"/>
          <w:szCs w:val="22"/>
        </w:rPr>
        <w:t>tensin</w:t>
      </w:r>
      <w:proofErr w:type="spellEnd"/>
      <w:r w:rsidR="00DA67E8" w:rsidRPr="00F62DC2">
        <w:rPr>
          <w:rFonts w:ascii="Arial" w:hAnsi="Arial" w:cs="Arial"/>
          <w:sz w:val="22"/>
          <w:szCs w:val="22"/>
        </w:rPr>
        <w:t xml:space="preserve"> </w:t>
      </w:r>
      <w:proofErr w:type="spellStart"/>
      <w:r w:rsidR="00DA67E8" w:rsidRPr="00F62DC2">
        <w:rPr>
          <w:rFonts w:ascii="Arial" w:hAnsi="Arial" w:cs="Arial"/>
          <w:sz w:val="22"/>
          <w:szCs w:val="22"/>
        </w:rPr>
        <w:t>analog</w:t>
      </w:r>
      <w:proofErr w:type="spellEnd"/>
      <w:r w:rsidR="00DA67E8" w:rsidRPr="00F62DC2">
        <w:rPr>
          <w:rFonts w:ascii="Arial" w:hAnsi="Arial" w:cs="Arial"/>
          <w:sz w:val="22"/>
          <w:szCs w:val="22"/>
        </w:rPr>
        <w:t xml:space="preserve"> gene overexpression engenders cellular death in human malignant mesothelioma cells via inhibition of AKT phosphorylation. </w:t>
      </w:r>
      <w:r w:rsidR="00E4354A" w:rsidRPr="00F62DC2">
        <w:rPr>
          <w:rFonts w:ascii="Arial" w:hAnsi="Arial" w:cs="Arial"/>
          <w:sz w:val="22"/>
          <w:szCs w:val="22"/>
        </w:rPr>
        <w:t xml:space="preserve">Ann </w:t>
      </w:r>
      <w:proofErr w:type="spellStart"/>
      <w:r w:rsidR="00E4354A" w:rsidRPr="00F62DC2">
        <w:rPr>
          <w:rFonts w:ascii="Arial" w:hAnsi="Arial" w:cs="Arial"/>
          <w:sz w:val="22"/>
          <w:szCs w:val="22"/>
        </w:rPr>
        <w:t>Surg</w:t>
      </w:r>
      <w:proofErr w:type="spellEnd"/>
      <w:r w:rsidR="00E4354A" w:rsidRPr="00F62DC2">
        <w:rPr>
          <w:rFonts w:ascii="Arial" w:hAnsi="Arial" w:cs="Arial"/>
          <w:sz w:val="22"/>
          <w:szCs w:val="22"/>
        </w:rPr>
        <w:t xml:space="preserve"> Oncol 2002;9(3):310-6.</w:t>
      </w:r>
    </w:p>
    <w:p w14:paraId="5E626B7F" w14:textId="77777777" w:rsidR="00DA67E8" w:rsidRPr="00F62DC2" w:rsidRDefault="00DA67E8" w:rsidP="00F62DC2">
      <w:pPr>
        <w:jc w:val="both"/>
        <w:rPr>
          <w:rFonts w:ascii="Arial" w:hAnsi="Arial" w:cs="Arial"/>
          <w:sz w:val="22"/>
          <w:szCs w:val="22"/>
        </w:rPr>
      </w:pPr>
    </w:p>
    <w:p w14:paraId="00C2BF55" w14:textId="77777777" w:rsidR="00DA67E8" w:rsidRDefault="00E4354A" w:rsidP="00F62DC2">
      <w:pPr>
        <w:jc w:val="both"/>
        <w:rPr>
          <w:rFonts w:ascii="Arial" w:hAnsi="Arial" w:cs="Arial"/>
          <w:sz w:val="22"/>
          <w:szCs w:val="22"/>
        </w:rPr>
      </w:pPr>
      <w:proofErr w:type="spellStart"/>
      <w:r w:rsidRPr="00F62DC2">
        <w:rPr>
          <w:rFonts w:ascii="Arial" w:hAnsi="Arial" w:cs="Arial"/>
          <w:sz w:val="22"/>
          <w:szCs w:val="22"/>
        </w:rPr>
        <w:t>Muers</w:t>
      </w:r>
      <w:proofErr w:type="spellEnd"/>
      <w:r w:rsidRPr="00F62DC2">
        <w:rPr>
          <w:rFonts w:ascii="Arial" w:hAnsi="Arial" w:cs="Arial"/>
          <w:sz w:val="22"/>
          <w:szCs w:val="22"/>
        </w:rPr>
        <w:t xml:space="preserve"> MF, Stephens RJ, Fisher P, et al. </w:t>
      </w:r>
      <w:r w:rsidR="00DA67E8" w:rsidRPr="00F62DC2">
        <w:rPr>
          <w:rFonts w:ascii="Arial" w:hAnsi="Arial" w:cs="Arial"/>
          <w:sz w:val="22"/>
          <w:szCs w:val="22"/>
        </w:rPr>
        <w:t>Active symptom control with or without chemotherapy in the treatment of patients with malignant pleural mesothelioma (MS01): a multicentre randomised trial. Lancet 2008;371(9625):1685-94.</w:t>
      </w:r>
    </w:p>
    <w:p w14:paraId="4A32CB56" w14:textId="77777777" w:rsidR="002A1DCC" w:rsidRDefault="002A1DCC" w:rsidP="00F62DC2">
      <w:pPr>
        <w:jc w:val="both"/>
        <w:rPr>
          <w:rFonts w:ascii="Arial" w:hAnsi="Arial" w:cs="Arial"/>
          <w:sz w:val="22"/>
          <w:szCs w:val="22"/>
        </w:rPr>
      </w:pPr>
    </w:p>
    <w:p w14:paraId="19AF8992" w14:textId="77777777" w:rsidR="002A1DCC" w:rsidRPr="00F62DC2" w:rsidRDefault="002A1DCC" w:rsidP="002A1DCC">
      <w:pPr>
        <w:jc w:val="both"/>
        <w:rPr>
          <w:rFonts w:ascii="Arial" w:hAnsi="Arial" w:cs="Arial"/>
          <w:sz w:val="22"/>
          <w:szCs w:val="22"/>
        </w:rPr>
      </w:pPr>
      <w:r w:rsidRPr="002A1DCC">
        <w:rPr>
          <w:rFonts w:ascii="Arial" w:hAnsi="Arial" w:cs="Arial"/>
          <w:sz w:val="22"/>
          <w:szCs w:val="22"/>
        </w:rPr>
        <w:t>O'Brien </w:t>
      </w:r>
      <w:r>
        <w:rPr>
          <w:rFonts w:ascii="Arial" w:hAnsi="Arial" w:cs="Arial"/>
          <w:sz w:val="22"/>
          <w:szCs w:val="22"/>
        </w:rPr>
        <w:t>M</w:t>
      </w:r>
      <w:r w:rsidRPr="002A1DCC">
        <w:rPr>
          <w:rFonts w:ascii="Arial" w:hAnsi="Arial" w:cs="Arial"/>
          <w:sz w:val="22"/>
          <w:szCs w:val="22"/>
        </w:rPr>
        <w:t>, Watkins D, Ryan C, et al. A randomised trial in malignant mesothelioma (M) of early (E) versus delayed (D) chemotherapy in symptomatically stable patients: the MED trial. Ann Oncol </w:t>
      </w:r>
      <w:proofErr w:type="gramStart"/>
      <w:r w:rsidRPr="002A1DCC">
        <w:rPr>
          <w:rFonts w:ascii="Arial" w:hAnsi="Arial" w:cs="Arial"/>
          <w:sz w:val="22"/>
          <w:szCs w:val="22"/>
        </w:rPr>
        <w:t>2005;17:270</w:t>
      </w:r>
      <w:proofErr w:type="gramEnd"/>
      <w:r w:rsidRPr="002A1DCC">
        <w:rPr>
          <w:rFonts w:ascii="Arial" w:hAnsi="Arial" w:cs="Arial"/>
          <w:sz w:val="22"/>
          <w:szCs w:val="22"/>
        </w:rPr>
        <w:t>-275.</w:t>
      </w:r>
    </w:p>
    <w:p w14:paraId="7E3D777C" w14:textId="77777777" w:rsidR="00DA67E8" w:rsidRPr="00F62DC2" w:rsidRDefault="00DA67E8" w:rsidP="00F62DC2">
      <w:pPr>
        <w:jc w:val="both"/>
        <w:rPr>
          <w:rFonts w:ascii="Arial" w:hAnsi="Arial" w:cs="Arial"/>
          <w:sz w:val="22"/>
          <w:szCs w:val="22"/>
        </w:rPr>
      </w:pPr>
    </w:p>
    <w:p w14:paraId="171DBAE6" w14:textId="77777777" w:rsidR="00DA67E8" w:rsidRPr="00F62DC2" w:rsidRDefault="00625F72" w:rsidP="00F62DC2">
      <w:pPr>
        <w:jc w:val="both"/>
        <w:rPr>
          <w:rFonts w:ascii="Arial" w:hAnsi="Arial" w:cs="Arial"/>
          <w:sz w:val="22"/>
          <w:szCs w:val="22"/>
        </w:rPr>
      </w:pPr>
      <w:hyperlink r:id="rId121" w:history="1">
        <w:r w:rsidR="00DA67E8" w:rsidRPr="00F62DC2">
          <w:rPr>
            <w:rFonts w:ascii="Arial" w:hAnsi="Arial" w:cs="Arial"/>
            <w:sz w:val="22"/>
            <w:szCs w:val="22"/>
          </w:rPr>
          <w:t>Okamoto J</w:t>
        </w:r>
      </w:hyperlink>
      <w:r w:rsidR="00DA67E8" w:rsidRPr="00F62DC2">
        <w:rPr>
          <w:rFonts w:ascii="Arial" w:hAnsi="Arial" w:cs="Arial"/>
          <w:sz w:val="22"/>
          <w:szCs w:val="22"/>
        </w:rPr>
        <w:t xml:space="preserve">, </w:t>
      </w:r>
      <w:hyperlink r:id="rId122" w:history="1">
        <w:proofErr w:type="spellStart"/>
        <w:r w:rsidR="00DA67E8" w:rsidRPr="00F62DC2">
          <w:rPr>
            <w:rFonts w:ascii="Arial" w:hAnsi="Arial" w:cs="Arial"/>
            <w:sz w:val="22"/>
            <w:szCs w:val="22"/>
          </w:rPr>
          <w:t>Mikami</w:t>
        </w:r>
        <w:proofErr w:type="spellEnd"/>
        <w:r w:rsidR="00DA67E8" w:rsidRPr="00F62DC2">
          <w:rPr>
            <w:rFonts w:ascii="Arial" w:hAnsi="Arial" w:cs="Arial"/>
            <w:sz w:val="22"/>
            <w:szCs w:val="22"/>
          </w:rPr>
          <w:t xml:space="preserve"> I</w:t>
        </w:r>
      </w:hyperlink>
      <w:r w:rsidR="00DA67E8" w:rsidRPr="00F62DC2">
        <w:rPr>
          <w:rFonts w:ascii="Arial" w:hAnsi="Arial" w:cs="Arial"/>
          <w:sz w:val="22"/>
          <w:szCs w:val="22"/>
        </w:rPr>
        <w:t xml:space="preserve">, </w:t>
      </w:r>
      <w:hyperlink r:id="rId123" w:history="1">
        <w:r w:rsidR="00DA67E8" w:rsidRPr="00F62DC2">
          <w:rPr>
            <w:rFonts w:ascii="Arial" w:hAnsi="Arial" w:cs="Arial"/>
            <w:sz w:val="22"/>
            <w:szCs w:val="22"/>
          </w:rPr>
          <w:t>Tominaga Y</w:t>
        </w:r>
      </w:hyperlink>
      <w:r w:rsidR="00DA67E8" w:rsidRPr="00F62DC2">
        <w:rPr>
          <w:rFonts w:ascii="Arial" w:hAnsi="Arial" w:cs="Arial"/>
          <w:sz w:val="22"/>
          <w:szCs w:val="22"/>
        </w:rPr>
        <w:t xml:space="preserve">, </w:t>
      </w:r>
      <w:hyperlink r:id="rId124" w:history="1">
        <w:r w:rsidR="00DA67E8" w:rsidRPr="00F62DC2">
          <w:rPr>
            <w:rFonts w:ascii="Arial" w:hAnsi="Arial" w:cs="Arial"/>
            <w:sz w:val="22"/>
            <w:szCs w:val="22"/>
          </w:rPr>
          <w:t>Kuchenbecker KM</w:t>
        </w:r>
      </w:hyperlink>
      <w:r w:rsidR="00DA67E8" w:rsidRPr="00F62DC2">
        <w:rPr>
          <w:rFonts w:ascii="Arial" w:hAnsi="Arial" w:cs="Arial"/>
          <w:sz w:val="22"/>
          <w:szCs w:val="22"/>
        </w:rPr>
        <w:t xml:space="preserve">, </w:t>
      </w:r>
      <w:hyperlink r:id="rId125" w:history="1">
        <w:r w:rsidR="00DA67E8" w:rsidRPr="00F62DC2">
          <w:rPr>
            <w:rFonts w:ascii="Arial" w:hAnsi="Arial" w:cs="Arial"/>
            <w:sz w:val="22"/>
            <w:szCs w:val="22"/>
          </w:rPr>
          <w:t>Lin YC</w:t>
        </w:r>
      </w:hyperlink>
      <w:r w:rsidR="00DA67E8" w:rsidRPr="00F62DC2">
        <w:rPr>
          <w:rFonts w:ascii="Arial" w:hAnsi="Arial" w:cs="Arial"/>
          <w:sz w:val="22"/>
          <w:szCs w:val="22"/>
        </w:rPr>
        <w:t xml:space="preserve">, </w:t>
      </w:r>
      <w:hyperlink r:id="rId126" w:history="1">
        <w:r w:rsidR="00DA67E8" w:rsidRPr="00F62DC2">
          <w:rPr>
            <w:rFonts w:ascii="Arial" w:hAnsi="Arial" w:cs="Arial"/>
            <w:sz w:val="22"/>
            <w:szCs w:val="22"/>
          </w:rPr>
          <w:t>Bravo DT</w:t>
        </w:r>
      </w:hyperlink>
      <w:r w:rsidR="00DA67E8" w:rsidRPr="00F62DC2">
        <w:rPr>
          <w:rFonts w:ascii="Arial" w:hAnsi="Arial" w:cs="Arial"/>
          <w:sz w:val="22"/>
          <w:szCs w:val="22"/>
        </w:rPr>
        <w:t xml:space="preserve">, </w:t>
      </w:r>
      <w:hyperlink r:id="rId127" w:history="1">
        <w:r w:rsidR="00DA67E8" w:rsidRPr="00F62DC2">
          <w:rPr>
            <w:rFonts w:ascii="Arial" w:hAnsi="Arial" w:cs="Arial"/>
            <w:sz w:val="22"/>
            <w:szCs w:val="22"/>
          </w:rPr>
          <w:t>Clement G</w:t>
        </w:r>
      </w:hyperlink>
      <w:r w:rsidR="00DA67E8" w:rsidRPr="00F62DC2">
        <w:rPr>
          <w:rFonts w:ascii="Arial" w:hAnsi="Arial" w:cs="Arial"/>
          <w:sz w:val="22"/>
          <w:szCs w:val="22"/>
        </w:rPr>
        <w:t xml:space="preserve">, </w:t>
      </w:r>
      <w:hyperlink r:id="rId128" w:history="1">
        <w:proofErr w:type="spellStart"/>
        <w:r w:rsidR="00DA67E8" w:rsidRPr="00F62DC2">
          <w:rPr>
            <w:rFonts w:ascii="Arial" w:hAnsi="Arial" w:cs="Arial"/>
            <w:sz w:val="22"/>
            <w:szCs w:val="22"/>
          </w:rPr>
          <w:t>Yagui</w:t>
        </w:r>
        <w:proofErr w:type="spellEnd"/>
        <w:r w:rsidR="00DA67E8" w:rsidRPr="00F62DC2">
          <w:rPr>
            <w:rFonts w:ascii="Arial" w:hAnsi="Arial" w:cs="Arial"/>
            <w:sz w:val="22"/>
            <w:szCs w:val="22"/>
          </w:rPr>
          <w:t>-Beltran A</w:t>
        </w:r>
      </w:hyperlink>
      <w:r w:rsidR="00DA67E8" w:rsidRPr="00F62DC2">
        <w:rPr>
          <w:rFonts w:ascii="Arial" w:hAnsi="Arial" w:cs="Arial"/>
          <w:sz w:val="22"/>
          <w:szCs w:val="22"/>
        </w:rPr>
        <w:t xml:space="preserve">, </w:t>
      </w:r>
      <w:hyperlink r:id="rId129" w:history="1">
        <w:r w:rsidR="00DA67E8" w:rsidRPr="00F62DC2">
          <w:rPr>
            <w:rFonts w:ascii="Arial" w:hAnsi="Arial" w:cs="Arial"/>
            <w:sz w:val="22"/>
            <w:szCs w:val="22"/>
          </w:rPr>
          <w:t>Ray MR</w:t>
        </w:r>
      </w:hyperlink>
      <w:r w:rsidR="00DA67E8" w:rsidRPr="00F62DC2">
        <w:rPr>
          <w:rFonts w:ascii="Arial" w:hAnsi="Arial" w:cs="Arial"/>
          <w:sz w:val="22"/>
          <w:szCs w:val="22"/>
        </w:rPr>
        <w:t xml:space="preserve">, </w:t>
      </w:r>
      <w:hyperlink r:id="rId130" w:history="1">
        <w:r w:rsidR="00DA67E8" w:rsidRPr="00F62DC2">
          <w:rPr>
            <w:rFonts w:ascii="Arial" w:hAnsi="Arial" w:cs="Arial"/>
            <w:sz w:val="22"/>
            <w:szCs w:val="22"/>
          </w:rPr>
          <w:t>Koizumi K</w:t>
        </w:r>
      </w:hyperlink>
      <w:r w:rsidR="00DA67E8" w:rsidRPr="00F62DC2">
        <w:rPr>
          <w:rFonts w:ascii="Arial" w:hAnsi="Arial" w:cs="Arial"/>
          <w:sz w:val="22"/>
          <w:szCs w:val="22"/>
        </w:rPr>
        <w:t xml:space="preserve">, </w:t>
      </w:r>
      <w:hyperlink r:id="rId131" w:history="1">
        <w:r w:rsidR="00DA67E8" w:rsidRPr="00F62DC2">
          <w:rPr>
            <w:rFonts w:ascii="Arial" w:hAnsi="Arial" w:cs="Arial"/>
            <w:sz w:val="22"/>
            <w:szCs w:val="22"/>
          </w:rPr>
          <w:t>He B</w:t>
        </w:r>
      </w:hyperlink>
      <w:r w:rsidR="00DA67E8" w:rsidRPr="00F62DC2">
        <w:rPr>
          <w:rFonts w:ascii="Arial" w:hAnsi="Arial" w:cs="Arial"/>
          <w:sz w:val="22"/>
          <w:szCs w:val="22"/>
        </w:rPr>
        <w:t xml:space="preserve">, </w:t>
      </w:r>
      <w:hyperlink r:id="rId132" w:history="1">
        <w:proofErr w:type="spellStart"/>
        <w:r w:rsidR="00DA67E8" w:rsidRPr="00F62DC2">
          <w:rPr>
            <w:rFonts w:ascii="Arial" w:hAnsi="Arial" w:cs="Arial"/>
            <w:sz w:val="22"/>
            <w:szCs w:val="22"/>
          </w:rPr>
          <w:t>Jablons</w:t>
        </w:r>
        <w:proofErr w:type="spellEnd"/>
        <w:r w:rsidR="00DA67E8" w:rsidRPr="00F62DC2">
          <w:rPr>
            <w:rFonts w:ascii="Arial" w:hAnsi="Arial" w:cs="Arial"/>
            <w:sz w:val="22"/>
            <w:szCs w:val="22"/>
          </w:rPr>
          <w:t xml:space="preserve"> DM</w:t>
        </w:r>
      </w:hyperlink>
      <w:r w:rsidR="00DA67E8" w:rsidRPr="00F62DC2">
        <w:rPr>
          <w:rFonts w:ascii="Arial" w:hAnsi="Arial" w:cs="Arial"/>
          <w:sz w:val="22"/>
          <w:szCs w:val="22"/>
        </w:rPr>
        <w:t xml:space="preserve">. Inhibition of Hsp90 leads to cell cycle arrest and apoptosis in human malignant pleural mesothelioma. J </w:t>
      </w:r>
      <w:proofErr w:type="spellStart"/>
      <w:r w:rsidR="00DA67E8" w:rsidRPr="00F62DC2">
        <w:rPr>
          <w:rFonts w:ascii="Arial" w:hAnsi="Arial" w:cs="Arial"/>
          <w:sz w:val="22"/>
          <w:szCs w:val="22"/>
        </w:rPr>
        <w:t>Thorac</w:t>
      </w:r>
      <w:proofErr w:type="spellEnd"/>
      <w:r w:rsidR="00DA67E8" w:rsidRPr="00F62DC2">
        <w:rPr>
          <w:rFonts w:ascii="Arial" w:hAnsi="Arial" w:cs="Arial"/>
          <w:sz w:val="22"/>
          <w:szCs w:val="22"/>
        </w:rPr>
        <w:t xml:space="preserve"> Oncol 2008; 3(10):1089-95</w:t>
      </w:r>
    </w:p>
    <w:p w14:paraId="6A97BDED" w14:textId="77777777" w:rsidR="00DA67E8" w:rsidRPr="00F62DC2" w:rsidRDefault="00DA67E8" w:rsidP="00F62DC2">
      <w:pPr>
        <w:jc w:val="both"/>
        <w:rPr>
          <w:rFonts w:ascii="Arial" w:hAnsi="Arial" w:cs="Arial"/>
          <w:sz w:val="22"/>
          <w:szCs w:val="22"/>
        </w:rPr>
      </w:pPr>
    </w:p>
    <w:p w14:paraId="5A5E2C06" w14:textId="77777777" w:rsidR="00DA67E8" w:rsidRPr="00F62DC2" w:rsidRDefault="00625F72" w:rsidP="00F62DC2">
      <w:pPr>
        <w:jc w:val="both"/>
        <w:rPr>
          <w:rFonts w:ascii="Arial" w:hAnsi="Arial" w:cs="Arial"/>
          <w:sz w:val="22"/>
          <w:szCs w:val="22"/>
        </w:rPr>
      </w:pPr>
      <w:hyperlink r:id="rId133" w:history="1">
        <w:proofErr w:type="spellStart"/>
        <w:r w:rsidR="00DA67E8" w:rsidRPr="00F62DC2">
          <w:rPr>
            <w:rFonts w:ascii="Arial" w:hAnsi="Arial" w:cs="Arial"/>
            <w:sz w:val="22"/>
            <w:szCs w:val="22"/>
          </w:rPr>
          <w:t>Ou</w:t>
        </w:r>
        <w:proofErr w:type="spellEnd"/>
        <w:r w:rsidR="00DA67E8" w:rsidRPr="00F62DC2">
          <w:rPr>
            <w:rFonts w:ascii="Arial" w:hAnsi="Arial" w:cs="Arial"/>
            <w:sz w:val="22"/>
            <w:szCs w:val="22"/>
          </w:rPr>
          <w:t xml:space="preserve"> WB</w:t>
        </w:r>
      </w:hyperlink>
      <w:r w:rsidR="00DA67E8" w:rsidRPr="00F62DC2">
        <w:rPr>
          <w:rFonts w:ascii="Arial" w:hAnsi="Arial" w:cs="Arial"/>
          <w:sz w:val="22"/>
          <w:szCs w:val="22"/>
        </w:rPr>
        <w:t xml:space="preserve">, </w:t>
      </w:r>
      <w:hyperlink r:id="rId134" w:history="1">
        <w:proofErr w:type="spellStart"/>
        <w:r w:rsidR="00DA67E8" w:rsidRPr="00F62DC2">
          <w:rPr>
            <w:rFonts w:ascii="Arial" w:hAnsi="Arial" w:cs="Arial"/>
            <w:sz w:val="22"/>
            <w:szCs w:val="22"/>
          </w:rPr>
          <w:t>Corson</w:t>
        </w:r>
        <w:proofErr w:type="spellEnd"/>
        <w:r w:rsidR="00DA67E8" w:rsidRPr="00F62DC2">
          <w:rPr>
            <w:rFonts w:ascii="Arial" w:hAnsi="Arial" w:cs="Arial"/>
            <w:sz w:val="22"/>
            <w:szCs w:val="22"/>
          </w:rPr>
          <w:t xml:space="preserve"> JM</w:t>
        </w:r>
      </w:hyperlink>
      <w:r w:rsidR="00DA67E8" w:rsidRPr="00F62DC2">
        <w:rPr>
          <w:rFonts w:ascii="Arial" w:hAnsi="Arial" w:cs="Arial"/>
          <w:sz w:val="22"/>
          <w:szCs w:val="22"/>
        </w:rPr>
        <w:t xml:space="preserve">, </w:t>
      </w:r>
      <w:hyperlink r:id="rId135" w:history="1">
        <w:r w:rsidR="00DA67E8" w:rsidRPr="00F62DC2">
          <w:rPr>
            <w:rFonts w:ascii="Arial" w:hAnsi="Arial" w:cs="Arial"/>
            <w:sz w:val="22"/>
            <w:szCs w:val="22"/>
          </w:rPr>
          <w:t>Flynn DL</w:t>
        </w:r>
      </w:hyperlink>
      <w:r w:rsidR="00DA67E8" w:rsidRPr="00F62DC2">
        <w:rPr>
          <w:rFonts w:ascii="Arial" w:hAnsi="Arial" w:cs="Arial"/>
          <w:sz w:val="22"/>
          <w:szCs w:val="22"/>
        </w:rPr>
        <w:t xml:space="preserve">, </w:t>
      </w:r>
      <w:hyperlink r:id="rId136" w:history="1">
        <w:r w:rsidR="00DA67E8" w:rsidRPr="00F62DC2">
          <w:rPr>
            <w:rFonts w:ascii="Arial" w:hAnsi="Arial" w:cs="Arial"/>
            <w:sz w:val="22"/>
            <w:szCs w:val="22"/>
          </w:rPr>
          <w:t>Lu WP</w:t>
        </w:r>
      </w:hyperlink>
      <w:r w:rsidR="00DA67E8" w:rsidRPr="00F62DC2">
        <w:rPr>
          <w:rFonts w:ascii="Arial" w:hAnsi="Arial" w:cs="Arial"/>
          <w:sz w:val="22"/>
          <w:szCs w:val="22"/>
        </w:rPr>
        <w:t xml:space="preserve">, </w:t>
      </w:r>
      <w:hyperlink r:id="rId137" w:history="1">
        <w:r w:rsidR="00DA67E8" w:rsidRPr="00F62DC2">
          <w:rPr>
            <w:rFonts w:ascii="Arial" w:hAnsi="Arial" w:cs="Arial"/>
            <w:sz w:val="22"/>
            <w:szCs w:val="22"/>
          </w:rPr>
          <w:t>Wise SC</w:t>
        </w:r>
      </w:hyperlink>
      <w:r w:rsidR="00DA67E8" w:rsidRPr="00F62DC2">
        <w:rPr>
          <w:rFonts w:ascii="Arial" w:hAnsi="Arial" w:cs="Arial"/>
          <w:sz w:val="22"/>
          <w:szCs w:val="22"/>
        </w:rPr>
        <w:t xml:space="preserve">, </w:t>
      </w:r>
      <w:hyperlink r:id="rId138" w:history="1">
        <w:r w:rsidR="00DA67E8" w:rsidRPr="00F62DC2">
          <w:rPr>
            <w:rFonts w:ascii="Arial" w:hAnsi="Arial" w:cs="Arial"/>
            <w:sz w:val="22"/>
            <w:szCs w:val="22"/>
          </w:rPr>
          <w:t>Bueno R</w:t>
        </w:r>
      </w:hyperlink>
      <w:r w:rsidR="00DA67E8" w:rsidRPr="00F62DC2">
        <w:rPr>
          <w:rFonts w:ascii="Arial" w:hAnsi="Arial" w:cs="Arial"/>
          <w:sz w:val="22"/>
          <w:szCs w:val="22"/>
        </w:rPr>
        <w:t xml:space="preserve">, </w:t>
      </w:r>
      <w:hyperlink r:id="rId139" w:history="1">
        <w:proofErr w:type="spellStart"/>
        <w:r w:rsidR="00DA67E8" w:rsidRPr="00F62DC2">
          <w:rPr>
            <w:rFonts w:ascii="Arial" w:hAnsi="Arial" w:cs="Arial"/>
            <w:sz w:val="22"/>
            <w:szCs w:val="22"/>
          </w:rPr>
          <w:t>Sugarbaker</w:t>
        </w:r>
        <w:proofErr w:type="spellEnd"/>
        <w:r w:rsidR="00DA67E8" w:rsidRPr="00F62DC2">
          <w:rPr>
            <w:rFonts w:ascii="Arial" w:hAnsi="Arial" w:cs="Arial"/>
            <w:sz w:val="22"/>
            <w:szCs w:val="22"/>
          </w:rPr>
          <w:t xml:space="preserve"> DJ</w:t>
        </w:r>
      </w:hyperlink>
      <w:r w:rsidR="00DA67E8" w:rsidRPr="00F62DC2">
        <w:rPr>
          <w:rFonts w:ascii="Arial" w:hAnsi="Arial" w:cs="Arial"/>
          <w:sz w:val="22"/>
          <w:szCs w:val="22"/>
        </w:rPr>
        <w:t xml:space="preserve">, </w:t>
      </w:r>
      <w:hyperlink r:id="rId140" w:history="1">
        <w:r w:rsidR="00DA67E8" w:rsidRPr="00F62DC2">
          <w:rPr>
            <w:rFonts w:ascii="Arial" w:hAnsi="Arial" w:cs="Arial"/>
            <w:sz w:val="22"/>
            <w:szCs w:val="22"/>
          </w:rPr>
          <w:t>Fletcher JA</w:t>
        </w:r>
      </w:hyperlink>
      <w:r w:rsidR="00DA67E8" w:rsidRPr="00F62DC2">
        <w:rPr>
          <w:rFonts w:ascii="Arial" w:hAnsi="Arial" w:cs="Arial"/>
          <w:sz w:val="22"/>
          <w:szCs w:val="22"/>
        </w:rPr>
        <w:t>. AXL regulates mesothelioma proliferation and invasiveness. Oncogene 2011a; 30(14):1643-52.</w:t>
      </w:r>
    </w:p>
    <w:p w14:paraId="69CBD6D7" w14:textId="77777777" w:rsidR="00DA67E8" w:rsidRPr="00F62DC2" w:rsidRDefault="00DA67E8" w:rsidP="00F62DC2">
      <w:pPr>
        <w:jc w:val="both"/>
        <w:rPr>
          <w:rFonts w:ascii="Arial" w:hAnsi="Arial" w:cs="Arial"/>
          <w:sz w:val="22"/>
          <w:szCs w:val="22"/>
        </w:rPr>
      </w:pPr>
    </w:p>
    <w:p w14:paraId="4BFDEF30" w14:textId="77777777" w:rsidR="00DA67E8" w:rsidRPr="00F62DC2" w:rsidRDefault="00DA67E8" w:rsidP="00F62DC2">
      <w:pPr>
        <w:jc w:val="both"/>
        <w:rPr>
          <w:rFonts w:ascii="Arial" w:hAnsi="Arial" w:cs="Arial"/>
          <w:sz w:val="22"/>
          <w:szCs w:val="22"/>
        </w:rPr>
      </w:pPr>
      <w:proofErr w:type="spellStart"/>
      <w:r w:rsidRPr="00F62DC2">
        <w:rPr>
          <w:rFonts w:ascii="Arial" w:hAnsi="Arial" w:cs="Arial"/>
          <w:sz w:val="22"/>
          <w:szCs w:val="22"/>
        </w:rPr>
        <w:t>Ou</w:t>
      </w:r>
      <w:proofErr w:type="spellEnd"/>
      <w:r w:rsidRPr="00F62DC2">
        <w:rPr>
          <w:rFonts w:ascii="Arial" w:hAnsi="Arial" w:cs="Arial"/>
          <w:sz w:val="22"/>
          <w:szCs w:val="22"/>
        </w:rPr>
        <w:t xml:space="preserve"> W-</w:t>
      </w:r>
      <w:proofErr w:type="spellStart"/>
      <w:r w:rsidRPr="00F62DC2">
        <w:rPr>
          <w:rFonts w:ascii="Arial" w:hAnsi="Arial" w:cs="Arial"/>
          <w:sz w:val="22"/>
          <w:szCs w:val="22"/>
        </w:rPr>
        <w:t>B,Hubert</w:t>
      </w:r>
      <w:proofErr w:type="spellEnd"/>
      <w:r w:rsidRPr="00F62DC2">
        <w:rPr>
          <w:rFonts w:ascii="Arial" w:hAnsi="Arial" w:cs="Arial"/>
          <w:sz w:val="22"/>
          <w:szCs w:val="22"/>
        </w:rPr>
        <w:t xml:space="preserve"> C, </w:t>
      </w:r>
      <w:proofErr w:type="spellStart"/>
      <w:r w:rsidRPr="00F62DC2">
        <w:rPr>
          <w:rFonts w:ascii="Arial" w:hAnsi="Arial" w:cs="Arial"/>
          <w:sz w:val="22"/>
          <w:szCs w:val="22"/>
        </w:rPr>
        <w:t>Corson</w:t>
      </w:r>
      <w:proofErr w:type="spellEnd"/>
      <w:r w:rsidRPr="00F62DC2">
        <w:rPr>
          <w:rFonts w:ascii="Arial" w:hAnsi="Arial" w:cs="Arial"/>
          <w:sz w:val="22"/>
          <w:szCs w:val="22"/>
        </w:rPr>
        <w:t xml:space="preserve"> JM, Bueno R, Flynn DL, </w:t>
      </w:r>
      <w:proofErr w:type="spellStart"/>
      <w:r w:rsidRPr="00F62DC2">
        <w:rPr>
          <w:rFonts w:ascii="Arial" w:hAnsi="Arial" w:cs="Arial"/>
          <w:sz w:val="22"/>
          <w:szCs w:val="22"/>
        </w:rPr>
        <w:t>Sugarbaker</w:t>
      </w:r>
      <w:proofErr w:type="spellEnd"/>
      <w:r w:rsidRPr="00F62DC2">
        <w:rPr>
          <w:rFonts w:ascii="Arial" w:hAnsi="Arial" w:cs="Arial"/>
          <w:sz w:val="22"/>
          <w:szCs w:val="22"/>
        </w:rPr>
        <w:t xml:space="preserve"> DJ, Fletcher JA. Targeted Inhibition of Multiple Receptor Tyrosine Kinases in Mesothelioma. Neoplasia2011b; 13(1): 12–22</w:t>
      </w:r>
    </w:p>
    <w:p w14:paraId="67CDF2A8" w14:textId="77777777" w:rsidR="00DA67E8" w:rsidRPr="00F62DC2" w:rsidRDefault="00DA67E8" w:rsidP="00F62DC2">
      <w:pPr>
        <w:jc w:val="both"/>
        <w:rPr>
          <w:rFonts w:ascii="Arial" w:hAnsi="Arial" w:cs="Arial"/>
          <w:sz w:val="22"/>
          <w:szCs w:val="22"/>
        </w:rPr>
      </w:pPr>
    </w:p>
    <w:p w14:paraId="62E2F849" w14:textId="77777777" w:rsidR="00DA67E8" w:rsidRPr="00F62DC2" w:rsidRDefault="00625F72" w:rsidP="00F62DC2">
      <w:pPr>
        <w:jc w:val="both"/>
        <w:rPr>
          <w:rFonts w:ascii="Arial" w:hAnsi="Arial" w:cs="Arial"/>
          <w:sz w:val="22"/>
          <w:szCs w:val="22"/>
        </w:rPr>
      </w:pPr>
      <w:hyperlink r:id="rId141" w:history="1">
        <w:proofErr w:type="spellStart"/>
        <w:r w:rsidR="00DA67E8" w:rsidRPr="00F62DC2">
          <w:rPr>
            <w:rFonts w:ascii="Arial" w:hAnsi="Arial" w:cs="Arial"/>
            <w:sz w:val="22"/>
            <w:szCs w:val="22"/>
          </w:rPr>
          <w:t>Pespeni</w:t>
        </w:r>
        <w:proofErr w:type="spellEnd"/>
        <w:r w:rsidR="00DA67E8" w:rsidRPr="00F62DC2">
          <w:rPr>
            <w:rFonts w:ascii="Arial" w:hAnsi="Arial" w:cs="Arial"/>
            <w:sz w:val="22"/>
            <w:szCs w:val="22"/>
          </w:rPr>
          <w:t xml:space="preserve"> MH</w:t>
        </w:r>
      </w:hyperlink>
      <w:r w:rsidR="00DA67E8" w:rsidRPr="00F62DC2">
        <w:rPr>
          <w:rFonts w:ascii="Arial" w:hAnsi="Arial" w:cs="Arial"/>
          <w:sz w:val="22"/>
          <w:szCs w:val="22"/>
        </w:rPr>
        <w:t xml:space="preserve">, </w:t>
      </w:r>
      <w:hyperlink r:id="rId142" w:history="1">
        <w:proofErr w:type="spellStart"/>
        <w:r w:rsidR="00DA67E8" w:rsidRPr="00F62DC2">
          <w:rPr>
            <w:rFonts w:ascii="Arial" w:hAnsi="Arial" w:cs="Arial"/>
            <w:sz w:val="22"/>
            <w:szCs w:val="22"/>
          </w:rPr>
          <w:t>Hodnett</w:t>
        </w:r>
        <w:proofErr w:type="spellEnd"/>
        <w:r w:rsidR="00DA67E8" w:rsidRPr="00F62DC2">
          <w:rPr>
            <w:rFonts w:ascii="Arial" w:hAnsi="Arial" w:cs="Arial"/>
            <w:sz w:val="22"/>
            <w:szCs w:val="22"/>
          </w:rPr>
          <w:t xml:space="preserve"> M</w:t>
        </w:r>
      </w:hyperlink>
      <w:r w:rsidR="00DA67E8" w:rsidRPr="00F62DC2">
        <w:rPr>
          <w:rFonts w:ascii="Arial" w:hAnsi="Arial" w:cs="Arial"/>
          <w:sz w:val="22"/>
          <w:szCs w:val="22"/>
        </w:rPr>
        <w:t xml:space="preserve">, </w:t>
      </w:r>
      <w:hyperlink r:id="rId143" w:history="1">
        <w:proofErr w:type="spellStart"/>
        <w:r w:rsidR="00DA67E8" w:rsidRPr="00F62DC2">
          <w:rPr>
            <w:rFonts w:ascii="Arial" w:hAnsi="Arial" w:cs="Arial"/>
            <w:sz w:val="22"/>
            <w:szCs w:val="22"/>
          </w:rPr>
          <w:t>Abayasiriwardana</w:t>
        </w:r>
        <w:proofErr w:type="spellEnd"/>
        <w:r w:rsidR="00DA67E8" w:rsidRPr="00F62DC2">
          <w:rPr>
            <w:rFonts w:ascii="Arial" w:hAnsi="Arial" w:cs="Arial"/>
            <w:sz w:val="22"/>
            <w:szCs w:val="22"/>
          </w:rPr>
          <w:t xml:space="preserve"> KS</w:t>
        </w:r>
      </w:hyperlink>
      <w:r w:rsidR="00DA67E8" w:rsidRPr="00F62DC2">
        <w:rPr>
          <w:rFonts w:ascii="Arial" w:hAnsi="Arial" w:cs="Arial"/>
          <w:sz w:val="22"/>
          <w:szCs w:val="22"/>
        </w:rPr>
        <w:t xml:space="preserve">, </w:t>
      </w:r>
      <w:hyperlink r:id="rId144" w:history="1">
        <w:r w:rsidR="00DA67E8" w:rsidRPr="00F62DC2">
          <w:rPr>
            <w:rFonts w:ascii="Arial" w:hAnsi="Arial" w:cs="Arial"/>
            <w:sz w:val="22"/>
            <w:szCs w:val="22"/>
          </w:rPr>
          <w:t>Roux J</w:t>
        </w:r>
      </w:hyperlink>
      <w:r w:rsidR="00DA67E8" w:rsidRPr="00F62DC2">
        <w:rPr>
          <w:rFonts w:ascii="Arial" w:hAnsi="Arial" w:cs="Arial"/>
          <w:sz w:val="22"/>
          <w:szCs w:val="22"/>
        </w:rPr>
        <w:t xml:space="preserve">, </w:t>
      </w:r>
      <w:hyperlink r:id="rId145" w:history="1">
        <w:r w:rsidR="00DA67E8" w:rsidRPr="00F62DC2">
          <w:rPr>
            <w:rFonts w:ascii="Arial" w:hAnsi="Arial" w:cs="Arial"/>
            <w:sz w:val="22"/>
            <w:szCs w:val="22"/>
          </w:rPr>
          <w:t>Howard M</w:t>
        </w:r>
      </w:hyperlink>
      <w:r w:rsidR="00DA67E8" w:rsidRPr="00F62DC2">
        <w:rPr>
          <w:rFonts w:ascii="Arial" w:hAnsi="Arial" w:cs="Arial"/>
          <w:sz w:val="22"/>
          <w:szCs w:val="22"/>
        </w:rPr>
        <w:t xml:space="preserve">, </w:t>
      </w:r>
      <w:hyperlink r:id="rId146" w:history="1">
        <w:r w:rsidR="00DA67E8" w:rsidRPr="00F62DC2">
          <w:rPr>
            <w:rFonts w:ascii="Arial" w:hAnsi="Arial" w:cs="Arial"/>
            <w:sz w:val="22"/>
            <w:szCs w:val="22"/>
          </w:rPr>
          <w:t>Broaddus VC</w:t>
        </w:r>
      </w:hyperlink>
      <w:r w:rsidR="00DA67E8" w:rsidRPr="00F62DC2">
        <w:rPr>
          <w:rFonts w:ascii="Arial" w:hAnsi="Arial" w:cs="Arial"/>
          <w:sz w:val="22"/>
          <w:szCs w:val="22"/>
        </w:rPr>
        <w:t xml:space="preserve">, </w:t>
      </w:r>
      <w:hyperlink r:id="rId147" w:history="1">
        <w:proofErr w:type="spellStart"/>
        <w:r w:rsidR="00DA67E8" w:rsidRPr="00F62DC2">
          <w:rPr>
            <w:rFonts w:ascii="Arial" w:hAnsi="Arial" w:cs="Arial"/>
            <w:sz w:val="22"/>
            <w:szCs w:val="22"/>
          </w:rPr>
          <w:t>Pittet</w:t>
        </w:r>
        <w:proofErr w:type="spellEnd"/>
        <w:r w:rsidR="00DA67E8" w:rsidRPr="00F62DC2">
          <w:rPr>
            <w:rFonts w:ascii="Arial" w:hAnsi="Arial" w:cs="Arial"/>
            <w:sz w:val="22"/>
            <w:szCs w:val="22"/>
          </w:rPr>
          <w:t xml:space="preserve"> JF</w:t>
        </w:r>
      </w:hyperlink>
      <w:r w:rsidR="00DA67E8" w:rsidRPr="00F62DC2">
        <w:rPr>
          <w:rFonts w:ascii="Arial" w:hAnsi="Arial" w:cs="Arial"/>
          <w:sz w:val="22"/>
          <w:szCs w:val="22"/>
        </w:rPr>
        <w:t xml:space="preserve">. Sensitization of mesothelioma cells to </w:t>
      </w:r>
      <w:r w:rsidR="003220D2" w:rsidRPr="00F62DC2">
        <w:rPr>
          <w:rFonts w:ascii="Arial" w:hAnsi="Arial" w:cs="Arial"/>
          <w:sz w:val="22"/>
          <w:szCs w:val="22"/>
        </w:rPr>
        <w:t>tumour</w:t>
      </w:r>
      <w:r w:rsidR="00DA67E8" w:rsidRPr="00F62DC2">
        <w:rPr>
          <w:rFonts w:ascii="Arial" w:hAnsi="Arial" w:cs="Arial"/>
          <w:sz w:val="22"/>
          <w:szCs w:val="22"/>
        </w:rPr>
        <w:t xml:space="preserve"> necrosis factor-related apoptosis-inducing ligand-induced apoptosis by heat stress via the inhibition of the 3-phosphoinositide-dependent kinase 1/</w:t>
      </w:r>
      <w:proofErr w:type="spellStart"/>
      <w:r w:rsidR="00DA67E8" w:rsidRPr="00F62DC2">
        <w:rPr>
          <w:rFonts w:ascii="Arial" w:hAnsi="Arial" w:cs="Arial"/>
          <w:sz w:val="22"/>
          <w:szCs w:val="22"/>
        </w:rPr>
        <w:t>Akt</w:t>
      </w:r>
      <w:proofErr w:type="spellEnd"/>
      <w:r w:rsidR="00DA67E8" w:rsidRPr="00F62DC2">
        <w:rPr>
          <w:rFonts w:ascii="Arial" w:hAnsi="Arial" w:cs="Arial"/>
          <w:sz w:val="22"/>
          <w:szCs w:val="22"/>
        </w:rPr>
        <w:t xml:space="preserve"> pathway. Cancer Res 2007; 67(6): 2865-71</w:t>
      </w:r>
    </w:p>
    <w:p w14:paraId="385BFFE2" w14:textId="77777777" w:rsidR="00DA67E8" w:rsidRPr="00F62DC2" w:rsidRDefault="00DA67E8" w:rsidP="00F62DC2">
      <w:pPr>
        <w:jc w:val="both"/>
        <w:rPr>
          <w:rFonts w:ascii="Arial" w:hAnsi="Arial" w:cs="Arial"/>
          <w:sz w:val="22"/>
          <w:szCs w:val="22"/>
        </w:rPr>
      </w:pPr>
    </w:p>
    <w:p w14:paraId="3C744224" w14:textId="77777777" w:rsidR="00DA67E8" w:rsidRPr="00F62DC2" w:rsidRDefault="00625F72" w:rsidP="00F62DC2">
      <w:pPr>
        <w:jc w:val="both"/>
        <w:rPr>
          <w:rFonts w:ascii="Arial" w:hAnsi="Arial" w:cs="Arial"/>
          <w:sz w:val="22"/>
          <w:szCs w:val="22"/>
        </w:rPr>
      </w:pPr>
      <w:hyperlink r:id="rId148" w:history="1">
        <w:proofErr w:type="spellStart"/>
        <w:r w:rsidR="00DA67E8" w:rsidRPr="00F62DC2">
          <w:rPr>
            <w:rFonts w:ascii="Arial" w:hAnsi="Arial" w:cs="Arial"/>
            <w:sz w:val="22"/>
            <w:szCs w:val="22"/>
          </w:rPr>
          <w:t>Proia</w:t>
        </w:r>
        <w:proofErr w:type="spellEnd"/>
        <w:r w:rsidR="00DA67E8" w:rsidRPr="00F62DC2">
          <w:rPr>
            <w:rFonts w:ascii="Arial" w:hAnsi="Arial" w:cs="Arial"/>
            <w:sz w:val="22"/>
            <w:szCs w:val="22"/>
          </w:rPr>
          <w:t xml:space="preserve"> DA</w:t>
        </w:r>
      </w:hyperlink>
      <w:r w:rsidR="00DA67E8" w:rsidRPr="00F62DC2">
        <w:rPr>
          <w:rFonts w:ascii="Arial" w:hAnsi="Arial" w:cs="Arial"/>
          <w:sz w:val="22"/>
          <w:szCs w:val="22"/>
        </w:rPr>
        <w:t xml:space="preserve">, </w:t>
      </w:r>
      <w:hyperlink r:id="rId149" w:history="1">
        <w:r w:rsidR="00DA67E8" w:rsidRPr="00F62DC2">
          <w:rPr>
            <w:rFonts w:ascii="Arial" w:hAnsi="Arial" w:cs="Arial"/>
            <w:sz w:val="22"/>
            <w:szCs w:val="22"/>
          </w:rPr>
          <w:t>Foley KP</w:t>
        </w:r>
      </w:hyperlink>
      <w:r w:rsidR="00DA67E8" w:rsidRPr="00F62DC2">
        <w:rPr>
          <w:rFonts w:ascii="Arial" w:hAnsi="Arial" w:cs="Arial"/>
          <w:sz w:val="22"/>
          <w:szCs w:val="22"/>
        </w:rPr>
        <w:t xml:space="preserve">, </w:t>
      </w:r>
      <w:hyperlink r:id="rId150" w:history="1">
        <w:r w:rsidR="00DA67E8" w:rsidRPr="00F62DC2">
          <w:rPr>
            <w:rFonts w:ascii="Arial" w:hAnsi="Arial" w:cs="Arial"/>
            <w:sz w:val="22"/>
            <w:szCs w:val="22"/>
          </w:rPr>
          <w:t>Korbut T</w:t>
        </w:r>
      </w:hyperlink>
      <w:r w:rsidR="00DA67E8" w:rsidRPr="00F62DC2">
        <w:rPr>
          <w:rFonts w:ascii="Arial" w:hAnsi="Arial" w:cs="Arial"/>
          <w:sz w:val="22"/>
          <w:szCs w:val="22"/>
        </w:rPr>
        <w:t xml:space="preserve">, </w:t>
      </w:r>
      <w:hyperlink r:id="rId151" w:history="1">
        <w:r w:rsidR="00DA67E8" w:rsidRPr="00F62DC2">
          <w:rPr>
            <w:rFonts w:ascii="Arial" w:hAnsi="Arial" w:cs="Arial"/>
            <w:sz w:val="22"/>
            <w:szCs w:val="22"/>
          </w:rPr>
          <w:t>Sang J</w:t>
        </w:r>
      </w:hyperlink>
      <w:r w:rsidR="00DA67E8" w:rsidRPr="00F62DC2">
        <w:rPr>
          <w:rFonts w:ascii="Arial" w:hAnsi="Arial" w:cs="Arial"/>
          <w:sz w:val="22"/>
          <w:szCs w:val="22"/>
        </w:rPr>
        <w:t xml:space="preserve">, </w:t>
      </w:r>
      <w:hyperlink r:id="rId152" w:history="1">
        <w:r w:rsidR="00DA67E8" w:rsidRPr="00F62DC2">
          <w:rPr>
            <w:rFonts w:ascii="Arial" w:hAnsi="Arial" w:cs="Arial"/>
            <w:sz w:val="22"/>
            <w:szCs w:val="22"/>
          </w:rPr>
          <w:t>Smith D</w:t>
        </w:r>
      </w:hyperlink>
      <w:r w:rsidR="00DA67E8" w:rsidRPr="00F62DC2">
        <w:rPr>
          <w:rFonts w:ascii="Arial" w:hAnsi="Arial" w:cs="Arial"/>
          <w:sz w:val="22"/>
          <w:szCs w:val="22"/>
        </w:rPr>
        <w:t xml:space="preserve">, </w:t>
      </w:r>
      <w:hyperlink r:id="rId153" w:history="1">
        <w:r w:rsidR="00DA67E8" w:rsidRPr="00F62DC2">
          <w:rPr>
            <w:rFonts w:ascii="Arial" w:hAnsi="Arial" w:cs="Arial"/>
            <w:sz w:val="22"/>
            <w:szCs w:val="22"/>
          </w:rPr>
          <w:t>Bates RC</w:t>
        </w:r>
      </w:hyperlink>
      <w:r w:rsidR="00DA67E8" w:rsidRPr="00F62DC2">
        <w:rPr>
          <w:rFonts w:ascii="Arial" w:hAnsi="Arial" w:cs="Arial"/>
          <w:sz w:val="22"/>
          <w:szCs w:val="22"/>
        </w:rPr>
        <w:t xml:space="preserve">, </w:t>
      </w:r>
      <w:hyperlink r:id="rId154" w:history="1">
        <w:r w:rsidR="00DA67E8" w:rsidRPr="00F62DC2">
          <w:rPr>
            <w:rFonts w:ascii="Arial" w:hAnsi="Arial" w:cs="Arial"/>
            <w:sz w:val="22"/>
            <w:szCs w:val="22"/>
          </w:rPr>
          <w:t>Liu Y</w:t>
        </w:r>
      </w:hyperlink>
      <w:r w:rsidR="00DA67E8" w:rsidRPr="00F62DC2">
        <w:rPr>
          <w:rFonts w:ascii="Arial" w:hAnsi="Arial" w:cs="Arial"/>
          <w:sz w:val="22"/>
          <w:szCs w:val="22"/>
        </w:rPr>
        <w:t xml:space="preserve">, </w:t>
      </w:r>
      <w:hyperlink r:id="rId155" w:history="1">
        <w:r w:rsidR="00DA67E8" w:rsidRPr="00F62DC2">
          <w:rPr>
            <w:rFonts w:ascii="Arial" w:hAnsi="Arial" w:cs="Arial"/>
            <w:sz w:val="22"/>
            <w:szCs w:val="22"/>
          </w:rPr>
          <w:t>Rosenberg AF</w:t>
        </w:r>
      </w:hyperlink>
      <w:r w:rsidR="00DA67E8" w:rsidRPr="00F62DC2">
        <w:rPr>
          <w:rFonts w:ascii="Arial" w:hAnsi="Arial" w:cs="Arial"/>
          <w:sz w:val="22"/>
          <w:szCs w:val="22"/>
        </w:rPr>
        <w:t xml:space="preserve">, </w:t>
      </w:r>
      <w:hyperlink r:id="rId156" w:history="1">
        <w:r w:rsidR="00DA67E8" w:rsidRPr="00F62DC2">
          <w:rPr>
            <w:rFonts w:ascii="Arial" w:hAnsi="Arial" w:cs="Arial"/>
            <w:sz w:val="22"/>
            <w:szCs w:val="22"/>
          </w:rPr>
          <w:t>Zhou D</w:t>
        </w:r>
      </w:hyperlink>
      <w:r w:rsidR="00DA67E8" w:rsidRPr="00F62DC2">
        <w:rPr>
          <w:rFonts w:ascii="Arial" w:hAnsi="Arial" w:cs="Arial"/>
          <w:sz w:val="22"/>
          <w:szCs w:val="22"/>
        </w:rPr>
        <w:t xml:space="preserve">, </w:t>
      </w:r>
      <w:hyperlink r:id="rId157" w:history="1">
        <w:proofErr w:type="spellStart"/>
        <w:r w:rsidR="00DA67E8" w:rsidRPr="00F62DC2">
          <w:rPr>
            <w:rFonts w:ascii="Arial" w:hAnsi="Arial" w:cs="Arial"/>
            <w:sz w:val="22"/>
            <w:szCs w:val="22"/>
          </w:rPr>
          <w:t>Koya</w:t>
        </w:r>
        <w:proofErr w:type="spellEnd"/>
        <w:r w:rsidR="00DA67E8" w:rsidRPr="00F62DC2">
          <w:rPr>
            <w:rFonts w:ascii="Arial" w:hAnsi="Arial" w:cs="Arial"/>
            <w:sz w:val="22"/>
            <w:szCs w:val="22"/>
          </w:rPr>
          <w:t xml:space="preserve"> K</w:t>
        </w:r>
      </w:hyperlink>
      <w:r w:rsidR="00DA67E8" w:rsidRPr="00F62DC2">
        <w:rPr>
          <w:rFonts w:ascii="Arial" w:hAnsi="Arial" w:cs="Arial"/>
          <w:sz w:val="22"/>
          <w:szCs w:val="22"/>
        </w:rPr>
        <w:t xml:space="preserve">, </w:t>
      </w:r>
      <w:hyperlink r:id="rId158" w:history="1">
        <w:proofErr w:type="spellStart"/>
        <w:r w:rsidR="00DA67E8" w:rsidRPr="00F62DC2">
          <w:rPr>
            <w:rFonts w:ascii="Arial" w:hAnsi="Arial" w:cs="Arial"/>
            <w:sz w:val="22"/>
            <w:szCs w:val="22"/>
          </w:rPr>
          <w:t>Barsoum</w:t>
        </w:r>
        <w:proofErr w:type="spellEnd"/>
        <w:r w:rsidR="00DA67E8" w:rsidRPr="00F62DC2">
          <w:rPr>
            <w:rFonts w:ascii="Arial" w:hAnsi="Arial" w:cs="Arial"/>
            <w:sz w:val="22"/>
            <w:szCs w:val="22"/>
          </w:rPr>
          <w:t xml:space="preserve"> J</w:t>
        </w:r>
      </w:hyperlink>
      <w:r w:rsidR="00DA67E8" w:rsidRPr="00F62DC2">
        <w:rPr>
          <w:rFonts w:ascii="Arial" w:hAnsi="Arial" w:cs="Arial"/>
          <w:sz w:val="22"/>
          <w:szCs w:val="22"/>
        </w:rPr>
        <w:t xml:space="preserve">, </w:t>
      </w:r>
      <w:hyperlink r:id="rId159" w:history="1">
        <w:r w:rsidR="00DA67E8" w:rsidRPr="00F62DC2">
          <w:rPr>
            <w:rFonts w:ascii="Arial" w:hAnsi="Arial" w:cs="Arial"/>
            <w:sz w:val="22"/>
            <w:szCs w:val="22"/>
          </w:rPr>
          <w:t>Blackman RK</w:t>
        </w:r>
      </w:hyperlink>
      <w:r w:rsidR="00DA67E8" w:rsidRPr="00F62DC2">
        <w:rPr>
          <w:rFonts w:ascii="Arial" w:hAnsi="Arial" w:cs="Arial"/>
          <w:sz w:val="22"/>
          <w:szCs w:val="22"/>
        </w:rPr>
        <w:t xml:space="preserve">. Multifaceted intervention by the Hsp90 inhibitor ganetespib (STA-9090) in cancer cells with activated JAK/STAT </w:t>
      </w:r>
      <w:r w:rsidR="003220D2" w:rsidRPr="00F62DC2">
        <w:rPr>
          <w:rFonts w:ascii="Arial" w:hAnsi="Arial" w:cs="Arial"/>
          <w:sz w:val="22"/>
          <w:szCs w:val="22"/>
        </w:rPr>
        <w:t>signalling</w:t>
      </w:r>
      <w:r w:rsidR="00DA67E8" w:rsidRPr="00F62DC2">
        <w:rPr>
          <w:rFonts w:ascii="Arial" w:hAnsi="Arial" w:cs="Arial"/>
          <w:sz w:val="22"/>
          <w:szCs w:val="22"/>
        </w:rPr>
        <w:t xml:space="preserve">. </w:t>
      </w:r>
      <w:proofErr w:type="spellStart"/>
      <w:r w:rsidR="00DA67E8" w:rsidRPr="00F62DC2">
        <w:rPr>
          <w:rFonts w:ascii="Arial" w:hAnsi="Arial" w:cs="Arial"/>
          <w:sz w:val="22"/>
          <w:szCs w:val="22"/>
        </w:rPr>
        <w:t>PLoS</w:t>
      </w:r>
      <w:proofErr w:type="spellEnd"/>
      <w:r w:rsidR="00DA67E8" w:rsidRPr="00F62DC2">
        <w:rPr>
          <w:rFonts w:ascii="Arial" w:hAnsi="Arial" w:cs="Arial"/>
          <w:sz w:val="22"/>
          <w:szCs w:val="22"/>
        </w:rPr>
        <w:t xml:space="preserve"> One 2011; 6(4): e18552.</w:t>
      </w:r>
    </w:p>
    <w:p w14:paraId="531A2C07" w14:textId="77777777" w:rsidR="00DA67E8" w:rsidRPr="00F62DC2" w:rsidRDefault="00DA67E8" w:rsidP="00F62DC2">
      <w:pPr>
        <w:jc w:val="both"/>
        <w:rPr>
          <w:rFonts w:ascii="Arial" w:hAnsi="Arial" w:cs="Arial"/>
          <w:sz w:val="22"/>
          <w:szCs w:val="22"/>
        </w:rPr>
      </w:pPr>
    </w:p>
    <w:p w14:paraId="2E17F74A"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 xml:space="preserve">Rubinstein LV, Korn EL, </w:t>
      </w:r>
      <w:proofErr w:type="spellStart"/>
      <w:r w:rsidRPr="00F62DC2">
        <w:rPr>
          <w:rFonts w:ascii="Arial" w:hAnsi="Arial" w:cs="Arial"/>
          <w:sz w:val="22"/>
          <w:szCs w:val="22"/>
        </w:rPr>
        <w:t>Freidlin</w:t>
      </w:r>
      <w:proofErr w:type="spellEnd"/>
      <w:r w:rsidRPr="00F62DC2">
        <w:rPr>
          <w:rFonts w:ascii="Arial" w:hAnsi="Arial" w:cs="Arial"/>
          <w:sz w:val="22"/>
          <w:szCs w:val="22"/>
        </w:rPr>
        <w:t xml:space="preserve"> B, Hunsberger S, Ivy SP, Smith MA. Design issues of randomized phase II trials and a proposal for phase II screening trials. J Clin Oncol 2005;23(28):7199-206</w:t>
      </w:r>
    </w:p>
    <w:p w14:paraId="68769730" w14:textId="77777777" w:rsidR="00DA67E8" w:rsidRPr="00F62DC2" w:rsidRDefault="00DA67E8" w:rsidP="00F62DC2">
      <w:pPr>
        <w:jc w:val="both"/>
        <w:rPr>
          <w:rFonts w:ascii="Arial" w:hAnsi="Arial" w:cs="Arial"/>
          <w:sz w:val="22"/>
          <w:szCs w:val="22"/>
        </w:rPr>
      </w:pPr>
    </w:p>
    <w:p w14:paraId="28930D51" w14:textId="77777777" w:rsidR="00DA67E8" w:rsidRPr="00F62DC2" w:rsidRDefault="00625F72" w:rsidP="00F62DC2">
      <w:pPr>
        <w:jc w:val="both"/>
        <w:rPr>
          <w:rFonts w:ascii="Arial" w:hAnsi="Arial" w:cs="Arial"/>
          <w:sz w:val="22"/>
          <w:szCs w:val="22"/>
        </w:rPr>
      </w:pPr>
      <w:hyperlink r:id="rId160" w:history="1">
        <w:proofErr w:type="spellStart"/>
        <w:r w:rsidR="00DA67E8" w:rsidRPr="00F62DC2">
          <w:rPr>
            <w:rFonts w:ascii="Arial" w:hAnsi="Arial" w:cs="Arial"/>
            <w:sz w:val="22"/>
            <w:szCs w:val="22"/>
          </w:rPr>
          <w:t>Solár</w:t>
        </w:r>
        <w:proofErr w:type="spellEnd"/>
        <w:r w:rsidR="00DA67E8" w:rsidRPr="00F62DC2">
          <w:rPr>
            <w:rFonts w:ascii="Arial" w:hAnsi="Arial" w:cs="Arial"/>
            <w:sz w:val="22"/>
            <w:szCs w:val="22"/>
          </w:rPr>
          <w:t xml:space="preserve"> P</w:t>
        </w:r>
      </w:hyperlink>
      <w:r w:rsidR="00DA67E8" w:rsidRPr="00F62DC2">
        <w:rPr>
          <w:rFonts w:ascii="Arial" w:hAnsi="Arial" w:cs="Arial"/>
          <w:sz w:val="22"/>
          <w:szCs w:val="22"/>
        </w:rPr>
        <w:t xml:space="preserve">, </w:t>
      </w:r>
      <w:hyperlink r:id="rId161" w:history="1">
        <w:proofErr w:type="spellStart"/>
        <w:r w:rsidR="00DA67E8" w:rsidRPr="00F62DC2">
          <w:rPr>
            <w:rFonts w:ascii="Arial" w:hAnsi="Arial" w:cs="Arial"/>
            <w:sz w:val="22"/>
            <w:szCs w:val="22"/>
          </w:rPr>
          <w:t>Horváth</w:t>
        </w:r>
        <w:proofErr w:type="spellEnd"/>
        <w:r w:rsidR="00DA67E8" w:rsidRPr="00F62DC2">
          <w:rPr>
            <w:rFonts w:ascii="Arial" w:hAnsi="Arial" w:cs="Arial"/>
            <w:sz w:val="22"/>
            <w:szCs w:val="22"/>
          </w:rPr>
          <w:t xml:space="preserve"> V</w:t>
        </w:r>
      </w:hyperlink>
      <w:r w:rsidR="00DA67E8" w:rsidRPr="00F62DC2">
        <w:rPr>
          <w:rFonts w:ascii="Arial" w:hAnsi="Arial" w:cs="Arial"/>
          <w:sz w:val="22"/>
          <w:szCs w:val="22"/>
        </w:rPr>
        <w:t xml:space="preserve">, </w:t>
      </w:r>
      <w:hyperlink r:id="rId162" w:history="1">
        <w:proofErr w:type="spellStart"/>
        <w:r w:rsidR="00DA67E8" w:rsidRPr="00F62DC2">
          <w:rPr>
            <w:rFonts w:ascii="Arial" w:hAnsi="Arial" w:cs="Arial"/>
            <w:sz w:val="22"/>
            <w:szCs w:val="22"/>
          </w:rPr>
          <w:t>Kleban</w:t>
        </w:r>
        <w:proofErr w:type="spellEnd"/>
        <w:r w:rsidR="00DA67E8" w:rsidRPr="00F62DC2">
          <w:rPr>
            <w:rFonts w:ascii="Arial" w:hAnsi="Arial" w:cs="Arial"/>
            <w:sz w:val="22"/>
            <w:szCs w:val="22"/>
          </w:rPr>
          <w:t xml:space="preserve"> J</w:t>
        </w:r>
      </w:hyperlink>
      <w:r w:rsidR="00DA67E8" w:rsidRPr="00F62DC2">
        <w:rPr>
          <w:rFonts w:ascii="Arial" w:hAnsi="Arial" w:cs="Arial"/>
          <w:sz w:val="22"/>
          <w:szCs w:val="22"/>
        </w:rPr>
        <w:t xml:space="preserve">, </w:t>
      </w:r>
      <w:hyperlink r:id="rId163" w:history="1">
        <w:proofErr w:type="spellStart"/>
        <w:r w:rsidR="00DA67E8" w:rsidRPr="00F62DC2">
          <w:rPr>
            <w:rFonts w:ascii="Arial" w:hAnsi="Arial" w:cs="Arial"/>
            <w:sz w:val="22"/>
            <w:szCs w:val="22"/>
          </w:rPr>
          <w:t>Koval</w:t>
        </w:r>
        <w:proofErr w:type="spellEnd"/>
        <w:r w:rsidR="00DA67E8" w:rsidRPr="00F62DC2">
          <w:rPr>
            <w:rFonts w:ascii="Arial" w:hAnsi="Arial" w:cs="Arial"/>
            <w:sz w:val="22"/>
            <w:szCs w:val="22"/>
          </w:rPr>
          <w:t xml:space="preserve"> J</w:t>
        </w:r>
      </w:hyperlink>
      <w:r w:rsidR="00DA67E8" w:rsidRPr="00F62DC2">
        <w:rPr>
          <w:rFonts w:ascii="Arial" w:hAnsi="Arial" w:cs="Arial"/>
          <w:sz w:val="22"/>
          <w:szCs w:val="22"/>
        </w:rPr>
        <w:t xml:space="preserve">, </w:t>
      </w:r>
      <w:hyperlink r:id="rId164" w:history="1">
        <w:proofErr w:type="spellStart"/>
        <w:r w:rsidR="00DA67E8" w:rsidRPr="00F62DC2">
          <w:rPr>
            <w:rFonts w:ascii="Arial" w:hAnsi="Arial" w:cs="Arial"/>
            <w:sz w:val="22"/>
            <w:szCs w:val="22"/>
          </w:rPr>
          <w:t>Solárová</w:t>
        </w:r>
        <w:proofErr w:type="spellEnd"/>
        <w:r w:rsidR="00DA67E8" w:rsidRPr="00F62DC2">
          <w:rPr>
            <w:rFonts w:ascii="Arial" w:hAnsi="Arial" w:cs="Arial"/>
            <w:sz w:val="22"/>
            <w:szCs w:val="22"/>
          </w:rPr>
          <w:t xml:space="preserve"> Z</w:t>
        </w:r>
      </w:hyperlink>
      <w:r w:rsidR="00DA67E8" w:rsidRPr="00F62DC2">
        <w:rPr>
          <w:rFonts w:ascii="Arial" w:hAnsi="Arial" w:cs="Arial"/>
          <w:sz w:val="22"/>
          <w:szCs w:val="22"/>
        </w:rPr>
        <w:t xml:space="preserve">, </w:t>
      </w:r>
      <w:hyperlink r:id="rId165" w:history="1">
        <w:proofErr w:type="spellStart"/>
        <w:r w:rsidR="00DA67E8" w:rsidRPr="00F62DC2">
          <w:rPr>
            <w:rFonts w:ascii="Arial" w:hAnsi="Arial" w:cs="Arial"/>
            <w:sz w:val="22"/>
            <w:szCs w:val="22"/>
          </w:rPr>
          <w:t>Kozubík</w:t>
        </w:r>
        <w:proofErr w:type="spellEnd"/>
        <w:r w:rsidR="00DA67E8" w:rsidRPr="00F62DC2">
          <w:rPr>
            <w:rFonts w:ascii="Arial" w:hAnsi="Arial" w:cs="Arial"/>
            <w:sz w:val="22"/>
            <w:szCs w:val="22"/>
          </w:rPr>
          <w:t xml:space="preserve"> A</w:t>
        </w:r>
      </w:hyperlink>
      <w:r w:rsidR="00DA67E8" w:rsidRPr="00F62DC2">
        <w:rPr>
          <w:rFonts w:ascii="Arial" w:hAnsi="Arial" w:cs="Arial"/>
          <w:sz w:val="22"/>
          <w:szCs w:val="22"/>
        </w:rPr>
        <w:t xml:space="preserve">, </w:t>
      </w:r>
      <w:hyperlink r:id="rId166" w:history="1">
        <w:proofErr w:type="spellStart"/>
        <w:r w:rsidR="00DA67E8" w:rsidRPr="00F62DC2">
          <w:rPr>
            <w:rFonts w:ascii="Arial" w:hAnsi="Arial" w:cs="Arial"/>
            <w:sz w:val="22"/>
            <w:szCs w:val="22"/>
          </w:rPr>
          <w:t>Fedorocko</w:t>
        </w:r>
        <w:proofErr w:type="spellEnd"/>
        <w:r w:rsidR="00DA67E8" w:rsidRPr="00F62DC2">
          <w:rPr>
            <w:rFonts w:ascii="Arial" w:hAnsi="Arial" w:cs="Arial"/>
            <w:sz w:val="22"/>
            <w:szCs w:val="22"/>
          </w:rPr>
          <w:t xml:space="preserve"> P</w:t>
        </w:r>
      </w:hyperlink>
      <w:r w:rsidR="00DA67E8" w:rsidRPr="00F62DC2">
        <w:rPr>
          <w:rFonts w:ascii="Arial" w:hAnsi="Arial" w:cs="Arial"/>
          <w:sz w:val="22"/>
          <w:szCs w:val="22"/>
        </w:rPr>
        <w:t xml:space="preserve">. Hsp90 inhibitor geldanamycin increases the sensitivity of resistant ovarian adenocarcinoma cell line A2780cis to cisplatin. </w:t>
      </w:r>
      <w:proofErr w:type="spellStart"/>
      <w:r w:rsidR="00DA67E8" w:rsidRPr="00F62DC2">
        <w:rPr>
          <w:rFonts w:ascii="Arial" w:hAnsi="Arial" w:cs="Arial"/>
          <w:sz w:val="22"/>
          <w:szCs w:val="22"/>
        </w:rPr>
        <w:t>Neoplasma</w:t>
      </w:r>
      <w:proofErr w:type="spellEnd"/>
      <w:r w:rsidR="00DA67E8" w:rsidRPr="00F62DC2">
        <w:rPr>
          <w:rFonts w:ascii="Arial" w:hAnsi="Arial" w:cs="Arial"/>
          <w:sz w:val="22"/>
          <w:szCs w:val="22"/>
        </w:rPr>
        <w:t xml:space="preserve"> 2007. 54(2):127-30.</w:t>
      </w:r>
    </w:p>
    <w:p w14:paraId="2C72A016" w14:textId="77777777" w:rsidR="00DA67E8" w:rsidRPr="00F62DC2" w:rsidRDefault="00DA67E8" w:rsidP="00F62DC2">
      <w:pPr>
        <w:jc w:val="both"/>
        <w:rPr>
          <w:rFonts w:ascii="Arial" w:hAnsi="Arial" w:cs="Arial"/>
          <w:sz w:val="22"/>
          <w:szCs w:val="22"/>
        </w:rPr>
      </w:pPr>
    </w:p>
    <w:p w14:paraId="447446A8"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 xml:space="preserve">Treasure T, Waller D, Tan C, et al. The Mesothelioma and Radical Surgery Randomized Controlled Trial: The MARS Feasibility Study. J </w:t>
      </w:r>
      <w:proofErr w:type="spellStart"/>
      <w:r w:rsidRPr="00F62DC2">
        <w:rPr>
          <w:rFonts w:ascii="Arial" w:hAnsi="Arial" w:cs="Arial"/>
          <w:sz w:val="22"/>
          <w:szCs w:val="22"/>
        </w:rPr>
        <w:t>Thorac</w:t>
      </w:r>
      <w:proofErr w:type="spellEnd"/>
      <w:r w:rsidRPr="00F62DC2">
        <w:rPr>
          <w:rFonts w:ascii="Arial" w:hAnsi="Arial" w:cs="Arial"/>
          <w:sz w:val="22"/>
          <w:szCs w:val="22"/>
        </w:rPr>
        <w:t xml:space="preserve"> Oncol 2009; 4(10): 1254-8</w:t>
      </w:r>
    </w:p>
    <w:p w14:paraId="3BC76CA1" w14:textId="77777777" w:rsidR="00DA67E8" w:rsidRPr="00F62DC2" w:rsidRDefault="00DA67E8" w:rsidP="00F62DC2">
      <w:pPr>
        <w:jc w:val="both"/>
        <w:rPr>
          <w:rFonts w:ascii="Arial" w:hAnsi="Arial" w:cs="Arial"/>
          <w:sz w:val="22"/>
          <w:szCs w:val="22"/>
        </w:rPr>
      </w:pPr>
    </w:p>
    <w:p w14:paraId="6C9F2EE8"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lastRenderedPageBreak/>
        <w:t xml:space="preserve">van </w:t>
      </w:r>
      <w:proofErr w:type="spellStart"/>
      <w:r w:rsidRPr="00F62DC2">
        <w:rPr>
          <w:rFonts w:ascii="Arial" w:hAnsi="Arial" w:cs="Arial"/>
          <w:sz w:val="22"/>
          <w:szCs w:val="22"/>
        </w:rPr>
        <w:t>Meerbeeck</w:t>
      </w:r>
      <w:proofErr w:type="spellEnd"/>
      <w:r w:rsidRPr="00F62DC2">
        <w:rPr>
          <w:rFonts w:ascii="Arial" w:hAnsi="Arial" w:cs="Arial"/>
          <w:sz w:val="22"/>
          <w:szCs w:val="22"/>
        </w:rPr>
        <w:t xml:space="preserve"> JP, </w:t>
      </w:r>
      <w:proofErr w:type="spellStart"/>
      <w:r w:rsidRPr="00F62DC2">
        <w:rPr>
          <w:rFonts w:ascii="Arial" w:hAnsi="Arial" w:cs="Arial"/>
          <w:sz w:val="22"/>
          <w:szCs w:val="22"/>
        </w:rPr>
        <w:t>Gaafar</w:t>
      </w:r>
      <w:proofErr w:type="spellEnd"/>
      <w:r w:rsidRPr="00F62DC2">
        <w:rPr>
          <w:rFonts w:ascii="Arial" w:hAnsi="Arial" w:cs="Arial"/>
          <w:sz w:val="22"/>
          <w:szCs w:val="22"/>
        </w:rPr>
        <w:t xml:space="preserve"> R, </w:t>
      </w:r>
      <w:proofErr w:type="spellStart"/>
      <w:r w:rsidRPr="00F62DC2">
        <w:rPr>
          <w:rFonts w:ascii="Arial" w:hAnsi="Arial" w:cs="Arial"/>
          <w:sz w:val="22"/>
          <w:szCs w:val="22"/>
        </w:rPr>
        <w:t>Manegold</w:t>
      </w:r>
      <w:proofErr w:type="spellEnd"/>
      <w:r w:rsidRPr="00F62DC2">
        <w:rPr>
          <w:rFonts w:ascii="Arial" w:hAnsi="Arial" w:cs="Arial"/>
          <w:sz w:val="22"/>
          <w:szCs w:val="22"/>
        </w:rPr>
        <w:t xml:space="preserve"> C, Van </w:t>
      </w:r>
      <w:proofErr w:type="spellStart"/>
      <w:r w:rsidRPr="00F62DC2">
        <w:rPr>
          <w:rFonts w:ascii="Arial" w:hAnsi="Arial" w:cs="Arial"/>
          <w:sz w:val="22"/>
          <w:szCs w:val="22"/>
        </w:rPr>
        <w:t>Klaveren</w:t>
      </w:r>
      <w:proofErr w:type="spellEnd"/>
      <w:r w:rsidRPr="00F62DC2">
        <w:rPr>
          <w:rFonts w:ascii="Arial" w:hAnsi="Arial" w:cs="Arial"/>
          <w:sz w:val="22"/>
          <w:szCs w:val="22"/>
        </w:rPr>
        <w:t xml:space="preserve"> RJ, Van </w:t>
      </w:r>
      <w:proofErr w:type="spellStart"/>
      <w:r w:rsidRPr="00F62DC2">
        <w:rPr>
          <w:rFonts w:ascii="Arial" w:hAnsi="Arial" w:cs="Arial"/>
          <w:sz w:val="22"/>
          <w:szCs w:val="22"/>
        </w:rPr>
        <w:t>Marck</w:t>
      </w:r>
      <w:proofErr w:type="spellEnd"/>
      <w:r w:rsidRPr="00F62DC2">
        <w:rPr>
          <w:rFonts w:ascii="Arial" w:hAnsi="Arial" w:cs="Arial"/>
          <w:sz w:val="22"/>
          <w:szCs w:val="22"/>
        </w:rPr>
        <w:t xml:space="preserve"> EA, Vincent M, Legrand C, Bottomley A, </w:t>
      </w:r>
      <w:proofErr w:type="spellStart"/>
      <w:r w:rsidRPr="00F62DC2">
        <w:rPr>
          <w:rFonts w:ascii="Arial" w:hAnsi="Arial" w:cs="Arial"/>
          <w:sz w:val="22"/>
          <w:szCs w:val="22"/>
        </w:rPr>
        <w:t>Debruyne</w:t>
      </w:r>
      <w:proofErr w:type="spellEnd"/>
      <w:r w:rsidRPr="00F62DC2">
        <w:rPr>
          <w:rFonts w:ascii="Arial" w:hAnsi="Arial" w:cs="Arial"/>
          <w:sz w:val="22"/>
          <w:szCs w:val="22"/>
        </w:rPr>
        <w:t xml:space="preserve"> C, </w:t>
      </w:r>
      <w:proofErr w:type="spellStart"/>
      <w:r w:rsidRPr="00F62DC2">
        <w:rPr>
          <w:rFonts w:ascii="Arial" w:hAnsi="Arial" w:cs="Arial"/>
          <w:sz w:val="22"/>
          <w:szCs w:val="22"/>
        </w:rPr>
        <w:t>Giaccone</w:t>
      </w:r>
      <w:proofErr w:type="spellEnd"/>
      <w:r w:rsidRPr="00F62DC2">
        <w:rPr>
          <w:rFonts w:ascii="Arial" w:hAnsi="Arial" w:cs="Arial"/>
          <w:sz w:val="22"/>
          <w:szCs w:val="22"/>
        </w:rPr>
        <w:t xml:space="preserve"> G. Randomized phase III study of cisplatin with or without raltitrexed in patients with malignant pleural mesothelioma: an intergroup study of the </w:t>
      </w:r>
      <w:r w:rsidR="002F113D" w:rsidRPr="00F62DC2">
        <w:rPr>
          <w:rFonts w:ascii="Arial" w:hAnsi="Arial" w:cs="Arial"/>
          <w:sz w:val="22"/>
          <w:szCs w:val="22"/>
        </w:rPr>
        <w:t>European Organisation</w:t>
      </w:r>
      <w:r w:rsidRPr="00F62DC2">
        <w:rPr>
          <w:rFonts w:ascii="Arial" w:hAnsi="Arial" w:cs="Arial"/>
          <w:sz w:val="22"/>
          <w:szCs w:val="22"/>
        </w:rPr>
        <w:t xml:space="preserve"> for Research and Treatment of Cancer Lung Cancer Group and the National Cancer Institute of Canada. J Clin Oncol2005; 23: 6881-9.</w:t>
      </w:r>
      <w:r w:rsidRPr="00F62DC2">
        <w:rPr>
          <w:rFonts w:ascii="Arial" w:hAnsi="Arial" w:cs="Arial"/>
          <w:sz w:val="22"/>
          <w:szCs w:val="22"/>
        </w:rPr>
        <w:br/>
      </w:r>
    </w:p>
    <w:p w14:paraId="31D772FE" w14:textId="77777777" w:rsidR="00DA67E8" w:rsidRPr="00F62DC2" w:rsidRDefault="00DA67E8" w:rsidP="00F62DC2">
      <w:pPr>
        <w:jc w:val="both"/>
        <w:rPr>
          <w:rFonts w:ascii="Arial" w:hAnsi="Arial" w:cs="Arial"/>
          <w:sz w:val="22"/>
          <w:szCs w:val="22"/>
        </w:rPr>
      </w:pPr>
      <w:proofErr w:type="spellStart"/>
      <w:r w:rsidRPr="00F62DC2">
        <w:rPr>
          <w:rFonts w:ascii="Arial" w:hAnsi="Arial" w:cs="Arial"/>
          <w:sz w:val="22"/>
          <w:szCs w:val="22"/>
        </w:rPr>
        <w:t>Vogelzang</w:t>
      </w:r>
      <w:proofErr w:type="spellEnd"/>
      <w:r w:rsidRPr="00F62DC2">
        <w:rPr>
          <w:rFonts w:ascii="Arial" w:hAnsi="Arial" w:cs="Arial"/>
          <w:sz w:val="22"/>
          <w:szCs w:val="22"/>
        </w:rPr>
        <w:t xml:space="preserve"> NJ, </w:t>
      </w:r>
      <w:proofErr w:type="spellStart"/>
      <w:r w:rsidRPr="00F62DC2">
        <w:rPr>
          <w:rFonts w:ascii="Arial" w:hAnsi="Arial" w:cs="Arial"/>
          <w:sz w:val="22"/>
          <w:szCs w:val="22"/>
        </w:rPr>
        <w:t>Rusthoven</w:t>
      </w:r>
      <w:proofErr w:type="spellEnd"/>
      <w:r w:rsidRPr="00F62DC2">
        <w:rPr>
          <w:rFonts w:ascii="Arial" w:hAnsi="Arial" w:cs="Arial"/>
          <w:sz w:val="22"/>
          <w:szCs w:val="22"/>
        </w:rPr>
        <w:t xml:space="preserve"> JJ, </w:t>
      </w:r>
      <w:proofErr w:type="spellStart"/>
      <w:r w:rsidRPr="00F62DC2">
        <w:rPr>
          <w:rFonts w:ascii="Arial" w:hAnsi="Arial" w:cs="Arial"/>
          <w:sz w:val="22"/>
          <w:szCs w:val="22"/>
        </w:rPr>
        <w:t>Symanowski</w:t>
      </w:r>
      <w:proofErr w:type="spellEnd"/>
      <w:r w:rsidRPr="00F62DC2">
        <w:rPr>
          <w:rFonts w:ascii="Arial" w:hAnsi="Arial" w:cs="Arial"/>
          <w:sz w:val="22"/>
          <w:szCs w:val="22"/>
        </w:rPr>
        <w:t xml:space="preserve"> J, Denham C, </w:t>
      </w:r>
      <w:proofErr w:type="spellStart"/>
      <w:r w:rsidRPr="00F62DC2">
        <w:rPr>
          <w:rFonts w:ascii="Arial" w:hAnsi="Arial" w:cs="Arial"/>
          <w:sz w:val="22"/>
          <w:szCs w:val="22"/>
        </w:rPr>
        <w:t>Kaukel</w:t>
      </w:r>
      <w:proofErr w:type="spellEnd"/>
      <w:r w:rsidRPr="00F62DC2">
        <w:rPr>
          <w:rFonts w:ascii="Arial" w:hAnsi="Arial" w:cs="Arial"/>
          <w:sz w:val="22"/>
          <w:szCs w:val="22"/>
        </w:rPr>
        <w:t xml:space="preserve"> E, </w:t>
      </w:r>
      <w:proofErr w:type="spellStart"/>
      <w:r w:rsidRPr="00F62DC2">
        <w:rPr>
          <w:rFonts w:ascii="Arial" w:hAnsi="Arial" w:cs="Arial"/>
          <w:sz w:val="22"/>
          <w:szCs w:val="22"/>
        </w:rPr>
        <w:t>Ruffie</w:t>
      </w:r>
      <w:proofErr w:type="spellEnd"/>
      <w:r w:rsidRPr="00F62DC2">
        <w:rPr>
          <w:rFonts w:ascii="Arial" w:hAnsi="Arial" w:cs="Arial"/>
          <w:sz w:val="22"/>
          <w:szCs w:val="22"/>
        </w:rPr>
        <w:t xml:space="preserve"> P, </w:t>
      </w:r>
      <w:proofErr w:type="spellStart"/>
      <w:r w:rsidRPr="00F62DC2">
        <w:rPr>
          <w:rFonts w:ascii="Arial" w:hAnsi="Arial" w:cs="Arial"/>
          <w:sz w:val="22"/>
          <w:szCs w:val="22"/>
        </w:rPr>
        <w:t>Gatzemeier</w:t>
      </w:r>
      <w:proofErr w:type="spellEnd"/>
      <w:r w:rsidRPr="00F62DC2">
        <w:rPr>
          <w:rFonts w:ascii="Arial" w:hAnsi="Arial" w:cs="Arial"/>
          <w:sz w:val="22"/>
          <w:szCs w:val="22"/>
        </w:rPr>
        <w:t xml:space="preserve"> U, Boyer M, </w:t>
      </w:r>
      <w:proofErr w:type="spellStart"/>
      <w:r w:rsidRPr="00F62DC2">
        <w:rPr>
          <w:rFonts w:ascii="Arial" w:hAnsi="Arial" w:cs="Arial"/>
          <w:sz w:val="22"/>
          <w:szCs w:val="22"/>
        </w:rPr>
        <w:t>Emri</w:t>
      </w:r>
      <w:proofErr w:type="spellEnd"/>
      <w:r w:rsidRPr="00F62DC2">
        <w:rPr>
          <w:rFonts w:ascii="Arial" w:hAnsi="Arial" w:cs="Arial"/>
          <w:sz w:val="22"/>
          <w:szCs w:val="22"/>
        </w:rPr>
        <w:t xml:space="preserve"> S, </w:t>
      </w:r>
      <w:proofErr w:type="spellStart"/>
      <w:r w:rsidRPr="00F62DC2">
        <w:rPr>
          <w:rFonts w:ascii="Arial" w:hAnsi="Arial" w:cs="Arial"/>
          <w:sz w:val="22"/>
          <w:szCs w:val="22"/>
        </w:rPr>
        <w:t>Manegold</w:t>
      </w:r>
      <w:proofErr w:type="spellEnd"/>
      <w:r w:rsidRPr="00F62DC2">
        <w:rPr>
          <w:rFonts w:ascii="Arial" w:hAnsi="Arial" w:cs="Arial"/>
          <w:sz w:val="22"/>
          <w:szCs w:val="22"/>
        </w:rPr>
        <w:t xml:space="preserve"> C, </w:t>
      </w:r>
      <w:proofErr w:type="spellStart"/>
      <w:r w:rsidRPr="00F62DC2">
        <w:rPr>
          <w:rFonts w:ascii="Arial" w:hAnsi="Arial" w:cs="Arial"/>
          <w:sz w:val="22"/>
          <w:szCs w:val="22"/>
        </w:rPr>
        <w:t>Niyikiza</w:t>
      </w:r>
      <w:proofErr w:type="spellEnd"/>
      <w:r w:rsidRPr="00F62DC2">
        <w:rPr>
          <w:rFonts w:ascii="Arial" w:hAnsi="Arial" w:cs="Arial"/>
          <w:sz w:val="22"/>
          <w:szCs w:val="22"/>
        </w:rPr>
        <w:t xml:space="preserve"> C, </w:t>
      </w:r>
      <w:proofErr w:type="spellStart"/>
      <w:r w:rsidRPr="00F62DC2">
        <w:rPr>
          <w:rFonts w:ascii="Arial" w:hAnsi="Arial" w:cs="Arial"/>
          <w:sz w:val="22"/>
          <w:szCs w:val="22"/>
        </w:rPr>
        <w:t>Paoletti</w:t>
      </w:r>
      <w:proofErr w:type="spellEnd"/>
      <w:r w:rsidRPr="00F62DC2">
        <w:rPr>
          <w:rFonts w:ascii="Arial" w:hAnsi="Arial" w:cs="Arial"/>
          <w:sz w:val="22"/>
          <w:szCs w:val="22"/>
        </w:rPr>
        <w:t xml:space="preserve"> P. Phase III study of pemetrexed in combination with cisplatin versus cisplatin alone in patients with malignant pleural mesothelioma. J Clin Oncol2003; 21: 2636-44 </w:t>
      </w:r>
      <w:r w:rsidRPr="00F62DC2">
        <w:rPr>
          <w:rFonts w:ascii="Arial" w:hAnsi="Arial" w:cs="Arial"/>
          <w:sz w:val="22"/>
          <w:szCs w:val="22"/>
        </w:rPr>
        <w:br/>
      </w:r>
    </w:p>
    <w:p w14:paraId="316345BA" w14:textId="77777777" w:rsidR="00DA67E8" w:rsidRPr="00F62DC2" w:rsidRDefault="00DA67E8" w:rsidP="00F62DC2">
      <w:pPr>
        <w:jc w:val="both"/>
        <w:rPr>
          <w:rFonts w:ascii="Arial" w:hAnsi="Arial" w:cs="Arial"/>
          <w:sz w:val="22"/>
          <w:szCs w:val="22"/>
        </w:rPr>
      </w:pPr>
      <w:proofErr w:type="spellStart"/>
      <w:r w:rsidRPr="00F62DC2">
        <w:rPr>
          <w:rFonts w:ascii="Arial" w:hAnsi="Arial" w:cs="Arial"/>
          <w:sz w:val="22"/>
          <w:szCs w:val="22"/>
        </w:rPr>
        <w:t>Wadler</w:t>
      </w:r>
      <w:proofErr w:type="spellEnd"/>
      <w:r w:rsidRPr="00F62DC2">
        <w:rPr>
          <w:rFonts w:ascii="Arial" w:hAnsi="Arial" w:cs="Arial"/>
          <w:sz w:val="22"/>
          <w:szCs w:val="22"/>
        </w:rPr>
        <w:t xml:space="preserve"> S, Benson AB 3rd, </w:t>
      </w:r>
      <w:proofErr w:type="spellStart"/>
      <w:r w:rsidRPr="00F62DC2">
        <w:rPr>
          <w:rFonts w:ascii="Arial" w:hAnsi="Arial" w:cs="Arial"/>
          <w:sz w:val="22"/>
          <w:szCs w:val="22"/>
        </w:rPr>
        <w:t>Engelking</w:t>
      </w:r>
      <w:proofErr w:type="spellEnd"/>
      <w:r w:rsidRPr="00F62DC2">
        <w:rPr>
          <w:rFonts w:ascii="Arial" w:hAnsi="Arial" w:cs="Arial"/>
          <w:sz w:val="22"/>
          <w:szCs w:val="22"/>
        </w:rPr>
        <w:t xml:space="preserve"> C, Catalano R, Field M, </w:t>
      </w:r>
      <w:proofErr w:type="spellStart"/>
      <w:r w:rsidRPr="00F62DC2">
        <w:rPr>
          <w:rFonts w:ascii="Arial" w:hAnsi="Arial" w:cs="Arial"/>
          <w:sz w:val="22"/>
          <w:szCs w:val="22"/>
        </w:rPr>
        <w:t>Kornblau</w:t>
      </w:r>
      <w:proofErr w:type="spellEnd"/>
      <w:r w:rsidRPr="00F62DC2">
        <w:rPr>
          <w:rFonts w:ascii="Arial" w:hAnsi="Arial" w:cs="Arial"/>
          <w:sz w:val="22"/>
          <w:szCs w:val="22"/>
        </w:rPr>
        <w:t xml:space="preserve"> SM, Mitchell E, Rubin J, Trotta P, </w:t>
      </w:r>
      <w:proofErr w:type="spellStart"/>
      <w:r w:rsidRPr="00F62DC2">
        <w:rPr>
          <w:rFonts w:ascii="Arial" w:hAnsi="Arial" w:cs="Arial"/>
          <w:sz w:val="22"/>
          <w:szCs w:val="22"/>
        </w:rPr>
        <w:t>Vokes</w:t>
      </w:r>
      <w:proofErr w:type="spellEnd"/>
      <w:r w:rsidRPr="00F62DC2">
        <w:rPr>
          <w:rFonts w:ascii="Arial" w:hAnsi="Arial" w:cs="Arial"/>
          <w:sz w:val="22"/>
          <w:szCs w:val="22"/>
        </w:rPr>
        <w:t xml:space="preserve"> E. Recommended guidelines for the treatment of chemotherapy-induced </w:t>
      </w:r>
      <w:r w:rsidR="00E15609">
        <w:rPr>
          <w:rFonts w:ascii="Arial" w:hAnsi="Arial" w:cs="Arial"/>
          <w:sz w:val="22"/>
          <w:szCs w:val="22"/>
        </w:rPr>
        <w:t>diarrhoea</w:t>
      </w:r>
      <w:r w:rsidRPr="00F62DC2">
        <w:rPr>
          <w:rFonts w:ascii="Arial" w:hAnsi="Arial" w:cs="Arial"/>
          <w:sz w:val="22"/>
          <w:szCs w:val="22"/>
        </w:rPr>
        <w:t>. J Clin Oncol 1998;16(9):3169-78</w:t>
      </w:r>
    </w:p>
    <w:p w14:paraId="4876C70A" w14:textId="77777777" w:rsidR="00DA67E8" w:rsidRPr="00F62DC2" w:rsidRDefault="00DA67E8" w:rsidP="00F62DC2">
      <w:pPr>
        <w:jc w:val="both"/>
        <w:rPr>
          <w:rFonts w:ascii="Arial" w:hAnsi="Arial" w:cs="Arial"/>
          <w:sz w:val="22"/>
          <w:szCs w:val="22"/>
        </w:rPr>
      </w:pPr>
    </w:p>
    <w:p w14:paraId="0FBE95A4"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Whitesell L, Lindquist SL. HSP90 and the chaperoning of cancer. Nature reviews Cancer. 2005;5(10):761-72</w:t>
      </w:r>
    </w:p>
    <w:p w14:paraId="1D7F613D" w14:textId="77777777" w:rsidR="00DA67E8" w:rsidRPr="00F62DC2" w:rsidRDefault="00DA67E8" w:rsidP="00F62DC2">
      <w:pPr>
        <w:jc w:val="both"/>
        <w:rPr>
          <w:rFonts w:ascii="Arial" w:hAnsi="Arial" w:cs="Arial"/>
          <w:sz w:val="22"/>
          <w:szCs w:val="22"/>
        </w:rPr>
      </w:pPr>
    </w:p>
    <w:p w14:paraId="3AC21E87"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 xml:space="preserve">Wong KK, </w:t>
      </w:r>
      <w:proofErr w:type="spellStart"/>
      <w:r w:rsidRPr="00F62DC2">
        <w:rPr>
          <w:rFonts w:ascii="Arial" w:hAnsi="Arial" w:cs="Arial"/>
          <w:sz w:val="22"/>
          <w:szCs w:val="22"/>
        </w:rPr>
        <w:t>Koczywas</w:t>
      </w:r>
      <w:proofErr w:type="spellEnd"/>
      <w:r w:rsidRPr="00F62DC2">
        <w:rPr>
          <w:rFonts w:ascii="Arial" w:hAnsi="Arial" w:cs="Arial"/>
          <w:sz w:val="22"/>
          <w:szCs w:val="22"/>
        </w:rPr>
        <w:t xml:space="preserve"> M, Goldman JW, et al. An Open-Label Phase 2 Study of the Hsp90 Inhibitor Ganetespib (STA-9090) as Monotherapy in Patients with Advanced NSCLC. ASCO 2011. J Clin Oncol 29: 2011 (</w:t>
      </w:r>
      <w:proofErr w:type="spellStart"/>
      <w:r w:rsidRPr="00F62DC2">
        <w:rPr>
          <w:rFonts w:ascii="Arial" w:hAnsi="Arial" w:cs="Arial"/>
          <w:sz w:val="22"/>
          <w:szCs w:val="22"/>
        </w:rPr>
        <w:t>suppl</w:t>
      </w:r>
      <w:proofErr w:type="spellEnd"/>
      <w:r w:rsidRPr="00F62DC2">
        <w:rPr>
          <w:rFonts w:ascii="Arial" w:hAnsi="Arial" w:cs="Arial"/>
          <w:sz w:val="22"/>
          <w:szCs w:val="22"/>
        </w:rPr>
        <w:t xml:space="preserve">; </w:t>
      </w:r>
      <w:proofErr w:type="spellStart"/>
      <w:r w:rsidRPr="00F62DC2">
        <w:rPr>
          <w:rFonts w:ascii="Arial" w:hAnsi="Arial" w:cs="Arial"/>
          <w:sz w:val="22"/>
          <w:szCs w:val="22"/>
        </w:rPr>
        <w:t>abstr</w:t>
      </w:r>
      <w:proofErr w:type="spellEnd"/>
      <w:r w:rsidRPr="00F62DC2">
        <w:rPr>
          <w:rFonts w:ascii="Arial" w:hAnsi="Arial" w:cs="Arial"/>
          <w:sz w:val="22"/>
          <w:szCs w:val="22"/>
        </w:rPr>
        <w:t xml:space="preserve"> 7500)</w:t>
      </w:r>
    </w:p>
    <w:p w14:paraId="4419F1D1" w14:textId="77777777" w:rsidR="00DA67E8" w:rsidRPr="00F62DC2" w:rsidRDefault="00DA67E8" w:rsidP="00F62DC2">
      <w:pPr>
        <w:jc w:val="both"/>
        <w:rPr>
          <w:rFonts w:ascii="Arial" w:hAnsi="Arial" w:cs="Arial"/>
          <w:sz w:val="22"/>
          <w:szCs w:val="22"/>
        </w:rPr>
      </w:pPr>
    </w:p>
    <w:p w14:paraId="325EB16C" w14:textId="77777777" w:rsidR="00DA67E8" w:rsidRPr="00F62DC2" w:rsidRDefault="00DA67E8" w:rsidP="00F62DC2">
      <w:pPr>
        <w:jc w:val="both"/>
        <w:rPr>
          <w:rFonts w:ascii="Arial" w:hAnsi="Arial" w:cs="Arial"/>
          <w:sz w:val="22"/>
          <w:szCs w:val="22"/>
        </w:rPr>
      </w:pPr>
      <w:r w:rsidRPr="00F62DC2">
        <w:rPr>
          <w:rFonts w:ascii="Arial" w:hAnsi="Arial" w:cs="Arial"/>
          <w:sz w:val="22"/>
          <w:szCs w:val="22"/>
        </w:rPr>
        <w:t>Workman P. Combinatorial attack on multistep oncogenesis by inhibiting the Hsp90 molecular chaperone. Cancer Lett 2004; 206(2):149-57</w:t>
      </w:r>
    </w:p>
    <w:p w14:paraId="75C9558C" w14:textId="77777777" w:rsidR="00DA67E8" w:rsidRPr="00F62DC2" w:rsidRDefault="00DA67E8" w:rsidP="00F62DC2">
      <w:pPr>
        <w:jc w:val="both"/>
        <w:rPr>
          <w:rFonts w:ascii="Arial" w:hAnsi="Arial" w:cs="Arial"/>
          <w:sz w:val="22"/>
          <w:szCs w:val="22"/>
        </w:rPr>
      </w:pPr>
    </w:p>
    <w:p w14:paraId="47E3C97B" w14:textId="77777777" w:rsidR="00DA67E8" w:rsidRPr="00F62DC2" w:rsidRDefault="00625F72" w:rsidP="00F62DC2">
      <w:pPr>
        <w:jc w:val="both"/>
        <w:rPr>
          <w:rFonts w:ascii="Arial" w:hAnsi="Arial" w:cs="Arial"/>
          <w:sz w:val="22"/>
          <w:szCs w:val="22"/>
        </w:rPr>
      </w:pPr>
      <w:hyperlink r:id="rId167" w:history="1">
        <w:r w:rsidR="00DA67E8" w:rsidRPr="00F62DC2">
          <w:rPr>
            <w:rFonts w:ascii="Arial" w:hAnsi="Arial" w:cs="Arial"/>
            <w:sz w:val="22"/>
            <w:szCs w:val="22"/>
          </w:rPr>
          <w:t>Wu MF</w:t>
        </w:r>
      </w:hyperlink>
      <w:r w:rsidR="00DA67E8" w:rsidRPr="00F62DC2">
        <w:rPr>
          <w:rFonts w:ascii="Arial" w:hAnsi="Arial" w:cs="Arial"/>
          <w:sz w:val="22"/>
          <w:szCs w:val="22"/>
        </w:rPr>
        <w:t xml:space="preserve">, </w:t>
      </w:r>
      <w:hyperlink r:id="rId168" w:history="1">
        <w:r w:rsidR="00DA67E8" w:rsidRPr="00F62DC2">
          <w:rPr>
            <w:rFonts w:ascii="Arial" w:hAnsi="Arial" w:cs="Arial"/>
            <w:sz w:val="22"/>
            <w:szCs w:val="22"/>
          </w:rPr>
          <w:t>Hsiao YM</w:t>
        </w:r>
      </w:hyperlink>
      <w:r w:rsidR="00DA67E8" w:rsidRPr="00F62DC2">
        <w:rPr>
          <w:rFonts w:ascii="Arial" w:hAnsi="Arial" w:cs="Arial"/>
          <w:sz w:val="22"/>
          <w:szCs w:val="22"/>
        </w:rPr>
        <w:t xml:space="preserve">, </w:t>
      </w:r>
      <w:hyperlink r:id="rId169" w:history="1">
        <w:r w:rsidR="00DA67E8" w:rsidRPr="00F62DC2">
          <w:rPr>
            <w:rFonts w:ascii="Arial" w:hAnsi="Arial" w:cs="Arial"/>
            <w:sz w:val="22"/>
            <w:szCs w:val="22"/>
          </w:rPr>
          <w:t>Huang CF</w:t>
        </w:r>
      </w:hyperlink>
      <w:r w:rsidR="00DA67E8" w:rsidRPr="00F62DC2">
        <w:rPr>
          <w:rFonts w:ascii="Arial" w:hAnsi="Arial" w:cs="Arial"/>
          <w:sz w:val="22"/>
          <w:szCs w:val="22"/>
        </w:rPr>
        <w:t xml:space="preserve">, </w:t>
      </w:r>
      <w:hyperlink r:id="rId170" w:history="1">
        <w:r w:rsidR="00DA67E8" w:rsidRPr="00F62DC2">
          <w:rPr>
            <w:rFonts w:ascii="Arial" w:hAnsi="Arial" w:cs="Arial"/>
            <w:sz w:val="22"/>
            <w:szCs w:val="22"/>
          </w:rPr>
          <w:t>Huang YH</w:t>
        </w:r>
      </w:hyperlink>
      <w:r w:rsidR="00DA67E8" w:rsidRPr="00F62DC2">
        <w:rPr>
          <w:rFonts w:ascii="Arial" w:hAnsi="Arial" w:cs="Arial"/>
          <w:sz w:val="22"/>
          <w:szCs w:val="22"/>
        </w:rPr>
        <w:t xml:space="preserve">, </w:t>
      </w:r>
      <w:hyperlink r:id="rId171" w:history="1">
        <w:r w:rsidR="00DA67E8" w:rsidRPr="00F62DC2">
          <w:rPr>
            <w:rFonts w:ascii="Arial" w:hAnsi="Arial" w:cs="Arial"/>
            <w:sz w:val="22"/>
            <w:szCs w:val="22"/>
          </w:rPr>
          <w:t>Yang WJ</w:t>
        </w:r>
      </w:hyperlink>
      <w:r w:rsidR="00DA67E8" w:rsidRPr="00F62DC2">
        <w:rPr>
          <w:rFonts w:ascii="Arial" w:hAnsi="Arial" w:cs="Arial"/>
          <w:sz w:val="22"/>
          <w:szCs w:val="22"/>
        </w:rPr>
        <w:t xml:space="preserve">, </w:t>
      </w:r>
      <w:hyperlink r:id="rId172" w:history="1">
        <w:r w:rsidR="00DA67E8" w:rsidRPr="00F62DC2">
          <w:rPr>
            <w:rFonts w:ascii="Arial" w:hAnsi="Arial" w:cs="Arial"/>
            <w:sz w:val="22"/>
            <w:szCs w:val="22"/>
          </w:rPr>
          <w:t>Chan HW</w:t>
        </w:r>
      </w:hyperlink>
      <w:r w:rsidR="00DA67E8" w:rsidRPr="00F62DC2">
        <w:rPr>
          <w:rFonts w:ascii="Arial" w:hAnsi="Arial" w:cs="Arial"/>
          <w:sz w:val="22"/>
          <w:szCs w:val="22"/>
        </w:rPr>
        <w:t xml:space="preserve">, </w:t>
      </w:r>
      <w:hyperlink r:id="rId173" w:history="1">
        <w:r w:rsidR="00DA67E8" w:rsidRPr="00F62DC2">
          <w:rPr>
            <w:rFonts w:ascii="Arial" w:hAnsi="Arial" w:cs="Arial"/>
            <w:sz w:val="22"/>
            <w:szCs w:val="22"/>
          </w:rPr>
          <w:t>Chang JT</w:t>
        </w:r>
      </w:hyperlink>
      <w:r w:rsidR="00DA67E8" w:rsidRPr="00F62DC2">
        <w:rPr>
          <w:rFonts w:ascii="Arial" w:hAnsi="Arial" w:cs="Arial"/>
          <w:sz w:val="22"/>
          <w:szCs w:val="22"/>
        </w:rPr>
        <w:t xml:space="preserve">, </w:t>
      </w:r>
      <w:hyperlink r:id="rId174" w:history="1">
        <w:r w:rsidR="00DA67E8" w:rsidRPr="00F62DC2">
          <w:rPr>
            <w:rFonts w:ascii="Arial" w:hAnsi="Arial" w:cs="Arial"/>
            <w:sz w:val="22"/>
            <w:szCs w:val="22"/>
          </w:rPr>
          <w:t>Ko JL</w:t>
        </w:r>
      </w:hyperlink>
      <w:r w:rsidR="00DA67E8" w:rsidRPr="00F62DC2">
        <w:rPr>
          <w:rFonts w:ascii="Arial" w:hAnsi="Arial" w:cs="Arial"/>
          <w:sz w:val="22"/>
          <w:szCs w:val="22"/>
        </w:rPr>
        <w:t xml:space="preserve">. Genetic determinants of pemetrexed responsiveness and </w:t>
      </w:r>
      <w:proofErr w:type="spellStart"/>
      <w:r w:rsidR="00DA67E8" w:rsidRPr="00F62DC2">
        <w:rPr>
          <w:rFonts w:ascii="Arial" w:hAnsi="Arial" w:cs="Arial"/>
          <w:sz w:val="22"/>
          <w:szCs w:val="22"/>
        </w:rPr>
        <w:t>nonresponsiveness</w:t>
      </w:r>
      <w:proofErr w:type="spellEnd"/>
      <w:r w:rsidR="00DA67E8" w:rsidRPr="00F62DC2">
        <w:rPr>
          <w:rFonts w:ascii="Arial" w:hAnsi="Arial" w:cs="Arial"/>
          <w:sz w:val="22"/>
          <w:szCs w:val="22"/>
        </w:rPr>
        <w:t xml:space="preserve"> in non-small cell lung cancer cells. J </w:t>
      </w:r>
      <w:proofErr w:type="spellStart"/>
      <w:r w:rsidR="00DA67E8" w:rsidRPr="00F62DC2">
        <w:rPr>
          <w:rFonts w:ascii="Arial" w:hAnsi="Arial" w:cs="Arial"/>
          <w:sz w:val="22"/>
          <w:szCs w:val="22"/>
        </w:rPr>
        <w:t>Thorac</w:t>
      </w:r>
      <w:proofErr w:type="spellEnd"/>
      <w:r w:rsidR="00DA67E8" w:rsidRPr="00F62DC2">
        <w:rPr>
          <w:rFonts w:ascii="Arial" w:hAnsi="Arial" w:cs="Arial"/>
          <w:sz w:val="22"/>
          <w:szCs w:val="22"/>
        </w:rPr>
        <w:t xml:space="preserve"> Oncol 2010; 5(8): 1143-51</w:t>
      </w:r>
    </w:p>
    <w:p w14:paraId="08B543A3" w14:textId="77777777" w:rsidR="00DA67E8" w:rsidRPr="002C3214" w:rsidRDefault="00DA67E8" w:rsidP="00F62DC2">
      <w:pPr>
        <w:jc w:val="both"/>
        <w:rPr>
          <w:rFonts w:ascii="Arial" w:hAnsi="Arial" w:cs="Arial"/>
          <w:sz w:val="22"/>
          <w:szCs w:val="22"/>
        </w:rPr>
      </w:pPr>
    </w:p>
    <w:p w14:paraId="2CF0706D" w14:textId="77777777" w:rsidR="00277882" w:rsidRPr="0049098A" w:rsidRDefault="00277882" w:rsidP="00277882">
      <w:pPr>
        <w:jc w:val="both"/>
        <w:rPr>
          <w:rFonts w:ascii="Arial" w:hAnsi="Arial" w:cs="Arial"/>
          <w:b/>
          <w:sz w:val="22"/>
          <w:szCs w:val="22"/>
        </w:rPr>
      </w:pPr>
      <w:proofErr w:type="spellStart"/>
      <w:r w:rsidRPr="0049098A">
        <w:rPr>
          <w:rFonts w:ascii="Arial" w:hAnsi="Arial" w:cs="Arial"/>
          <w:b/>
          <w:sz w:val="22"/>
          <w:szCs w:val="22"/>
        </w:rPr>
        <w:t>Synta</w:t>
      </w:r>
      <w:proofErr w:type="spellEnd"/>
      <w:r w:rsidRPr="0049098A">
        <w:rPr>
          <w:rFonts w:ascii="Arial" w:hAnsi="Arial" w:cs="Arial"/>
          <w:b/>
          <w:sz w:val="22"/>
          <w:szCs w:val="22"/>
        </w:rPr>
        <w:t xml:space="preserve"> studies:</w:t>
      </w:r>
    </w:p>
    <w:tbl>
      <w:tblPr>
        <w:tblW w:w="10192"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51"/>
        <w:gridCol w:w="2174"/>
        <w:gridCol w:w="1224"/>
        <w:gridCol w:w="2310"/>
        <w:gridCol w:w="2446"/>
        <w:gridCol w:w="1087"/>
      </w:tblGrid>
      <w:tr w:rsidR="00277882" w:rsidRPr="00B2083C" w14:paraId="54E29A1D" w14:textId="77777777" w:rsidTr="000F57A3">
        <w:trPr>
          <w:trHeight w:val="497"/>
        </w:trPr>
        <w:tc>
          <w:tcPr>
            <w:tcW w:w="952" w:type="dxa"/>
            <w:vAlign w:val="center"/>
          </w:tcPr>
          <w:p w14:paraId="1F15BF85" w14:textId="77777777" w:rsidR="00277882" w:rsidRPr="00B2083C" w:rsidRDefault="00277882" w:rsidP="00F95FB2">
            <w:pPr>
              <w:pStyle w:val="Default"/>
              <w:jc w:val="center"/>
              <w:rPr>
                <w:rFonts w:ascii="Arial" w:hAnsi="Arial" w:cs="Arial"/>
                <w:sz w:val="16"/>
                <w:szCs w:val="16"/>
              </w:rPr>
            </w:pPr>
            <w:r w:rsidRPr="00B2083C">
              <w:rPr>
                <w:rFonts w:ascii="Arial" w:hAnsi="Arial" w:cs="Arial"/>
                <w:b/>
                <w:bCs/>
                <w:sz w:val="16"/>
                <w:szCs w:val="16"/>
              </w:rPr>
              <w:t>Protocol No. /Phase</w:t>
            </w:r>
          </w:p>
        </w:tc>
        <w:tc>
          <w:tcPr>
            <w:tcW w:w="2174" w:type="dxa"/>
            <w:vAlign w:val="center"/>
          </w:tcPr>
          <w:p w14:paraId="20611474" w14:textId="77777777" w:rsidR="00277882" w:rsidRPr="00B2083C" w:rsidRDefault="00277882" w:rsidP="00F95FB2">
            <w:pPr>
              <w:pStyle w:val="Default"/>
              <w:jc w:val="center"/>
              <w:rPr>
                <w:rFonts w:ascii="Arial" w:hAnsi="Arial" w:cs="Arial"/>
                <w:sz w:val="16"/>
                <w:szCs w:val="16"/>
              </w:rPr>
            </w:pPr>
            <w:r w:rsidRPr="00B2083C">
              <w:rPr>
                <w:rFonts w:ascii="Arial" w:hAnsi="Arial" w:cs="Arial"/>
                <w:b/>
                <w:bCs/>
                <w:sz w:val="16"/>
                <w:szCs w:val="16"/>
              </w:rPr>
              <w:t>Study Description</w:t>
            </w:r>
          </w:p>
        </w:tc>
        <w:tc>
          <w:tcPr>
            <w:tcW w:w="1223" w:type="dxa"/>
            <w:vAlign w:val="center"/>
          </w:tcPr>
          <w:p w14:paraId="475A7664" w14:textId="77777777" w:rsidR="00277882" w:rsidRPr="00B2083C" w:rsidRDefault="00277882" w:rsidP="00F95FB2">
            <w:pPr>
              <w:pStyle w:val="Default"/>
              <w:jc w:val="center"/>
              <w:rPr>
                <w:rFonts w:ascii="Arial" w:hAnsi="Arial" w:cs="Arial"/>
                <w:sz w:val="16"/>
                <w:szCs w:val="16"/>
              </w:rPr>
            </w:pPr>
            <w:r w:rsidRPr="00B2083C">
              <w:rPr>
                <w:rFonts w:ascii="Arial" w:hAnsi="Arial" w:cs="Arial"/>
                <w:b/>
                <w:bCs/>
                <w:sz w:val="16"/>
                <w:szCs w:val="16"/>
              </w:rPr>
              <w:t xml:space="preserve">Enrolled (Received </w:t>
            </w:r>
            <w:proofErr w:type="spellStart"/>
            <w:r w:rsidRPr="00B2083C">
              <w:rPr>
                <w:rFonts w:ascii="Arial" w:hAnsi="Arial" w:cs="Arial"/>
                <w:b/>
                <w:bCs/>
                <w:sz w:val="16"/>
                <w:szCs w:val="16"/>
              </w:rPr>
              <w:t>ganetespib</w:t>
            </w:r>
            <w:proofErr w:type="spellEnd"/>
            <w:r w:rsidRPr="00B2083C">
              <w:rPr>
                <w:rFonts w:ascii="Arial" w:hAnsi="Arial" w:cs="Arial"/>
                <w:b/>
                <w:bCs/>
                <w:sz w:val="16"/>
                <w:szCs w:val="16"/>
              </w:rPr>
              <w:t>)</w:t>
            </w:r>
          </w:p>
          <w:p w14:paraId="747CA268" w14:textId="77777777" w:rsidR="00277882" w:rsidRPr="00B2083C" w:rsidRDefault="00277882" w:rsidP="00F95FB2">
            <w:pPr>
              <w:pStyle w:val="Default"/>
              <w:jc w:val="center"/>
              <w:rPr>
                <w:rFonts w:ascii="Arial" w:hAnsi="Arial" w:cs="Arial"/>
                <w:sz w:val="16"/>
                <w:szCs w:val="16"/>
              </w:rPr>
            </w:pPr>
            <w:r w:rsidRPr="00B2083C">
              <w:rPr>
                <w:rFonts w:ascii="Arial" w:hAnsi="Arial" w:cs="Arial"/>
                <w:b/>
                <w:bCs/>
                <w:sz w:val="16"/>
                <w:szCs w:val="16"/>
              </w:rPr>
              <w:t>(n)</w:t>
            </w:r>
          </w:p>
        </w:tc>
        <w:tc>
          <w:tcPr>
            <w:tcW w:w="2310" w:type="dxa"/>
            <w:vAlign w:val="center"/>
          </w:tcPr>
          <w:p w14:paraId="6C6F65F1" w14:textId="77777777" w:rsidR="00277882" w:rsidRPr="00B2083C" w:rsidRDefault="00277882" w:rsidP="00F95FB2">
            <w:pPr>
              <w:pStyle w:val="Default"/>
              <w:jc w:val="center"/>
              <w:rPr>
                <w:rFonts w:ascii="Arial" w:hAnsi="Arial" w:cs="Arial"/>
                <w:sz w:val="16"/>
                <w:szCs w:val="16"/>
              </w:rPr>
            </w:pPr>
            <w:r w:rsidRPr="00B2083C">
              <w:rPr>
                <w:rFonts w:ascii="Arial" w:hAnsi="Arial" w:cs="Arial"/>
                <w:b/>
                <w:bCs/>
                <w:sz w:val="16"/>
                <w:szCs w:val="16"/>
              </w:rPr>
              <w:t xml:space="preserve">Dose Levels  - </w:t>
            </w:r>
            <w:proofErr w:type="spellStart"/>
            <w:r w:rsidRPr="00B2083C">
              <w:rPr>
                <w:rFonts w:ascii="Arial" w:hAnsi="Arial" w:cs="Arial"/>
                <w:b/>
                <w:bCs/>
                <w:sz w:val="16"/>
                <w:szCs w:val="16"/>
              </w:rPr>
              <w:t>Ganetespib</w:t>
            </w:r>
            <w:proofErr w:type="spellEnd"/>
          </w:p>
        </w:tc>
        <w:tc>
          <w:tcPr>
            <w:tcW w:w="2446" w:type="dxa"/>
            <w:vAlign w:val="center"/>
          </w:tcPr>
          <w:p w14:paraId="08A6B9A1" w14:textId="77777777" w:rsidR="00277882" w:rsidRPr="00B2083C" w:rsidRDefault="00277882" w:rsidP="00F95FB2">
            <w:pPr>
              <w:pStyle w:val="Default"/>
              <w:jc w:val="center"/>
              <w:rPr>
                <w:rFonts w:ascii="Arial" w:hAnsi="Arial" w:cs="Arial"/>
                <w:sz w:val="16"/>
                <w:szCs w:val="16"/>
              </w:rPr>
            </w:pPr>
            <w:r w:rsidRPr="00B2083C">
              <w:rPr>
                <w:rFonts w:ascii="Arial" w:hAnsi="Arial" w:cs="Arial"/>
                <w:b/>
                <w:bCs/>
                <w:sz w:val="16"/>
                <w:szCs w:val="16"/>
              </w:rPr>
              <w:t>Dosing Schedule</w:t>
            </w:r>
          </w:p>
        </w:tc>
        <w:tc>
          <w:tcPr>
            <w:tcW w:w="1087" w:type="dxa"/>
            <w:vAlign w:val="center"/>
          </w:tcPr>
          <w:p w14:paraId="7F2BF854" w14:textId="77777777" w:rsidR="00277882" w:rsidRPr="00B2083C" w:rsidRDefault="00277882" w:rsidP="00F95FB2">
            <w:pPr>
              <w:pStyle w:val="Default"/>
              <w:jc w:val="center"/>
              <w:rPr>
                <w:rFonts w:ascii="Arial" w:hAnsi="Arial" w:cs="Arial"/>
                <w:sz w:val="16"/>
                <w:szCs w:val="16"/>
              </w:rPr>
            </w:pPr>
            <w:r w:rsidRPr="00B2083C">
              <w:rPr>
                <w:rFonts w:ascii="Arial" w:hAnsi="Arial" w:cs="Arial"/>
                <w:b/>
                <w:bCs/>
                <w:sz w:val="16"/>
                <w:szCs w:val="16"/>
              </w:rPr>
              <w:t>Study Status</w:t>
            </w:r>
          </w:p>
        </w:tc>
      </w:tr>
      <w:tr w:rsidR="00277882" w:rsidRPr="00B2083C" w14:paraId="5471D369" w14:textId="77777777" w:rsidTr="000F57A3">
        <w:trPr>
          <w:gridAfter w:val="3"/>
          <w:wAfter w:w="5842" w:type="dxa"/>
          <w:trHeight w:val="138"/>
        </w:trPr>
        <w:tc>
          <w:tcPr>
            <w:tcW w:w="4350" w:type="dxa"/>
            <w:gridSpan w:val="3"/>
          </w:tcPr>
          <w:p w14:paraId="143F1E15" w14:textId="77777777" w:rsidR="00277882" w:rsidRPr="00B2083C" w:rsidRDefault="00277882" w:rsidP="00D24EF5">
            <w:pPr>
              <w:pStyle w:val="Default"/>
              <w:rPr>
                <w:rFonts w:ascii="Arial" w:hAnsi="Arial" w:cs="Arial"/>
                <w:sz w:val="16"/>
                <w:szCs w:val="16"/>
              </w:rPr>
            </w:pPr>
          </w:p>
        </w:tc>
      </w:tr>
      <w:tr w:rsidR="00277882" w:rsidRPr="00B2083C" w14:paraId="38A21613" w14:textId="77777777" w:rsidTr="000F57A3">
        <w:trPr>
          <w:trHeight w:val="1214"/>
        </w:trPr>
        <w:tc>
          <w:tcPr>
            <w:tcW w:w="952" w:type="dxa"/>
            <w:vAlign w:val="center"/>
          </w:tcPr>
          <w:p w14:paraId="2DC83D6F" w14:textId="77777777" w:rsidR="00277882" w:rsidRPr="00B2083C" w:rsidRDefault="00277882" w:rsidP="00F95FB2">
            <w:pPr>
              <w:pStyle w:val="Default"/>
              <w:jc w:val="center"/>
              <w:rPr>
                <w:rFonts w:ascii="Arial" w:hAnsi="Arial" w:cs="Arial"/>
                <w:sz w:val="16"/>
                <w:szCs w:val="16"/>
              </w:rPr>
            </w:pPr>
            <w:r w:rsidRPr="00B2083C">
              <w:rPr>
                <w:rFonts w:ascii="Arial" w:hAnsi="Arial" w:cs="Arial"/>
                <w:b/>
                <w:bCs/>
                <w:sz w:val="16"/>
                <w:szCs w:val="16"/>
              </w:rPr>
              <w:t>9090-07</w:t>
            </w:r>
          </w:p>
          <w:p w14:paraId="75E9A071" w14:textId="77777777" w:rsidR="00277882" w:rsidRPr="00B2083C" w:rsidRDefault="00277882" w:rsidP="00F95FB2">
            <w:pPr>
              <w:pStyle w:val="Default"/>
              <w:jc w:val="center"/>
              <w:rPr>
                <w:rFonts w:ascii="Arial" w:hAnsi="Arial" w:cs="Arial"/>
                <w:sz w:val="16"/>
                <w:szCs w:val="16"/>
              </w:rPr>
            </w:pPr>
            <w:r w:rsidRPr="00B2083C">
              <w:rPr>
                <w:rFonts w:ascii="Arial" w:hAnsi="Arial" w:cs="Arial"/>
                <w:i/>
                <w:iCs/>
                <w:sz w:val="16"/>
                <w:szCs w:val="16"/>
              </w:rPr>
              <w:t>Phase 1</w:t>
            </w:r>
          </w:p>
        </w:tc>
        <w:tc>
          <w:tcPr>
            <w:tcW w:w="2174" w:type="dxa"/>
            <w:vAlign w:val="center"/>
          </w:tcPr>
          <w:p w14:paraId="1EBCF614"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 xml:space="preserve">Open-label dose-escalation in solid tumors to determine the PKs of once-weekly dosing with </w:t>
            </w:r>
            <w:proofErr w:type="spellStart"/>
            <w:r w:rsidRPr="00B2083C">
              <w:rPr>
                <w:rFonts w:ascii="Arial" w:hAnsi="Arial" w:cs="Arial"/>
                <w:sz w:val="16"/>
                <w:szCs w:val="16"/>
              </w:rPr>
              <w:t>ganetespib</w:t>
            </w:r>
            <w:proofErr w:type="spellEnd"/>
            <w:r w:rsidRPr="00B2083C">
              <w:rPr>
                <w:rFonts w:ascii="Arial" w:hAnsi="Arial" w:cs="Arial"/>
                <w:sz w:val="16"/>
                <w:szCs w:val="16"/>
              </w:rPr>
              <w:t xml:space="preserve"> plus docetaxel</w:t>
            </w:r>
          </w:p>
        </w:tc>
        <w:tc>
          <w:tcPr>
            <w:tcW w:w="1223" w:type="dxa"/>
            <w:vAlign w:val="center"/>
          </w:tcPr>
          <w:p w14:paraId="52392DD0"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27</w:t>
            </w:r>
          </w:p>
          <w:p w14:paraId="769F6884"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(27)</w:t>
            </w:r>
          </w:p>
        </w:tc>
        <w:tc>
          <w:tcPr>
            <w:tcW w:w="2310" w:type="dxa"/>
            <w:vAlign w:val="center"/>
          </w:tcPr>
          <w:p w14:paraId="5C7975A1"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150 mg/m2 + 60 mg/ m2 OR 75 mg/m2 docetaxel</w:t>
            </w:r>
          </w:p>
          <w:p w14:paraId="3AA28E0F"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200 mg/m2 + 75 mg/ m2 docetaxel</w:t>
            </w:r>
          </w:p>
          <w:p w14:paraId="0930B6DC"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150 mg/m2 + 75 mg/ m2 docetaxel</w:t>
            </w:r>
          </w:p>
        </w:tc>
        <w:tc>
          <w:tcPr>
            <w:tcW w:w="2446" w:type="dxa"/>
            <w:vAlign w:val="center"/>
          </w:tcPr>
          <w:p w14:paraId="2CE3CE7F"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 xml:space="preserve">Day 1- combo </w:t>
            </w:r>
            <w:proofErr w:type="spellStart"/>
            <w:r w:rsidRPr="00B2083C">
              <w:rPr>
                <w:rFonts w:ascii="Arial" w:hAnsi="Arial" w:cs="Arial"/>
                <w:sz w:val="16"/>
                <w:szCs w:val="16"/>
              </w:rPr>
              <w:t>tx</w:t>
            </w:r>
            <w:proofErr w:type="spellEnd"/>
          </w:p>
          <w:p w14:paraId="3A7596EF"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 xml:space="preserve">Day 15- </w:t>
            </w:r>
            <w:proofErr w:type="spellStart"/>
            <w:r w:rsidRPr="00B2083C">
              <w:rPr>
                <w:rFonts w:ascii="Arial" w:hAnsi="Arial" w:cs="Arial"/>
                <w:sz w:val="16"/>
                <w:szCs w:val="16"/>
              </w:rPr>
              <w:t>ganetespib</w:t>
            </w:r>
            <w:proofErr w:type="spellEnd"/>
          </w:p>
          <w:p w14:paraId="4C2C1C86"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 xml:space="preserve">2 wks+1 </w:t>
            </w:r>
            <w:proofErr w:type="spellStart"/>
            <w:r w:rsidRPr="00B2083C">
              <w:rPr>
                <w:rFonts w:ascii="Arial" w:hAnsi="Arial" w:cs="Arial"/>
                <w:sz w:val="16"/>
                <w:szCs w:val="16"/>
              </w:rPr>
              <w:t>wk</w:t>
            </w:r>
            <w:proofErr w:type="spellEnd"/>
            <w:r w:rsidRPr="00B2083C">
              <w:rPr>
                <w:rFonts w:ascii="Arial" w:hAnsi="Arial" w:cs="Arial"/>
                <w:sz w:val="16"/>
                <w:szCs w:val="16"/>
              </w:rPr>
              <w:t xml:space="preserve"> rest</w:t>
            </w:r>
          </w:p>
          <w:p w14:paraId="534F2861"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Day 1, 4, 15</w:t>
            </w:r>
          </w:p>
        </w:tc>
        <w:tc>
          <w:tcPr>
            <w:tcW w:w="1087" w:type="dxa"/>
            <w:vAlign w:val="center"/>
          </w:tcPr>
          <w:p w14:paraId="1ECCFA11"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Enrollment Completed</w:t>
            </w:r>
          </w:p>
        </w:tc>
      </w:tr>
      <w:tr w:rsidR="00277882" w:rsidRPr="00B2083C" w14:paraId="4BF327DC" w14:textId="77777777" w:rsidTr="000F57A3">
        <w:trPr>
          <w:trHeight w:val="1221"/>
        </w:trPr>
        <w:tc>
          <w:tcPr>
            <w:tcW w:w="952" w:type="dxa"/>
            <w:vAlign w:val="center"/>
          </w:tcPr>
          <w:p w14:paraId="3D359DB6" w14:textId="77777777" w:rsidR="00277882" w:rsidRPr="00B2083C" w:rsidRDefault="00277882" w:rsidP="00F95FB2">
            <w:pPr>
              <w:pStyle w:val="Default"/>
              <w:jc w:val="center"/>
              <w:rPr>
                <w:rFonts w:ascii="Arial" w:hAnsi="Arial" w:cs="Arial"/>
                <w:sz w:val="16"/>
                <w:szCs w:val="16"/>
              </w:rPr>
            </w:pPr>
            <w:r w:rsidRPr="00B2083C">
              <w:rPr>
                <w:rFonts w:ascii="Arial" w:hAnsi="Arial" w:cs="Arial"/>
                <w:b/>
                <w:bCs/>
                <w:sz w:val="16"/>
                <w:szCs w:val="16"/>
              </w:rPr>
              <w:t>9090-08</w:t>
            </w:r>
          </w:p>
          <w:p w14:paraId="4CF01B8B" w14:textId="77777777" w:rsidR="00277882" w:rsidRPr="00B2083C" w:rsidRDefault="00277882" w:rsidP="00F95FB2">
            <w:pPr>
              <w:pStyle w:val="Default"/>
              <w:jc w:val="center"/>
              <w:rPr>
                <w:rFonts w:ascii="Arial" w:hAnsi="Arial" w:cs="Arial"/>
                <w:sz w:val="16"/>
                <w:szCs w:val="16"/>
              </w:rPr>
            </w:pPr>
            <w:r w:rsidRPr="00B2083C">
              <w:rPr>
                <w:rFonts w:ascii="Arial" w:hAnsi="Arial" w:cs="Arial"/>
                <w:i/>
                <w:iCs/>
                <w:sz w:val="16"/>
                <w:szCs w:val="16"/>
              </w:rPr>
              <w:t>Phase 2B/3</w:t>
            </w:r>
          </w:p>
        </w:tc>
        <w:tc>
          <w:tcPr>
            <w:tcW w:w="2174" w:type="dxa"/>
            <w:vAlign w:val="center"/>
          </w:tcPr>
          <w:p w14:paraId="325D87D4"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 xml:space="preserve">Randomized, open-label study in Stage </w:t>
            </w:r>
            <w:proofErr w:type="spellStart"/>
            <w:r w:rsidRPr="00B2083C">
              <w:rPr>
                <w:rFonts w:ascii="Arial" w:hAnsi="Arial" w:cs="Arial"/>
                <w:sz w:val="16"/>
                <w:szCs w:val="16"/>
              </w:rPr>
              <w:t>IIIb</w:t>
            </w:r>
            <w:proofErr w:type="spellEnd"/>
            <w:r w:rsidRPr="00B2083C">
              <w:rPr>
                <w:rFonts w:ascii="Arial" w:hAnsi="Arial" w:cs="Arial"/>
                <w:sz w:val="16"/>
                <w:szCs w:val="16"/>
              </w:rPr>
              <w:t xml:space="preserve"> or IV NSCLC</w:t>
            </w:r>
          </w:p>
        </w:tc>
        <w:tc>
          <w:tcPr>
            <w:tcW w:w="1223" w:type="dxa"/>
            <w:vAlign w:val="center"/>
          </w:tcPr>
          <w:p w14:paraId="49308BCF"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385</w:t>
            </w:r>
          </w:p>
          <w:p w14:paraId="66705C17"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(196)</w:t>
            </w:r>
          </w:p>
        </w:tc>
        <w:tc>
          <w:tcPr>
            <w:tcW w:w="2310" w:type="dxa"/>
            <w:vAlign w:val="center"/>
          </w:tcPr>
          <w:p w14:paraId="7F89BAAA"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Arm A (control):</w:t>
            </w:r>
          </w:p>
          <w:p w14:paraId="61CB0391"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docetaxel 75 mg/m2</w:t>
            </w:r>
          </w:p>
          <w:p w14:paraId="4454BC99"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 xml:space="preserve">Arm B (experimental): </w:t>
            </w:r>
            <w:proofErr w:type="spellStart"/>
            <w:r w:rsidRPr="00B2083C">
              <w:rPr>
                <w:rFonts w:ascii="Arial" w:hAnsi="Arial" w:cs="Arial"/>
                <w:sz w:val="16"/>
                <w:szCs w:val="16"/>
              </w:rPr>
              <w:t>ganetespib</w:t>
            </w:r>
            <w:proofErr w:type="spellEnd"/>
            <w:r w:rsidRPr="00B2083C">
              <w:rPr>
                <w:rFonts w:ascii="Arial" w:hAnsi="Arial" w:cs="Arial"/>
                <w:sz w:val="16"/>
                <w:szCs w:val="16"/>
              </w:rPr>
              <w:t xml:space="preserve"> 150 mg/m2 + docetaxel 75 mg/m2.</w:t>
            </w:r>
          </w:p>
        </w:tc>
        <w:tc>
          <w:tcPr>
            <w:tcW w:w="2446" w:type="dxa"/>
            <w:vAlign w:val="center"/>
          </w:tcPr>
          <w:p w14:paraId="01D41B25"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75 mg/m2</w:t>
            </w:r>
          </w:p>
          <w:p w14:paraId="4121FA96"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 xml:space="preserve">Day 1, 3 </w:t>
            </w:r>
            <w:proofErr w:type="spellStart"/>
            <w:r w:rsidRPr="00B2083C">
              <w:rPr>
                <w:rFonts w:ascii="Arial" w:hAnsi="Arial" w:cs="Arial"/>
                <w:sz w:val="16"/>
                <w:szCs w:val="16"/>
              </w:rPr>
              <w:t>wk</w:t>
            </w:r>
            <w:proofErr w:type="spellEnd"/>
            <w:r w:rsidRPr="00B2083C">
              <w:rPr>
                <w:rFonts w:ascii="Arial" w:hAnsi="Arial" w:cs="Arial"/>
                <w:sz w:val="16"/>
                <w:szCs w:val="16"/>
              </w:rPr>
              <w:t xml:space="preserve"> cycle</w:t>
            </w:r>
          </w:p>
          <w:p w14:paraId="4F972369" w14:textId="77777777" w:rsidR="00277882" w:rsidRPr="00B2083C" w:rsidRDefault="00277882" w:rsidP="00F95FB2">
            <w:pPr>
              <w:pStyle w:val="Default"/>
              <w:jc w:val="center"/>
              <w:rPr>
                <w:rFonts w:ascii="Arial" w:hAnsi="Arial" w:cs="Arial"/>
                <w:sz w:val="16"/>
                <w:szCs w:val="16"/>
              </w:rPr>
            </w:pPr>
            <w:proofErr w:type="spellStart"/>
            <w:r w:rsidRPr="00B2083C">
              <w:rPr>
                <w:rFonts w:ascii="Arial" w:hAnsi="Arial" w:cs="Arial"/>
                <w:sz w:val="16"/>
                <w:szCs w:val="16"/>
              </w:rPr>
              <w:t>Ganetespib</w:t>
            </w:r>
            <w:proofErr w:type="spellEnd"/>
            <w:r w:rsidRPr="00B2083C">
              <w:rPr>
                <w:rFonts w:ascii="Arial" w:hAnsi="Arial" w:cs="Arial"/>
                <w:sz w:val="16"/>
                <w:szCs w:val="16"/>
              </w:rPr>
              <w:t xml:space="preserve"> Days 1 and 15, each 3-wk cycle</w:t>
            </w:r>
          </w:p>
          <w:p w14:paraId="74365898"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Docetaxel Day 1 of each 3-wk cycle</w:t>
            </w:r>
          </w:p>
        </w:tc>
        <w:tc>
          <w:tcPr>
            <w:tcW w:w="1087" w:type="dxa"/>
            <w:vAlign w:val="center"/>
          </w:tcPr>
          <w:p w14:paraId="63F1BD2C" w14:textId="77777777" w:rsidR="00277882" w:rsidRPr="00B2083C" w:rsidRDefault="00277882" w:rsidP="00F95FB2">
            <w:pPr>
              <w:pStyle w:val="Default"/>
              <w:jc w:val="center"/>
              <w:rPr>
                <w:rFonts w:ascii="Arial" w:hAnsi="Arial" w:cs="Arial"/>
                <w:sz w:val="16"/>
                <w:szCs w:val="16"/>
              </w:rPr>
            </w:pPr>
            <w:r w:rsidRPr="00B2083C">
              <w:rPr>
                <w:rFonts w:ascii="Arial" w:hAnsi="Arial" w:cs="Arial"/>
                <w:sz w:val="16"/>
                <w:szCs w:val="16"/>
              </w:rPr>
              <w:t>Enrollment Completed</w:t>
            </w:r>
          </w:p>
        </w:tc>
      </w:tr>
      <w:tr w:rsidR="00277882" w:rsidRPr="00B2083C" w14:paraId="45432A62" w14:textId="77777777" w:rsidTr="000F57A3">
        <w:trPr>
          <w:trHeight w:val="1221"/>
        </w:trPr>
        <w:tc>
          <w:tcPr>
            <w:tcW w:w="952" w:type="dxa"/>
            <w:vAlign w:val="center"/>
          </w:tcPr>
          <w:p w14:paraId="4A4D0BD2" w14:textId="77777777" w:rsidR="00277882" w:rsidRPr="00F95FB2" w:rsidRDefault="00277882" w:rsidP="00F95FB2">
            <w:pPr>
              <w:pStyle w:val="Default"/>
              <w:jc w:val="center"/>
              <w:rPr>
                <w:rFonts w:ascii="Arial" w:hAnsi="Arial" w:cs="Arial"/>
                <w:b/>
                <w:sz w:val="16"/>
                <w:szCs w:val="16"/>
              </w:rPr>
            </w:pPr>
            <w:r w:rsidRPr="00F95FB2">
              <w:rPr>
                <w:rFonts w:ascii="Arial" w:hAnsi="Arial" w:cs="Arial"/>
                <w:b/>
                <w:sz w:val="16"/>
                <w:szCs w:val="16"/>
              </w:rPr>
              <w:t>9090-13</w:t>
            </w:r>
          </w:p>
          <w:p w14:paraId="08CB5C85" w14:textId="77777777" w:rsidR="00277882" w:rsidRPr="005630CC" w:rsidRDefault="00277882" w:rsidP="00F95FB2">
            <w:pPr>
              <w:pStyle w:val="Default"/>
              <w:jc w:val="center"/>
              <w:rPr>
                <w:rFonts w:ascii="Arial" w:hAnsi="Arial" w:cs="Arial"/>
                <w:sz w:val="16"/>
                <w:szCs w:val="16"/>
              </w:rPr>
            </w:pPr>
            <w:r w:rsidRPr="005630CC">
              <w:rPr>
                <w:rFonts w:ascii="Arial" w:hAnsi="Arial" w:cs="Arial"/>
                <w:sz w:val="16"/>
                <w:szCs w:val="16"/>
              </w:rPr>
              <w:t>Phase 1</w:t>
            </w:r>
          </w:p>
        </w:tc>
        <w:tc>
          <w:tcPr>
            <w:tcW w:w="2174" w:type="dxa"/>
            <w:vAlign w:val="center"/>
          </w:tcPr>
          <w:p w14:paraId="7CA91D00" w14:textId="77777777" w:rsidR="00277882" w:rsidRPr="005630CC" w:rsidRDefault="00277882" w:rsidP="00F95FB2">
            <w:pPr>
              <w:pStyle w:val="Default"/>
              <w:jc w:val="center"/>
              <w:rPr>
                <w:rFonts w:ascii="Arial" w:hAnsi="Arial" w:cs="Arial"/>
                <w:sz w:val="16"/>
                <w:szCs w:val="16"/>
              </w:rPr>
            </w:pPr>
          </w:p>
          <w:p w14:paraId="7ECA7C29" w14:textId="77777777" w:rsidR="00277882" w:rsidRPr="00B2083C" w:rsidRDefault="00277882" w:rsidP="00F95FB2">
            <w:pPr>
              <w:pStyle w:val="Default"/>
              <w:jc w:val="center"/>
              <w:rPr>
                <w:rFonts w:ascii="Arial" w:hAnsi="Arial" w:cs="Arial"/>
                <w:sz w:val="16"/>
                <w:szCs w:val="16"/>
              </w:rPr>
            </w:pPr>
            <w:r w:rsidRPr="005630CC">
              <w:rPr>
                <w:rFonts w:ascii="Arial" w:hAnsi="Arial" w:cs="Arial"/>
                <w:sz w:val="16"/>
                <w:szCs w:val="16"/>
              </w:rPr>
              <w:t>Thorough QT/ECG study in healthy male volunteers</w:t>
            </w:r>
          </w:p>
        </w:tc>
        <w:tc>
          <w:tcPr>
            <w:tcW w:w="1223" w:type="dxa"/>
            <w:vAlign w:val="center"/>
          </w:tcPr>
          <w:p w14:paraId="390A3824" w14:textId="77777777" w:rsidR="00277882" w:rsidRDefault="00277882" w:rsidP="00F95FB2">
            <w:pPr>
              <w:pStyle w:val="Default"/>
              <w:jc w:val="center"/>
              <w:rPr>
                <w:rFonts w:ascii="Arial" w:hAnsi="Arial" w:cs="Arial"/>
                <w:sz w:val="16"/>
                <w:szCs w:val="16"/>
              </w:rPr>
            </w:pPr>
            <w:r>
              <w:rPr>
                <w:rFonts w:ascii="Arial" w:hAnsi="Arial" w:cs="Arial"/>
                <w:sz w:val="16"/>
                <w:szCs w:val="16"/>
              </w:rPr>
              <w:t>50</w:t>
            </w:r>
          </w:p>
          <w:p w14:paraId="581891AC" w14:textId="77777777" w:rsidR="00277882" w:rsidRPr="00B2083C" w:rsidRDefault="00277882" w:rsidP="00F95FB2">
            <w:pPr>
              <w:pStyle w:val="Default"/>
              <w:jc w:val="center"/>
              <w:rPr>
                <w:rFonts w:ascii="Arial" w:hAnsi="Arial" w:cs="Arial"/>
                <w:sz w:val="16"/>
                <w:szCs w:val="16"/>
              </w:rPr>
            </w:pPr>
            <w:r>
              <w:rPr>
                <w:rFonts w:ascii="Arial" w:hAnsi="Arial" w:cs="Arial"/>
                <w:sz w:val="16"/>
                <w:szCs w:val="16"/>
              </w:rPr>
              <w:t>(48)</w:t>
            </w:r>
          </w:p>
        </w:tc>
        <w:tc>
          <w:tcPr>
            <w:tcW w:w="2310" w:type="dxa"/>
            <w:vAlign w:val="center"/>
          </w:tcPr>
          <w:p w14:paraId="41995019" w14:textId="77777777" w:rsidR="00277882" w:rsidRPr="00D75467" w:rsidRDefault="00277882" w:rsidP="00F95FB2">
            <w:pPr>
              <w:pStyle w:val="Default"/>
              <w:jc w:val="center"/>
              <w:rPr>
                <w:rFonts w:ascii="Arial" w:hAnsi="Arial" w:cs="Arial"/>
                <w:sz w:val="16"/>
                <w:szCs w:val="16"/>
              </w:rPr>
            </w:pPr>
            <w:r w:rsidRPr="00D75467">
              <w:rPr>
                <w:rFonts w:ascii="Arial" w:hAnsi="Arial" w:cs="Arial"/>
                <w:sz w:val="16"/>
                <w:szCs w:val="16"/>
              </w:rPr>
              <w:t>200 mg/m2</w:t>
            </w:r>
          </w:p>
          <w:p w14:paraId="31A2960A" w14:textId="77777777" w:rsidR="00277882" w:rsidRPr="00B2083C" w:rsidRDefault="00277882" w:rsidP="00F95FB2">
            <w:pPr>
              <w:pStyle w:val="Default"/>
              <w:jc w:val="center"/>
              <w:rPr>
                <w:rFonts w:ascii="Arial" w:hAnsi="Arial" w:cs="Arial"/>
                <w:sz w:val="16"/>
                <w:szCs w:val="16"/>
              </w:rPr>
            </w:pPr>
          </w:p>
        </w:tc>
        <w:tc>
          <w:tcPr>
            <w:tcW w:w="2446" w:type="dxa"/>
            <w:vAlign w:val="center"/>
          </w:tcPr>
          <w:p w14:paraId="4562D7FF" w14:textId="77777777" w:rsidR="00277882" w:rsidRPr="00D75467" w:rsidRDefault="00277882" w:rsidP="00F95FB2">
            <w:pPr>
              <w:pStyle w:val="Default"/>
              <w:jc w:val="center"/>
              <w:rPr>
                <w:rFonts w:ascii="Arial" w:hAnsi="Arial" w:cs="Arial"/>
                <w:sz w:val="16"/>
                <w:szCs w:val="16"/>
              </w:rPr>
            </w:pPr>
            <w:r w:rsidRPr="00D75467">
              <w:rPr>
                <w:rFonts w:ascii="Arial" w:hAnsi="Arial" w:cs="Arial"/>
                <w:sz w:val="16"/>
                <w:szCs w:val="16"/>
              </w:rPr>
              <w:t xml:space="preserve">Sequence-randomized single-dose, 3-way crossover of 200 mg/m2 </w:t>
            </w:r>
            <w:proofErr w:type="spellStart"/>
            <w:r w:rsidRPr="00D75467">
              <w:rPr>
                <w:rFonts w:ascii="Arial" w:hAnsi="Arial" w:cs="Arial"/>
                <w:sz w:val="16"/>
                <w:szCs w:val="16"/>
              </w:rPr>
              <w:t>ganetespib</w:t>
            </w:r>
            <w:proofErr w:type="spellEnd"/>
            <w:r w:rsidRPr="00D75467">
              <w:rPr>
                <w:rFonts w:ascii="Arial" w:hAnsi="Arial" w:cs="Arial"/>
                <w:sz w:val="16"/>
                <w:szCs w:val="16"/>
              </w:rPr>
              <w:t xml:space="preserve"> vs 400 mg moxifloxacin PO vs vehicle placebo control</w:t>
            </w:r>
          </w:p>
          <w:p w14:paraId="7C052DB8" w14:textId="77777777" w:rsidR="00277882" w:rsidRPr="00B2083C" w:rsidRDefault="00277882" w:rsidP="00F95FB2">
            <w:pPr>
              <w:pStyle w:val="Default"/>
              <w:jc w:val="center"/>
              <w:rPr>
                <w:rFonts w:ascii="Arial" w:hAnsi="Arial" w:cs="Arial"/>
                <w:sz w:val="16"/>
                <w:szCs w:val="16"/>
              </w:rPr>
            </w:pPr>
          </w:p>
        </w:tc>
        <w:tc>
          <w:tcPr>
            <w:tcW w:w="1087" w:type="dxa"/>
            <w:vAlign w:val="center"/>
          </w:tcPr>
          <w:p w14:paraId="6DB7F51C" w14:textId="77777777" w:rsidR="00277882" w:rsidRPr="00B2083C" w:rsidRDefault="00277882" w:rsidP="00F95FB2">
            <w:pPr>
              <w:pStyle w:val="Default"/>
              <w:jc w:val="center"/>
              <w:rPr>
                <w:rFonts w:ascii="Arial" w:hAnsi="Arial" w:cs="Arial"/>
                <w:sz w:val="16"/>
                <w:szCs w:val="16"/>
              </w:rPr>
            </w:pPr>
            <w:r w:rsidRPr="00D75467">
              <w:rPr>
                <w:rFonts w:ascii="Arial" w:hAnsi="Arial" w:cs="Arial"/>
                <w:sz w:val="16"/>
                <w:szCs w:val="16"/>
              </w:rPr>
              <w:t>CSR final</w:t>
            </w:r>
          </w:p>
        </w:tc>
      </w:tr>
    </w:tbl>
    <w:p w14:paraId="3CBDCB24" w14:textId="77777777" w:rsidR="00277882" w:rsidRPr="002C3214" w:rsidRDefault="00277882" w:rsidP="00BF16F9">
      <w:pPr>
        <w:jc w:val="both"/>
        <w:rPr>
          <w:rFonts w:ascii="Arial" w:hAnsi="Arial" w:cs="Arial"/>
          <w:sz w:val="22"/>
          <w:szCs w:val="22"/>
        </w:rPr>
      </w:pPr>
    </w:p>
    <w:p w14:paraId="5827003D" w14:textId="77777777" w:rsidR="00277882" w:rsidRPr="002C3214" w:rsidRDefault="00277882" w:rsidP="00BF16F9">
      <w:pPr>
        <w:jc w:val="both"/>
        <w:rPr>
          <w:rFonts w:ascii="Arial" w:hAnsi="Arial" w:cs="Arial"/>
          <w:sz w:val="22"/>
          <w:szCs w:val="22"/>
        </w:rPr>
      </w:pPr>
    </w:p>
    <w:p w14:paraId="6B410E08" w14:textId="77777777" w:rsidR="00DA67E8" w:rsidRPr="00F95FB2" w:rsidRDefault="00DA67E8" w:rsidP="00F95FB2">
      <w:pPr>
        <w:pStyle w:val="AppendixHead"/>
        <w:spacing w:after="120"/>
        <w:rPr>
          <w:lang w:val="en-GB"/>
        </w:rPr>
      </w:pPr>
      <w:bookmarkStart w:id="1271" w:name="_Toc283031895"/>
      <w:bookmarkStart w:id="1272" w:name="_Toc283376432"/>
      <w:bookmarkStart w:id="1273" w:name="_Toc333484822"/>
      <w:bookmarkStart w:id="1274" w:name="_Toc333484937"/>
      <w:bookmarkStart w:id="1275" w:name="_Toc351624889"/>
      <w:bookmarkStart w:id="1276" w:name="_Toc471826849"/>
      <w:bookmarkStart w:id="1277" w:name="_Toc528323616"/>
      <w:r w:rsidRPr="00A23D8C">
        <w:lastRenderedPageBreak/>
        <w:t>Appendix 1: Abbreviations</w:t>
      </w:r>
      <w:bookmarkEnd w:id="1271"/>
      <w:bookmarkEnd w:id="1272"/>
      <w:bookmarkEnd w:id="1273"/>
      <w:bookmarkEnd w:id="1274"/>
      <w:bookmarkEnd w:id="1275"/>
      <w:bookmarkEnd w:id="1276"/>
      <w:bookmarkEnd w:id="1277"/>
    </w:p>
    <w:tbl>
      <w:tblPr>
        <w:tblW w:w="9498" w:type="dxa"/>
        <w:tblInd w:w="-34" w:type="dxa"/>
        <w:tblLayout w:type="fixed"/>
        <w:tblLook w:val="0000" w:firstRow="0" w:lastRow="0" w:firstColumn="0" w:lastColumn="0" w:noHBand="0" w:noVBand="0"/>
      </w:tblPr>
      <w:tblGrid>
        <w:gridCol w:w="1843"/>
        <w:gridCol w:w="7655"/>
      </w:tblGrid>
      <w:tr w:rsidR="00DA67E8" w:rsidRPr="005E2C7F" w14:paraId="50AD3CFE" w14:textId="77777777" w:rsidTr="00F95FB2">
        <w:tc>
          <w:tcPr>
            <w:tcW w:w="1843" w:type="dxa"/>
            <w:vAlign w:val="center"/>
          </w:tcPr>
          <w:p w14:paraId="39C43BFF" w14:textId="77777777" w:rsidR="00DA67E8" w:rsidRPr="00EC658C" w:rsidRDefault="00DA67E8" w:rsidP="00F95FB2">
            <w:pPr>
              <w:pStyle w:val="SIGNCJ"/>
              <w:autoSpaceDE w:val="0"/>
              <w:autoSpaceDN w:val="0"/>
              <w:rPr>
                <w:rFonts w:ascii="Arial" w:hAnsi="Arial" w:cs="Arial"/>
                <w:szCs w:val="22"/>
              </w:rPr>
            </w:pPr>
            <w:r w:rsidRPr="00EC658C">
              <w:rPr>
                <w:rFonts w:ascii="Arial" w:hAnsi="Arial" w:cs="Arial"/>
                <w:sz w:val="22"/>
                <w:szCs w:val="22"/>
              </w:rPr>
              <w:t>ABPI</w:t>
            </w:r>
          </w:p>
        </w:tc>
        <w:tc>
          <w:tcPr>
            <w:tcW w:w="7655" w:type="dxa"/>
            <w:vAlign w:val="center"/>
          </w:tcPr>
          <w:p w14:paraId="383E7F7A"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Association of British Pharmaceutical Industry</w:t>
            </w:r>
          </w:p>
        </w:tc>
      </w:tr>
      <w:tr w:rsidR="00DA67E8" w:rsidRPr="005E2C7F" w14:paraId="4CE4774D" w14:textId="77777777" w:rsidTr="00F95FB2">
        <w:tc>
          <w:tcPr>
            <w:tcW w:w="1843" w:type="dxa"/>
            <w:vAlign w:val="center"/>
          </w:tcPr>
          <w:p w14:paraId="2109B5AA" w14:textId="77777777" w:rsidR="00DA67E8" w:rsidRPr="00EC658C" w:rsidRDefault="00DA67E8" w:rsidP="00F95FB2">
            <w:pPr>
              <w:pStyle w:val="Heading6"/>
              <w:numPr>
                <w:ilvl w:val="0"/>
                <w:numId w:val="0"/>
              </w:numPr>
              <w:rPr>
                <w:rFonts w:ascii="Arial" w:hAnsi="Arial" w:cs="Arial"/>
                <w:b/>
                <w:sz w:val="22"/>
                <w:szCs w:val="22"/>
                <w:lang w:val="en-GB" w:eastAsia="en-US"/>
              </w:rPr>
            </w:pPr>
            <w:r>
              <w:rPr>
                <w:rFonts w:ascii="Arial" w:hAnsi="Arial" w:cs="Arial"/>
                <w:b/>
                <w:sz w:val="22"/>
                <w:szCs w:val="22"/>
                <w:lang w:val="en-GB" w:eastAsia="en-US"/>
              </w:rPr>
              <w:t>ADL</w:t>
            </w:r>
          </w:p>
        </w:tc>
        <w:tc>
          <w:tcPr>
            <w:tcW w:w="7655" w:type="dxa"/>
            <w:vAlign w:val="center"/>
          </w:tcPr>
          <w:p w14:paraId="0C8B08FD"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Activities of Daily Living</w:t>
            </w:r>
          </w:p>
        </w:tc>
      </w:tr>
      <w:tr w:rsidR="00DA67E8" w:rsidRPr="005E2C7F" w14:paraId="0767487E" w14:textId="77777777" w:rsidTr="00F95FB2">
        <w:tc>
          <w:tcPr>
            <w:tcW w:w="1843" w:type="dxa"/>
            <w:vAlign w:val="center"/>
          </w:tcPr>
          <w:p w14:paraId="73C190F2" w14:textId="77777777" w:rsidR="00DA67E8" w:rsidRPr="00EC658C" w:rsidRDefault="00DA67E8" w:rsidP="00F95FB2">
            <w:pPr>
              <w:pStyle w:val="Heading6"/>
              <w:numPr>
                <w:ilvl w:val="0"/>
                <w:numId w:val="0"/>
              </w:numPr>
              <w:rPr>
                <w:rFonts w:ascii="Arial" w:hAnsi="Arial" w:cs="Arial"/>
                <w:b/>
                <w:sz w:val="22"/>
                <w:szCs w:val="22"/>
                <w:lang w:val="en-GB" w:eastAsia="en-US"/>
              </w:rPr>
            </w:pPr>
            <w:r>
              <w:rPr>
                <w:rFonts w:ascii="Arial" w:hAnsi="Arial" w:cs="Arial"/>
                <w:b/>
                <w:sz w:val="22"/>
                <w:szCs w:val="22"/>
                <w:lang w:val="en-GB" w:eastAsia="en-US"/>
              </w:rPr>
              <w:t>AE</w:t>
            </w:r>
          </w:p>
        </w:tc>
        <w:tc>
          <w:tcPr>
            <w:tcW w:w="7655" w:type="dxa"/>
            <w:vAlign w:val="center"/>
          </w:tcPr>
          <w:p w14:paraId="63E29B28"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Adverse Event</w:t>
            </w:r>
          </w:p>
        </w:tc>
      </w:tr>
      <w:tr w:rsidR="00DA67E8" w:rsidRPr="005E2C7F" w14:paraId="2B02B214" w14:textId="77777777" w:rsidTr="00F95FB2">
        <w:tc>
          <w:tcPr>
            <w:tcW w:w="1843" w:type="dxa"/>
            <w:vAlign w:val="center"/>
          </w:tcPr>
          <w:p w14:paraId="2054C006" w14:textId="77777777" w:rsidR="00DA67E8" w:rsidRPr="00EC658C" w:rsidRDefault="00DA67E8" w:rsidP="00F95FB2">
            <w:pPr>
              <w:pStyle w:val="Heading6"/>
              <w:numPr>
                <w:ilvl w:val="0"/>
                <w:numId w:val="0"/>
              </w:numPr>
              <w:rPr>
                <w:rFonts w:ascii="Arial" w:hAnsi="Arial" w:cs="Arial"/>
                <w:b/>
                <w:sz w:val="22"/>
                <w:szCs w:val="22"/>
                <w:lang w:val="en-GB" w:eastAsia="en-US"/>
              </w:rPr>
            </w:pPr>
            <w:r>
              <w:rPr>
                <w:rFonts w:ascii="Arial" w:hAnsi="Arial" w:cs="Arial"/>
                <w:b/>
                <w:sz w:val="22"/>
                <w:szCs w:val="22"/>
                <w:lang w:val="en-GB" w:eastAsia="en-US"/>
              </w:rPr>
              <w:t>ALP</w:t>
            </w:r>
          </w:p>
        </w:tc>
        <w:tc>
          <w:tcPr>
            <w:tcW w:w="7655" w:type="dxa"/>
            <w:vAlign w:val="center"/>
          </w:tcPr>
          <w:p w14:paraId="6E576D22"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Alkaline phosphatase</w:t>
            </w:r>
          </w:p>
        </w:tc>
      </w:tr>
      <w:tr w:rsidR="00DA67E8" w:rsidRPr="005E2C7F" w14:paraId="3B9EA893" w14:textId="77777777" w:rsidTr="00F95FB2">
        <w:tc>
          <w:tcPr>
            <w:tcW w:w="1843" w:type="dxa"/>
            <w:vAlign w:val="center"/>
          </w:tcPr>
          <w:p w14:paraId="21768581"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ALT</w:t>
            </w:r>
          </w:p>
        </w:tc>
        <w:tc>
          <w:tcPr>
            <w:tcW w:w="7655" w:type="dxa"/>
            <w:vAlign w:val="center"/>
          </w:tcPr>
          <w:p w14:paraId="5AEC7057"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Alanine transaminase</w:t>
            </w:r>
          </w:p>
        </w:tc>
      </w:tr>
      <w:tr w:rsidR="00DA67E8" w:rsidRPr="005E2C7F" w14:paraId="647D8601" w14:textId="77777777" w:rsidTr="00F95FB2">
        <w:tc>
          <w:tcPr>
            <w:tcW w:w="1843" w:type="dxa"/>
            <w:vAlign w:val="center"/>
          </w:tcPr>
          <w:p w14:paraId="50B5E99E"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ANC</w:t>
            </w:r>
          </w:p>
        </w:tc>
        <w:tc>
          <w:tcPr>
            <w:tcW w:w="7655" w:type="dxa"/>
            <w:vAlign w:val="center"/>
          </w:tcPr>
          <w:p w14:paraId="6DD0208C"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Absolute Neutrophil Count</w:t>
            </w:r>
          </w:p>
        </w:tc>
      </w:tr>
      <w:tr w:rsidR="00DA67E8" w:rsidRPr="005E2C7F" w14:paraId="39BE8DB8" w14:textId="77777777" w:rsidTr="00F95FB2">
        <w:tc>
          <w:tcPr>
            <w:tcW w:w="1843" w:type="dxa"/>
            <w:vAlign w:val="center"/>
          </w:tcPr>
          <w:p w14:paraId="3E8ACAFA"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AR</w:t>
            </w:r>
          </w:p>
        </w:tc>
        <w:tc>
          <w:tcPr>
            <w:tcW w:w="7655" w:type="dxa"/>
            <w:vAlign w:val="center"/>
          </w:tcPr>
          <w:p w14:paraId="6D99A0E6"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Adverse Reaction</w:t>
            </w:r>
          </w:p>
        </w:tc>
      </w:tr>
      <w:tr w:rsidR="00DA67E8" w:rsidRPr="005E2C7F" w14:paraId="3EB0311C" w14:textId="77777777" w:rsidTr="00F95FB2">
        <w:tc>
          <w:tcPr>
            <w:tcW w:w="1843" w:type="dxa"/>
            <w:vAlign w:val="center"/>
          </w:tcPr>
          <w:p w14:paraId="5E4F908D"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AST</w:t>
            </w:r>
          </w:p>
        </w:tc>
        <w:tc>
          <w:tcPr>
            <w:tcW w:w="7655" w:type="dxa"/>
            <w:vAlign w:val="center"/>
          </w:tcPr>
          <w:p w14:paraId="2D6960B8"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Aspartate aminotransferase</w:t>
            </w:r>
          </w:p>
        </w:tc>
      </w:tr>
      <w:tr w:rsidR="00DA67E8" w:rsidRPr="005E2C7F" w14:paraId="76112866" w14:textId="77777777" w:rsidTr="00F95FB2">
        <w:tc>
          <w:tcPr>
            <w:tcW w:w="1843" w:type="dxa"/>
            <w:vAlign w:val="center"/>
          </w:tcPr>
          <w:p w14:paraId="0858D6D7"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ATC</w:t>
            </w:r>
          </w:p>
        </w:tc>
        <w:tc>
          <w:tcPr>
            <w:tcW w:w="7655" w:type="dxa"/>
            <w:vAlign w:val="center"/>
          </w:tcPr>
          <w:p w14:paraId="5336BD83" w14:textId="77777777" w:rsidR="00DA67E8" w:rsidRPr="00EC658C" w:rsidRDefault="00DA67E8" w:rsidP="00F95FB2">
            <w:pPr>
              <w:autoSpaceDE w:val="0"/>
              <w:autoSpaceDN w:val="0"/>
              <w:rPr>
                <w:rFonts w:ascii="Arial" w:hAnsi="Arial" w:cs="Arial"/>
              </w:rPr>
            </w:pPr>
            <w:r w:rsidRPr="00EC658C">
              <w:rPr>
                <w:rFonts w:ascii="Arial" w:hAnsi="Arial" w:cs="Arial"/>
                <w:color w:val="000000"/>
                <w:sz w:val="22"/>
                <w:szCs w:val="22"/>
              </w:rPr>
              <w:t>Anatomical therapeutic chemical classification system</w:t>
            </w:r>
          </w:p>
        </w:tc>
      </w:tr>
      <w:tr w:rsidR="00DA67E8" w:rsidRPr="005E2C7F" w14:paraId="66725C5D" w14:textId="77777777" w:rsidTr="00F95FB2">
        <w:tc>
          <w:tcPr>
            <w:tcW w:w="1843" w:type="dxa"/>
            <w:vAlign w:val="center"/>
          </w:tcPr>
          <w:p w14:paraId="0B47BAC8"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AUC</w:t>
            </w:r>
          </w:p>
        </w:tc>
        <w:tc>
          <w:tcPr>
            <w:tcW w:w="7655" w:type="dxa"/>
            <w:vAlign w:val="center"/>
          </w:tcPr>
          <w:p w14:paraId="59D54985"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Area Under the Curve</w:t>
            </w:r>
          </w:p>
        </w:tc>
      </w:tr>
      <w:tr w:rsidR="00DA67E8" w:rsidRPr="005E2C7F" w14:paraId="382B968B" w14:textId="77777777" w:rsidTr="00F95FB2">
        <w:tc>
          <w:tcPr>
            <w:tcW w:w="1843" w:type="dxa"/>
            <w:vAlign w:val="center"/>
          </w:tcPr>
          <w:p w14:paraId="4C4E4EF3"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CEA</w:t>
            </w:r>
          </w:p>
        </w:tc>
        <w:tc>
          <w:tcPr>
            <w:tcW w:w="7655" w:type="dxa"/>
            <w:vAlign w:val="center"/>
          </w:tcPr>
          <w:p w14:paraId="7337A115"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Carcinoembryonic Antigen</w:t>
            </w:r>
          </w:p>
        </w:tc>
      </w:tr>
      <w:tr w:rsidR="00DA67E8" w:rsidRPr="005E2C7F" w14:paraId="092FDA8D" w14:textId="77777777" w:rsidTr="00F95FB2">
        <w:tc>
          <w:tcPr>
            <w:tcW w:w="1843" w:type="dxa"/>
            <w:vAlign w:val="center"/>
          </w:tcPr>
          <w:p w14:paraId="7B3B2C55"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CI</w:t>
            </w:r>
          </w:p>
        </w:tc>
        <w:tc>
          <w:tcPr>
            <w:tcW w:w="7655" w:type="dxa"/>
            <w:vAlign w:val="center"/>
          </w:tcPr>
          <w:p w14:paraId="2820B0EA"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Chief Investigator</w:t>
            </w:r>
          </w:p>
        </w:tc>
      </w:tr>
      <w:tr w:rsidR="00DA67E8" w:rsidRPr="005E2C7F" w14:paraId="66BFC906" w14:textId="77777777" w:rsidTr="00F95FB2">
        <w:tc>
          <w:tcPr>
            <w:tcW w:w="1843" w:type="dxa"/>
            <w:vAlign w:val="center"/>
          </w:tcPr>
          <w:p w14:paraId="0BE00906"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CR</w:t>
            </w:r>
          </w:p>
        </w:tc>
        <w:tc>
          <w:tcPr>
            <w:tcW w:w="7655" w:type="dxa"/>
            <w:vAlign w:val="center"/>
          </w:tcPr>
          <w:p w14:paraId="2CC6EEB1"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Complete response</w:t>
            </w:r>
          </w:p>
        </w:tc>
      </w:tr>
      <w:tr w:rsidR="00DA67E8" w:rsidRPr="005E2C7F" w14:paraId="25B9B6D2" w14:textId="77777777" w:rsidTr="00F95FB2">
        <w:tc>
          <w:tcPr>
            <w:tcW w:w="1843" w:type="dxa"/>
            <w:vAlign w:val="center"/>
          </w:tcPr>
          <w:p w14:paraId="668FEB61"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CRF</w:t>
            </w:r>
          </w:p>
        </w:tc>
        <w:tc>
          <w:tcPr>
            <w:tcW w:w="7655" w:type="dxa"/>
            <w:vAlign w:val="center"/>
          </w:tcPr>
          <w:p w14:paraId="3A45E046"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Case Report Form</w:t>
            </w:r>
          </w:p>
        </w:tc>
      </w:tr>
      <w:tr w:rsidR="00DA67E8" w:rsidRPr="005E2C7F" w14:paraId="6010D6BB" w14:textId="77777777" w:rsidTr="00F95FB2">
        <w:tc>
          <w:tcPr>
            <w:tcW w:w="1843" w:type="dxa"/>
            <w:vAlign w:val="center"/>
          </w:tcPr>
          <w:p w14:paraId="60A76483"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CRUK</w:t>
            </w:r>
            <w:r w:rsidRPr="00EC658C">
              <w:rPr>
                <w:rFonts w:ascii="Arial" w:hAnsi="Arial" w:cs="Arial"/>
                <w:b/>
                <w:sz w:val="22"/>
                <w:szCs w:val="22"/>
              </w:rPr>
              <w:tab/>
            </w:r>
          </w:p>
        </w:tc>
        <w:tc>
          <w:tcPr>
            <w:tcW w:w="7655" w:type="dxa"/>
            <w:vAlign w:val="center"/>
          </w:tcPr>
          <w:p w14:paraId="10C7E7B5"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Cancer Research UK</w:t>
            </w:r>
          </w:p>
        </w:tc>
      </w:tr>
      <w:tr w:rsidR="00DA67E8" w:rsidRPr="005E2C7F" w14:paraId="103A7D10" w14:textId="77777777" w:rsidTr="00F95FB2">
        <w:tc>
          <w:tcPr>
            <w:tcW w:w="1843" w:type="dxa"/>
            <w:vAlign w:val="center"/>
          </w:tcPr>
          <w:p w14:paraId="010AA4D2"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CT</w:t>
            </w:r>
          </w:p>
        </w:tc>
        <w:tc>
          <w:tcPr>
            <w:tcW w:w="7655" w:type="dxa"/>
            <w:vAlign w:val="center"/>
          </w:tcPr>
          <w:p w14:paraId="1061BA73"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Computerised Tomography</w:t>
            </w:r>
          </w:p>
        </w:tc>
      </w:tr>
      <w:tr w:rsidR="00DA67E8" w:rsidRPr="005E2C7F" w14:paraId="57667CBB" w14:textId="77777777" w:rsidTr="00F95FB2">
        <w:tc>
          <w:tcPr>
            <w:tcW w:w="1843" w:type="dxa"/>
            <w:vAlign w:val="center"/>
          </w:tcPr>
          <w:p w14:paraId="2EDC7F08"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CTA</w:t>
            </w:r>
          </w:p>
        </w:tc>
        <w:tc>
          <w:tcPr>
            <w:tcW w:w="7655" w:type="dxa"/>
            <w:vAlign w:val="center"/>
          </w:tcPr>
          <w:p w14:paraId="5C02182E"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Clinical Trial Authorisation</w:t>
            </w:r>
          </w:p>
        </w:tc>
      </w:tr>
      <w:tr w:rsidR="00DA67E8" w:rsidRPr="005E2C7F" w14:paraId="02F75824" w14:textId="77777777" w:rsidTr="00F95FB2">
        <w:tc>
          <w:tcPr>
            <w:tcW w:w="1843" w:type="dxa"/>
            <w:vAlign w:val="center"/>
          </w:tcPr>
          <w:p w14:paraId="11CBF631"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CTAAC</w:t>
            </w:r>
          </w:p>
        </w:tc>
        <w:tc>
          <w:tcPr>
            <w:tcW w:w="7655" w:type="dxa"/>
            <w:vAlign w:val="center"/>
          </w:tcPr>
          <w:p w14:paraId="58B06AA0" w14:textId="77777777" w:rsidR="00DA67E8" w:rsidRPr="00EC658C" w:rsidRDefault="003220D2" w:rsidP="00F95FB2">
            <w:pPr>
              <w:autoSpaceDE w:val="0"/>
              <w:autoSpaceDN w:val="0"/>
              <w:rPr>
                <w:rFonts w:ascii="Arial" w:hAnsi="Arial" w:cs="Arial"/>
              </w:rPr>
            </w:pPr>
            <w:r w:rsidRPr="00EC658C">
              <w:rPr>
                <w:rFonts w:ascii="Arial" w:hAnsi="Arial" w:cs="Arial"/>
                <w:sz w:val="22"/>
                <w:szCs w:val="22"/>
              </w:rPr>
              <w:t>Clinical</w:t>
            </w:r>
            <w:r w:rsidR="00DA67E8" w:rsidRPr="00EC658C">
              <w:rPr>
                <w:rFonts w:ascii="Arial" w:hAnsi="Arial" w:cs="Arial"/>
                <w:sz w:val="22"/>
                <w:szCs w:val="22"/>
              </w:rPr>
              <w:t xml:space="preserve"> Trials Advisory &amp; Awards Committee</w:t>
            </w:r>
          </w:p>
        </w:tc>
      </w:tr>
      <w:tr w:rsidR="00DA67E8" w:rsidRPr="005E2C7F" w14:paraId="6E650E4E" w14:textId="77777777" w:rsidTr="00F95FB2">
        <w:tc>
          <w:tcPr>
            <w:tcW w:w="1843" w:type="dxa"/>
            <w:vAlign w:val="center"/>
          </w:tcPr>
          <w:p w14:paraId="65FD12A6"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CTCAE</w:t>
            </w:r>
          </w:p>
        </w:tc>
        <w:tc>
          <w:tcPr>
            <w:tcW w:w="7655" w:type="dxa"/>
            <w:vAlign w:val="center"/>
          </w:tcPr>
          <w:p w14:paraId="38C165A4"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see NCI CTCAE</w:t>
            </w:r>
          </w:p>
        </w:tc>
      </w:tr>
      <w:tr w:rsidR="00DA67E8" w:rsidRPr="005E2C7F" w14:paraId="4F06EFF7" w14:textId="77777777" w:rsidTr="00F95FB2">
        <w:tc>
          <w:tcPr>
            <w:tcW w:w="1843" w:type="dxa"/>
            <w:vAlign w:val="center"/>
          </w:tcPr>
          <w:p w14:paraId="35E2BC59"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CTSA</w:t>
            </w:r>
          </w:p>
        </w:tc>
        <w:tc>
          <w:tcPr>
            <w:tcW w:w="7655" w:type="dxa"/>
            <w:vAlign w:val="center"/>
          </w:tcPr>
          <w:p w14:paraId="56607F78" w14:textId="77777777" w:rsidR="00DA67E8" w:rsidRPr="00EC658C" w:rsidRDefault="003220D2" w:rsidP="00F95FB2">
            <w:pPr>
              <w:autoSpaceDE w:val="0"/>
              <w:autoSpaceDN w:val="0"/>
              <w:rPr>
                <w:rFonts w:ascii="Arial" w:hAnsi="Arial" w:cs="Arial"/>
              </w:rPr>
            </w:pPr>
            <w:r w:rsidRPr="00EC658C">
              <w:rPr>
                <w:rFonts w:ascii="Arial" w:hAnsi="Arial" w:cs="Arial"/>
                <w:sz w:val="22"/>
                <w:szCs w:val="22"/>
              </w:rPr>
              <w:t>Clinical</w:t>
            </w:r>
            <w:r w:rsidR="00DA67E8" w:rsidRPr="00EC658C">
              <w:rPr>
                <w:rFonts w:ascii="Arial" w:hAnsi="Arial" w:cs="Arial"/>
                <w:sz w:val="22"/>
                <w:szCs w:val="22"/>
              </w:rPr>
              <w:t xml:space="preserve"> Trial Site Agreement</w:t>
            </w:r>
          </w:p>
        </w:tc>
      </w:tr>
      <w:tr w:rsidR="00DA67E8" w:rsidRPr="005E2C7F" w14:paraId="563466DB" w14:textId="77777777" w:rsidTr="00F95FB2">
        <w:tc>
          <w:tcPr>
            <w:tcW w:w="1843" w:type="dxa"/>
            <w:vAlign w:val="center"/>
          </w:tcPr>
          <w:p w14:paraId="5830BA9C"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CXR</w:t>
            </w:r>
          </w:p>
        </w:tc>
        <w:tc>
          <w:tcPr>
            <w:tcW w:w="7655" w:type="dxa"/>
            <w:vAlign w:val="center"/>
          </w:tcPr>
          <w:p w14:paraId="6073D161"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Chest X-Ray</w:t>
            </w:r>
          </w:p>
        </w:tc>
      </w:tr>
      <w:tr w:rsidR="00DA67E8" w:rsidRPr="005E2C7F" w14:paraId="3EDDA9A2" w14:textId="77777777" w:rsidTr="00F95FB2">
        <w:tc>
          <w:tcPr>
            <w:tcW w:w="1843" w:type="dxa"/>
            <w:vAlign w:val="center"/>
          </w:tcPr>
          <w:p w14:paraId="335AB9A0"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DFS</w:t>
            </w:r>
          </w:p>
        </w:tc>
        <w:tc>
          <w:tcPr>
            <w:tcW w:w="7655" w:type="dxa"/>
            <w:vAlign w:val="center"/>
          </w:tcPr>
          <w:p w14:paraId="3A8FEF57"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Disease Free Survival</w:t>
            </w:r>
          </w:p>
        </w:tc>
      </w:tr>
      <w:tr w:rsidR="00DA67E8" w:rsidRPr="005E2C7F" w14:paraId="4B074927" w14:textId="77777777" w:rsidTr="00F95FB2">
        <w:tc>
          <w:tcPr>
            <w:tcW w:w="1843" w:type="dxa"/>
            <w:vAlign w:val="center"/>
          </w:tcPr>
          <w:p w14:paraId="58C17B33"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DLT</w:t>
            </w:r>
          </w:p>
        </w:tc>
        <w:tc>
          <w:tcPr>
            <w:tcW w:w="7655" w:type="dxa"/>
            <w:vAlign w:val="center"/>
          </w:tcPr>
          <w:p w14:paraId="11A03B15"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Dose limiting toxicity</w:t>
            </w:r>
          </w:p>
        </w:tc>
      </w:tr>
      <w:tr w:rsidR="00DA67E8" w:rsidRPr="005E2C7F" w14:paraId="5E141F0A" w14:textId="77777777" w:rsidTr="00F95FB2">
        <w:trPr>
          <w:trHeight w:val="180"/>
        </w:trPr>
        <w:tc>
          <w:tcPr>
            <w:tcW w:w="1843" w:type="dxa"/>
            <w:vAlign w:val="center"/>
          </w:tcPr>
          <w:p w14:paraId="718E43AB" w14:textId="77777777" w:rsidR="00861AEB" w:rsidRPr="00EC658C" w:rsidRDefault="00DA67E8" w:rsidP="00F95FB2">
            <w:pPr>
              <w:autoSpaceDE w:val="0"/>
              <w:autoSpaceDN w:val="0"/>
              <w:rPr>
                <w:rFonts w:ascii="Arial" w:hAnsi="Arial" w:cs="Arial"/>
                <w:b/>
              </w:rPr>
            </w:pPr>
            <w:r w:rsidRPr="00EC658C">
              <w:rPr>
                <w:rFonts w:ascii="Arial" w:hAnsi="Arial" w:cs="Arial"/>
                <w:b/>
                <w:sz w:val="22"/>
                <w:szCs w:val="22"/>
              </w:rPr>
              <w:t>DPA</w:t>
            </w:r>
          </w:p>
        </w:tc>
        <w:tc>
          <w:tcPr>
            <w:tcW w:w="7655" w:type="dxa"/>
            <w:vAlign w:val="center"/>
          </w:tcPr>
          <w:p w14:paraId="79C6E38A" w14:textId="77777777" w:rsidR="00861AEB" w:rsidRPr="00861AEB" w:rsidRDefault="00DA67E8" w:rsidP="00F95FB2">
            <w:pPr>
              <w:autoSpaceDE w:val="0"/>
              <w:autoSpaceDN w:val="0"/>
              <w:rPr>
                <w:rFonts w:ascii="Arial" w:hAnsi="Arial" w:cs="Arial"/>
                <w:sz w:val="22"/>
                <w:szCs w:val="22"/>
              </w:rPr>
            </w:pPr>
            <w:r w:rsidRPr="00EC658C">
              <w:rPr>
                <w:rFonts w:ascii="Arial" w:hAnsi="Arial" w:cs="Arial"/>
                <w:sz w:val="22"/>
                <w:szCs w:val="22"/>
              </w:rPr>
              <w:t>Data Protection Act</w:t>
            </w:r>
          </w:p>
        </w:tc>
      </w:tr>
      <w:tr w:rsidR="00F95FB2" w:rsidRPr="005E2C7F" w14:paraId="10DB3F24" w14:textId="77777777" w:rsidTr="00F95FB2">
        <w:trPr>
          <w:trHeight w:val="330"/>
        </w:trPr>
        <w:tc>
          <w:tcPr>
            <w:tcW w:w="1843" w:type="dxa"/>
            <w:vAlign w:val="center"/>
          </w:tcPr>
          <w:p w14:paraId="44F7B0DA" w14:textId="77777777" w:rsidR="00F95FB2" w:rsidRPr="00EC658C" w:rsidRDefault="00F95FB2" w:rsidP="00F95FB2">
            <w:pPr>
              <w:autoSpaceDE w:val="0"/>
              <w:autoSpaceDN w:val="0"/>
              <w:rPr>
                <w:rFonts w:ascii="Arial" w:hAnsi="Arial" w:cs="Arial"/>
                <w:b/>
                <w:sz w:val="22"/>
                <w:szCs w:val="22"/>
              </w:rPr>
            </w:pPr>
            <w:r>
              <w:rPr>
                <w:rFonts w:ascii="Arial" w:hAnsi="Arial" w:cs="Arial"/>
                <w:b/>
                <w:sz w:val="22"/>
                <w:szCs w:val="22"/>
              </w:rPr>
              <w:t>DSUR</w:t>
            </w:r>
          </w:p>
        </w:tc>
        <w:tc>
          <w:tcPr>
            <w:tcW w:w="7655" w:type="dxa"/>
            <w:vAlign w:val="center"/>
          </w:tcPr>
          <w:p w14:paraId="6D487C73" w14:textId="77777777" w:rsidR="00F95FB2" w:rsidRPr="00EC658C" w:rsidRDefault="00F95FB2" w:rsidP="00F95FB2">
            <w:pPr>
              <w:autoSpaceDE w:val="0"/>
              <w:autoSpaceDN w:val="0"/>
              <w:rPr>
                <w:rFonts w:ascii="Arial" w:hAnsi="Arial" w:cs="Arial"/>
                <w:sz w:val="22"/>
                <w:szCs w:val="22"/>
              </w:rPr>
            </w:pPr>
            <w:r w:rsidRPr="00861AEB">
              <w:rPr>
                <w:rFonts w:ascii="Arial" w:hAnsi="Arial" w:cs="Arial"/>
                <w:sz w:val="22"/>
                <w:szCs w:val="22"/>
              </w:rPr>
              <w:t>Development Safety Update Reports</w:t>
            </w:r>
          </w:p>
        </w:tc>
      </w:tr>
      <w:tr w:rsidR="00DA67E8" w:rsidRPr="005E2C7F" w14:paraId="7BAC2D77" w14:textId="77777777" w:rsidTr="00F95FB2">
        <w:tc>
          <w:tcPr>
            <w:tcW w:w="1843" w:type="dxa"/>
            <w:vAlign w:val="center"/>
          </w:tcPr>
          <w:p w14:paraId="46120931"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ECG</w:t>
            </w:r>
          </w:p>
        </w:tc>
        <w:tc>
          <w:tcPr>
            <w:tcW w:w="7655" w:type="dxa"/>
            <w:vAlign w:val="center"/>
          </w:tcPr>
          <w:p w14:paraId="3CF770B9"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Electrocardiogram</w:t>
            </w:r>
          </w:p>
        </w:tc>
      </w:tr>
      <w:tr w:rsidR="00DA67E8" w:rsidRPr="005E2C7F" w14:paraId="71FB702D" w14:textId="77777777" w:rsidTr="00F95FB2">
        <w:tc>
          <w:tcPr>
            <w:tcW w:w="1843" w:type="dxa"/>
            <w:vAlign w:val="center"/>
          </w:tcPr>
          <w:p w14:paraId="17591A48"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ECOG</w:t>
            </w:r>
          </w:p>
        </w:tc>
        <w:tc>
          <w:tcPr>
            <w:tcW w:w="7655" w:type="dxa"/>
            <w:vAlign w:val="center"/>
          </w:tcPr>
          <w:p w14:paraId="5051ECEF"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Eastern Cooperative Oncology Group</w:t>
            </w:r>
          </w:p>
        </w:tc>
      </w:tr>
      <w:tr w:rsidR="00DA67E8" w:rsidRPr="005E2C7F" w14:paraId="3147B68B" w14:textId="77777777" w:rsidTr="00F95FB2">
        <w:tc>
          <w:tcPr>
            <w:tcW w:w="1843" w:type="dxa"/>
            <w:vAlign w:val="center"/>
          </w:tcPr>
          <w:p w14:paraId="560B6901"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ECMC</w:t>
            </w:r>
          </w:p>
        </w:tc>
        <w:tc>
          <w:tcPr>
            <w:tcW w:w="7655" w:type="dxa"/>
            <w:vAlign w:val="center"/>
          </w:tcPr>
          <w:p w14:paraId="0EC8328B"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Experimental Cancer Medicine Centre</w:t>
            </w:r>
          </w:p>
        </w:tc>
      </w:tr>
      <w:tr w:rsidR="00DA67E8" w:rsidRPr="005E2C7F" w14:paraId="750859D4" w14:textId="77777777" w:rsidTr="00F95FB2">
        <w:tc>
          <w:tcPr>
            <w:tcW w:w="1843" w:type="dxa"/>
            <w:vAlign w:val="center"/>
          </w:tcPr>
          <w:p w14:paraId="2732C73E"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EDTA</w:t>
            </w:r>
          </w:p>
        </w:tc>
        <w:tc>
          <w:tcPr>
            <w:tcW w:w="7655" w:type="dxa"/>
            <w:vAlign w:val="center"/>
          </w:tcPr>
          <w:p w14:paraId="621259B5"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Ethylene Diamine Tetra Acetate</w:t>
            </w:r>
          </w:p>
        </w:tc>
      </w:tr>
      <w:tr w:rsidR="00DA67E8" w:rsidRPr="005E2C7F" w14:paraId="72BC82FB" w14:textId="77777777" w:rsidTr="00F95FB2">
        <w:tc>
          <w:tcPr>
            <w:tcW w:w="1843" w:type="dxa"/>
            <w:vAlign w:val="center"/>
          </w:tcPr>
          <w:p w14:paraId="5C6B1B7E"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EPP</w:t>
            </w:r>
          </w:p>
        </w:tc>
        <w:tc>
          <w:tcPr>
            <w:tcW w:w="7655" w:type="dxa"/>
            <w:vAlign w:val="center"/>
          </w:tcPr>
          <w:p w14:paraId="140A85D2" w14:textId="77777777" w:rsidR="00DA67E8" w:rsidRPr="00EC658C" w:rsidRDefault="00DA67E8" w:rsidP="00F95FB2">
            <w:pPr>
              <w:autoSpaceDE w:val="0"/>
              <w:autoSpaceDN w:val="0"/>
              <w:rPr>
                <w:rFonts w:ascii="Arial" w:hAnsi="Arial" w:cs="Arial"/>
              </w:rPr>
            </w:pPr>
            <w:proofErr w:type="spellStart"/>
            <w:r w:rsidRPr="00EC658C">
              <w:rPr>
                <w:rFonts w:ascii="Arial" w:hAnsi="Arial" w:cs="Arial"/>
                <w:color w:val="000000"/>
                <w:sz w:val="22"/>
                <w:szCs w:val="22"/>
              </w:rPr>
              <w:t>Extrapleural</w:t>
            </w:r>
            <w:proofErr w:type="spellEnd"/>
            <w:r w:rsidRPr="00EC658C">
              <w:rPr>
                <w:rFonts w:ascii="Arial" w:hAnsi="Arial" w:cs="Arial"/>
                <w:color w:val="000000"/>
                <w:sz w:val="22"/>
                <w:szCs w:val="22"/>
              </w:rPr>
              <w:t xml:space="preserve"> Pneumonectomy</w:t>
            </w:r>
          </w:p>
        </w:tc>
      </w:tr>
      <w:tr w:rsidR="00DA67E8" w:rsidRPr="005E2C7F" w14:paraId="6CA1AC20" w14:textId="77777777" w:rsidTr="00F95FB2">
        <w:tc>
          <w:tcPr>
            <w:tcW w:w="1843" w:type="dxa"/>
            <w:vAlign w:val="center"/>
          </w:tcPr>
          <w:p w14:paraId="44F9D224"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EudraCT</w:t>
            </w:r>
          </w:p>
        </w:tc>
        <w:tc>
          <w:tcPr>
            <w:tcW w:w="7655" w:type="dxa"/>
            <w:vAlign w:val="center"/>
          </w:tcPr>
          <w:p w14:paraId="3EFF8BC4"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European Clinical Trials Database</w:t>
            </w:r>
          </w:p>
        </w:tc>
      </w:tr>
      <w:tr w:rsidR="00DA67E8" w:rsidRPr="005E2C7F" w14:paraId="75CC7B71" w14:textId="77777777" w:rsidTr="00F95FB2">
        <w:tc>
          <w:tcPr>
            <w:tcW w:w="1843" w:type="dxa"/>
            <w:vAlign w:val="center"/>
          </w:tcPr>
          <w:p w14:paraId="1155443C"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FBC</w:t>
            </w:r>
          </w:p>
        </w:tc>
        <w:tc>
          <w:tcPr>
            <w:tcW w:w="7655" w:type="dxa"/>
            <w:vAlign w:val="center"/>
          </w:tcPr>
          <w:p w14:paraId="0F2767F9"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Full Blood Count</w:t>
            </w:r>
          </w:p>
        </w:tc>
      </w:tr>
      <w:tr w:rsidR="00F974D4" w:rsidRPr="005E2C7F" w14:paraId="2C2B385A" w14:textId="77777777" w:rsidTr="00F95FB2">
        <w:tc>
          <w:tcPr>
            <w:tcW w:w="1843" w:type="dxa"/>
            <w:vAlign w:val="center"/>
          </w:tcPr>
          <w:p w14:paraId="611AF380" w14:textId="3670FA4B" w:rsidR="00F974D4" w:rsidRPr="00EC658C" w:rsidRDefault="00F974D4" w:rsidP="00F95FB2">
            <w:pPr>
              <w:autoSpaceDE w:val="0"/>
              <w:autoSpaceDN w:val="0"/>
              <w:rPr>
                <w:rFonts w:ascii="Arial" w:hAnsi="Arial" w:cs="Arial"/>
                <w:b/>
                <w:sz w:val="22"/>
                <w:szCs w:val="22"/>
              </w:rPr>
            </w:pPr>
            <w:r>
              <w:rPr>
                <w:rFonts w:ascii="Arial" w:hAnsi="Arial" w:cs="Arial"/>
                <w:b/>
                <w:sz w:val="22"/>
                <w:szCs w:val="22"/>
              </w:rPr>
              <w:t>GDPR</w:t>
            </w:r>
          </w:p>
        </w:tc>
        <w:tc>
          <w:tcPr>
            <w:tcW w:w="7655" w:type="dxa"/>
            <w:vAlign w:val="center"/>
          </w:tcPr>
          <w:p w14:paraId="61FC6E95" w14:textId="3FF41751" w:rsidR="00F974D4" w:rsidRPr="00EC658C" w:rsidRDefault="00F974D4" w:rsidP="00F95FB2">
            <w:pPr>
              <w:autoSpaceDE w:val="0"/>
              <w:autoSpaceDN w:val="0"/>
              <w:rPr>
                <w:rFonts w:ascii="Arial" w:hAnsi="Arial" w:cs="Arial"/>
                <w:sz w:val="22"/>
                <w:szCs w:val="22"/>
              </w:rPr>
            </w:pPr>
            <w:r>
              <w:rPr>
                <w:rFonts w:ascii="Arial" w:hAnsi="Arial" w:cs="Arial"/>
                <w:sz w:val="22"/>
                <w:szCs w:val="22"/>
              </w:rPr>
              <w:t>General Data Protection Regulation 2018</w:t>
            </w:r>
          </w:p>
        </w:tc>
      </w:tr>
      <w:tr w:rsidR="00DA67E8" w:rsidRPr="005E2C7F" w14:paraId="239E5001" w14:textId="77777777" w:rsidTr="00F95FB2">
        <w:tc>
          <w:tcPr>
            <w:tcW w:w="1843" w:type="dxa"/>
            <w:vAlign w:val="center"/>
          </w:tcPr>
          <w:p w14:paraId="40A8A2E6"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GFR</w:t>
            </w:r>
          </w:p>
        </w:tc>
        <w:tc>
          <w:tcPr>
            <w:tcW w:w="7655" w:type="dxa"/>
            <w:vAlign w:val="center"/>
          </w:tcPr>
          <w:p w14:paraId="207E2D58"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Glomerular Filtration Rate</w:t>
            </w:r>
          </w:p>
        </w:tc>
      </w:tr>
      <w:tr w:rsidR="00DA67E8" w:rsidRPr="005E2C7F" w14:paraId="2E413EC0" w14:textId="77777777" w:rsidTr="00F95FB2">
        <w:tc>
          <w:tcPr>
            <w:tcW w:w="1843" w:type="dxa"/>
            <w:vAlign w:val="center"/>
          </w:tcPr>
          <w:p w14:paraId="0B6FF156"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GLP</w:t>
            </w:r>
          </w:p>
        </w:tc>
        <w:tc>
          <w:tcPr>
            <w:tcW w:w="7655" w:type="dxa"/>
            <w:vAlign w:val="center"/>
          </w:tcPr>
          <w:p w14:paraId="608A21D8"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Good laboratory practice</w:t>
            </w:r>
          </w:p>
        </w:tc>
      </w:tr>
      <w:tr w:rsidR="00DA67E8" w:rsidRPr="005E2C7F" w14:paraId="72C577B0" w14:textId="77777777" w:rsidTr="00F95FB2">
        <w:tc>
          <w:tcPr>
            <w:tcW w:w="1843" w:type="dxa"/>
            <w:vAlign w:val="center"/>
          </w:tcPr>
          <w:p w14:paraId="18111914"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Hb</w:t>
            </w:r>
          </w:p>
        </w:tc>
        <w:tc>
          <w:tcPr>
            <w:tcW w:w="7655" w:type="dxa"/>
            <w:vAlign w:val="center"/>
          </w:tcPr>
          <w:p w14:paraId="62FBD91F"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Haemoglobin</w:t>
            </w:r>
          </w:p>
        </w:tc>
      </w:tr>
      <w:tr w:rsidR="00DA67E8" w:rsidRPr="005E2C7F" w14:paraId="65C5E04A" w14:textId="77777777" w:rsidTr="00F95FB2">
        <w:tc>
          <w:tcPr>
            <w:tcW w:w="1843" w:type="dxa"/>
            <w:vAlign w:val="center"/>
          </w:tcPr>
          <w:p w14:paraId="1C8D9DB1"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IB</w:t>
            </w:r>
          </w:p>
        </w:tc>
        <w:tc>
          <w:tcPr>
            <w:tcW w:w="7655" w:type="dxa"/>
            <w:vAlign w:val="center"/>
          </w:tcPr>
          <w:p w14:paraId="7FE7416D"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Investigator’s Brochure</w:t>
            </w:r>
          </w:p>
        </w:tc>
      </w:tr>
      <w:tr w:rsidR="00DA67E8" w:rsidRPr="005E2C7F" w14:paraId="0510BFAD" w14:textId="77777777" w:rsidTr="00F95FB2">
        <w:tc>
          <w:tcPr>
            <w:tcW w:w="1843" w:type="dxa"/>
            <w:vAlign w:val="center"/>
          </w:tcPr>
          <w:p w14:paraId="733A7416"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ICH GCP</w:t>
            </w:r>
          </w:p>
        </w:tc>
        <w:tc>
          <w:tcPr>
            <w:tcW w:w="7655" w:type="dxa"/>
            <w:vAlign w:val="center"/>
          </w:tcPr>
          <w:p w14:paraId="24845DD7"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International Conference of Harmonisation-Good Clinical Practice</w:t>
            </w:r>
          </w:p>
        </w:tc>
      </w:tr>
      <w:tr w:rsidR="00DA67E8" w:rsidRPr="005E2C7F" w14:paraId="37828898" w14:textId="77777777" w:rsidTr="00F95FB2">
        <w:tc>
          <w:tcPr>
            <w:tcW w:w="1843" w:type="dxa"/>
            <w:vAlign w:val="center"/>
          </w:tcPr>
          <w:p w14:paraId="6E95F6A8"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IDMC</w:t>
            </w:r>
          </w:p>
        </w:tc>
        <w:tc>
          <w:tcPr>
            <w:tcW w:w="7655" w:type="dxa"/>
            <w:vAlign w:val="center"/>
          </w:tcPr>
          <w:p w14:paraId="0A248EAF"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Independent Data Monitoring Committee</w:t>
            </w:r>
          </w:p>
        </w:tc>
      </w:tr>
      <w:tr w:rsidR="00DA67E8" w:rsidRPr="005E2C7F" w14:paraId="75E221DB" w14:textId="77777777" w:rsidTr="00F95FB2">
        <w:tc>
          <w:tcPr>
            <w:tcW w:w="1843" w:type="dxa"/>
            <w:vAlign w:val="center"/>
          </w:tcPr>
          <w:p w14:paraId="25BF11D4"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IMP</w:t>
            </w:r>
          </w:p>
        </w:tc>
        <w:tc>
          <w:tcPr>
            <w:tcW w:w="7655" w:type="dxa"/>
            <w:vAlign w:val="center"/>
          </w:tcPr>
          <w:p w14:paraId="2E1BA6FE"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Investigational Medicinal Product</w:t>
            </w:r>
          </w:p>
        </w:tc>
      </w:tr>
      <w:tr w:rsidR="00DA67E8" w:rsidRPr="005E2C7F" w14:paraId="27CFCFE4" w14:textId="77777777" w:rsidTr="00F95FB2">
        <w:tc>
          <w:tcPr>
            <w:tcW w:w="1843" w:type="dxa"/>
            <w:vAlign w:val="center"/>
          </w:tcPr>
          <w:p w14:paraId="7F39C89D"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INR</w:t>
            </w:r>
          </w:p>
        </w:tc>
        <w:tc>
          <w:tcPr>
            <w:tcW w:w="7655" w:type="dxa"/>
            <w:vAlign w:val="center"/>
          </w:tcPr>
          <w:p w14:paraId="66D22B30"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International Normalised Ratio</w:t>
            </w:r>
          </w:p>
        </w:tc>
      </w:tr>
      <w:tr w:rsidR="00DA67E8" w:rsidRPr="005E2C7F" w14:paraId="7E6D4CC6" w14:textId="77777777" w:rsidTr="00F95FB2">
        <w:tc>
          <w:tcPr>
            <w:tcW w:w="1843" w:type="dxa"/>
            <w:vAlign w:val="center"/>
          </w:tcPr>
          <w:p w14:paraId="6A67368A"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IV</w:t>
            </w:r>
          </w:p>
        </w:tc>
        <w:tc>
          <w:tcPr>
            <w:tcW w:w="7655" w:type="dxa"/>
            <w:vAlign w:val="center"/>
          </w:tcPr>
          <w:p w14:paraId="14A44EBC"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Intravenous</w:t>
            </w:r>
          </w:p>
        </w:tc>
      </w:tr>
      <w:tr w:rsidR="00DA67E8" w:rsidRPr="005E2C7F" w14:paraId="2F0B0697" w14:textId="77777777" w:rsidTr="00F95FB2">
        <w:tc>
          <w:tcPr>
            <w:tcW w:w="1843" w:type="dxa"/>
            <w:vAlign w:val="center"/>
          </w:tcPr>
          <w:p w14:paraId="422736E6"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LDH</w:t>
            </w:r>
          </w:p>
        </w:tc>
        <w:tc>
          <w:tcPr>
            <w:tcW w:w="7655" w:type="dxa"/>
            <w:vAlign w:val="center"/>
          </w:tcPr>
          <w:p w14:paraId="7571EFD7"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Lactic Dehydrogenase</w:t>
            </w:r>
          </w:p>
        </w:tc>
      </w:tr>
      <w:tr w:rsidR="00DA67E8" w:rsidRPr="005E2C7F" w14:paraId="188F6F5F" w14:textId="77777777" w:rsidTr="00F95FB2">
        <w:tc>
          <w:tcPr>
            <w:tcW w:w="1843" w:type="dxa"/>
            <w:vAlign w:val="center"/>
          </w:tcPr>
          <w:p w14:paraId="55088F85"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LFT</w:t>
            </w:r>
          </w:p>
        </w:tc>
        <w:tc>
          <w:tcPr>
            <w:tcW w:w="7655" w:type="dxa"/>
            <w:vAlign w:val="center"/>
          </w:tcPr>
          <w:p w14:paraId="4476B1CA"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Liver Function Tests</w:t>
            </w:r>
          </w:p>
        </w:tc>
      </w:tr>
      <w:tr w:rsidR="00DA67E8" w:rsidRPr="005E2C7F" w14:paraId="4707093B" w14:textId="77777777" w:rsidTr="00F95FB2">
        <w:tc>
          <w:tcPr>
            <w:tcW w:w="1843" w:type="dxa"/>
            <w:vAlign w:val="center"/>
          </w:tcPr>
          <w:p w14:paraId="51B052F2"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LLN</w:t>
            </w:r>
          </w:p>
        </w:tc>
        <w:tc>
          <w:tcPr>
            <w:tcW w:w="7655" w:type="dxa"/>
            <w:vAlign w:val="center"/>
          </w:tcPr>
          <w:p w14:paraId="746AFA08"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Lower Limit of Normal</w:t>
            </w:r>
          </w:p>
        </w:tc>
      </w:tr>
      <w:tr w:rsidR="00DA67E8" w:rsidRPr="005E2C7F" w14:paraId="4D54443B" w14:textId="77777777" w:rsidTr="00F95FB2">
        <w:tc>
          <w:tcPr>
            <w:tcW w:w="1843" w:type="dxa"/>
            <w:vAlign w:val="center"/>
          </w:tcPr>
          <w:p w14:paraId="73F9EDE1"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MHRA</w:t>
            </w:r>
          </w:p>
        </w:tc>
        <w:tc>
          <w:tcPr>
            <w:tcW w:w="7655" w:type="dxa"/>
            <w:vAlign w:val="center"/>
          </w:tcPr>
          <w:p w14:paraId="5627BB96"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Medicines and Healthcare products Regulatory Agency</w:t>
            </w:r>
          </w:p>
        </w:tc>
      </w:tr>
      <w:tr w:rsidR="00DA67E8" w:rsidRPr="005E2C7F" w14:paraId="500FB6B1" w14:textId="77777777" w:rsidTr="00F95FB2">
        <w:tc>
          <w:tcPr>
            <w:tcW w:w="1843" w:type="dxa"/>
            <w:vAlign w:val="center"/>
          </w:tcPr>
          <w:p w14:paraId="34CA6400"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MPM</w:t>
            </w:r>
          </w:p>
        </w:tc>
        <w:tc>
          <w:tcPr>
            <w:tcW w:w="7655" w:type="dxa"/>
            <w:vAlign w:val="center"/>
          </w:tcPr>
          <w:p w14:paraId="536B224D" w14:textId="77777777" w:rsidR="00DA67E8" w:rsidRPr="00EC658C" w:rsidRDefault="00DA67E8" w:rsidP="00F95FB2">
            <w:pPr>
              <w:autoSpaceDE w:val="0"/>
              <w:autoSpaceDN w:val="0"/>
              <w:rPr>
                <w:rFonts w:ascii="Arial" w:hAnsi="Arial" w:cs="Arial"/>
              </w:rPr>
            </w:pPr>
            <w:r w:rsidRPr="00EC658C">
              <w:rPr>
                <w:rFonts w:ascii="Arial" w:hAnsi="Arial" w:cs="Arial"/>
                <w:color w:val="000000"/>
                <w:sz w:val="22"/>
                <w:szCs w:val="22"/>
              </w:rPr>
              <w:t>Malignant pleural mesothelioma</w:t>
            </w:r>
          </w:p>
        </w:tc>
      </w:tr>
      <w:tr w:rsidR="00DA67E8" w:rsidRPr="005E2C7F" w14:paraId="2BE4AD67" w14:textId="77777777" w:rsidTr="00F95FB2">
        <w:tc>
          <w:tcPr>
            <w:tcW w:w="1843" w:type="dxa"/>
            <w:vAlign w:val="center"/>
          </w:tcPr>
          <w:p w14:paraId="05E09286"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MRC</w:t>
            </w:r>
          </w:p>
        </w:tc>
        <w:tc>
          <w:tcPr>
            <w:tcW w:w="7655" w:type="dxa"/>
            <w:vAlign w:val="center"/>
          </w:tcPr>
          <w:p w14:paraId="1361D994"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Medical Research Council</w:t>
            </w:r>
          </w:p>
        </w:tc>
      </w:tr>
      <w:tr w:rsidR="00DA67E8" w:rsidRPr="005E2C7F" w14:paraId="77F242F5" w14:textId="77777777" w:rsidTr="00F95FB2">
        <w:tc>
          <w:tcPr>
            <w:tcW w:w="1843" w:type="dxa"/>
            <w:vAlign w:val="center"/>
          </w:tcPr>
          <w:p w14:paraId="7EDD0974"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MREC</w:t>
            </w:r>
          </w:p>
        </w:tc>
        <w:tc>
          <w:tcPr>
            <w:tcW w:w="7655" w:type="dxa"/>
            <w:vAlign w:val="center"/>
          </w:tcPr>
          <w:p w14:paraId="00C09A76"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Multicentre Research Ethics Committee</w:t>
            </w:r>
          </w:p>
        </w:tc>
      </w:tr>
      <w:tr w:rsidR="00DA67E8" w:rsidRPr="005E2C7F" w14:paraId="28E79E5D" w14:textId="77777777" w:rsidTr="00F95FB2">
        <w:tc>
          <w:tcPr>
            <w:tcW w:w="1843" w:type="dxa"/>
            <w:vAlign w:val="center"/>
          </w:tcPr>
          <w:p w14:paraId="23FFA3A6"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MRI</w:t>
            </w:r>
          </w:p>
        </w:tc>
        <w:tc>
          <w:tcPr>
            <w:tcW w:w="7655" w:type="dxa"/>
            <w:vAlign w:val="center"/>
          </w:tcPr>
          <w:p w14:paraId="2135D2E0"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Magnetic Resonance Image</w:t>
            </w:r>
          </w:p>
        </w:tc>
      </w:tr>
      <w:tr w:rsidR="00DA67E8" w:rsidRPr="005E2C7F" w14:paraId="2AB02FD5" w14:textId="77777777" w:rsidTr="00F95FB2">
        <w:tc>
          <w:tcPr>
            <w:tcW w:w="1843" w:type="dxa"/>
            <w:vAlign w:val="center"/>
          </w:tcPr>
          <w:p w14:paraId="58B31818"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NCI CTCAE</w:t>
            </w:r>
          </w:p>
        </w:tc>
        <w:tc>
          <w:tcPr>
            <w:tcW w:w="7655" w:type="dxa"/>
            <w:vAlign w:val="center"/>
          </w:tcPr>
          <w:p w14:paraId="69B04767"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National Cancer Institute Common Terminology Criteria for Adverse Events</w:t>
            </w:r>
          </w:p>
        </w:tc>
      </w:tr>
      <w:tr w:rsidR="00DA67E8" w:rsidRPr="005E2C7F" w14:paraId="438A7B82" w14:textId="77777777" w:rsidTr="00F95FB2">
        <w:tc>
          <w:tcPr>
            <w:tcW w:w="1843" w:type="dxa"/>
            <w:vAlign w:val="center"/>
          </w:tcPr>
          <w:p w14:paraId="4427CA0E"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NCRI</w:t>
            </w:r>
          </w:p>
        </w:tc>
        <w:tc>
          <w:tcPr>
            <w:tcW w:w="7655" w:type="dxa"/>
            <w:vAlign w:val="center"/>
          </w:tcPr>
          <w:p w14:paraId="457F6675"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National Cancer Research Institute</w:t>
            </w:r>
          </w:p>
        </w:tc>
      </w:tr>
      <w:tr w:rsidR="00DA67E8" w:rsidRPr="005E2C7F" w14:paraId="7398DB87" w14:textId="77777777" w:rsidTr="00F95FB2">
        <w:tc>
          <w:tcPr>
            <w:tcW w:w="1843" w:type="dxa"/>
            <w:vAlign w:val="center"/>
          </w:tcPr>
          <w:p w14:paraId="32B0FE5F"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lastRenderedPageBreak/>
              <w:t>NCRN</w:t>
            </w:r>
          </w:p>
        </w:tc>
        <w:tc>
          <w:tcPr>
            <w:tcW w:w="7655" w:type="dxa"/>
            <w:vAlign w:val="center"/>
          </w:tcPr>
          <w:p w14:paraId="4B1B5BAD"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National Cancer Research Network</w:t>
            </w:r>
          </w:p>
        </w:tc>
      </w:tr>
      <w:tr w:rsidR="00DA67E8" w:rsidRPr="005E2C7F" w14:paraId="606B57DA" w14:textId="77777777" w:rsidTr="00F95FB2">
        <w:tc>
          <w:tcPr>
            <w:tcW w:w="1843" w:type="dxa"/>
            <w:vAlign w:val="center"/>
          </w:tcPr>
          <w:p w14:paraId="4A2AC886"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NRES</w:t>
            </w:r>
          </w:p>
        </w:tc>
        <w:tc>
          <w:tcPr>
            <w:tcW w:w="7655" w:type="dxa"/>
            <w:vAlign w:val="center"/>
          </w:tcPr>
          <w:p w14:paraId="665B8788"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National Research Ethics Service</w:t>
            </w:r>
          </w:p>
        </w:tc>
      </w:tr>
      <w:tr w:rsidR="00DA67E8" w:rsidRPr="005E2C7F" w14:paraId="6821727B" w14:textId="77777777" w:rsidTr="00F95FB2">
        <w:tc>
          <w:tcPr>
            <w:tcW w:w="1843" w:type="dxa"/>
            <w:vAlign w:val="center"/>
          </w:tcPr>
          <w:p w14:paraId="1116322C"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OS</w:t>
            </w:r>
          </w:p>
        </w:tc>
        <w:tc>
          <w:tcPr>
            <w:tcW w:w="7655" w:type="dxa"/>
            <w:vAlign w:val="center"/>
          </w:tcPr>
          <w:p w14:paraId="1B8F6BA6"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Overall Survival</w:t>
            </w:r>
          </w:p>
        </w:tc>
      </w:tr>
      <w:tr w:rsidR="00DA67E8" w:rsidRPr="005E2C7F" w14:paraId="6E2778B1" w14:textId="77777777" w:rsidTr="00F95FB2">
        <w:tc>
          <w:tcPr>
            <w:tcW w:w="1843" w:type="dxa"/>
            <w:vAlign w:val="center"/>
          </w:tcPr>
          <w:p w14:paraId="6631B4D8"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PA</w:t>
            </w:r>
          </w:p>
        </w:tc>
        <w:tc>
          <w:tcPr>
            <w:tcW w:w="7655" w:type="dxa"/>
            <w:vAlign w:val="center"/>
          </w:tcPr>
          <w:p w14:paraId="1BF3AC58"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Posteroanterior</w:t>
            </w:r>
          </w:p>
        </w:tc>
      </w:tr>
      <w:tr w:rsidR="00DA67E8" w:rsidRPr="005E2C7F" w14:paraId="19F19D1B" w14:textId="77777777" w:rsidTr="00F95FB2">
        <w:tc>
          <w:tcPr>
            <w:tcW w:w="1843" w:type="dxa"/>
            <w:vAlign w:val="center"/>
          </w:tcPr>
          <w:p w14:paraId="7B4E1E80"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PD</w:t>
            </w:r>
          </w:p>
        </w:tc>
        <w:tc>
          <w:tcPr>
            <w:tcW w:w="7655" w:type="dxa"/>
            <w:vAlign w:val="center"/>
          </w:tcPr>
          <w:p w14:paraId="7EF50C9B"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Progressive Disease</w:t>
            </w:r>
          </w:p>
        </w:tc>
      </w:tr>
      <w:tr w:rsidR="00DA67E8" w:rsidRPr="005E2C7F" w14:paraId="57F67FE4" w14:textId="77777777" w:rsidTr="00F95FB2">
        <w:tc>
          <w:tcPr>
            <w:tcW w:w="1843" w:type="dxa"/>
            <w:vAlign w:val="center"/>
          </w:tcPr>
          <w:p w14:paraId="6524E5F4"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PFS</w:t>
            </w:r>
          </w:p>
        </w:tc>
        <w:tc>
          <w:tcPr>
            <w:tcW w:w="7655" w:type="dxa"/>
            <w:vAlign w:val="center"/>
          </w:tcPr>
          <w:p w14:paraId="5396B6FA"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Progression Free Survival</w:t>
            </w:r>
          </w:p>
        </w:tc>
      </w:tr>
      <w:tr w:rsidR="00DA67E8" w:rsidRPr="005E2C7F" w14:paraId="2C4C7B8A" w14:textId="77777777" w:rsidTr="00F95FB2">
        <w:tc>
          <w:tcPr>
            <w:tcW w:w="1843" w:type="dxa"/>
            <w:vAlign w:val="center"/>
          </w:tcPr>
          <w:p w14:paraId="26953D53"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PI</w:t>
            </w:r>
          </w:p>
        </w:tc>
        <w:tc>
          <w:tcPr>
            <w:tcW w:w="7655" w:type="dxa"/>
            <w:vAlign w:val="center"/>
          </w:tcPr>
          <w:p w14:paraId="465E576B"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Principal Investigator</w:t>
            </w:r>
          </w:p>
        </w:tc>
      </w:tr>
      <w:tr w:rsidR="00DA67E8" w:rsidRPr="005E2C7F" w14:paraId="3B3ECA46" w14:textId="77777777" w:rsidTr="00F95FB2">
        <w:tc>
          <w:tcPr>
            <w:tcW w:w="1843" w:type="dxa"/>
            <w:vAlign w:val="center"/>
          </w:tcPr>
          <w:p w14:paraId="0D2C248B"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PO</w:t>
            </w:r>
          </w:p>
        </w:tc>
        <w:tc>
          <w:tcPr>
            <w:tcW w:w="7655" w:type="dxa"/>
            <w:vAlign w:val="center"/>
          </w:tcPr>
          <w:p w14:paraId="71829FF1"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By mouth</w:t>
            </w:r>
          </w:p>
        </w:tc>
      </w:tr>
      <w:tr w:rsidR="00DA67E8" w:rsidRPr="005E2C7F" w14:paraId="79E9D494" w14:textId="77777777" w:rsidTr="00F95FB2">
        <w:tc>
          <w:tcPr>
            <w:tcW w:w="1843" w:type="dxa"/>
            <w:vAlign w:val="center"/>
          </w:tcPr>
          <w:p w14:paraId="72E2C4A8"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PR</w:t>
            </w:r>
          </w:p>
        </w:tc>
        <w:tc>
          <w:tcPr>
            <w:tcW w:w="7655" w:type="dxa"/>
            <w:vAlign w:val="center"/>
          </w:tcPr>
          <w:p w14:paraId="009F4A16"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Partial Response</w:t>
            </w:r>
          </w:p>
        </w:tc>
      </w:tr>
      <w:tr w:rsidR="00DA67E8" w:rsidRPr="005E2C7F" w14:paraId="30412C27" w14:textId="77777777" w:rsidTr="00F95FB2">
        <w:tc>
          <w:tcPr>
            <w:tcW w:w="1843" w:type="dxa"/>
            <w:vAlign w:val="center"/>
          </w:tcPr>
          <w:p w14:paraId="1A8D2083" w14:textId="77777777" w:rsidR="00DA67E8" w:rsidRPr="00EC658C" w:rsidRDefault="00DA67E8" w:rsidP="00F95FB2">
            <w:pPr>
              <w:autoSpaceDE w:val="0"/>
              <w:autoSpaceDN w:val="0"/>
              <w:rPr>
                <w:rFonts w:ascii="Arial" w:hAnsi="Arial" w:cs="Arial"/>
                <w:b/>
              </w:rPr>
            </w:pPr>
            <w:r w:rsidRPr="00EC658C">
              <w:rPr>
                <w:rFonts w:ascii="Arial" w:hAnsi="Arial" w:cs="Arial"/>
                <w:b/>
                <w:sz w:val="22"/>
                <w:szCs w:val="22"/>
              </w:rPr>
              <w:t>RECIST</w:t>
            </w:r>
          </w:p>
        </w:tc>
        <w:tc>
          <w:tcPr>
            <w:tcW w:w="7655" w:type="dxa"/>
            <w:vAlign w:val="center"/>
          </w:tcPr>
          <w:p w14:paraId="33251270" w14:textId="77777777" w:rsidR="00DA67E8" w:rsidRPr="00EC658C" w:rsidRDefault="00DA67E8" w:rsidP="00F95FB2">
            <w:pPr>
              <w:autoSpaceDE w:val="0"/>
              <w:autoSpaceDN w:val="0"/>
              <w:rPr>
                <w:rFonts w:ascii="Arial" w:hAnsi="Arial" w:cs="Arial"/>
              </w:rPr>
            </w:pPr>
            <w:r w:rsidRPr="00EC658C">
              <w:rPr>
                <w:rFonts w:ascii="Arial" w:hAnsi="Arial" w:cs="Arial"/>
                <w:sz w:val="22"/>
                <w:szCs w:val="22"/>
              </w:rPr>
              <w:t>Response Evaluation Criteria in Solid Tumours</w:t>
            </w:r>
          </w:p>
        </w:tc>
      </w:tr>
      <w:tr w:rsidR="00DA67E8" w:rsidRPr="005E2C7F" w14:paraId="2904013A" w14:textId="77777777" w:rsidTr="00F95FB2">
        <w:tc>
          <w:tcPr>
            <w:tcW w:w="1843" w:type="dxa"/>
            <w:vAlign w:val="center"/>
          </w:tcPr>
          <w:p w14:paraId="4F47A95C"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SAE</w:t>
            </w:r>
          </w:p>
        </w:tc>
        <w:tc>
          <w:tcPr>
            <w:tcW w:w="7655" w:type="dxa"/>
            <w:vAlign w:val="center"/>
          </w:tcPr>
          <w:p w14:paraId="0B391C6C"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Serious Adverse Event</w:t>
            </w:r>
          </w:p>
        </w:tc>
      </w:tr>
      <w:tr w:rsidR="00DA67E8" w:rsidRPr="005E2C7F" w14:paraId="251950A9" w14:textId="77777777" w:rsidTr="00F95FB2">
        <w:tc>
          <w:tcPr>
            <w:tcW w:w="1843" w:type="dxa"/>
            <w:vAlign w:val="center"/>
          </w:tcPr>
          <w:p w14:paraId="19AFC512"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SAR</w:t>
            </w:r>
          </w:p>
        </w:tc>
        <w:tc>
          <w:tcPr>
            <w:tcW w:w="7655" w:type="dxa"/>
            <w:vAlign w:val="center"/>
          </w:tcPr>
          <w:p w14:paraId="07280375"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Serious Adverse Reaction</w:t>
            </w:r>
          </w:p>
        </w:tc>
      </w:tr>
      <w:tr w:rsidR="00DA67E8" w:rsidRPr="005E2C7F" w14:paraId="1B233C38" w14:textId="77777777" w:rsidTr="00F95FB2">
        <w:tc>
          <w:tcPr>
            <w:tcW w:w="1843" w:type="dxa"/>
            <w:vAlign w:val="center"/>
          </w:tcPr>
          <w:p w14:paraId="57381CDD"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SD</w:t>
            </w:r>
          </w:p>
        </w:tc>
        <w:tc>
          <w:tcPr>
            <w:tcW w:w="7655" w:type="dxa"/>
            <w:vAlign w:val="center"/>
          </w:tcPr>
          <w:p w14:paraId="1EB83057"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Stable Disease</w:t>
            </w:r>
          </w:p>
        </w:tc>
      </w:tr>
      <w:tr w:rsidR="00DA67E8" w:rsidRPr="005E2C7F" w14:paraId="179BCDF9" w14:textId="77777777" w:rsidTr="00F95FB2">
        <w:tc>
          <w:tcPr>
            <w:tcW w:w="1843" w:type="dxa"/>
            <w:vAlign w:val="center"/>
          </w:tcPr>
          <w:p w14:paraId="31C9F62E" w14:textId="77777777" w:rsidR="00DA67E8" w:rsidRPr="00EC658C" w:rsidRDefault="00DA67E8" w:rsidP="00F95FB2">
            <w:pPr>
              <w:autoSpaceDE w:val="0"/>
              <w:autoSpaceDN w:val="0"/>
              <w:rPr>
                <w:rFonts w:ascii="Arial" w:hAnsi="Arial" w:cs="Arial"/>
                <w:b/>
                <w:lang w:val="en-US"/>
              </w:rPr>
            </w:pPr>
            <w:proofErr w:type="spellStart"/>
            <w:r w:rsidRPr="00EC658C">
              <w:rPr>
                <w:rFonts w:ascii="Arial" w:hAnsi="Arial" w:cs="Arial"/>
                <w:b/>
                <w:sz w:val="22"/>
                <w:szCs w:val="22"/>
                <w:lang w:val="en-US"/>
              </w:rPr>
              <w:t>SoDA</w:t>
            </w:r>
            <w:proofErr w:type="spellEnd"/>
          </w:p>
        </w:tc>
        <w:tc>
          <w:tcPr>
            <w:tcW w:w="7655" w:type="dxa"/>
            <w:vAlign w:val="center"/>
          </w:tcPr>
          <w:p w14:paraId="2BF60147"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Summary of Drug Arrangements</w:t>
            </w:r>
          </w:p>
        </w:tc>
      </w:tr>
      <w:tr w:rsidR="00DA67E8" w:rsidRPr="005E2C7F" w14:paraId="2D2C1E80" w14:textId="77777777" w:rsidTr="00F95FB2">
        <w:tc>
          <w:tcPr>
            <w:tcW w:w="1843" w:type="dxa"/>
            <w:vAlign w:val="center"/>
          </w:tcPr>
          <w:p w14:paraId="4F398061"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rPr>
              <w:t>SOP</w:t>
            </w:r>
          </w:p>
        </w:tc>
        <w:tc>
          <w:tcPr>
            <w:tcW w:w="7655" w:type="dxa"/>
            <w:vAlign w:val="center"/>
          </w:tcPr>
          <w:p w14:paraId="6BFEE88B"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rPr>
              <w:t>Standard operating procedure</w:t>
            </w:r>
          </w:p>
        </w:tc>
      </w:tr>
      <w:tr w:rsidR="00DA67E8" w:rsidRPr="005E2C7F" w14:paraId="776C91DA" w14:textId="77777777" w:rsidTr="00F95FB2">
        <w:tc>
          <w:tcPr>
            <w:tcW w:w="1843" w:type="dxa"/>
            <w:vAlign w:val="center"/>
          </w:tcPr>
          <w:p w14:paraId="109ACDAC"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SPC</w:t>
            </w:r>
          </w:p>
        </w:tc>
        <w:tc>
          <w:tcPr>
            <w:tcW w:w="7655" w:type="dxa"/>
            <w:vAlign w:val="center"/>
          </w:tcPr>
          <w:p w14:paraId="1DD109AA"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Summary of Product Characteristics</w:t>
            </w:r>
          </w:p>
        </w:tc>
      </w:tr>
      <w:tr w:rsidR="00DA67E8" w:rsidRPr="005E2C7F" w14:paraId="4BCA8C57" w14:textId="77777777" w:rsidTr="00F95FB2">
        <w:tc>
          <w:tcPr>
            <w:tcW w:w="1843" w:type="dxa"/>
            <w:vAlign w:val="center"/>
          </w:tcPr>
          <w:p w14:paraId="1B2442E5" w14:textId="77777777" w:rsidR="00DA67E8" w:rsidRPr="00EC658C" w:rsidRDefault="00DA67E8" w:rsidP="00F95FB2">
            <w:pPr>
              <w:autoSpaceDE w:val="0"/>
              <w:autoSpaceDN w:val="0"/>
              <w:rPr>
                <w:rFonts w:ascii="Arial" w:hAnsi="Arial" w:cs="Arial"/>
                <w:b/>
                <w:lang w:val="en-US"/>
              </w:rPr>
            </w:pPr>
            <w:r>
              <w:rPr>
                <w:rFonts w:ascii="Arial" w:hAnsi="Arial" w:cs="Arial"/>
                <w:b/>
                <w:sz w:val="22"/>
                <w:szCs w:val="22"/>
                <w:lang w:val="en-US"/>
              </w:rPr>
              <w:t>SSI</w:t>
            </w:r>
          </w:p>
        </w:tc>
        <w:tc>
          <w:tcPr>
            <w:tcW w:w="7655" w:type="dxa"/>
            <w:vAlign w:val="center"/>
          </w:tcPr>
          <w:p w14:paraId="592717D8"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 xml:space="preserve">Site Specific </w:t>
            </w:r>
            <w:r>
              <w:rPr>
                <w:rFonts w:ascii="Arial" w:hAnsi="Arial" w:cs="Arial"/>
                <w:sz w:val="22"/>
                <w:szCs w:val="22"/>
                <w:lang w:val="en-US"/>
              </w:rPr>
              <w:t>Information</w:t>
            </w:r>
          </w:p>
        </w:tc>
      </w:tr>
      <w:tr w:rsidR="00DA67E8" w:rsidRPr="005E2C7F" w14:paraId="7F9BB148" w14:textId="77777777" w:rsidTr="00F95FB2">
        <w:tc>
          <w:tcPr>
            <w:tcW w:w="1843" w:type="dxa"/>
            <w:vAlign w:val="center"/>
          </w:tcPr>
          <w:p w14:paraId="3476BB66"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SUSAR</w:t>
            </w:r>
          </w:p>
        </w:tc>
        <w:tc>
          <w:tcPr>
            <w:tcW w:w="7655" w:type="dxa"/>
            <w:vAlign w:val="center"/>
          </w:tcPr>
          <w:p w14:paraId="4A001112"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 xml:space="preserve">Suspected Unexpected Serious Adverse Reaction </w:t>
            </w:r>
          </w:p>
        </w:tc>
      </w:tr>
      <w:tr w:rsidR="00DA67E8" w:rsidRPr="005E2C7F" w14:paraId="6FD28C56" w14:textId="77777777" w:rsidTr="00F95FB2">
        <w:tc>
          <w:tcPr>
            <w:tcW w:w="1843" w:type="dxa"/>
            <w:vAlign w:val="center"/>
          </w:tcPr>
          <w:p w14:paraId="12ED1DE1"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TMF</w:t>
            </w:r>
          </w:p>
        </w:tc>
        <w:tc>
          <w:tcPr>
            <w:tcW w:w="7655" w:type="dxa"/>
            <w:vAlign w:val="center"/>
          </w:tcPr>
          <w:p w14:paraId="2DA00AFE"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 xml:space="preserve">Trial Master File </w:t>
            </w:r>
          </w:p>
        </w:tc>
      </w:tr>
      <w:tr w:rsidR="00DA67E8" w:rsidRPr="005E2C7F" w14:paraId="648F70B8" w14:textId="77777777" w:rsidTr="00F95FB2">
        <w:tc>
          <w:tcPr>
            <w:tcW w:w="1843" w:type="dxa"/>
            <w:vAlign w:val="center"/>
          </w:tcPr>
          <w:p w14:paraId="7B5EA5D1"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TMG</w:t>
            </w:r>
          </w:p>
        </w:tc>
        <w:tc>
          <w:tcPr>
            <w:tcW w:w="7655" w:type="dxa"/>
            <w:vAlign w:val="center"/>
          </w:tcPr>
          <w:p w14:paraId="790C3663"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Trial Management Group</w:t>
            </w:r>
          </w:p>
        </w:tc>
      </w:tr>
      <w:tr w:rsidR="00DA67E8" w:rsidRPr="005E2C7F" w14:paraId="79BD1900" w14:textId="77777777" w:rsidTr="00F95FB2">
        <w:tc>
          <w:tcPr>
            <w:tcW w:w="1843" w:type="dxa"/>
            <w:vAlign w:val="center"/>
          </w:tcPr>
          <w:p w14:paraId="6DE42D50"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TSC</w:t>
            </w:r>
          </w:p>
        </w:tc>
        <w:tc>
          <w:tcPr>
            <w:tcW w:w="7655" w:type="dxa"/>
            <w:vAlign w:val="center"/>
          </w:tcPr>
          <w:p w14:paraId="65AB5A89"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Trial Steering Committee</w:t>
            </w:r>
          </w:p>
        </w:tc>
      </w:tr>
      <w:tr w:rsidR="00DA67E8" w:rsidRPr="005E2C7F" w14:paraId="5540CBFD" w14:textId="77777777" w:rsidTr="00F95FB2">
        <w:tc>
          <w:tcPr>
            <w:tcW w:w="1843" w:type="dxa"/>
            <w:vAlign w:val="center"/>
          </w:tcPr>
          <w:p w14:paraId="66751008"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UCL CTC</w:t>
            </w:r>
          </w:p>
        </w:tc>
        <w:tc>
          <w:tcPr>
            <w:tcW w:w="7655" w:type="dxa"/>
            <w:vAlign w:val="center"/>
          </w:tcPr>
          <w:p w14:paraId="33F4E6A3"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CR UK and UCL Cancer Trials Centre</w:t>
            </w:r>
          </w:p>
        </w:tc>
      </w:tr>
      <w:tr w:rsidR="00DA67E8" w:rsidRPr="005E2C7F" w14:paraId="5A5C6C56" w14:textId="77777777" w:rsidTr="00F95FB2">
        <w:tc>
          <w:tcPr>
            <w:tcW w:w="1843" w:type="dxa"/>
            <w:vAlign w:val="center"/>
          </w:tcPr>
          <w:p w14:paraId="31DE7B68"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U&amp;E</w:t>
            </w:r>
          </w:p>
        </w:tc>
        <w:tc>
          <w:tcPr>
            <w:tcW w:w="7655" w:type="dxa"/>
            <w:vAlign w:val="center"/>
          </w:tcPr>
          <w:p w14:paraId="3F311E19"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Urea and Electrolyte</w:t>
            </w:r>
          </w:p>
        </w:tc>
      </w:tr>
      <w:tr w:rsidR="00DA67E8" w:rsidRPr="005E2C7F" w14:paraId="57BA63EC" w14:textId="77777777" w:rsidTr="00F95FB2">
        <w:tc>
          <w:tcPr>
            <w:tcW w:w="1843" w:type="dxa"/>
            <w:vAlign w:val="center"/>
          </w:tcPr>
          <w:p w14:paraId="26B5157B"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ULN</w:t>
            </w:r>
          </w:p>
        </w:tc>
        <w:tc>
          <w:tcPr>
            <w:tcW w:w="7655" w:type="dxa"/>
            <w:vAlign w:val="center"/>
          </w:tcPr>
          <w:p w14:paraId="0C05DB4A"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Upper Limit of Normal</w:t>
            </w:r>
          </w:p>
        </w:tc>
      </w:tr>
      <w:tr w:rsidR="00DA67E8" w:rsidRPr="005E2C7F" w14:paraId="6A7D06FC" w14:textId="77777777" w:rsidTr="00F95FB2">
        <w:tc>
          <w:tcPr>
            <w:tcW w:w="1843" w:type="dxa"/>
            <w:vAlign w:val="center"/>
          </w:tcPr>
          <w:p w14:paraId="24983DDC" w14:textId="77777777" w:rsidR="00DA67E8" w:rsidRPr="00EC658C" w:rsidRDefault="00DA67E8" w:rsidP="00F95FB2">
            <w:pPr>
              <w:autoSpaceDE w:val="0"/>
              <w:autoSpaceDN w:val="0"/>
              <w:rPr>
                <w:rFonts w:ascii="Arial" w:hAnsi="Arial" w:cs="Arial"/>
                <w:b/>
                <w:lang w:val="en-US"/>
              </w:rPr>
            </w:pPr>
            <w:r w:rsidRPr="00EC658C">
              <w:rPr>
                <w:rFonts w:ascii="Arial" w:hAnsi="Arial" w:cs="Arial"/>
                <w:b/>
                <w:sz w:val="22"/>
                <w:szCs w:val="22"/>
                <w:lang w:val="en-US"/>
              </w:rPr>
              <w:t>WBC</w:t>
            </w:r>
          </w:p>
        </w:tc>
        <w:tc>
          <w:tcPr>
            <w:tcW w:w="7655" w:type="dxa"/>
            <w:vAlign w:val="center"/>
          </w:tcPr>
          <w:p w14:paraId="7F89F4B0" w14:textId="77777777" w:rsidR="00DA67E8" w:rsidRPr="00EC658C" w:rsidRDefault="00DA67E8" w:rsidP="00F95FB2">
            <w:pPr>
              <w:autoSpaceDE w:val="0"/>
              <w:autoSpaceDN w:val="0"/>
              <w:rPr>
                <w:rFonts w:ascii="Arial" w:hAnsi="Arial" w:cs="Arial"/>
                <w:lang w:val="en-US"/>
              </w:rPr>
            </w:pPr>
            <w:r w:rsidRPr="00EC658C">
              <w:rPr>
                <w:rFonts w:ascii="Arial" w:hAnsi="Arial" w:cs="Arial"/>
                <w:sz w:val="22"/>
                <w:szCs w:val="22"/>
                <w:lang w:val="en-US"/>
              </w:rPr>
              <w:t>White Blood Cells</w:t>
            </w:r>
          </w:p>
        </w:tc>
      </w:tr>
    </w:tbl>
    <w:p w14:paraId="5981E5E9" w14:textId="77777777" w:rsidR="00891EF3" w:rsidRDefault="00891EF3" w:rsidP="00F95FB2">
      <w:pPr>
        <w:autoSpaceDE w:val="0"/>
        <w:autoSpaceDN w:val="0"/>
        <w:rPr>
          <w:rFonts w:ascii="Arial" w:hAnsi="Arial" w:cs="Arial"/>
          <w:b/>
          <w:sz w:val="22"/>
          <w:szCs w:val="22"/>
          <w:lang w:val="en-US"/>
        </w:rPr>
        <w:sectPr w:rsidR="00891EF3" w:rsidSect="005A6367">
          <w:footerReference w:type="default" r:id="rId175"/>
          <w:pgSz w:w="11906" w:h="16838" w:code="9"/>
          <w:pgMar w:top="1134" w:right="1133" w:bottom="993" w:left="1560" w:header="1418" w:footer="0" w:gutter="0"/>
          <w:pgNumType w:start="38"/>
          <w:cols w:space="708"/>
          <w:docGrid w:linePitch="360"/>
        </w:sectPr>
      </w:pPr>
    </w:p>
    <w:p w14:paraId="675DF8DA" w14:textId="77777777" w:rsidR="00AE6275" w:rsidRPr="00156EB6" w:rsidRDefault="00AE6275" w:rsidP="00F95FB2">
      <w:pPr>
        <w:pStyle w:val="AppendixHead"/>
        <w:spacing w:after="0"/>
        <w:jc w:val="left"/>
        <w:rPr>
          <w:bCs/>
          <w:sz w:val="28"/>
          <w:szCs w:val="28"/>
        </w:rPr>
      </w:pPr>
      <w:bookmarkStart w:id="1278" w:name="_Toc471826850"/>
      <w:bookmarkStart w:id="1279" w:name="_Toc528323617"/>
      <w:bookmarkStart w:id="1280" w:name="_Toc283031896"/>
      <w:bookmarkStart w:id="1281" w:name="_Toc283376433"/>
      <w:r w:rsidRPr="00156EB6">
        <w:rPr>
          <w:sz w:val="28"/>
          <w:szCs w:val="28"/>
        </w:rPr>
        <w:lastRenderedPageBreak/>
        <w:t xml:space="preserve">Appendix 2: </w:t>
      </w:r>
      <w:r w:rsidRPr="00156EB6">
        <w:rPr>
          <w:bCs/>
          <w:sz w:val="28"/>
          <w:szCs w:val="28"/>
        </w:rPr>
        <w:t xml:space="preserve">Schedule of Investigations – Phase I Trial. </w:t>
      </w:r>
      <w:r w:rsidRPr="00156EB6">
        <w:rPr>
          <w:sz w:val="28"/>
          <w:szCs w:val="28"/>
        </w:rPr>
        <w:t>Each chemotherapy cycle is 21 days (3 weeks)</w:t>
      </w:r>
      <w:bookmarkEnd w:id="1278"/>
      <w:bookmarkEnd w:id="1279"/>
    </w:p>
    <w:tbl>
      <w:tblPr>
        <w:tblpPr w:leftFromText="180" w:rightFromText="180" w:vertAnchor="text" w:horzAnchor="margin" w:tblpY="80"/>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1273"/>
        <w:gridCol w:w="1134"/>
        <w:gridCol w:w="1119"/>
        <w:gridCol w:w="980"/>
        <w:gridCol w:w="1078"/>
        <w:gridCol w:w="1134"/>
        <w:gridCol w:w="1218"/>
        <w:gridCol w:w="392"/>
        <w:gridCol w:w="1371"/>
        <w:gridCol w:w="1092"/>
        <w:gridCol w:w="1400"/>
      </w:tblGrid>
      <w:tr w:rsidR="00D272FB" w:rsidRPr="00912946" w14:paraId="1BF087F3" w14:textId="77777777" w:rsidTr="0082685F">
        <w:trPr>
          <w:trHeight w:val="268"/>
        </w:trPr>
        <w:tc>
          <w:tcPr>
            <w:tcW w:w="2405" w:type="dxa"/>
            <w:vMerge w:val="restart"/>
            <w:tcBorders>
              <w:top w:val="single" w:sz="8" w:space="0" w:color="000000"/>
              <w:left w:val="single" w:sz="8" w:space="0" w:color="000000"/>
              <w:bottom w:val="single" w:sz="8" w:space="0" w:color="000000"/>
              <w:right w:val="single" w:sz="8" w:space="0" w:color="000000"/>
            </w:tcBorders>
            <w:vAlign w:val="center"/>
          </w:tcPr>
          <w:p w14:paraId="1B20C1E7" w14:textId="77777777" w:rsidR="00D272FB" w:rsidRPr="00912946" w:rsidRDefault="00D272FB" w:rsidP="00703F34">
            <w:pPr>
              <w:pStyle w:val="NoSpacing"/>
              <w:rPr>
                <w:rFonts w:ascii="Arial" w:hAnsi="Arial" w:cs="Arial"/>
                <w:b/>
                <w:sz w:val="18"/>
                <w:szCs w:val="18"/>
              </w:rPr>
            </w:pPr>
            <w:r w:rsidRPr="00912946">
              <w:rPr>
                <w:rFonts w:ascii="Arial" w:hAnsi="Arial" w:cs="Arial"/>
                <w:b/>
                <w:sz w:val="18"/>
                <w:szCs w:val="18"/>
              </w:rPr>
              <w:t>Assessment</w:t>
            </w:r>
          </w:p>
          <w:p w14:paraId="52BB7450" w14:textId="77777777" w:rsidR="00D272FB" w:rsidRPr="00912946" w:rsidRDefault="00D272FB" w:rsidP="00703F34">
            <w:pPr>
              <w:rPr>
                <w:sz w:val="18"/>
                <w:szCs w:val="18"/>
              </w:rPr>
            </w:pPr>
          </w:p>
        </w:tc>
        <w:tc>
          <w:tcPr>
            <w:tcW w:w="1273" w:type="dxa"/>
            <w:vMerge w:val="restart"/>
            <w:tcBorders>
              <w:top w:val="single" w:sz="8" w:space="0" w:color="000000"/>
              <w:left w:val="single" w:sz="8" w:space="0" w:color="000000"/>
              <w:bottom w:val="single" w:sz="8" w:space="0" w:color="000000"/>
              <w:right w:val="single" w:sz="8" w:space="0" w:color="000000"/>
            </w:tcBorders>
            <w:vAlign w:val="center"/>
          </w:tcPr>
          <w:p w14:paraId="7C6A0025" w14:textId="77777777" w:rsidR="00D272FB" w:rsidRPr="00912946" w:rsidRDefault="00D272FB" w:rsidP="00703F34">
            <w:pPr>
              <w:pStyle w:val="NoSpacing"/>
              <w:jc w:val="center"/>
              <w:rPr>
                <w:rFonts w:ascii="Arial" w:hAnsi="Arial" w:cs="Arial"/>
                <w:b/>
                <w:color w:val="000000"/>
                <w:sz w:val="18"/>
                <w:szCs w:val="18"/>
              </w:rPr>
            </w:pPr>
            <w:r w:rsidRPr="00912946">
              <w:rPr>
                <w:rFonts w:ascii="Arial" w:hAnsi="Arial" w:cs="Arial"/>
                <w:b/>
                <w:color w:val="000000"/>
                <w:sz w:val="18"/>
                <w:szCs w:val="18"/>
              </w:rPr>
              <w:t>Screening</w:t>
            </w:r>
          </w:p>
          <w:p w14:paraId="0994788A" w14:textId="77777777" w:rsidR="00D272FB" w:rsidRPr="00912946" w:rsidRDefault="00D272FB" w:rsidP="00703F34">
            <w:pPr>
              <w:pStyle w:val="NoSpacing"/>
              <w:jc w:val="center"/>
              <w:rPr>
                <w:rFonts w:ascii="Arial" w:hAnsi="Arial" w:cs="Arial"/>
                <w:b/>
                <w:color w:val="000000"/>
                <w:sz w:val="18"/>
                <w:szCs w:val="18"/>
              </w:rPr>
            </w:pPr>
            <w:r w:rsidRPr="00912946">
              <w:rPr>
                <w:rFonts w:ascii="Arial" w:hAnsi="Arial" w:cs="Arial"/>
                <w:color w:val="000000"/>
                <w:sz w:val="18"/>
                <w:szCs w:val="18"/>
              </w:rPr>
              <w:t>(assessments within 7 days except CT)</w:t>
            </w:r>
          </w:p>
        </w:tc>
        <w:tc>
          <w:tcPr>
            <w:tcW w:w="6663" w:type="dxa"/>
            <w:gridSpan w:val="6"/>
            <w:tcBorders>
              <w:top w:val="single" w:sz="8" w:space="0" w:color="000000"/>
              <w:left w:val="single" w:sz="8" w:space="0" w:color="000000"/>
              <w:bottom w:val="single" w:sz="8" w:space="0" w:color="000000"/>
              <w:right w:val="single" w:sz="8" w:space="0" w:color="000000"/>
            </w:tcBorders>
            <w:vAlign w:val="center"/>
          </w:tcPr>
          <w:p w14:paraId="1FE10B98" w14:textId="77777777" w:rsidR="00D272FB" w:rsidRPr="00912946" w:rsidRDefault="00D272FB" w:rsidP="003F3F8D">
            <w:pPr>
              <w:pStyle w:val="NoSpacing"/>
              <w:jc w:val="center"/>
              <w:rPr>
                <w:rFonts w:ascii="Arial" w:hAnsi="Arial" w:cs="Arial"/>
                <w:color w:val="000000"/>
                <w:sz w:val="18"/>
                <w:szCs w:val="18"/>
              </w:rPr>
            </w:pPr>
            <w:r w:rsidRPr="00912946">
              <w:rPr>
                <w:rFonts w:ascii="Arial" w:hAnsi="Arial" w:cs="Arial"/>
                <w:color w:val="000000"/>
                <w:sz w:val="18"/>
                <w:szCs w:val="18"/>
              </w:rPr>
              <w:t>Pre-Cycle = Prior to administration of ganetespib and chemotherapy</w:t>
            </w:r>
          </w:p>
        </w:tc>
        <w:tc>
          <w:tcPr>
            <w:tcW w:w="392" w:type="dxa"/>
            <w:vMerge w:val="restart"/>
            <w:tcBorders>
              <w:top w:val="single" w:sz="8" w:space="0" w:color="000000"/>
              <w:left w:val="single" w:sz="8" w:space="0" w:color="000000"/>
              <w:right w:val="single" w:sz="8" w:space="0" w:color="000000"/>
            </w:tcBorders>
          </w:tcPr>
          <w:p w14:paraId="1786884F" w14:textId="77777777" w:rsidR="00D272FB" w:rsidRPr="00912946" w:rsidRDefault="00D272FB" w:rsidP="00794E1B">
            <w:pPr>
              <w:pStyle w:val="NoSpacing"/>
              <w:jc w:val="center"/>
              <w:rPr>
                <w:rFonts w:ascii="Arial" w:hAnsi="Arial" w:cs="Arial"/>
                <w:b/>
                <w:color w:val="000000"/>
                <w:sz w:val="18"/>
                <w:szCs w:val="18"/>
              </w:rPr>
            </w:pPr>
          </w:p>
        </w:tc>
        <w:tc>
          <w:tcPr>
            <w:tcW w:w="1371" w:type="dxa"/>
            <w:vMerge w:val="restart"/>
            <w:tcBorders>
              <w:top w:val="single" w:sz="8" w:space="0" w:color="000000"/>
              <w:left w:val="single" w:sz="8" w:space="0" w:color="000000"/>
              <w:right w:val="single" w:sz="8" w:space="0" w:color="000000"/>
            </w:tcBorders>
          </w:tcPr>
          <w:p w14:paraId="1F27FA1F" w14:textId="77777777" w:rsidR="00D272FB" w:rsidRPr="00912946" w:rsidRDefault="00D272FB" w:rsidP="00D272FB">
            <w:pPr>
              <w:pStyle w:val="NoSpacing"/>
              <w:jc w:val="center"/>
              <w:rPr>
                <w:rFonts w:ascii="Arial" w:hAnsi="Arial" w:cs="Arial"/>
                <w:b/>
                <w:color w:val="000000"/>
                <w:sz w:val="18"/>
                <w:szCs w:val="18"/>
              </w:rPr>
            </w:pPr>
            <w:r w:rsidRPr="00912946">
              <w:rPr>
                <w:rFonts w:ascii="Arial" w:hAnsi="Arial" w:cs="Arial"/>
                <w:b/>
                <w:color w:val="000000"/>
                <w:sz w:val="18"/>
                <w:szCs w:val="18"/>
              </w:rPr>
              <w:t>Maintenance</w:t>
            </w:r>
          </w:p>
          <w:p w14:paraId="5BB32C4F" w14:textId="77777777" w:rsidR="00D272FB" w:rsidRPr="00912946" w:rsidRDefault="00D272FB" w:rsidP="00D272FB">
            <w:pPr>
              <w:pStyle w:val="NoSpacing"/>
              <w:jc w:val="center"/>
              <w:rPr>
                <w:rFonts w:ascii="Arial" w:hAnsi="Arial" w:cs="Arial"/>
                <w:b/>
                <w:color w:val="000000"/>
                <w:sz w:val="18"/>
                <w:szCs w:val="18"/>
              </w:rPr>
            </w:pPr>
            <w:r w:rsidRPr="00912946">
              <w:rPr>
                <w:rFonts w:ascii="Arial" w:hAnsi="Arial" w:cs="Arial"/>
                <w:b/>
                <w:color w:val="000000"/>
                <w:sz w:val="18"/>
                <w:szCs w:val="18"/>
              </w:rPr>
              <w:t>Ganetespib (21 day cycle)</w:t>
            </w:r>
          </w:p>
          <w:p w14:paraId="03B7C39F" w14:textId="77777777" w:rsidR="00D272FB" w:rsidRPr="00912946" w:rsidRDefault="00D272FB" w:rsidP="00703F34">
            <w:pPr>
              <w:pStyle w:val="NoSpacing"/>
              <w:jc w:val="center"/>
              <w:rPr>
                <w:rFonts w:ascii="Arial" w:hAnsi="Arial" w:cs="Arial"/>
                <w:b/>
                <w:color w:val="000000"/>
                <w:sz w:val="18"/>
                <w:szCs w:val="18"/>
              </w:rPr>
            </w:pPr>
          </w:p>
        </w:tc>
        <w:tc>
          <w:tcPr>
            <w:tcW w:w="1092" w:type="dxa"/>
            <w:vMerge w:val="restart"/>
            <w:tcBorders>
              <w:top w:val="single" w:sz="8" w:space="0" w:color="000000"/>
              <w:left w:val="single" w:sz="8" w:space="0" w:color="000000"/>
              <w:bottom w:val="single" w:sz="8" w:space="0" w:color="000000"/>
              <w:right w:val="single" w:sz="8" w:space="0" w:color="000000"/>
            </w:tcBorders>
          </w:tcPr>
          <w:p w14:paraId="3BD853F9" w14:textId="77777777" w:rsidR="0082685F" w:rsidRDefault="00D272FB" w:rsidP="003F3F8D">
            <w:pPr>
              <w:pStyle w:val="NoSpacing"/>
              <w:jc w:val="center"/>
              <w:rPr>
                <w:rFonts w:ascii="Arial" w:hAnsi="Arial" w:cs="Arial"/>
                <w:b/>
                <w:color w:val="000000"/>
                <w:sz w:val="18"/>
                <w:szCs w:val="18"/>
              </w:rPr>
            </w:pPr>
            <w:r w:rsidRPr="00912946">
              <w:rPr>
                <w:rFonts w:ascii="Arial" w:hAnsi="Arial" w:cs="Arial"/>
                <w:b/>
                <w:color w:val="000000"/>
                <w:sz w:val="18"/>
                <w:szCs w:val="18"/>
              </w:rPr>
              <w:t>Day 21 of last treatment cycle</w:t>
            </w:r>
            <w:r w:rsidR="0082685F">
              <w:rPr>
                <w:rFonts w:ascii="Arial" w:hAnsi="Arial" w:cs="Arial"/>
                <w:b/>
                <w:color w:val="000000"/>
                <w:sz w:val="18"/>
                <w:szCs w:val="18"/>
              </w:rPr>
              <w:t xml:space="preserve"> </w:t>
            </w:r>
          </w:p>
          <w:p w14:paraId="751A4D8C" w14:textId="77777777" w:rsidR="00D272FB" w:rsidRPr="0082685F" w:rsidRDefault="0082685F" w:rsidP="003F3F8D">
            <w:pPr>
              <w:pStyle w:val="NoSpacing"/>
              <w:jc w:val="center"/>
              <w:rPr>
                <w:rFonts w:ascii="Arial" w:hAnsi="Arial" w:cs="Arial"/>
                <w:color w:val="000000"/>
                <w:sz w:val="18"/>
                <w:szCs w:val="18"/>
              </w:rPr>
            </w:pPr>
            <w:r w:rsidRPr="0082685F">
              <w:rPr>
                <w:rFonts w:ascii="Arial" w:hAnsi="Arial" w:cs="Arial"/>
                <w:color w:val="000000"/>
                <w:sz w:val="18"/>
                <w:szCs w:val="18"/>
              </w:rPr>
              <w:t>(±3 days)</w:t>
            </w:r>
          </w:p>
        </w:tc>
        <w:tc>
          <w:tcPr>
            <w:tcW w:w="1400" w:type="dxa"/>
            <w:vMerge w:val="restart"/>
            <w:tcBorders>
              <w:top w:val="single" w:sz="8" w:space="0" w:color="000000"/>
              <w:left w:val="single" w:sz="8" w:space="0" w:color="000000"/>
              <w:bottom w:val="single" w:sz="8" w:space="0" w:color="000000"/>
              <w:right w:val="single" w:sz="8" w:space="0" w:color="000000"/>
            </w:tcBorders>
            <w:vAlign w:val="center"/>
          </w:tcPr>
          <w:p w14:paraId="0D1DE8C0" w14:textId="77777777" w:rsidR="00D272FB" w:rsidRDefault="00D272FB" w:rsidP="0010579D">
            <w:pPr>
              <w:pStyle w:val="NoSpacing"/>
              <w:jc w:val="center"/>
              <w:rPr>
                <w:rFonts w:ascii="Arial" w:hAnsi="Arial" w:cs="Arial"/>
                <w:b/>
                <w:color w:val="000000"/>
                <w:sz w:val="18"/>
                <w:szCs w:val="18"/>
                <w:vertAlign w:val="superscript"/>
              </w:rPr>
            </w:pPr>
            <w:r w:rsidRPr="00912946">
              <w:rPr>
                <w:rFonts w:ascii="Arial" w:hAnsi="Arial" w:cs="Arial"/>
                <w:b/>
                <w:color w:val="000000"/>
                <w:sz w:val="18"/>
                <w:szCs w:val="18"/>
              </w:rPr>
              <w:t xml:space="preserve">30 days after Day 21 of the last treatment </w:t>
            </w:r>
            <w:proofErr w:type="spellStart"/>
            <w:r w:rsidRPr="00912946">
              <w:rPr>
                <w:rFonts w:ascii="Arial" w:hAnsi="Arial" w:cs="Arial"/>
                <w:b/>
                <w:color w:val="000000"/>
                <w:sz w:val="18"/>
                <w:szCs w:val="18"/>
              </w:rPr>
              <w:t>cycle</w:t>
            </w:r>
            <w:r w:rsidRPr="00912946">
              <w:rPr>
                <w:rFonts w:ascii="Arial" w:hAnsi="Arial" w:cs="Arial"/>
                <w:b/>
                <w:color w:val="000000"/>
                <w:sz w:val="18"/>
                <w:szCs w:val="18"/>
                <w:vertAlign w:val="superscript"/>
              </w:rPr>
              <w:t>g</w:t>
            </w:r>
            <w:proofErr w:type="spellEnd"/>
          </w:p>
          <w:p w14:paraId="4F76CF03" w14:textId="77777777" w:rsidR="0082685F" w:rsidRPr="00912946" w:rsidRDefault="0082685F" w:rsidP="0010579D">
            <w:pPr>
              <w:pStyle w:val="NoSpacing"/>
              <w:jc w:val="center"/>
              <w:rPr>
                <w:rFonts w:ascii="Arial" w:hAnsi="Arial" w:cs="Arial"/>
                <w:b/>
                <w:color w:val="000000"/>
                <w:sz w:val="18"/>
                <w:szCs w:val="18"/>
              </w:rPr>
            </w:pPr>
            <w:r w:rsidRPr="0082685F">
              <w:rPr>
                <w:rFonts w:ascii="Arial" w:hAnsi="Arial" w:cs="Arial"/>
                <w:color w:val="000000"/>
                <w:sz w:val="18"/>
                <w:szCs w:val="18"/>
              </w:rPr>
              <w:t>(±</w:t>
            </w:r>
            <w:r>
              <w:rPr>
                <w:rFonts w:ascii="Arial" w:hAnsi="Arial" w:cs="Arial"/>
                <w:color w:val="000000"/>
                <w:sz w:val="18"/>
                <w:szCs w:val="18"/>
              </w:rPr>
              <w:t>7</w:t>
            </w:r>
            <w:r w:rsidRPr="0082685F">
              <w:rPr>
                <w:rFonts w:ascii="Arial" w:hAnsi="Arial" w:cs="Arial"/>
                <w:color w:val="000000"/>
                <w:sz w:val="18"/>
                <w:szCs w:val="18"/>
              </w:rPr>
              <w:t xml:space="preserve"> days)</w:t>
            </w:r>
          </w:p>
        </w:tc>
      </w:tr>
      <w:tr w:rsidR="00912946" w:rsidRPr="00912946" w14:paraId="0D73A9F4" w14:textId="77777777" w:rsidTr="0082685F">
        <w:trPr>
          <w:trHeight w:val="577"/>
        </w:trPr>
        <w:tc>
          <w:tcPr>
            <w:tcW w:w="2405" w:type="dxa"/>
            <w:vMerge/>
            <w:tcBorders>
              <w:top w:val="single" w:sz="8" w:space="0" w:color="000000"/>
              <w:bottom w:val="single" w:sz="12" w:space="0" w:color="000000"/>
            </w:tcBorders>
            <w:vAlign w:val="center"/>
          </w:tcPr>
          <w:p w14:paraId="759C314B" w14:textId="77777777" w:rsidR="00D272FB" w:rsidRPr="00912946" w:rsidRDefault="00D272FB" w:rsidP="00703F34">
            <w:pPr>
              <w:pStyle w:val="NoSpacing"/>
              <w:rPr>
                <w:rFonts w:ascii="Arial" w:hAnsi="Arial" w:cs="Arial"/>
                <w:sz w:val="18"/>
                <w:szCs w:val="18"/>
              </w:rPr>
            </w:pPr>
          </w:p>
        </w:tc>
        <w:tc>
          <w:tcPr>
            <w:tcW w:w="1273" w:type="dxa"/>
            <w:vMerge/>
            <w:tcBorders>
              <w:top w:val="single" w:sz="8" w:space="0" w:color="000000"/>
              <w:bottom w:val="single" w:sz="12" w:space="0" w:color="000000"/>
            </w:tcBorders>
          </w:tcPr>
          <w:p w14:paraId="041BF70C" w14:textId="77777777" w:rsidR="00D272FB" w:rsidRPr="00912946" w:rsidRDefault="00D272FB" w:rsidP="00703F34">
            <w:pPr>
              <w:pStyle w:val="NoSpacing"/>
              <w:jc w:val="center"/>
              <w:rPr>
                <w:rFonts w:ascii="Arial" w:hAnsi="Arial" w:cs="Arial"/>
                <w:color w:val="000000"/>
                <w:sz w:val="18"/>
                <w:szCs w:val="18"/>
              </w:rPr>
            </w:pPr>
          </w:p>
        </w:tc>
        <w:tc>
          <w:tcPr>
            <w:tcW w:w="1134" w:type="dxa"/>
            <w:tcBorders>
              <w:top w:val="single" w:sz="8" w:space="0" w:color="000000"/>
              <w:bottom w:val="single" w:sz="12" w:space="0" w:color="000000"/>
            </w:tcBorders>
          </w:tcPr>
          <w:p w14:paraId="3FE130F2" w14:textId="77777777" w:rsidR="00D272FB" w:rsidRPr="00912946" w:rsidRDefault="00D272FB" w:rsidP="00703F34">
            <w:pPr>
              <w:pStyle w:val="NoSpacing"/>
              <w:jc w:val="center"/>
              <w:rPr>
                <w:rFonts w:ascii="Arial" w:hAnsi="Arial" w:cs="Arial"/>
                <w:b/>
                <w:color w:val="000000"/>
                <w:sz w:val="18"/>
                <w:szCs w:val="18"/>
              </w:rPr>
            </w:pPr>
            <w:r w:rsidRPr="00912946">
              <w:rPr>
                <w:rFonts w:ascii="Arial" w:hAnsi="Arial" w:cs="Arial"/>
                <w:b/>
                <w:color w:val="000000"/>
                <w:sz w:val="18"/>
                <w:szCs w:val="18"/>
              </w:rPr>
              <w:t>Pre - Cycle 1</w:t>
            </w:r>
          </w:p>
        </w:tc>
        <w:tc>
          <w:tcPr>
            <w:tcW w:w="1119" w:type="dxa"/>
            <w:tcBorders>
              <w:top w:val="single" w:sz="8" w:space="0" w:color="000000"/>
              <w:bottom w:val="single" w:sz="12" w:space="0" w:color="000000"/>
            </w:tcBorders>
          </w:tcPr>
          <w:p w14:paraId="3D1F867C" w14:textId="77777777" w:rsidR="00D272FB" w:rsidRPr="00912946" w:rsidRDefault="00D272FB" w:rsidP="00703F34">
            <w:pPr>
              <w:pStyle w:val="NoSpacing"/>
              <w:jc w:val="center"/>
              <w:rPr>
                <w:rFonts w:ascii="Arial" w:hAnsi="Arial" w:cs="Arial"/>
                <w:b/>
                <w:color w:val="000000"/>
                <w:sz w:val="18"/>
                <w:szCs w:val="18"/>
              </w:rPr>
            </w:pPr>
            <w:r w:rsidRPr="00912946">
              <w:rPr>
                <w:rFonts w:ascii="Arial" w:hAnsi="Arial" w:cs="Arial"/>
                <w:b/>
                <w:color w:val="000000"/>
                <w:sz w:val="18"/>
                <w:szCs w:val="18"/>
              </w:rPr>
              <w:t>Pre - Cycle 2</w:t>
            </w:r>
          </w:p>
        </w:tc>
        <w:tc>
          <w:tcPr>
            <w:tcW w:w="980" w:type="dxa"/>
            <w:tcBorders>
              <w:top w:val="single" w:sz="8" w:space="0" w:color="000000"/>
              <w:bottom w:val="single" w:sz="12" w:space="0" w:color="000000"/>
            </w:tcBorders>
          </w:tcPr>
          <w:p w14:paraId="7D772354" w14:textId="77777777" w:rsidR="00D272FB" w:rsidRPr="00912946" w:rsidRDefault="00D272FB" w:rsidP="00703F34">
            <w:pPr>
              <w:pStyle w:val="NoSpacing"/>
              <w:jc w:val="center"/>
              <w:rPr>
                <w:rFonts w:ascii="Arial" w:hAnsi="Arial" w:cs="Arial"/>
                <w:b/>
                <w:color w:val="000000"/>
                <w:sz w:val="18"/>
                <w:szCs w:val="18"/>
              </w:rPr>
            </w:pPr>
            <w:r w:rsidRPr="00912946">
              <w:rPr>
                <w:rFonts w:ascii="Arial" w:hAnsi="Arial" w:cs="Arial"/>
                <w:b/>
                <w:color w:val="000000"/>
                <w:sz w:val="18"/>
                <w:szCs w:val="18"/>
              </w:rPr>
              <w:t>Pre - Cycle 3</w:t>
            </w:r>
          </w:p>
        </w:tc>
        <w:tc>
          <w:tcPr>
            <w:tcW w:w="1078" w:type="dxa"/>
            <w:tcBorders>
              <w:top w:val="single" w:sz="8" w:space="0" w:color="000000"/>
              <w:bottom w:val="single" w:sz="12" w:space="0" w:color="000000"/>
            </w:tcBorders>
          </w:tcPr>
          <w:p w14:paraId="5E933703" w14:textId="77777777" w:rsidR="00D272FB" w:rsidRPr="00912946" w:rsidRDefault="00D272FB" w:rsidP="00703F34">
            <w:pPr>
              <w:pStyle w:val="NoSpacing"/>
              <w:jc w:val="center"/>
              <w:rPr>
                <w:rFonts w:ascii="Arial" w:hAnsi="Arial" w:cs="Arial"/>
                <w:b/>
                <w:color w:val="000000"/>
                <w:sz w:val="18"/>
                <w:szCs w:val="18"/>
              </w:rPr>
            </w:pPr>
            <w:r w:rsidRPr="00912946">
              <w:rPr>
                <w:rFonts w:ascii="Arial" w:hAnsi="Arial" w:cs="Arial"/>
                <w:b/>
                <w:color w:val="000000"/>
                <w:sz w:val="18"/>
                <w:szCs w:val="18"/>
              </w:rPr>
              <w:t>Pre - Cycle 4</w:t>
            </w:r>
          </w:p>
        </w:tc>
        <w:tc>
          <w:tcPr>
            <w:tcW w:w="1134" w:type="dxa"/>
            <w:tcBorders>
              <w:top w:val="single" w:sz="8" w:space="0" w:color="000000"/>
              <w:bottom w:val="single" w:sz="12" w:space="0" w:color="000000"/>
            </w:tcBorders>
          </w:tcPr>
          <w:p w14:paraId="50B264B3" w14:textId="77777777" w:rsidR="00D272FB" w:rsidRPr="00912946" w:rsidRDefault="00D272FB" w:rsidP="00703F34">
            <w:pPr>
              <w:pStyle w:val="NoSpacing"/>
              <w:jc w:val="center"/>
              <w:rPr>
                <w:rFonts w:ascii="Arial" w:hAnsi="Arial" w:cs="Arial"/>
                <w:b/>
                <w:color w:val="000000"/>
                <w:sz w:val="18"/>
                <w:szCs w:val="18"/>
              </w:rPr>
            </w:pPr>
            <w:r w:rsidRPr="00912946">
              <w:rPr>
                <w:rFonts w:ascii="Arial" w:hAnsi="Arial" w:cs="Arial"/>
                <w:b/>
                <w:color w:val="000000"/>
                <w:sz w:val="18"/>
                <w:szCs w:val="18"/>
              </w:rPr>
              <w:t>Pre - Cycle 5</w:t>
            </w:r>
          </w:p>
        </w:tc>
        <w:tc>
          <w:tcPr>
            <w:tcW w:w="1218" w:type="dxa"/>
            <w:tcBorders>
              <w:top w:val="single" w:sz="8" w:space="0" w:color="000000"/>
              <w:bottom w:val="single" w:sz="12" w:space="0" w:color="000000"/>
              <w:right w:val="single" w:sz="8" w:space="0" w:color="000000"/>
            </w:tcBorders>
          </w:tcPr>
          <w:p w14:paraId="66CE1578" w14:textId="77777777" w:rsidR="00D272FB" w:rsidRPr="00912946" w:rsidRDefault="00D272FB" w:rsidP="00703F34">
            <w:pPr>
              <w:pStyle w:val="NoSpacing"/>
              <w:jc w:val="center"/>
              <w:rPr>
                <w:rFonts w:ascii="Arial" w:hAnsi="Arial" w:cs="Arial"/>
                <w:b/>
                <w:color w:val="000000"/>
                <w:sz w:val="18"/>
                <w:szCs w:val="18"/>
              </w:rPr>
            </w:pPr>
            <w:r w:rsidRPr="00912946">
              <w:rPr>
                <w:rFonts w:ascii="Arial" w:hAnsi="Arial" w:cs="Arial"/>
                <w:b/>
                <w:color w:val="000000"/>
                <w:sz w:val="18"/>
                <w:szCs w:val="18"/>
              </w:rPr>
              <w:t>Pre - Cycle 6</w:t>
            </w:r>
          </w:p>
        </w:tc>
        <w:tc>
          <w:tcPr>
            <w:tcW w:w="392" w:type="dxa"/>
            <w:vMerge/>
            <w:tcBorders>
              <w:left w:val="single" w:sz="8" w:space="0" w:color="000000"/>
              <w:bottom w:val="single" w:sz="12" w:space="0" w:color="000000"/>
              <w:right w:val="single" w:sz="8" w:space="0" w:color="000000"/>
            </w:tcBorders>
          </w:tcPr>
          <w:p w14:paraId="0B1A92C2" w14:textId="77777777" w:rsidR="00D272FB" w:rsidRPr="00912946" w:rsidRDefault="00D272FB" w:rsidP="00703F34">
            <w:pPr>
              <w:pStyle w:val="NoSpacing"/>
              <w:jc w:val="center"/>
              <w:rPr>
                <w:rFonts w:ascii="Arial" w:hAnsi="Arial" w:cs="Arial"/>
                <w:color w:val="000000"/>
                <w:sz w:val="18"/>
                <w:szCs w:val="18"/>
              </w:rPr>
            </w:pPr>
          </w:p>
        </w:tc>
        <w:tc>
          <w:tcPr>
            <w:tcW w:w="1371" w:type="dxa"/>
            <w:vMerge/>
            <w:tcBorders>
              <w:left w:val="single" w:sz="8" w:space="0" w:color="000000"/>
              <w:bottom w:val="single" w:sz="12" w:space="0" w:color="000000"/>
              <w:right w:val="single" w:sz="8" w:space="0" w:color="000000"/>
            </w:tcBorders>
          </w:tcPr>
          <w:p w14:paraId="157CE11D" w14:textId="77777777" w:rsidR="00D272FB" w:rsidRPr="00912946" w:rsidRDefault="00D272FB" w:rsidP="00703F34">
            <w:pPr>
              <w:pStyle w:val="NoSpacing"/>
              <w:jc w:val="center"/>
              <w:rPr>
                <w:rFonts w:ascii="Arial" w:hAnsi="Arial" w:cs="Arial"/>
                <w:color w:val="000000"/>
                <w:sz w:val="18"/>
                <w:szCs w:val="18"/>
              </w:rPr>
            </w:pPr>
          </w:p>
        </w:tc>
        <w:tc>
          <w:tcPr>
            <w:tcW w:w="1092" w:type="dxa"/>
            <w:vMerge/>
            <w:tcBorders>
              <w:top w:val="single" w:sz="8" w:space="0" w:color="000000"/>
              <w:left w:val="single" w:sz="8" w:space="0" w:color="000000"/>
              <w:bottom w:val="single" w:sz="12" w:space="0" w:color="000000"/>
            </w:tcBorders>
          </w:tcPr>
          <w:p w14:paraId="72D4D7B2" w14:textId="77777777" w:rsidR="00D272FB" w:rsidRPr="00912946" w:rsidRDefault="00D272FB" w:rsidP="00703F34">
            <w:pPr>
              <w:pStyle w:val="NoSpacing"/>
              <w:jc w:val="center"/>
              <w:rPr>
                <w:rFonts w:ascii="Arial" w:hAnsi="Arial" w:cs="Arial"/>
                <w:color w:val="000000"/>
                <w:sz w:val="18"/>
                <w:szCs w:val="18"/>
              </w:rPr>
            </w:pPr>
          </w:p>
        </w:tc>
        <w:tc>
          <w:tcPr>
            <w:tcW w:w="1400" w:type="dxa"/>
            <w:vMerge/>
            <w:tcBorders>
              <w:top w:val="single" w:sz="8" w:space="0" w:color="000000"/>
              <w:bottom w:val="single" w:sz="12" w:space="0" w:color="000000"/>
            </w:tcBorders>
          </w:tcPr>
          <w:p w14:paraId="6A63B069" w14:textId="77777777" w:rsidR="00D272FB" w:rsidRPr="00912946" w:rsidRDefault="00D272FB" w:rsidP="00703F34">
            <w:pPr>
              <w:pStyle w:val="NoSpacing"/>
              <w:jc w:val="center"/>
              <w:rPr>
                <w:rFonts w:ascii="Arial" w:hAnsi="Arial" w:cs="Arial"/>
                <w:color w:val="000000"/>
                <w:sz w:val="18"/>
                <w:szCs w:val="18"/>
              </w:rPr>
            </w:pPr>
          </w:p>
        </w:tc>
      </w:tr>
      <w:tr w:rsidR="00912946" w:rsidRPr="00912946" w14:paraId="7BB853A2" w14:textId="77777777" w:rsidTr="0082685F">
        <w:tc>
          <w:tcPr>
            <w:tcW w:w="2405" w:type="dxa"/>
            <w:tcBorders>
              <w:top w:val="single" w:sz="12" w:space="0" w:color="000000"/>
            </w:tcBorders>
            <w:vAlign w:val="center"/>
          </w:tcPr>
          <w:p w14:paraId="294BA825"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Informed consent</w:t>
            </w:r>
          </w:p>
        </w:tc>
        <w:tc>
          <w:tcPr>
            <w:tcW w:w="1273" w:type="dxa"/>
            <w:tcBorders>
              <w:top w:val="single" w:sz="12" w:space="0" w:color="000000"/>
            </w:tcBorders>
            <w:vAlign w:val="center"/>
          </w:tcPr>
          <w:p w14:paraId="567E5740"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tcBorders>
              <w:top w:val="single" w:sz="12" w:space="0" w:color="000000"/>
            </w:tcBorders>
            <w:vAlign w:val="center"/>
          </w:tcPr>
          <w:p w14:paraId="47E61ADA" w14:textId="77777777" w:rsidR="00D272FB" w:rsidRPr="00912946" w:rsidRDefault="00D272FB" w:rsidP="00703F34">
            <w:pPr>
              <w:pStyle w:val="NoSpacing"/>
              <w:jc w:val="center"/>
              <w:rPr>
                <w:rFonts w:ascii="Arial" w:hAnsi="Arial" w:cs="Arial"/>
                <w:color w:val="000000"/>
                <w:sz w:val="18"/>
                <w:szCs w:val="18"/>
              </w:rPr>
            </w:pPr>
          </w:p>
        </w:tc>
        <w:tc>
          <w:tcPr>
            <w:tcW w:w="1119" w:type="dxa"/>
            <w:tcBorders>
              <w:top w:val="single" w:sz="12" w:space="0" w:color="000000"/>
            </w:tcBorders>
            <w:vAlign w:val="center"/>
          </w:tcPr>
          <w:p w14:paraId="61A0E68C" w14:textId="77777777" w:rsidR="00D272FB" w:rsidRPr="00912946" w:rsidRDefault="00D272FB" w:rsidP="00703F34">
            <w:pPr>
              <w:pStyle w:val="NoSpacing"/>
              <w:jc w:val="center"/>
              <w:rPr>
                <w:rFonts w:ascii="Arial" w:hAnsi="Arial" w:cs="Arial"/>
                <w:color w:val="000000"/>
                <w:sz w:val="18"/>
                <w:szCs w:val="18"/>
              </w:rPr>
            </w:pPr>
          </w:p>
        </w:tc>
        <w:tc>
          <w:tcPr>
            <w:tcW w:w="980" w:type="dxa"/>
            <w:tcBorders>
              <w:top w:val="single" w:sz="12" w:space="0" w:color="000000"/>
            </w:tcBorders>
            <w:vAlign w:val="center"/>
          </w:tcPr>
          <w:p w14:paraId="74B98264" w14:textId="77777777" w:rsidR="00D272FB" w:rsidRPr="00912946" w:rsidRDefault="00D272FB" w:rsidP="00703F34">
            <w:pPr>
              <w:pStyle w:val="NoSpacing"/>
              <w:jc w:val="center"/>
              <w:rPr>
                <w:rFonts w:ascii="Arial" w:hAnsi="Arial" w:cs="Arial"/>
                <w:color w:val="000000"/>
                <w:sz w:val="18"/>
                <w:szCs w:val="18"/>
              </w:rPr>
            </w:pPr>
          </w:p>
        </w:tc>
        <w:tc>
          <w:tcPr>
            <w:tcW w:w="1078" w:type="dxa"/>
            <w:tcBorders>
              <w:top w:val="single" w:sz="12" w:space="0" w:color="000000"/>
            </w:tcBorders>
            <w:vAlign w:val="center"/>
          </w:tcPr>
          <w:p w14:paraId="0BCC27FF" w14:textId="77777777" w:rsidR="00D272FB" w:rsidRPr="00912946" w:rsidRDefault="00D272FB" w:rsidP="00703F34">
            <w:pPr>
              <w:pStyle w:val="NoSpacing"/>
              <w:jc w:val="center"/>
              <w:rPr>
                <w:rFonts w:ascii="Arial" w:hAnsi="Arial" w:cs="Arial"/>
                <w:color w:val="000000"/>
                <w:sz w:val="18"/>
                <w:szCs w:val="18"/>
              </w:rPr>
            </w:pPr>
          </w:p>
        </w:tc>
        <w:tc>
          <w:tcPr>
            <w:tcW w:w="1134" w:type="dxa"/>
            <w:tcBorders>
              <w:top w:val="single" w:sz="12" w:space="0" w:color="000000"/>
            </w:tcBorders>
            <w:vAlign w:val="center"/>
          </w:tcPr>
          <w:p w14:paraId="32272A3E" w14:textId="77777777" w:rsidR="00D272FB" w:rsidRPr="00912946" w:rsidRDefault="00D272FB" w:rsidP="00703F34">
            <w:pPr>
              <w:pStyle w:val="NoSpacing"/>
              <w:jc w:val="center"/>
              <w:rPr>
                <w:rFonts w:ascii="Arial" w:hAnsi="Arial" w:cs="Arial"/>
                <w:color w:val="000000"/>
                <w:sz w:val="18"/>
                <w:szCs w:val="18"/>
              </w:rPr>
            </w:pPr>
          </w:p>
        </w:tc>
        <w:tc>
          <w:tcPr>
            <w:tcW w:w="1218" w:type="dxa"/>
            <w:tcBorders>
              <w:top w:val="single" w:sz="12" w:space="0" w:color="000000"/>
            </w:tcBorders>
            <w:vAlign w:val="center"/>
          </w:tcPr>
          <w:p w14:paraId="238C66BD" w14:textId="77777777" w:rsidR="00D272FB" w:rsidRPr="00912946" w:rsidRDefault="00D272FB" w:rsidP="00703F34">
            <w:pPr>
              <w:pStyle w:val="NoSpacing"/>
              <w:jc w:val="center"/>
              <w:rPr>
                <w:rFonts w:ascii="Arial" w:hAnsi="Arial" w:cs="Arial"/>
                <w:color w:val="000000"/>
                <w:sz w:val="18"/>
                <w:szCs w:val="18"/>
              </w:rPr>
            </w:pPr>
          </w:p>
        </w:tc>
        <w:tc>
          <w:tcPr>
            <w:tcW w:w="392" w:type="dxa"/>
            <w:vMerge w:val="restart"/>
            <w:tcBorders>
              <w:top w:val="single" w:sz="12" w:space="0" w:color="000000"/>
            </w:tcBorders>
            <w:textDirection w:val="btLr"/>
            <w:vAlign w:val="center"/>
          </w:tcPr>
          <w:p w14:paraId="5C4E2ECF" w14:textId="77777777" w:rsidR="00D272FB" w:rsidRPr="00912946" w:rsidRDefault="008533D3" w:rsidP="00D272FB">
            <w:pPr>
              <w:pStyle w:val="NoSpacing"/>
              <w:ind w:left="113" w:right="113"/>
              <w:jc w:val="center"/>
              <w:rPr>
                <w:rFonts w:ascii="Arial" w:hAnsi="Arial" w:cs="Arial"/>
                <w:color w:val="000000"/>
                <w:sz w:val="18"/>
                <w:szCs w:val="18"/>
              </w:rPr>
            </w:pPr>
            <w:r w:rsidRPr="00912946">
              <w:rPr>
                <w:rFonts w:ascii="Arial" w:hAnsi="Arial" w:cs="Arial"/>
                <w:color w:val="000000"/>
                <w:sz w:val="18"/>
                <w:szCs w:val="18"/>
              </w:rPr>
              <w:t>Mainten</w:t>
            </w:r>
            <w:r>
              <w:rPr>
                <w:rFonts w:ascii="Arial" w:hAnsi="Arial" w:cs="Arial"/>
                <w:color w:val="000000"/>
                <w:sz w:val="18"/>
                <w:szCs w:val="18"/>
              </w:rPr>
              <w:t>an</w:t>
            </w:r>
            <w:r w:rsidRPr="00912946">
              <w:rPr>
                <w:rFonts w:ascii="Arial" w:hAnsi="Arial" w:cs="Arial"/>
                <w:color w:val="000000"/>
                <w:sz w:val="18"/>
                <w:szCs w:val="18"/>
              </w:rPr>
              <w:t>ce</w:t>
            </w:r>
            <w:r w:rsidR="00D272FB" w:rsidRPr="00912946">
              <w:rPr>
                <w:rFonts w:ascii="Arial" w:hAnsi="Arial" w:cs="Arial"/>
                <w:color w:val="000000"/>
                <w:sz w:val="18"/>
                <w:szCs w:val="18"/>
              </w:rPr>
              <w:t xml:space="preserve"> ganetespib (if appropriate)</w:t>
            </w:r>
          </w:p>
        </w:tc>
        <w:tc>
          <w:tcPr>
            <w:tcW w:w="1371" w:type="dxa"/>
            <w:tcBorders>
              <w:top w:val="single" w:sz="12" w:space="0" w:color="000000"/>
            </w:tcBorders>
          </w:tcPr>
          <w:p w14:paraId="3E66A659" w14:textId="77777777" w:rsidR="00D272FB" w:rsidRPr="00912946" w:rsidRDefault="00D272FB" w:rsidP="00703F34">
            <w:pPr>
              <w:pStyle w:val="NoSpacing"/>
              <w:jc w:val="center"/>
              <w:rPr>
                <w:rFonts w:ascii="Arial" w:hAnsi="Arial" w:cs="Arial"/>
                <w:color w:val="000000"/>
                <w:sz w:val="18"/>
                <w:szCs w:val="18"/>
              </w:rPr>
            </w:pPr>
          </w:p>
        </w:tc>
        <w:tc>
          <w:tcPr>
            <w:tcW w:w="1092" w:type="dxa"/>
            <w:tcBorders>
              <w:top w:val="single" w:sz="12" w:space="0" w:color="000000"/>
            </w:tcBorders>
            <w:vAlign w:val="center"/>
          </w:tcPr>
          <w:p w14:paraId="0308746F" w14:textId="77777777" w:rsidR="00D272FB" w:rsidRPr="00912946" w:rsidRDefault="00D272FB" w:rsidP="00703F34">
            <w:pPr>
              <w:pStyle w:val="NoSpacing"/>
              <w:jc w:val="center"/>
              <w:rPr>
                <w:rFonts w:ascii="Arial" w:hAnsi="Arial" w:cs="Arial"/>
                <w:color w:val="000000"/>
                <w:sz w:val="18"/>
                <w:szCs w:val="18"/>
              </w:rPr>
            </w:pPr>
          </w:p>
        </w:tc>
        <w:tc>
          <w:tcPr>
            <w:tcW w:w="1400" w:type="dxa"/>
            <w:tcBorders>
              <w:top w:val="single" w:sz="12" w:space="0" w:color="000000"/>
            </w:tcBorders>
            <w:vAlign w:val="center"/>
          </w:tcPr>
          <w:p w14:paraId="76678077" w14:textId="77777777" w:rsidR="00D272FB" w:rsidRPr="00912946" w:rsidRDefault="00D272FB" w:rsidP="00703F34">
            <w:pPr>
              <w:pStyle w:val="NoSpacing"/>
              <w:jc w:val="center"/>
              <w:rPr>
                <w:rFonts w:ascii="Arial" w:hAnsi="Arial" w:cs="Arial"/>
                <w:color w:val="000000"/>
                <w:sz w:val="18"/>
                <w:szCs w:val="18"/>
              </w:rPr>
            </w:pPr>
          </w:p>
        </w:tc>
      </w:tr>
      <w:tr w:rsidR="00912946" w:rsidRPr="00912946" w14:paraId="6494D2D6" w14:textId="77777777" w:rsidTr="0082685F">
        <w:tc>
          <w:tcPr>
            <w:tcW w:w="2405" w:type="dxa"/>
            <w:vAlign w:val="center"/>
          </w:tcPr>
          <w:p w14:paraId="696D6F1A"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Medical history and concomitant medication check</w:t>
            </w:r>
          </w:p>
        </w:tc>
        <w:tc>
          <w:tcPr>
            <w:tcW w:w="1273" w:type="dxa"/>
            <w:vAlign w:val="center"/>
          </w:tcPr>
          <w:p w14:paraId="264C1F06"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514EF635" w14:textId="77777777" w:rsidR="00D272FB" w:rsidRPr="00912946" w:rsidRDefault="00D272FB" w:rsidP="00703F34">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119" w:type="dxa"/>
            <w:vAlign w:val="center"/>
          </w:tcPr>
          <w:p w14:paraId="5D481E9A" w14:textId="77777777" w:rsidR="00D272FB" w:rsidRPr="00912946" w:rsidRDefault="00D272FB" w:rsidP="00703F34">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980" w:type="dxa"/>
            <w:vAlign w:val="center"/>
          </w:tcPr>
          <w:p w14:paraId="32CAE17F" w14:textId="77777777" w:rsidR="00D272FB" w:rsidRPr="00912946" w:rsidRDefault="00D272FB" w:rsidP="00703F34">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078" w:type="dxa"/>
            <w:vAlign w:val="center"/>
          </w:tcPr>
          <w:p w14:paraId="2C39A007" w14:textId="77777777" w:rsidR="00D272FB" w:rsidRPr="00912946" w:rsidRDefault="00D272FB" w:rsidP="00703F34">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134" w:type="dxa"/>
            <w:vAlign w:val="center"/>
          </w:tcPr>
          <w:p w14:paraId="39BCECAF" w14:textId="77777777" w:rsidR="00D272FB" w:rsidRPr="00912946" w:rsidRDefault="00D272FB" w:rsidP="00703F34">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218" w:type="dxa"/>
            <w:vAlign w:val="center"/>
          </w:tcPr>
          <w:p w14:paraId="1FD0BBA2" w14:textId="77777777" w:rsidR="00D272FB" w:rsidRPr="00912946" w:rsidRDefault="00D272FB" w:rsidP="00703F34">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392" w:type="dxa"/>
            <w:vMerge/>
          </w:tcPr>
          <w:p w14:paraId="25BB0953"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136175F8" w14:textId="77777777" w:rsidR="00D272FB" w:rsidRPr="00912946" w:rsidRDefault="003F3F8D" w:rsidP="003F3F8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00331E0A" w:rsidRPr="00912946">
              <w:rPr>
                <w:rFonts w:ascii="Arial" w:hAnsi="Arial" w:cs="Arial"/>
                <w:color w:val="000000"/>
                <w:sz w:val="18"/>
                <w:szCs w:val="18"/>
                <w:vertAlign w:val="superscript"/>
              </w:rPr>
              <w:t>a</w:t>
            </w:r>
            <w:proofErr w:type="spellEnd"/>
          </w:p>
        </w:tc>
        <w:tc>
          <w:tcPr>
            <w:tcW w:w="1092" w:type="dxa"/>
            <w:vAlign w:val="center"/>
          </w:tcPr>
          <w:p w14:paraId="1CF76325" w14:textId="77777777" w:rsidR="00D272FB" w:rsidRPr="00912946" w:rsidRDefault="00D272FB" w:rsidP="00703F34">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400" w:type="dxa"/>
            <w:vAlign w:val="center"/>
          </w:tcPr>
          <w:p w14:paraId="59A330D2" w14:textId="77777777" w:rsidR="00D272FB" w:rsidRPr="00912946" w:rsidRDefault="00D272FB" w:rsidP="00703F34">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r>
      <w:tr w:rsidR="00912946" w:rsidRPr="00912946" w14:paraId="567D1750" w14:textId="77777777" w:rsidTr="0082685F">
        <w:tc>
          <w:tcPr>
            <w:tcW w:w="2405" w:type="dxa"/>
            <w:vAlign w:val="center"/>
          </w:tcPr>
          <w:p w14:paraId="3C6940D2"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Clinical/physical examination (including height and weight)</w:t>
            </w:r>
          </w:p>
        </w:tc>
        <w:tc>
          <w:tcPr>
            <w:tcW w:w="1273" w:type="dxa"/>
            <w:vAlign w:val="center"/>
          </w:tcPr>
          <w:p w14:paraId="2CE89367"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716BAB75"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4A9DADED"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1E2631D8"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3A52EFA7"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1AC0BEC0"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6F62807F"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30E8838B"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630B4BA1" w14:textId="77777777" w:rsidR="00D272FB" w:rsidRPr="00912946" w:rsidRDefault="003F3F8D" w:rsidP="003F3F8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92" w:type="dxa"/>
            <w:vAlign w:val="center"/>
          </w:tcPr>
          <w:p w14:paraId="43613B0D"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00" w:type="dxa"/>
            <w:vAlign w:val="center"/>
          </w:tcPr>
          <w:p w14:paraId="04233A38"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912946" w:rsidRPr="00912946" w14:paraId="1B9D461A" w14:textId="77777777" w:rsidTr="0082685F">
        <w:tc>
          <w:tcPr>
            <w:tcW w:w="2405" w:type="dxa"/>
            <w:vAlign w:val="center"/>
          </w:tcPr>
          <w:p w14:paraId="17F42EE8"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ECOG performance status</w:t>
            </w:r>
          </w:p>
        </w:tc>
        <w:tc>
          <w:tcPr>
            <w:tcW w:w="1273" w:type="dxa"/>
            <w:vAlign w:val="center"/>
          </w:tcPr>
          <w:p w14:paraId="0DB841C4"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70BFBA9E"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06672501"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3E035687"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211B579B"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30FC91A1"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646B896E"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0C8426CB"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44D0E774" w14:textId="77777777" w:rsidR="00D272FB" w:rsidRPr="00912946" w:rsidRDefault="003F3F8D" w:rsidP="003F3F8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92" w:type="dxa"/>
            <w:vAlign w:val="center"/>
          </w:tcPr>
          <w:p w14:paraId="1D4C1F57"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00" w:type="dxa"/>
            <w:vAlign w:val="center"/>
          </w:tcPr>
          <w:p w14:paraId="0C5B0A0D"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912946" w:rsidRPr="00912946" w14:paraId="1564BB70" w14:textId="77777777" w:rsidTr="0082685F">
        <w:tc>
          <w:tcPr>
            <w:tcW w:w="2405" w:type="dxa"/>
            <w:vAlign w:val="center"/>
          </w:tcPr>
          <w:p w14:paraId="7B9721D1"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 xml:space="preserve">Oncological </w:t>
            </w:r>
            <w:proofErr w:type="spellStart"/>
            <w:r w:rsidRPr="00912946">
              <w:rPr>
                <w:rFonts w:ascii="Arial" w:hAnsi="Arial" w:cs="Arial"/>
                <w:sz w:val="18"/>
                <w:szCs w:val="18"/>
              </w:rPr>
              <w:t>profile</w:t>
            </w:r>
            <w:r w:rsidRPr="00912946">
              <w:rPr>
                <w:rFonts w:ascii="Arial" w:hAnsi="Arial" w:cs="Arial"/>
                <w:sz w:val="18"/>
                <w:szCs w:val="18"/>
                <w:vertAlign w:val="superscript"/>
              </w:rPr>
              <w:t>b</w:t>
            </w:r>
            <w:proofErr w:type="spellEnd"/>
          </w:p>
        </w:tc>
        <w:tc>
          <w:tcPr>
            <w:tcW w:w="1273" w:type="dxa"/>
            <w:vAlign w:val="center"/>
          </w:tcPr>
          <w:p w14:paraId="6FF94EFA"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4A57B6FE"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p w14:paraId="221416F3"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&amp; Day 15</w:t>
            </w:r>
            <w:r w:rsidRPr="00912946">
              <w:rPr>
                <w:rFonts w:ascii="Arial" w:hAnsi="Arial" w:cs="Arial"/>
                <w:color w:val="000000"/>
                <w:sz w:val="18"/>
                <w:szCs w:val="18"/>
                <w:vertAlign w:val="superscript"/>
              </w:rPr>
              <w:t>b2</w:t>
            </w:r>
          </w:p>
        </w:tc>
        <w:tc>
          <w:tcPr>
            <w:tcW w:w="1119" w:type="dxa"/>
            <w:vAlign w:val="center"/>
          </w:tcPr>
          <w:p w14:paraId="77C13899"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p w14:paraId="4AA53AFF" w14:textId="77777777" w:rsidR="00D272FB" w:rsidRPr="00912946" w:rsidRDefault="00D272FB" w:rsidP="00703F34">
            <w:pPr>
              <w:pStyle w:val="NoSpacing"/>
              <w:jc w:val="center"/>
              <w:rPr>
                <w:rFonts w:ascii="Arial" w:hAnsi="Arial" w:cs="Arial"/>
                <w:b/>
                <w:color w:val="000000"/>
                <w:sz w:val="18"/>
                <w:szCs w:val="18"/>
              </w:rPr>
            </w:pPr>
            <w:r w:rsidRPr="00912946">
              <w:rPr>
                <w:rFonts w:ascii="Arial" w:hAnsi="Arial" w:cs="Arial"/>
                <w:color w:val="000000"/>
                <w:sz w:val="18"/>
                <w:szCs w:val="18"/>
              </w:rPr>
              <w:t>&amp; Day 15</w:t>
            </w:r>
            <w:r w:rsidRPr="00912946">
              <w:rPr>
                <w:rFonts w:ascii="Arial" w:hAnsi="Arial" w:cs="Arial"/>
                <w:color w:val="000000"/>
                <w:sz w:val="18"/>
                <w:szCs w:val="18"/>
                <w:vertAlign w:val="superscript"/>
              </w:rPr>
              <w:t>b2</w:t>
            </w:r>
          </w:p>
        </w:tc>
        <w:tc>
          <w:tcPr>
            <w:tcW w:w="980" w:type="dxa"/>
            <w:vAlign w:val="center"/>
          </w:tcPr>
          <w:p w14:paraId="3FD51464"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6C7C0C4E"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6DF0ED37"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4EC951F0"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1C5940E0"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271A9F4D" w14:textId="77777777" w:rsidR="00D272FB" w:rsidRPr="00912946" w:rsidRDefault="003F3F8D" w:rsidP="003F3F8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92" w:type="dxa"/>
            <w:vAlign w:val="center"/>
          </w:tcPr>
          <w:p w14:paraId="435E2337"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00" w:type="dxa"/>
            <w:vAlign w:val="center"/>
          </w:tcPr>
          <w:p w14:paraId="0D79D172"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912946" w:rsidRPr="00912946" w14:paraId="29C0DCA0" w14:textId="77777777" w:rsidTr="0082685F">
        <w:tc>
          <w:tcPr>
            <w:tcW w:w="2405" w:type="dxa"/>
            <w:vAlign w:val="center"/>
          </w:tcPr>
          <w:p w14:paraId="547773EE"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Serum pregnancy test (females only)</w:t>
            </w:r>
          </w:p>
        </w:tc>
        <w:tc>
          <w:tcPr>
            <w:tcW w:w="1273" w:type="dxa"/>
            <w:vAlign w:val="center"/>
          </w:tcPr>
          <w:p w14:paraId="05A74CCD"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7E3A180E" w14:textId="77777777" w:rsidR="00D272FB" w:rsidRPr="00912946" w:rsidRDefault="00D272FB" w:rsidP="00C1292A">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c</w:t>
            </w:r>
            <w:proofErr w:type="spellEnd"/>
          </w:p>
        </w:tc>
        <w:tc>
          <w:tcPr>
            <w:tcW w:w="1119" w:type="dxa"/>
            <w:vAlign w:val="center"/>
          </w:tcPr>
          <w:p w14:paraId="15B9CB26" w14:textId="77777777" w:rsidR="00D272FB" w:rsidRPr="00912946" w:rsidRDefault="00D272FB" w:rsidP="00703F34">
            <w:pPr>
              <w:pStyle w:val="NoSpacing"/>
              <w:jc w:val="center"/>
              <w:rPr>
                <w:rFonts w:ascii="Arial" w:hAnsi="Arial" w:cs="Arial"/>
                <w:color w:val="000000"/>
                <w:sz w:val="18"/>
                <w:szCs w:val="18"/>
              </w:rPr>
            </w:pPr>
          </w:p>
        </w:tc>
        <w:tc>
          <w:tcPr>
            <w:tcW w:w="980" w:type="dxa"/>
            <w:vAlign w:val="center"/>
          </w:tcPr>
          <w:p w14:paraId="13B3203D" w14:textId="77777777" w:rsidR="00D272FB" w:rsidRPr="00912946" w:rsidRDefault="00D272FB" w:rsidP="00703F34">
            <w:pPr>
              <w:pStyle w:val="NoSpacing"/>
              <w:jc w:val="center"/>
              <w:rPr>
                <w:rFonts w:ascii="Arial" w:hAnsi="Arial" w:cs="Arial"/>
                <w:color w:val="000000"/>
                <w:sz w:val="18"/>
                <w:szCs w:val="18"/>
              </w:rPr>
            </w:pPr>
          </w:p>
        </w:tc>
        <w:tc>
          <w:tcPr>
            <w:tcW w:w="1078" w:type="dxa"/>
            <w:vAlign w:val="center"/>
          </w:tcPr>
          <w:p w14:paraId="59E876CF" w14:textId="77777777" w:rsidR="00D272FB" w:rsidRPr="00912946" w:rsidRDefault="00D272FB" w:rsidP="00703F34">
            <w:pPr>
              <w:pStyle w:val="NoSpacing"/>
              <w:jc w:val="center"/>
              <w:rPr>
                <w:rFonts w:ascii="Arial" w:hAnsi="Arial" w:cs="Arial"/>
                <w:color w:val="000000"/>
                <w:sz w:val="18"/>
                <w:szCs w:val="18"/>
              </w:rPr>
            </w:pPr>
          </w:p>
        </w:tc>
        <w:tc>
          <w:tcPr>
            <w:tcW w:w="1134" w:type="dxa"/>
            <w:vAlign w:val="center"/>
          </w:tcPr>
          <w:p w14:paraId="4622DB4F" w14:textId="77777777" w:rsidR="00D272FB" w:rsidRPr="00912946" w:rsidRDefault="00D272FB" w:rsidP="00703F34">
            <w:pPr>
              <w:pStyle w:val="NoSpacing"/>
              <w:jc w:val="center"/>
              <w:rPr>
                <w:rFonts w:ascii="Arial" w:hAnsi="Arial" w:cs="Arial"/>
                <w:color w:val="000000"/>
                <w:sz w:val="18"/>
                <w:szCs w:val="18"/>
              </w:rPr>
            </w:pPr>
          </w:p>
        </w:tc>
        <w:tc>
          <w:tcPr>
            <w:tcW w:w="1218" w:type="dxa"/>
            <w:vAlign w:val="center"/>
          </w:tcPr>
          <w:p w14:paraId="4244460F" w14:textId="77777777" w:rsidR="00D272FB" w:rsidRPr="00912946" w:rsidRDefault="00D272FB" w:rsidP="00703F34">
            <w:pPr>
              <w:pStyle w:val="NoSpacing"/>
              <w:jc w:val="center"/>
              <w:rPr>
                <w:rFonts w:ascii="Arial" w:hAnsi="Arial" w:cs="Arial"/>
                <w:color w:val="000000"/>
                <w:sz w:val="18"/>
                <w:szCs w:val="18"/>
              </w:rPr>
            </w:pPr>
          </w:p>
        </w:tc>
        <w:tc>
          <w:tcPr>
            <w:tcW w:w="392" w:type="dxa"/>
            <w:vMerge/>
          </w:tcPr>
          <w:p w14:paraId="5040778D"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54374EB6" w14:textId="77777777" w:rsidR="00D272FB" w:rsidRPr="00912946" w:rsidRDefault="00D272FB" w:rsidP="003F3F8D">
            <w:pPr>
              <w:pStyle w:val="NoSpacing"/>
              <w:jc w:val="center"/>
              <w:rPr>
                <w:rFonts w:ascii="Arial" w:hAnsi="Arial" w:cs="Arial"/>
                <w:color w:val="000000"/>
                <w:sz w:val="18"/>
                <w:szCs w:val="18"/>
              </w:rPr>
            </w:pPr>
          </w:p>
        </w:tc>
        <w:tc>
          <w:tcPr>
            <w:tcW w:w="1092" w:type="dxa"/>
            <w:vAlign w:val="center"/>
          </w:tcPr>
          <w:p w14:paraId="68D38AEF" w14:textId="77777777" w:rsidR="00D272FB" w:rsidRPr="00912946" w:rsidRDefault="00D272FB" w:rsidP="00703F34">
            <w:pPr>
              <w:pStyle w:val="NoSpacing"/>
              <w:jc w:val="center"/>
              <w:rPr>
                <w:rFonts w:ascii="Arial" w:hAnsi="Arial" w:cs="Arial"/>
                <w:color w:val="000000"/>
                <w:sz w:val="18"/>
                <w:szCs w:val="18"/>
              </w:rPr>
            </w:pPr>
          </w:p>
        </w:tc>
        <w:tc>
          <w:tcPr>
            <w:tcW w:w="1400" w:type="dxa"/>
            <w:vAlign w:val="center"/>
          </w:tcPr>
          <w:p w14:paraId="1685E578" w14:textId="77777777" w:rsidR="00D272FB" w:rsidRPr="00912946" w:rsidRDefault="00D272FB" w:rsidP="00703F34">
            <w:pPr>
              <w:pStyle w:val="NoSpacing"/>
              <w:jc w:val="center"/>
              <w:rPr>
                <w:rFonts w:ascii="Arial" w:hAnsi="Arial" w:cs="Arial"/>
                <w:color w:val="000000"/>
                <w:sz w:val="18"/>
                <w:szCs w:val="18"/>
              </w:rPr>
            </w:pPr>
          </w:p>
        </w:tc>
      </w:tr>
      <w:tr w:rsidR="00912946" w:rsidRPr="00912946" w14:paraId="26995379" w14:textId="77777777" w:rsidTr="0082685F">
        <w:tc>
          <w:tcPr>
            <w:tcW w:w="2405" w:type="dxa"/>
            <w:vAlign w:val="center"/>
          </w:tcPr>
          <w:p w14:paraId="66DCAA28"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Urine analysis</w:t>
            </w:r>
          </w:p>
        </w:tc>
        <w:tc>
          <w:tcPr>
            <w:tcW w:w="1273" w:type="dxa"/>
            <w:vAlign w:val="center"/>
          </w:tcPr>
          <w:p w14:paraId="3A78BE09"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451F42A0"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p w14:paraId="5B4BC86B"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&amp; Day 15</w:t>
            </w:r>
          </w:p>
        </w:tc>
        <w:tc>
          <w:tcPr>
            <w:tcW w:w="1119" w:type="dxa"/>
            <w:vAlign w:val="center"/>
          </w:tcPr>
          <w:p w14:paraId="055497FA"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195702E7"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3A170A6C"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20F7950C"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551DAF98"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6EE649EF"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13AF4F5C" w14:textId="77777777" w:rsidR="00D272FB" w:rsidRPr="00912946" w:rsidRDefault="003F3F8D" w:rsidP="003F3F8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92" w:type="dxa"/>
            <w:vAlign w:val="center"/>
          </w:tcPr>
          <w:p w14:paraId="478447E0"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00" w:type="dxa"/>
            <w:vAlign w:val="center"/>
          </w:tcPr>
          <w:p w14:paraId="38C632D8"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912946" w:rsidRPr="00912946" w14:paraId="3A77527F" w14:textId="77777777" w:rsidTr="0082685F">
        <w:tc>
          <w:tcPr>
            <w:tcW w:w="2405" w:type="dxa"/>
            <w:vAlign w:val="center"/>
          </w:tcPr>
          <w:p w14:paraId="63241BFA"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Vital signs</w:t>
            </w:r>
          </w:p>
        </w:tc>
        <w:tc>
          <w:tcPr>
            <w:tcW w:w="1273" w:type="dxa"/>
            <w:vAlign w:val="center"/>
          </w:tcPr>
          <w:p w14:paraId="7B52298C"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1A10D6FF"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1314C749"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1F2DFC69"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42390729"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20D48085"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135332E1"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79D39CEE"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46384355" w14:textId="77777777" w:rsidR="00D272FB" w:rsidRPr="00912946" w:rsidRDefault="003F3F8D" w:rsidP="003F3F8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92" w:type="dxa"/>
            <w:vAlign w:val="center"/>
          </w:tcPr>
          <w:p w14:paraId="777BEADE"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00" w:type="dxa"/>
            <w:vAlign w:val="center"/>
          </w:tcPr>
          <w:p w14:paraId="67EE426E"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912946" w:rsidRPr="00912946" w14:paraId="31198F46" w14:textId="77777777" w:rsidTr="0082685F">
        <w:tc>
          <w:tcPr>
            <w:tcW w:w="2405" w:type="dxa"/>
            <w:vAlign w:val="center"/>
          </w:tcPr>
          <w:p w14:paraId="0EA4B87E"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Chest X-</w:t>
            </w:r>
            <w:proofErr w:type="spellStart"/>
            <w:r w:rsidRPr="00912946">
              <w:rPr>
                <w:rFonts w:ascii="Arial" w:hAnsi="Arial" w:cs="Arial"/>
                <w:sz w:val="18"/>
                <w:szCs w:val="18"/>
              </w:rPr>
              <w:t>ray</w:t>
            </w:r>
            <w:r w:rsidRPr="00912946">
              <w:rPr>
                <w:rFonts w:ascii="Arial" w:hAnsi="Arial" w:cs="Arial"/>
                <w:sz w:val="18"/>
                <w:szCs w:val="18"/>
                <w:vertAlign w:val="superscript"/>
              </w:rPr>
              <w:t>d</w:t>
            </w:r>
            <w:proofErr w:type="spellEnd"/>
          </w:p>
        </w:tc>
        <w:tc>
          <w:tcPr>
            <w:tcW w:w="1273" w:type="dxa"/>
            <w:vAlign w:val="center"/>
          </w:tcPr>
          <w:p w14:paraId="604671E5" w14:textId="77777777" w:rsidR="00D272FB" w:rsidRPr="00912946" w:rsidRDefault="00D272FB" w:rsidP="00703F34">
            <w:pPr>
              <w:pStyle w:val="NoSpacing"/>
              <w:jc w:val="center"/>
              <w:rPr>
                <w:rFonts w:ascii="Arial" w:hAnsi="Arial" w:cs="Arial"/>
                <w:color w:val="000000"/>
                <w:sz w:val="18"/>
                <w:szCs w:val="18"/>
              </w:rPr>
            </w:pPr>
          </w:p>
        </w:tc>
        <w:tc>
          <w:tcPr>
            <w:tcW w:w="1134" w:type="dxa"/>
            <w:vAlign w:val="center"/>
          </w:tcPr>
          <w:p w14:paraId="098C39E8"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63963958" w14:textId="77777777" w:rsidR="00D272FB" w:rsidRPr="00912946" w:rsidRDefault="00D272FB" w:rsidP="00703F34">
            <w:pPr>
              <w:pStyle w:val="NoSpacing"/>
              <w:jc w:val="center"/>
              <w:rPr>
                <w:rFonts w:ascii="Arial" w:hAnsi="Arial" w:cs="Arial"/>
                <w:color w:val="000000"/>
                <w:sz w:val="18"/>
                <w:szCs w:val="18"/>
              </w:rPr>
            </w:pPr>
          </w:p>
        </w:tc>
        <w:tc>
          <w:tcPr>
            <w:tcW w:w="980" w:type="dxa"/>
            <w:vAlign w:val="center"/>
          </w:tcPr>
          <w:p w14:paraId="1522CA6D"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72BC68D3" w14:textId="77777777" w:rsidR="00D272FB" w:rsidRPr="00912946" w:rsidRDefault="00D272FB" w:rsidP="00703F34">
            <w:pPr>
              <w:pStyle w:val="NoSpacing"/>
              <w:jc w:val="center"/>
              <w:rPr>
                <w:rFonts w:ascii="Arial" w:hAnsi="Arial" w:cs="Arial"/>
                <w:color w:val="000000"/>
                <w:sz w:val="18"/>
                <w:szCs w:val="18"/>
              </w:rPr>
            </w:pPr>
          </w:p>
        </w:tc>
        <w:tc>
          <w:tcPr>
            <w:tcW w:w="1134" w:type="dxa"/>
            <w:vAlign w:val="center"/>
          </w:tcPr>
          <w:p w14:paraId="410E4D74"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5CBE3D12" w14:textId="77777777" w:rsidR="00D272FB" w:rsidRPr="00912946" w:rsidRDefault="00D272FB" w:rsidP="00703F34">
            <w:pPr>
              <w:pStyle w:val="NoSpacing"/>
              <w:jc w:val="center"/>
              <w:rPr>
                <w:rFonts w:ascii="Arial" w:hAnsi="Arial" w:cs="Arial"/>
                <w:color w:val="000000"/>
                <w:sz w:val="18"/>
                <w:szCs w:val="18"/>
              </w:rPr>
            </w:pPr>
          </w:p>
        </w:tc>
        <w:tc>
          <w:tcPr>
            <w:tcW w:w="392" w:type="dxa"/>
            <w:vMerge/>
          </w:tcPr>
          <w:p w14:paraId="0939C4E4"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08432125" w14:textId="77777777" w:rsidR="00D272FB" w:rsidRPr="00912946" w:rsidRDefault="00D272FB" w:rsidP="003F3F8D">
            <w:pPr>
              <w:pStyle w:val="NoSpacing"/>
              <w:jc w:val="center"/>
              <w:rPr>
                <w:rFonts w:ascii="Arial" w:hAnsi="Arial" w:cs="Arial"/>
                <w:color w:val="000000"/>
                <w:sz w:val="18"/>
                <w:szCs w:val="18"/>
              </w:rPr>
            </w:pPr>
          </w:p>
        </w:tc>
        <w:tc>
          <w:tcPr>
            <w:tcW w:w="1092" w:type="dxa"/>
            <w:vAlign w:val="center"/>
          </w:tcPr>
          <w:p w14:paraId="125B3268" w14:textId="77777777" w:rsidR="00D272FB" w:rsidRPr="00912946" w:rsidRDefault="00D272FB" w:rsidP="00703F34">
            <w:pPr>
              <w:pStyle w:val="NoSpacing"/>
              <w:jc w:val="center"/>
              <w:rPr>
                <w:rFonts w:ascii="Arial" w:hAnsi="Arial" w:cs="Arial"/>
                <w:color w:val="000000"/>
                <w:sz w:val="18"/>
                <w:szCs w:val="18"/>
              </w:rPr>
            </w:pPr>
          </w:p>
        </w:tc>
        <w:tc>
          <w:tcPr>
            <w:tcW w:w="1400" w:type="dxa"/>
            <w:vAlign w:val="center"/>
          </w:tcPr>
          <w:p w14:paraId="4FA96877" w14:textId="77777777" w:rsidR="00D272FB" w:rsidRPr="00912946" w:rsidRDefault="00D272FB" w:rsidP="00703F34">
            <w:pPr>
              <w:pStyle w:val="NoSpacing"/>
              <w:jc w:val="center"/>
              <w:rPr>
                <w:rFonts w:ascii="Arial" w:hAnsi="Arial" w:cs="Arial"/>
                <w:color w:val="000000"/>
                <w:sz w:val="18"/>
                <w:szCs w:val="18"/>
              </w:rPr>
            </w:pPr>
          </w:p>
        </w:tc>
      </w:tr>
      <w:tr w:rsidR="00912946" w:rsidRPr="00912946" w14:paraId="08284465" w14:textId="77777777" w:rsidTr="0082685F">
        <w:tc>
          <w:tcPr>
            <w:tcW w:w="2405" w:type="dxa"/>
            <w:vAlign w:val="center"/>
          </w:tcPr>
          <w:p w14:paraId="3C9A3570"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CT scan – Chest and abdomen (RECIST)</w:t>
            </w:r>
            <w:r w:rsidRPr="00912946">
              <w:rPr>
                <w:rFonts w:ascii="Arial" w:hAnsi="Arial" w:cs="Arial"/>
                <w:color w:val="000000"/>
                <w:sz w:val="18"/>
                <w:szCs w:val="18"/>
                <w:vertAlign w:val="superscript"/>
              </w:rPr>
              <w:t xml:space="preserve"> e</w:t>
            </w:r>
          </w:p>
        </w:tc>
        <w:tc>
          <w:tcPr>
            <w:tcW w:w="1273" w:type="dxa"/>
            <w:vAlign w:val="center"/>
          </w:tcPr>
          <w:p w14:paraId="0300EEB2"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55D1D072" w14:textId="77777777" w:rsidR="00D272FB" w:rsidRPr="00912946" w:rsidRDefault="00D272FB" w:rsidP="00703F34">
            <w:pPr>
              <w:pStyle w:val="NoSpacing"/>
              <w:jc w:val="center"/>
              <w:rPr>
                <w:rFonts w:ascii="Arial" w:hAnsi="Arial" w:cs="Arial"/>
                <w:color w:val="000000"/>
                <w:sz w:val="18"/>
                <w:szCs w:val="18"/>
              </w:rPr>
            </w:pPr>
          </w:p>
        </w:tc>
        <w:tc>
          <w:tcPr>
            <w:tcW w:w="1119" w:type="dxa"/>
            <w:vAlign w:val="center"/>
          </w:tcPr>
          <w:p w14:paraId="6D367E94"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5EA2EA73" w14:textId="77777777" w:rsidR="00D272FB" w:rsidRPr="00912946" w:rsidRDefault="00D272FB" w:rsidP="00703F34">
            <w:pPr>
              <w:pStyle w:val="NoSpacing"/>
              <w:jc w:val="center"/>
              <w:rPr>
                <w:rFonts w:ascii="Arial" w:hAnsi="Arial" w:cs="Arial"/>
                <w:color w:val="000000"/>
                <w:sz w:val="18"/>
                <w:szCs w:val="18"/>
              </w:rPr>
            </w:pPr>
          </w:p>
        </w:tc>
        <w:tc>
          <w:tcPr>
            <w:tcW w:w="1078" w:type="dxa"/>
            <w:vAlign w:val="center"/>
          </w:tcPr>
          <w:p w14:paraId="2B093331"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1AFDAA7B" w14:textId="77777777" w:rsidR="00D272FB" w:rsidRPr="00912946" w:rsidRDefault="00D272FB" w:rsidP="00703F34">
            <w:pPr>
              <w:pStyle w:val="NoSpacing"/>
              <w:jc w:val="center"/>
              <w:rPr>
                <w:rFonts w:ascii="Arial" w:hAnsi="Arial" w:cs="Arial"/>
                <w:color w:val="000000"/>
                <w:sz w:val="18"/>
                <w:szCs w:val="18"/>
              </w:rPr>
            </w:pPr>
          </w:p>
        </w:tc>
        <w:tc>
          <w:tcPr>
            <w:tcW w:w="1218" w:type="dxa"/>
            <w:vAlign w:val="center"/>
          </w:tcPr>
          <w:p w14:paraId="1081F5B2"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 xml:space="preserve">X </w:t>
            </w:r>
          </w:p>
          <w:p w14:paraId="64BB6C4D" w14:textId="77777777" w:rsidR="00D272FB" w:rsidRPr="00912946" w:rsidRDefault="00D272FB" w:rsidP="003F3F8D">
            <w:pPr>
              <w:pStyle w:val="NoSpacing"/>
              <w:jc w:val="center"/>
              <w:rPr>
                <w:rFonts w:ascii="Arial" w:hAnsi="Arial" w:cs="Arial"/>
                <w:color w:val="000000"/>
                <w:sz w:val="16"/>
                <w:szCs w:val="16"/>
              </w:rPr>
            </w:pPr>
            <w:r w:rsidRPr="00912946">
              <w:rPr>
                <w:rFonts w:ascii="Arial" w:hAnsi="Arial" w:cs="Arial"/>
                <w:color w:val="000000"/>
                <w:sz w:val="16"/>
                <w:szCs w:val="16"/>
              </w:rPr>
              <w:t>(close to Day 21 of cycle 6)</w:t>
            </w:r>
          </w:p>
        </w:tc>
        <w:tc>
          <w:tcPr>
            <w:tcW w:w="392" w:type="dxa"/>
            <w:vMerge/>
          </w:tcPr>
          <w:p w14:paraId="0536C07C"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208307DA" w14:textId="77777777" w:rsidR="00D272FB" w:rsidRPr="00912946" w:rsidRDefault="00331E0A" w:rsidP="003F3F8D">
            <w:pPr>
              <w:pStyle w:val="NoSpacing"/>
              <w:jc w:val="center"/>
              <w:rPr>
                <w:rFonts w:ascii="Arial" w:hAnsi="Arial" w:cs="Arial"/>
                <w:color w:val="000000"/>
                <w:sz w:val="18"/>
                <w:szCs w:val="18"/>
              </w:rPr>
            </w:pPr>
            <w:r>
              <w:rPr>
                <w:rFonts w:ascii="Arial" w:hAnsi="Arial" w:cs="Arial"/>
                <w:color w:val="000000"/>
                <w:sz w:val="18"/>
                <w:szCs w:val="18"/>
              </w:rPr>
              <w:t>X</w:t>
            </w:r>
            <w:r w:rsidR="00052BB6" w:rsidRPr="00912946">
              <w:rPr>
                <w:rFonts w:ascii="Arial" w:hAnsi="Arial" w:cs="Arial"/>
                <w:color w:val="000000"/>
                <w:sz w:val="18"/>
                <w:szCs w:val="18"/>
                <w:vertAlign w:val="superscript"/>
              </w:rPr>
              <w:t xml:space="preserve"> e</w:t>
            </w:r>
          </w:p>
        </w:tc>
        <w:tc>
          <w:tcPr>
            <w:tcW w:w="1092" w:type="dxa"/>
            <w:vAlign w:val="center"/>
          </w:tcPr>
          <w:p w14:paraId="5DD0EF84" w14:textId="77777777" w:rsidR="00D272FB" w:rsidRPr="00912946" w:rsidRDefault="00D272FB" w:rsidP="00703F34">
            <w:pPr>
              <w:pStyle w:val="NoSpacing"/>
              <w:jc w:val="center"/>
              <w:rPr>
                <w:rFonts w:ascii="Arial" w:hAnsi="Arial" w:cs="Arial"/>
                <w:color w:val="000000"/>
                <w:sz w:val="18"/>
                <w:szCs w:val="18"/>
              </w:rPr>
            </w:pPr>
          </w:p>
        </w:tc>
        <w:tc>
          <w:tcPr>
            <w:tcW w:w="1400" w:type="dxa"/>
            <w:vAlign w:val="center"/>
          </w:tcPr>
          <w:p w14:paraId="33817312" w14:textId="77777777" w:rsidR="00D272FB" w:rsidRPr="00912946" w:rsidRDefault="00D272FB" w:rsidP="00703F34">
            <w:pPr>
              <w:pStyle w:val="NoSpacing"/>
              <w:jc w:val="center"/>
              <w:rPr>
                <w:rFonts w:ascii="Arial" w:hAnsi="Arial" w:cs="Arial"/>
                <w:color w:val="000000"/>
                <w:sz w:val="18"/>
                <w:szCs w:val="18"/>
              </w:rPr>
            </w:pPr>
          </w:p>
        </w:tc>
      </w:tr>
      <w:tr w:rsidR="00912946" w:rsidRPr="00912946" w14:paraId="0F8D419B" w14:textId="77777777" w:rsidTr="0082685F">
        <w:tc>
          <w:tcPr>
            <w:tcW w:w="2405" w:type="dxa"/>
            <w:vAlign w:val="center"/>
          </w:tcPr>
          <w:p w14:paraId="0BD49BC7"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 xml:space="preserve">12 Lead </w:t>
            </w:r>
            <w:proofErr w:type="spellStart"/>
            <w:r w:rsidRPr="00912946">
              <w:rPr>
                <w:rFonts w:ascii="Arial" w:hAnsi="Arial" w:cs="Arial"/>
                <w:sz w:val="18"/>
                <w:szCs w:val="18"/>
              </w:rPr>
              <w:t>ECG</w:t>
            </w:r>
            <w:r w:rsidRPr="00912946">
              <w:rPr>
                <w:rFonts w:ascii="Arial" w:hAnsi="Arial" w:cs="Arial"/>
                <w:sz w:val="18"/>
                <w:szCs w:val="18"/>
                <w:vertAlign w:val="superscript"/>
              </w:rPr>
              <w:t>f</w:t>
            </w:r>
            <w:proofErr w:type="spellEnd"/>
          </w:p>
        </w:tc>
        <w:tc>
          <w:tcPr>
            <w:tcW w:w="1273" w:type="dxa"/>
            <w:vAlign w:val="center"/>
          </w:tcPr>
          <w:p w14:paraId="7668E6E6"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316EFBF1" w14:textId="77777777" w:rsidR="00D272FB" w:rsidRPr="00CB1D22" w:rsidRDefault="00D272FB" w:rsidP="00703F34">
            <w:pPr>
              <w:pStyle w:val="NoSpacing"/>
              <w:jc w:val="center"/>
              <w:rPr>
                <w:rFonts w:ascii="Times New Roman" w:hAnsi="Times New Roman" w:cs="Arial"/>
                <w:color w:val="000000"/>
                <w:sz w:val="18"/>
                <w:szCs w:val="18"/>
              </w:rPr>
            </w:pPr>
            <w:proofErr w:type="spellStart"/>
            <w:r w:rsidRPr="00912946">
              <w:rPr>
                <w:rFonts w:ascii="Arial" w:hAnsi="Arial" w:cs="Arial"/>
                <w:color w:val="000000"/>
                <w:sz w:val="18"/>
                <w:szCs w:val="18"/>
              </w:rPr>
              <w:t>X</w:t>
            </w:r>
            <w:r w:rsidR="00DC4845">
              <w:rPr>
                <w:rFonts w:ascii="Arial" w:hAnsi="Arial" w:cs="Arial"/>
                <w:color w:val="000000"/>
                <w:sz w:val="18"/>
                <w:szCs w:val="18"/>
                <w:vertAlign w:val="superscript"/>
              </w:rPr>
              <w:t>h</w:t>
            </w:r>
            <w:proofErr w:type="spellEnd"/>
          </w:p>
        </w:tc>
        <w:tc>
          <w:tcPr>
            <w:tcW w:w="1119" w:type="dxa"/>
            <w:vAlign w:val="center"/>
          </w:tcPr>
          <w:p w14:paraId="09C42618"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44F61C84"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30B0DDD4"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0C3ADABF"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48E684DD"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4E83E3F5"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34CD0765" w14:textId="77777777" w:rsidR="00D272FB" w:rsidRPr="00912946" w:rsidRDefault="003F3F8D" w:rsidP="003F3F8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92" w:type="dxa"/>
            <w:vAlign w:val="center"/>
          </w:tcPr>
          <w:p w14:paraId="38A17BEB" w14:textId="77777777" w:rsidR="00D272FB" w:rsidRPr="00912946" w:rsidRDefault="00D272FB" w:rsidP="00703F34">
            <w:pPr>
              <w:pStyle w:val="NoSpacing"/>
              <w:jc w:val="center"/>
              <w:rPr>
                <w:rFonts w:ascii="Arial" w:hAnsi="Arial" w:cs="Arial"/>
                <w:color w:val="000000"/>
                <w:sz w:val="18"/>
                <w:szCs w:val="18"/>
              </w:rPr>
            </w:pPr>
          </w:p>
        </w:tc>
        <w:tc>
          <w:tcPr>
            <w:tcW w:w="1400" w:type="dxa"/>
            <w:vAlign w:val="center"/>
          </w:tcPr>
          <w:p w14:paraId="261BB220" w14:textId="77777777" w:rsidR="00D272FB" w:rsidRPr="00912946" w:rsidRDefault="00D272FB" w:rsidP="00703F34">
            <w:pPr>
              <w:pStyle w:val="NoSpacing"/>
              <w:jc w:val="center"/>
              <w:rPr>
                <w:rFonts w:ascii="Arial" w:hAnsi="Arial" w:cs="Arial"/>
                <w:color w:val="000000"/>
                <w:sz w:val="18"/>
                <w:szCs w:val="18"/>
              </w:rPr>
            </w:pPr>
          </w:p>
        </w:tc>
      </w:tr>
      <w:tr w:rsidR="00912946" w:rsidRPr="00912946" w14:paraId="2E190DA1" w14:textId="77777777" w:rsidTr="0082685F">
        <w:tc>
          <w:tcPr>
            <w:tcW w:w="2405" w:type="dxa"/>
            <w:vAlign w:val="center"/>
          </w:tcPr>
          <w:p w14:paraId="391A91D4" w14:textId="77777777" w:rsidR="00D272FB" w:rsidRPr="00912946" w:rsidRDefault="00D272FB" w:rsidP="00703F34">
            <w:pPr>
              <w:pStyle w:val="NoSpacing"/>
              <w:rPr>
                <w:rFonts w:ascii="Arial" w:hAnsi="Arial" w:cs="Arial"/>
                <w:sz w:val="18"/>
                <w:szCs w:val="18"/>
              </w:rPr>
            </w:pPr>
            <w:r w:rsidRPr="00912946">
              <w:rPr>
                <w:rFonts w:ascii="Arial" w:hAnsi="Arial" w:cs="Arial"/>
                <w:sz w:val="18"/>
                <w:szCs w:val="18"/>
              </w:rPr>
              <w:t>Adverse events check</w:t>
            </w:r>
          </w:p>
        </w:tc>
        <w:tc>
          <w:tcPr>
            <w:tcW w:w="1273" w:type="dxa"/>
            <w:vAlign w:val="center"/>
          </w:tcPr>
          <w:p w14:paraId="4B594689"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3AF3CB6A"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35CF6C96"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7185907A"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2C049E4B"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48397465"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5F3315AA"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45D305D5"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4B938582" w14:textId="77777777" w:rsidR="00D272FB" w:rsidRPr="00912946" w:rsidRDefault="003F3F8D" w:rsidP="003F3F8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92" w:type="dxa"/>
            <w:vAlign w:val="center"/>
          </w:tcPr>
          <w:p w14:paraId="7575B0DA"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00" w:type="dxa"/>
            <w:vAlign w:val="center"/>
          </w:tcPr>
          <w:p w14:paraId="3F0E993A" w14:textId="77777777" w:rsidR="00D272FB" w:rsidRPr="00912946" w:rsidRDefault="00D272FB" w:rsidP="00703F34">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912946" w:rsidRPr="00912946" w14:paraId="09DFDF05" w14:textId="77777777" w:rsidTr="0082685F">
        <w:tc>
          <w:tcPr>
            <w:tcW w:w="2405" w:type="dxa"/>
            <w:vAlign w:val="center"/>
          </w:tcPr>
          <w:p w14:paraId="122C9EE0" w14:textId="77777777" w:rsidR="00D272FB" w:rsidRPr="00912946" w:rsidRDefault="00D272FB" w:rsidP="00A056C5">
            <w:pPr>
              <w:pStyle w:val="NoSpacing"/>
              <w:rPr>
                <w:rFonts w:ascii="Arial" w:hAnsi="Arial" w:cs="Arial"/>
                <w:sz w:val="18"/>
                <w:szCs w:val="18"/>
              </w:rPr>
            </w:pPr>
            <w:r w:rsidRPr="00912946">
              <w:rPr>
                <w:rFonts w:ascii="Arial" w:hAnsi="Arial" w:cs="Arial"/>
                <w:sz w:val="18"/>
                <w:szCs w:val="18"/>
              </w:rPr>
              <w:t>Diagnostic tissue sample</w:t>
            </w:r>
          </w:p>
        </w:tc>
        <w:tc>
          <w:tcPr>
            <w:tcW w:w="1273" w:type="dxa"/>
            <w:vAlign w:val="center"/>
          </w:tcPr>
          <w:p w14:paraId="54D7B27E" w14:textId="77777777" w:rsidR="00D272FB" w:rsidRPr="00912946" w:rsidRDefault="00D272FB" w:rsidP="00A4253E">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71E771AC" w14:textId="77777777" w:rsidR="00D272FB" w:rsidRPr="00912946" w:rsidRDefault="00D272FB" w:rsidP="00703F34">
            <w:pPr>
              <w:pStyle w:val="NoSpacing"/>
              <w:jc w:val="center"/>
              <w:rPr>
                <w:rFonts w:ascii="Arial" w:hAnsi="Arial" w:cs="Arial"/>
                <w:color w:val="000000"/>
                <w:sz w:val="18"/>
                <w:szCs w:val="18"/>
              </w:rPr>
            </w:pPr>
          </w:p>
        </w:tc>
        <w:tc>
          <w:tcPr>
            <w:tcW w:w="1119" w:type="dxa"/>
            <w:vAlign w:val="center"/>
          </w:tcPr>
          <w:p w14:paraId="5700D4E2" w14:textId="77777777" w:rsidR="00D272FB" w:rsidRPr="00912946" w:rsidRDefault="00D272FB" w:rsidP="00703F34">
            <w:pPr>
              <w:pStyle w:val="NoSpacing"/>
              <w:jc w:val="center"/>
              <w:rPr>
                <w:rFonts w:ascii="Arial" w:hAnsi="Arial" w:cs="Arial"/>
                <w:color w:val="000000"/>
                <w:sz w:val="18"/>
                <w:szCs w:val="18"/>
              </w:rPr>
            </w:pPr>
          </w:p>
        </w:tc>
        <w:tc>
          <w:tcPr>
            <w:tcW w:w="980" w:type="dxa"/>
            <w:vAlign w:val="center"/>
          </w:tcPr>
          <w:p w14:paraId="55F3D69D" w14:textId="77777777" w:rsidR="00D272FB" w:rsidRPr="00912946" w:rsidRDefault="00D272FB" w:rsidP="00703F34">
            <w:pPr>
              <w:pStyle w:val="NoSpacing"/>
              <w:jc w:val="center"/>
              <w:rPr>
                <w:rFonts w:ascii="Arial" w:hAnsi="Arial" w:cs="Arial"/>
                <w:color w:val="000000"/>
                <w:sz w:val="18"/>
                <w:szCs w:val="18"/>
              </w:rPr>
            </w:pPr>
          </w:p>
        </w:tc>
        <w:tc>
          <w:tcPr>
            <w:tcW w:w="1078" w:type="dxa"/>
            <w:vAlign w:val="center"/>
          </w:tcPr>
          <w:p w14:paraId="067D3030" w14:textId="77777777" w:rsidR="00D272FB" w:rsidRPr="00912946" w:rsidRDefault="00D272FB" w:rsidP="00703F34">
            <w:pPr>
              <w:pStyle w:val="NoSpacing"/>
              <w:jc w:val="center"/>
              <w:rPr>
                <w:rFonts w:ascii="Arial" w:hAnsi="Arial" w:cs="Arial"/>
                <w:color w:val="000000"/>
                <w:sz w:val="18"/>
                <w:szCs w:val="18"/>
              </w:rPr>
            </w:pPr>
          </w:p>
        </w:tc>
        <w:tc>
          <w:tcPr>
            <w:tcW w:w="1134" w:type="dxa"/>
            <w:vAlign w:val="center"/>
          </w:tcPr>
          <w:p w14:paraId="0BAE4B2D" w14:textId="77777777" w:rsidR="00D272FB" w:rsidRPr="00912946" w:rsidRDefault="00D272FB" w:rsidP="00703F34">
            <w:pPr>
              <w:pStyle w:val="NoSpacing"/>
              <w:jc w:val="center"/>
              <w:rPr>
                <w:rFonts w:ascii="Arial" w:hAnsi="Arial" w:cs="Arial"/>
                <w:color w:val="000000"/>
                <w:sz w:val="18"/>
                <w:szCs w:val="18"/>
              </w:rPr>
            </w:pPr>
          </w:p>
        </w:tc>
        <w:tc>
          <w:tcPr>
            <w:tcW w:w="1218" w:type="dxa"/>
            <w:vAlign w:val="center"/>
          </w:tcPr>
          <w:p w14:paraId="3886B77E" w14:textId="77777777" w:rsidR="00D272FB" w:rsidRPr="00912946" w:rsidRDefault="00D272FB" w:rsidP="00703F34">
            <w:pPr>
              <w:pStyle w:val="NoSpacing"/>
              <w:jc w:val="center"/>
              <w:rPr>
                <w:rFonts w:ascii="Arial" w:hAnsi="Arial" w:cs="Arial"/>
                <w:color w:val="000000"/>
                <w:sz w:val="18"/>
                <w:szCs w:val="18"/>
              </w:rPr>
            </w:pPr>
          </w:p>
        </w:tc>
        <w:tc>
          <w:tcPr>
            <w:tcW w:w="392" w:type="dxa"/>
            <w:vMerge/>
          </w:tcPr>
          <w:p w14:paraId="233A34D1" w14:textId="77777777" w:rsidR="00D272FB" w:rsidRPr="00912946" w:rsidRDefault="00D272FB" w:rsidP="00703F34">
            <w:pPr>
              <w:pStyle w:val="NoSpacing"/>
              <w:jc w:val="center"/>
              <w:rPr>
                <w:rFonts w:ascii="Arial" w:hAnsi="Arial" w:cs="Arial"/>
                <w:color w:val="000000"/>
                <w:sz w:val="18"/>
                <w:szCs w:val="18"/>
              </w:rPr>
            </w:pPr>
          </w:p>
        </w:tc>
        <w:tc>
          <w:tcPr>
            <w:tcW w:w="1371" w:type="dxa"/>
            <w:vAlign w:val="center"/>
          </w:tcPr>
          <w:p w14:paraId="0B08F9D0" w14:textId="77777777" w:rsidR="00D272FB" w:rsidRPr="00912946" w:rsidRDefault="00D272FB" w:rsidP="003F3F8D">
            <w:pPr>
              <w:pStyle w:val="NoSpacing"/>
              <w:jc w:val="center"/>
              <w:rPr>
                <w:rFonts w:ascii="Arial" w:hAnsi="Arial" w:cs="Arial"/>
                <w:color w:val="000000"/>
                <w:sz w:val="18"/>
                <w:szCs w:val="18"/>
              </w:rPr>
            </w:pPr>
          </w:p>
        </w:tc>
        <w:tc>
          <w:tcPr>
            <w:tcW w:w="1092" w:type="dxa"/>
            <w:vAlign w:val="center"/>
          </w:tcPr>
          <w:p w14:paraId="726469C4" w14:textId="77777777" w:rsidR="00D272FB" w:rsidRPr="00912946" w:rsidRDefault="00D272FB" w:rsidP="00703F34">
            <w:pPr>
              <w:pStyle w:val="NoSpacing"/>
              <w:jc w:val="center"/>
              <w:rPr>
                <w:rFonts w:ascii="Arial" w:hAnsi="Arial" w:cs="Arial"/>
                <w:color w:val="000000"/>
                <w:sz w:val="18"/>
                <w:szCs w:val="18"/>
              </w:rPr>
            </w:pPr>
          </w:p>
        </w:tc>
        <w:tc>
          <w:tcPr>
            <w:tcW w:w="1400" w:type="dxa"/>
            <w:vAlign w:val="center"/>
          </w:tcPr>
          <w:p w14:paraId="113A6FCE" w14:textId="77777777" w:rsidR="00D272FB" w:rsidRPr="00912946" w:rsidRDefault="00D272FB" w:rsidP="00703F34">
            <w:pPr>
              <w:pStyle w:val="NoSpacing"/>
              <w:jc w:val="center"/>
              <w:rPr>
                <w:rFonts w:ascii="Arial" w:hAnsi="Arial" w:cs="Arial"/>
                <w:color w:val="000000"/>
                <w:sz w:val="18"/>
                <w:szCs w:val="18"/>
              </w:rPr>
            </w:pPr>
          </w:p>
        </w:tc>
      </w:tr>
      <w:tr w:rsidR="001A051C" w:rsidRPr="00912946" w14:paraId="6A9DE9E2" w14:textId="77777777" w:rsidTr="0082685F">
        <w:tc>
          <w:tcPr>
            <w:tcW w:w="2405" w:type="dxa"/>
            <w:vAlign w:val="center"/>
          </w:tcPr>
          <w:p w14:paraId="6C7B8A98" w14:textId="77777777" w:rsidR="001A051C" w:rsidRPr="00CB1D22" w:rsidRDefault="001A051C" w:rsidP="00A056C5">
            <w:pPr>
              <w:pStyle w:val="NoSpacing"/>
              <w:rPr>
                <w:rFonts w:ascii="Times New Roman" w:hAnsi="Times New Roman" w:cs="Arial"/>
                <w:sz w:val="18"/>
                <w:szCs w:val="18"/>
              </w:rPr>
            </w:pPr>
            <w:r>
              <w:rPr>
                <w:rFonts w:ascii="Arial" w:hAnsi="Arial" w:cs="Arial"/>
                <w:sz w:val="18"/>
                <w:szCs w:val="18"/>
              </w:rPr>
              <w:t xml:space="preserve">Translational blood </w:t>
            </w:r>
            <w:proofErr w:type="spellStart"/>
            <w:r>
              <w:rPr>
                <w:rFonts w:ascii="Arial" w:hAnsi="Arial" w:cs="Arial"/>
                <w:sz w:val="18"/>
                <w:szCs w:val="18"/>
              </w:rPr>
              <w:t>sample</w:t>
            </w:r>
            <w:r w:rsidR="00DC4845">
              <w:rPr>
                <w:rFonts w:ascii="Arial" w:hAnsi="Arial" w:cs="Arial"/>
                <w:sz w:val="18"/>
                <w:szCs w:val="18"/>
                <w:vertAlign w:val="superscript"/>
              </w:rPr>
              <w:t>i</w:t>
            </w:r>
            <w:proofErr w:type="spellEnd"/>
          </w:p>
        </w:tc>
        <w:tc>
          <w:tcPr>
            <w:tcW w:w="1273" w:type="dxa"/>
            <w:vAlign w:val="center"/>
          </w:tcPr>
          <w:p w14:paraId="5A80E9DF" w14:textId="77777777" w:rsidR="001A051C" w:rsidRPr="00912946" w:rsidRDefault="001A051C" w:rsidP="00A4253E">
            <w:pPr>
              <w:pStyle w:val="NoSpacing"/>
              <w:jc w:val="center"/>
              <w:rPr>
                <w:rFonts w:ascii="Arial" w:hAnsi="Arial" w:cs="Arial"/>
                <w:color w:val="000000"/>
                <w:sz w:val="18"/>
                <w:szCs w:val="18"/>
              </w:rPr>
            </w:pPr>
            <w:r>
              <w:rPr>
                <w:rFonts w:ascii="Arial" w:hAnsi="Arial" w:cs="Arial"/>
                <w:color w:val="000000"/>
                <w:sz w:val="18"/>
                <w:szCs w:val="18"/>
              </w:rPr>
              <w:t>X</w:t>
            </w:r>
          </w:p>
        </w:tc>
        <w:tc>
          <w:tcPr>
            <w:tcW w:w="10918" w:type="dxa"/>
            <w:gridSpan w:val="10"/>
            <w:vAlign w:val="center"/>
          </w:tcPr>
          <w:p w14:paraId="1E98E535" w14:textId="77777777" w:rsidR="001A051C" w:rsidRPr="00912946" w:rsidRDefault="00DC4845" w:rsidP="00DC4845">
            <w:pPr>
              <w:pStyle w:val="NoSpacing"/>
              <w:jc w:val="center"/>
              <w:rPr>
                <w:rFonts w:ascii="Arial" w:hAnsi="Arial" w:cs="Arial"/>
                <w:color w:val="000000"/>
                <w:sz w:val="18"/>
                <w:szCs w:val="18"/>
              </w:rPr>
            </w:pPr>
            <w:r>
              <w:rPr>
                <w:rFonts w:ascii="Arial" w:hAnsi="Arial" w:cs="Arial"/>
                <w:color w:val="000000"/>
                <w:sz w:val="18"/>
                <w:szCs w:val="18"/>
              </w:rPr>
              <w:t>Further b</w:t>
            </w:r>
            <w:r w:rsidR="001A051C">
              <w:rPr>
                <w:rFonts w:ascii="Arial" w:hAnsi="Arial" w:cs="Arial"/>
                <w:color w:val="000000"/>
                <w:sz w:val="18"/>
                <w:szCs w:val="18"/>
              </w:rPr>
              <w:t xml:space="preserve">lood sample to be taken </w:t>
            </w:r>
            <w:r>
              <w:rPr>
                <w:rFonts w:ascii="Arial" w:hAnsi="Arial" w:cs="Arial"/>
                <w:color w:val="000000"/>
                <w:sz w:val="18"/>
                <w:szCs w:val="18"/>
              </w:rPr>
              <w:t>a</w:t>
            </w:r>
            <w:r w:rsidR="001A051C">
              <w:rPr>
                <w:rFonts w:ascii="Arial" w:hAnsi="Arial" w:cs="Arial"/>
                <w:color w:val="000000"/>
                <w:sz w:val="18"/>
                <w:szCs w:val="18"/>
              </w:rPr>
              <w:t>t time of progression</w:t>
            </w:r>
          </w:p>
        </w:tc>
      </w:tr>
    </w:tbl>
    <w:p w14:paraId="472275D1" w14:textId="77777777" w:rsidR="00AC0122" w:rsidRDefault="00AC0122" w:rsidP="00AE6275">
      <w:pPr>
        <w:pStyle w:val="Header"/>
        <w:tabs>
          <w:tab w:val="clear" w:pos="4153"/>
          <w:tab w:val="clear" w:pos="8306"/>
        </w:tabs>
        <w:jc w:val="both"/>
        <w:rPr>
          <w:rFonts w:cs="Tahoma"/>
          <w:color w:val="000000"/>
          <w:sz w:val="16"/>
          <w:szCs w:val="16"/>
          <w:lang w:val="en-GB"/>
        </w:rPr>
      </w:pPr>
    </w:p>
    <w:p w14:paraId="100EB04A" w14:textId="77777777" w:rsidR="00AE6275" w:rsidRDefault="00AE6275" w:rsidP="00AE6275">
      <w:pPr>
        <w:pStyle w:val="Header"/>
        <w:tabs>
          <w:tab w:val="clear" w:pos="4153"/>
          <w:tab w:val="clear" w:pos="8306"/>
        </w:tabs>
        <w:jc w:val="both"/>
        <w:rPr>
          <w:rFonts w:cs="Tahoma"/>
          <w:color w:val="000000"/>
          <w:sz w:val="16"/>
          <w:szCs w:val="16"/>
        </w:rPr>
      </w:pPr>
      <w:r w:rsidRPr="005E2C7F">
        <w:rPr>
          <w:rFonts w:cs="Tahoma"/>
          <w:color w:val="000000"/>
          <w:sz w:val="16"/>
          <w:szCs w:val="16"/>
        </w:rPr>
        <w:t xml:space="preserve">a </w:t>
      </w:r>
      <w:r>
        <w:rPr>
          <w:rFonts w:cs="Tahoma"/>
          <w:color w:val="000000"/>
          <w:sz w:val="16"/>
          <w:szCs w:val="16"/>
        </w:rPr>
        <w:t>=</w:t>
      </w:r>
      <w:r w:rsidRPr="005E2C7F">
        <w:rPr>
          <w:rFonts w:cs="Tahoma"/>
          <w:color w:val="000000"/>
          <w:sz w:val="16"/>
          <w:szCs w:val="16"/>
        </w:rPr>
        <w:t xml:space="preserve"> </w:t>
      </w:r>
      <w:r>
        <w:rPr>
          <w:rFonts w:cs="Tahoma"/>
          <w:color w:val="000000"/>
          <w:sz w:val="16"/>
          <w:szCs w:val="16"/>
        </w:rPr>
        <w:t xml:space="preserve">Medical history not required after screening; </w:t>
      </w:r>
      <w:r w:rsidRPr="005E2C7F">
        <w:rPr>
          <w:rFonts w:cs="Tahoma"/>
          <w:color w:val="000000"/>
          <w:sz w:val="16"/>
          <w:szCs w:val="16"/>
        </w:rPr>
        <w:t xml:space="preserve">Concomitant check </w:t>
      </w:r>
      <w:r>
        <w:rPr>
          <w:rFonts w:cs="Tahoma"/>
          <w:color w:val="000000"/>
          <w:sz w:val="16"/>
          <w:szCs w:val="16"/>
        </w:rPr>
        <w:t xml:space="preserve">required from Pre-cycle 1 onwards </w:t>
      </w:r>
      <w:r w:rsidR="00C1292A">
        <w:rPr>
          <w:rFonts w:cs="Tahoma"/>
          <w:color w:val="000000"/>
          <w:sz w:val="16"/>
          <w:szCs w:val="16"/>
        </w:rPr>
        <w:t>only</w:t>
      </w:r>
    </w:p>
    <w:p w14:paraId="1E8DC6CD" w14:textId="77777777" w:rsidR="00C1292A" w:rsidRDefault="00C1292A" w:rsidP="00C1292A">
      <w:pPr>
        <w:pStyle w:val="Header"/>
        <w:tabs>
          <w:tab w:val="clear" w:pos="4153"/>
          <w:tab w:val="clear" w:pos="8306"/>
        </w:tabs>
        <w:jc w:val="both"/>
        <w:rPr>
          <w:rFonts w:cs="Tahoma"/>
          <w:color w:val="000000"/>
          <w:sz w:val="16"/>
          <w:szCs w:val="16"/>
        </w:rPr>
      </w:pPr>
      <w:r>
        <w:rPr>
          <w:rFonts w:cs="Tahoma"/>
          <w:color w:val="000000"/>
          <w:sz w:val="16"/>
          <w:szCs w:val="16"/>
        </w:rPr>
        <w:t xml:space="preserve">b = </w:t>
      </w:r>
      <w:r w:rsidRPr="00C1292A">
        <w:rPr>
          <w:rFonts w:cs="Tahoma"/>
          <w:color w:val="000000"/>
          <w:sz w:val="16"/>
          <w:szCs w:val="16"/>
        </w:rPr>
        <w:t>On</w:t>
      </w:r>
      <w:r w:rsidR="006F6C3D">
        <w:rPr>
          <w:rFonts w:cs="Tahoma"/>
          <w:color w:val="000000"/>
          <w:sz w:val="16"/>
          <w:szCs w:val="16"/>
        </w:rPr>
        <w:t>cological profile -</w:t>
      </w:r>
      <w:r w:rsidRPr="00C1292A">
        <w:rPr>
          <w:rFonts w:cs="Tahoma"/>
          <w:color w:val="000000"/>
          <w:sz w:val="16"/>
          <w:szCs w:val="16"/>
        </w:rPr>
        <w:t xml:space="preserve"> Haematocrit, haemoglobin, RCC, white cell count with differential, platelets, sodium, potassium, urea, creatinine, chloride, bicarbonate, bilirubin, ALP, AST or ALT, LDH, albumin, total protein, calcium, phosphate, magnesium</w:t>
      </w:r>
      <w:r w:rsidR="006F6C3D">
        <w:rPr>
          <w:rFonts w:cs="Tahoma"/>
          <w:color w:val="000000"/>
          <w:sz w:val="16"/>
          <w:szCs w:val="16"/>
        </w:rPr>
        <w:t xml:space="preserve">. </w:t>
      </w:r>
      <w:r w:rsidR="00DE184F">
        <w:rPr>
          <w:rFonts w:cs="Tahoma"/>
          <w:color w:val="000000"/>
          <w:sz w:val="16"/>
          <w:szCs w:val="16"/>
        </w:rPr>
        <w:t>Bloods may be taken up to 2 days prior to treatment.</w:t>
      </w:r>
    </w:p>
    <w:p w14:paraId="401057A0" w14:textId="77777777" w:rsidR="006F6C3D" w:rsidRPr="00C1292A" w:rsidRDefault="006F6C3D" w:rsidP="00C1292A">
      <w:pPr>
        <w:pStyle w:val="Header"/>
        <w:tabs>
          <w:tab w:val="clear" w:pos="4153"/>
          <w:tab w:val="clear" w:pos="8306"/>
        </w:tabs>
        <w:jc w:val="both"/>
        <w:rPr>
          <w:rFonts w:cs="Tahoma"/>
          <w:color w:val="000000"/>
          <w:sz w:val="16"/>
          <w:szCs w:val="16"/>
        </w:rPr>
      </w:pPr>
      <w:r>
        <w:rPr>
          <w:rFonts w:cs="Tahoma"/>
          <w:color w:val="000000"/>
          <w:sz w:val="16"/>
          <w:szCs w:val="16"/>
        </w:rPr>
        <w:t xml:space="preserve">b2 = </w:t>
      </w:r>
      <w:r w:rsidR="00782B5E">
        <w:rPr>
          <w:rFonts w:cs="Tahoma"/>
          <w:color w:val="000000"/>
          <w:sz w:val="16"/>
          <w:szCs w:val="16"/>
        </w:rPr>
        <w:t>Day 15</w:t>
      </w:r>
      <w:r>
        <w:rPr>
          <w:rFonts w:cs="Tahoma"/>
          <w:color w:val="000000"/>
          <w:sz w:val="16"/>
          <w:szCs w:val="16"/>
        </w:rPr>
        <w:t xml:space="preserve"> of Cycles 1 and 2 the following required:</w:t>
      </w:r>
      <w:r w:rsidRPr="006F6C3D">
        <w:rPr>
          <w:rFonts w:cs="Tahoma"/>
          <w:color w:val="000000"/>
          <w:sz w:val="16"/>
          <w:szCs w:val="16"/>
        </w:rPr>
        <w:t xml:space="preserve"> </w:t>
      </w:r>
      <w:r w:rsidRPr="00C1292A">
        <w:rPr>
          <w:rFonts w:cs="Tahoma"/>
          <w:color w:val="000000"/>
          <w:sz w:val="16"/>
          <w:szCs w:val="16"/>
        </w:rPr>
        <w:t xml:space="preserve"> Haematocrit, haemoglobin, RCC, white cell count with differential, platelets</w:t>
      </w:r>
    </w:p>
    <w:p w14:paraId="4DFE74F5" w14:textId="77777777" w:rsidR="00C1292A" w:rsidRPr="005E2C7F" w:rsidRDefault="00C1292A" w:rsidP="00AE6275">
      <w:pPr>
        <w:pStyle w:val="Header"/>
        <w:tabs>
          <w:tab w:val="clear" w:pos="4153"/>
          <w:tab w:val="clear" w:pos="8306"/>
        </w:tabs>
        <w:jc w:val="both"/>
        <w:rPr>
          <w:rFonts w:cs="Tahoma"/>
          <w:color w:val="000000"/>
          <w:sz w:val="16"/>
          <w:szCs w:val="16"/>
        </w:rPr>
      </w:pPr>
      <w:r>
        <w:rPr>
          <w:rFonts w:cs="Tahoma"/>
          <w:color w:val="000000"/>
          <w:sz w:val="16"/>
          <w:szCs w:val="16"/>
        </w:rPr>
        <w:t xml:space="preserve">c = </w:t>
      </w:r>
      <w:r w:rsidRPr="00C1292A">
        <w:rPr>
          <w:rFonts w:cs="Tahoma"/>
          <w:color w:val="000000"/>
          <w:sz w:val="16"/>
          <w:szCs w:val="16"/>
        </w:rPr>
        <w:t xml:space="preserve">Repeat only if baseline test </w:t>
      </w:r>
      <w:r w:rsidR="00B35494">
        <w:rPr>
          <w:rFonts w:cs="Tahoma"/>
          <w:color w:val="000000"/>
          <w:sz w:val="16"/>
          <w:szCs w:val="16"/>
        </w:rPr>
        <w:t xml:space="preserve">date </w:t>
      </w:r>
      <w:r w:rsidRPr="00C1292A">
        <w:rPr>
          <w:rFonts w:cs="Tahoma"/>
          <w:color w:val="000000"/>
          <w:sz w:val="16"/>
          <w:szCs w:val="16"/>
        </w:rPr>
        <w:t>&gt;1 week prior to 1st dose of ganetespib</w:t>
      </w:r>
    </w:p>
    <w:p w14:paraId="35D9C10F" w14:textId="77777777" w:rsidR="00C1292A" w:rsidRPr="005E2C7F" w:rsidRDefault="00C1292A" w:rsidP="00AE6275">
      <w:pPr>
        <w:pStyle w:val="Header"/>
        <w:tabs>
          <w:tab w:val="clear" w:pos="4153"/>
          <w:tab w:val="clear" w:pos="8306"/>
        </w:tabs>
        <w:jc w:val="both"/>
        <w:rPr>
          <w:rFonts w:cs="Tahoma"/>
          <w:color w:val="000000"/>
          <w:sz w:val="16"/>
          <w:szCs w:val="16"/>
        </w:rPr>
      </w:pPr>
      <w:r>
        <w:rPr>
          <w:rFonts w:cs="Tahoma"/>
          <w:color w:val="000000"/>
          <w:sz w:val="16"/>
          <w:szCs w:val="16"/>
        </w:rPr>
        <w:t>d</w:t>
      </w:r>
      <w:r w:rsidR="00AE6275" w:rsidRPr="005E2C7F">
        <w:rPr>
          <w:rFonts w:cs="Tahoma"/>
          <w:color w:val="000000"/>
          <w:sz w:val="16"/>
          <w:szCs w:val="16"/>
        </w:rPr>
        <w:t xml:space="preserve"> </w:t>
      </w:r>
      <w:r w:rsidR="00AE6275">
        <w:rPr>
          <w:rFonts w:cs="Tahoma"/>
          <w:color w:val="000000"/>
          <w:sz w:val="16"/>
          <w:szCs w:val="16"/>
        </w:rPr>
        <w:t xml:space="preserve">=Chest x-ray - </w:t>
      </w:r>
      <w:r w:rsidR="00AE6275" w:rsidRPr="00D63037">
        <w:rPr>
          <w:rFonts w:cs="Tahoma"/>
          <w:b/>
          <w:color w:val="000000"/>
          <w:sz w:val="16"/>
          <w:szCs w:val="16"/>
        </w:rPr>
        <w:t>post</w:t>
      </w:r>
      <w:r w:rsidR="00AE6275">
        <w:rPr>
          <w:rFonts w:cs="Tahoma"/>
          <w:color w:val="000000"/>
          <w:sz w:val="16"/>
          <w:szCs w:val="16"/>
        </w:rPr>
        <w:t xml:space="preserve"> cycles 1, 3 and 5</w:t>
      </w:r>
    </w:p>
    <w:p w14:paraId="7DD01F0F" w14:textId="7E283F8A" w:rsidR="00AE6275" w:rsidRPr="003F3F8D" w:rsidRDefault="00C1292A" w:rsidP="00AE6275">
      <w:pPr>
        <w:pStyle w:val="Header"/>
        <w:tabs>
          <w:tab w:val="clear" w:pos="4153"/>
          <w:tab w:val="clear" w:pos="8306"/>
        </w:tabs>
        <w:jc w:val="both"/>
        <w:rPr>
          <w:rFonts w:cs="Tahoma"/>
          <w:color w:val="000000"/>
          <w:sz w:val="16"/>
          <w:szCs w:val="16"/>
          <w:lang w:val="en-GB"/>
        </w:rPr>
      </w:pPr>
      <w:r>
        <w:rPr>
          <w:rFonts w:cs="Tahoma"/>
          <w:color w:val="000000"/>
          <w:sz w:val="16"/>
          <w:szCs w:val="16"/>
        </w:rPr>
        <w:t>e</w:t>
      </w:r>
      <w:r w:rsidR="00AE6275">
        <w:rPr>
          <w:rFonts w:cs="Tahoma"/>
          <w:color w:val="000000"/>
          <w:sz w:val="16"/>
          <w:szCs w:val="16"/>
        </w:rPr>
        <w:t xml:space="preserve"> = </w:t>
      </w:r>
      <w:r w:rsidR="00AE6275" w:rsidRPr="005E2C7F">
        <w:rPr>
          <w:rFonts w:cs="Tahoma"/>
          <w:color w:val="000000"/>
          <w:sz w:val="16"/>
          <w:szCs w:val="16"/>
        </w:rPr>
        <w:t>CT scan –</w:t>
      </w:r>
      <w:r w:rsidR="00772BF4">
        <w:rPr>
          <w:rFonts w:cs="Tahoma"/>
          <w:b/>
          <w:color w:val="000000"/>
          <w:sz w:val="16"/>
          <w:szCs w:val="16"/>
          <w:lang w:val="en-GB"/>
        </w:rPr>
        <w:t xml:space="preserve"> </w:t>
      </w:r>
      <w:r w:rsidR="00772BF4">
        <w:rPr>
          <w:rFonts w:cs="Tahoma"/>
          <w:color w:val="000000"/>
          <w:sz w:val="16"/>
          <w:szCs w:val="16"/>
          <w:lang w:val="en-GB"/>
        </w:rPr>
        <w:t xml:space="preserve">screening CT within 28 days of registration. CT scan during treatment to be completed </w:t>
      </w:r>
      <w:r w:rsidR="00772BF4" w:rsidRPr="00B4190B">
        <w:rPr>
          <w:rFonts w:cs="Tahoma"/>
          <w:b/>
          <w:color w:val="000000"/>
          <w:sz w:val="16"/>
          <w:szCs w:val="16"/>
        </w:rPr>
        <w:t>post</w:t>
      </w:r>
      <w:r w:rsidR="00772BF4" w:rsidRPr="005E2C7F">
        <w:rPr>
          <w:rFonts w:cs="Tahoma"/>
          <w:color w:val="000000"/>
          <w:sz w:val="16"/>
          <w:szCs w:val="16"/>
        </w:rPr>
        <w:t xml:space="preserve"> cycles 2, 4, and 6</w:t>
      </w:r>
      <w:r w:rsidR="003F3F8D">
        <w:rPr>
          <w:rFonts w:cs="Tahoma"/>
          <w:color w:val="000000"/>
          <w:sz w:val="16"/>
          <w:szCs w:val="16"/>
          <w:lang w:val="en-GB"/>
        </w:rPr>
        <w:t xml:space="preserve">. CT scans ever 6 weeks for the first year </w:t>
      </w:r>
      <w:r w:rsidR="002A72DB">
        <w:rPr>
          <w:rFonts w:cs="Tahoma"/>
          <w:color w:val="000000"/>
          <w:sz w:val="16"/>
          <w:szCs w:val="16"/>
          <w:lang w:val="en-GB"/>
        </w:rPr>
        <w:t xml:space="preserve">(i.e. 12 months from Day 1 of chemotherapy) </w:t>
      </w:r>
      <w:r w:rsidR="003F3F8D">
        <w:rPr>
          <w:rFonts w:cs="Tahoma"/>
          <w:color w:val="000000"/>
          <w:sz w:val="16"/>
          <w:szCs w:val="16"/>
          <w:lang w:val="en-GB"/>
        </w:rPr>
        <w:t>then 12</w:t>
      </w:r>
      <w:r w:rsidR="002A72DB">
        <w:rPr>
          <w:rFonts w:cs="Tahoma"/>
          <w:color w:val="000000"/>
          <w:sz w:val="16"/>
          <w:szCs w:val="16"/>
          <w:lang w:val="en-GB"/>
        </w:rPr>
        <w:t>-</w:t>
      </w:r>
      <w:r w:rsidR="003F3F8D">
        <w:rPr>
          <w:rFonts w:cs="Tahoma"/>
          <w:color w:val="000000"/>
          <w:sz w:val="16"/>
          <w:szCs w:val="16"/>
          <w:lang w:val="en-GB"/>
        </w:rPr>
        <w:t>weekly thereafter.</w:t>
      </w:r>
    </w:p>
    <w:p w14:paraId="34446EA6" w14:textId="638E755D" w:rsidR="00AE6275" w:rsidRPr="00D6506C" w:rsidRDefault="00C1292A" w:rsidP="00D6506C">
      <w:pPr>
        <w:pStyle w:val="Header"/>
        <w:jc w:val="both"/>
        <w:rPr>
          <w:rFonts w:cs="Tahoma"/>
          <w:color w:val="000000"/>
          <w:sz w:val="16"/>
          <w:szCs w:val="16"/>
          <w:lang w:val="en-GB"/>
        </w:rPr>
      </w:pPr>
      <w:r>
        <w:rPr>
          <w:rFonts w:cs="Tahoma"/>
          <w:color w:val="000000"/>
          <w:sz w:val="16"/>
          <w:szCs w:val="16"/>
        </w:rPr>
        <w:t>f</w:t>
      </w:r>
      <w:r w:rsidR="00AE6275">
        <w:rPr>
          <w:rFonts w:cs="Tahoma"/>
          <w:color w:val="000000"/>
          <w:sz w:val="16"/>
          <w:szCs w:val="16"/>
        </w:rPr>
        <w:t xml:space="preserve"> = A</w:t>
      </w:r>
      <w:r w:rsidR="00B35494">
        <w:rPr>
          <w:rFonts w:cs="Tahoma"/>
          <w:color w:val="000000"/>
          <w:sz w:val="16"/>
          <w:szCs w:val="16"/>
        </w:rPr>
        <w:t>t screening and</w:t>
      </w:r>
      <w:r w:rsidR="006F6C3D">
        <w:rPr>
          <w:rFonts w:cs="Tahoma"/>
          <w:color w:val="000000"/>
          <w:sz w:val="16"/>
          <w:szCs w:val="16"/>
        </w:rPr>
        <w:t xml:space="preserve"> Day 1 of each cycle. Repeat ECGs </w:t>
      </w:r>
      <w:r w:rsidR="00AE6275">
        <w:rPr>
          <w:rFonts w:cs="Tahoma"/>
          <w:color w:val="000000"/>
          <w:sz w:val="16"/>
          <w:szCs w:val="16"/>
        </w:rPr>
        <w:t>where clinically indicated</w:t>
      </w:r>
      <w:r w:rsidR="00D6506C">
        <w:rPr>
          <w:rFonts w:cs="Tahoma"/>
          <w:color w:val="000000"/>
          <w:sz w:val="16"/>
          <w:szCs w:val="16"/>
          <w:lang w:val="en-GB"/>
        </w:rPr>
        <w:t xml:space="preserve">. </w:t>
      </w:r>
      <w:r w:rsidR="00D6506C" w:rsidRPr="00D6506C">
        <w:rPr>
          <w:rFonts w:cs="Tahoma"/>
          <w:color w:val="000000"/>
          <w:sz w:val="16"/>
          <w:szCs w:val="16"/>
          <w:lang w:val="en-GB"/>
        </w:rPr>
        <w:t>While the QTc prolongation is Grade 3 or higher, patients will have ECGs performed in triplicate</w:t>
      </w:r>
      <w:r w:rsidR="00B05B87">
        <w:rPr>
          <w:rFonts w:cs="Tahoma"/>
          <w:color w:val="000000"/>
          <w:sz w:val="16"/>
          <w:szCs w:val="16"/>
          <w:lang w:val="en-GB"/>
        </w:rPr>
        <w:t xml:space="preserve"> </w:t>
      </w:r>
      <w:r w:rsidR="00D6506C" w:rsidRPr="00D6506C">
        <w:rPr>
          <w:rFonts w:cs="Tahoma"/>
          <w:color w:val="000000"/>
          <w:sz w:val="16"/>
          <w:szCs w:val="16"/>
          <w:lang w:val="en-GB"/>
        </w:rPr>
        <w:t>until the QTc interval returns to baseline</w:t>
      </w:r>
      <w:r w:rsidR="00B05B87">
        <w:rPr>
          <w:rFonts w:cs="Tahoma"/>
          <w:color w:val="000000"/>
          <w:sz w:val="16"/>
          <w:szCs w:val="16"/>
          <w:lang w:val="en-GB"/>
        </w:rPr>
        <w:t xml:space="preserve"> </w:t>
      </w:r>
      <w:r w:rsidR="00B05B87" w:rsidRPr="00B05B87">
        <w:rPr>
          <w:rFonts w:cs="Tahoma"/>
          <w:color w:val="000000"/>
          <w:sz w:val="16"/>
          <w:szCs w:val="16"/>
        </w:rPr>
        <w:t xml:space="preserve">or </w:t>
      </w:r>
      <w:r w:rsidR="00B05B87">
        <w:rPr>
          <w:rFonts w:cs="Tahoma"/>
          <w:color w:val="000000"/>
          <w:sz w:val="16"/>
          <w:szCs w:val="16"/>
        </w:rPr>
        <w:t>≤</w:t>
      </w:r>
      <w:r w:rsidR="00B05B87" w:rsidRPr="00B05B87">
        <w:rPr>
          <w:rFonts w:cs="Tahoma"/>
          <w:color w:val="000000"/>
          <w:sz w:val="16"/>
          <w:szCs w:val="16"/>
        </w:rPr>
        <w:t>Grade 2</w:t>
      </w:r>
      <w:r w:rsidR="00B05B87">
        <w:rPr>
          <w:rFonts w:cs="Tahoma"/>
          <w:color w:val="000000"/>
          <w:sz w:val="16"/>
          <w:szCs w:val="16"/>
        </w:rPr>
        <w:t>.</w:t>
      </w:r>
      <w:r w:rsidR="00B05B87">
        <w:rPr>
          <w:rFonts w:cs="Tahoma"/>
          <w:color w:val="000000"/>
          <w:sz w:val="16"/>
          <w:szCs w:val="16"/>
          <w:lang w:val="en-GB"/>
        </w:rPr>
        <w:t xml:space="preserve"> </w:t>
      </w:r>
      <w:r w:rsidR="00D6506C" w:rsidRPr="00D6506C">
        <w:rPr>
          <w:rFonts w:cs="Tahoma"/>
          <w:color w:val="000000"/>
          <w:sz w:val="16"/>
          <w:szCs w:val="16"/>
          <w:lang w:val="en-GB"/>
        </w:rPr>
        <w:t>Please also refer to section 7.3.1 on QTc prolongation</w:t>
      </w:r>
      <w:r w:rsidR="00D6506C">
        <w:rPr>
          <w:rFonts w:cs="Tahoma"/>
          <w:color w:val="000000"/>
          <w:sz w:val="16"/>
          <w:szCs w:val="16"/>
          <w:lang w:val="en-GB"/>
        </w:rPr>
        <w:t>.</w:t>
      </w:r>
    </w:p>
    <w:p w14:paraId="405594DF" w14:textId="77777777" w:rsidR="00AE6275" w:rsidRPr="00BF16F9" w:rsidRDefault="00C1292A" w:rsidP="00DE184F">
      <w:pPr>
        <w:pStyle w:val="Header"/>
        <w:tabs>
          <w:tab w:val="clear" w:pos="4153"/>
          <w:tab w:val="clear" w:pos="8306"/>
        </w:tabs>
        <w:jc w:val="both"/>
        <w:rPr>
          <w:color w:val="000000"/>
          <w:sz w:val="16"/>
        </w:rPr>
      </w:pPr>
      <w:r>
        <w:rPr>
          <w:rFonts w:cs="Tahoma"/>
          <w:color w:val="000000"/>
          <w:sz w:val="16"/>
          <w:szCs w:val="16"/>
        </w:rPr>
        <w:t>g</w:t>
      </w:r>
      <w:r w:rsidRPr="005E2C7F">
        <w:rPr>
          <w:rFonts w:cs="Tahoma"/>
          <w:color w:val="000000"/>
          <w:sz w:val="16"/>
          <w:szCs w:val="16"/>
        </w:rPr>
        <w:t xml:space="preserve"> </w:t>
      </w:r>
      <w:r>
        <w:rPr>
          <w:rFonts w:cs="Tahoma"/>
          <w:color w:val="000000"/>
          <w:sz w:val="16"/>
          <w:szCs w:val="16"/>
        </w:rPr>
        <w:t>=</w:t>
      </w:r>
      <w:r w:rsidRPr="005E2C7F">
        <w:rPr>
          <w:rFonts w:cs="Tahoma"/>
          <w:color w:val="000000"/>
          <w:sz w:val="16"/>
          <w:szCs w:val="16"/>
        </w:rPr>
        <w:t xml:space="preserve"> After this, patients are managed according to usual local practi</w:t>
      </w:r>
      <w:r w:rsidR="00DE184F">
        <w:rPr>
          <w:rFonts w:cs="Tahoma"/>
          <w:color w:val="000000"/>
          <w:sz w:val="16"/>
          <w:szCs w:val="16"/>
        </w:rPr>
        <w:t>s</w:t>
      </w:r>
      <w:r w:rsidRPr="005E2C7F">
        <w:rPr>
          <w:rFonts w:cs="Tahoma"/>
          <w:color w:val="000000"/>
          <w:sz w:val="16"/>
          <w:szCs w:val="16"/>
        </w:rPr>
        <w:t>e</w:t>
      </w:r>
    </w:p>
    <w:p w14:paraId="2E3CFC30" w14:textId="77777777" w:rsidR="00DC4845" w:rsidRDefault="001A051C" w:rsidP="00DE184F">
      <w:pPr>
        <w:pStyle w:val="Header"/>
        <w:tabs>
          <w:tab w:val="clear" w:pos="4153"/>
          <w:tab w:val="clear" w:pos="8306"/>
        </w:tabs>
        <w:jc w:val="both"/>
        <w:rPr>
          <w:rFonts w:cs="Tahoma"/>
          <w:color w:val="000000"/>
          <w:sz w:val="16"/>
          <w:szCs w:val="16"/>
          <w:lang w:val="en-GB"/>
        </w:rPr>
      </w:pPr>
      <w:r>
        <w:rPr>
          <w:rFonts w:cs="Tahoma"/>
          <w:color w:val="000000"/>
          <w:sz w:val="16"/>
          <w:szCs w:val="16"/>
          <w:lang w:val="en-GB"/>
        </w:rPr>
        <w:t xml:space="preserve">h = </w:t>
      </w:r>
      <w:r w:rsidR="00DC4845">
        <w:rPr>
          <w:rFonts w:cs="Tahoma"/>
          <w:color w:val="000000"/>
          <w:sz w:val="16"/>
          <w:szCs w:val="16"/>
          <w:lang w:val="en-GB"/>
        </w:rPr>
        <w:t>ECG also performed approx. 24 hr (±2 hr) after ganetespib administration. If QTc prolonged &gt;500msec, post-infusion ECG should be done at 24 (±2hr) for all subsequent cycles</w:t>
      </w:r>
    </w:p>
    <w:p w14:paraId="74A39AB8" w14:textId="77777777" w:rsidR="001A051C" w:rsidRPr="00CB1D22" w:rsidRDefault="00DC4845" w:rsidP="00DE184F">
      <w:pPr>
        <w:pStyle w:val="Header"/>
        <w:tabs>
          <w:tab w:val="clear" w:pos="4153"/>
          <w:tab w:val="clear" w:pos="8306"/>
        </w:tabs>
        <w:jc w:val="both"/>
        <w:rPr>
          <w:rFonts w:ascii="Arial" w:hAnsi="Arial" w:cs="Arial"/>
          <w:b/>
          <w:kern w:val="32"/>
          <w:sz w:val="32"/>
          <w:szCs w:val="32"/>
          <w:lang w:val="en-GB"/>
        </w:rPr>
      </w:pPr>
      <w:proofErr w:type="spellStart"/>
      <w:r>
        <w:rPr>
          <w:rFonts w:cs="Tahoma"/>
          <w:color w:val="000000"/>
          <w:sz w:val="16"/>
          <w:szCs w:val="16"/>
          <w:lang w:val="en-GB"/>
        </w:rPr>
        <w:t>i</w:t>
      </w:r>
      <w:proofErr w:type="spellEnd"/>
      <w:r>
        <w:rPr>
          <w:rFonts w:cs="Tahoma"/>
          <w:color w:val="000000"/>
          <w:sz w:val="16"/>
          <w:szCs w:val="16"/>
          <w:lang w:val="en-GB"/>
        </w:rPr>
        <w:t xml:space="preserve"> = </w:t>
      </w:r>
      <w:r w:rsidR="001A051C">
        <w:rPr>
          <w:rFonts w:cs="Tahoma"/>
          <w:color w:val="000000"/>
          <w:sz w:val="16"/>
          <w:szCs w:val="16"/>
          <w:lang w:val="en-GB"/>
        </w:rPr>
        <w:t xml:space="preserve">Patients in cisplatin </w:t>
      </w:r>
      <w:r w:rsidR="00E034F7">
        <w:rPr>
          <w:rFonts w:cs="Tahoma"/>
          <w:color w:val="000000"/>
          <w:sz w:val="16"/>
          <w:szCs w:val="16"/>
          <w:lang w:val="en-GB"/>
        </w:rPr>
        <w:t xml:space="preserve">and carboplatin </w:t>
      </w:r>
      <w:r w:rsidR="001A051C">
        <w:rPr>
          <w:rFonts w:cs="Tahoma"/>
          <w:color w:val="000000"/>
          <w:sz w:val="16"/>
          <w:szCs w:val="16"/>
          <w:lang w:val="en-GB"/>
        </w:rPr>
        <w:t>cohort used to confirm MTD only</w:t>
      </w:r>
    </w:p>
    <w:p w14:paraId="43738A84" w14:textId="77777777" w:rsidR="00AE6275" w:rsidRDefault="00AE6275" w:rsidP="00AE6275">
      <w:pPr>
        <w:pStyle w:val="Header"/>
        <w:tabs>
          <w:tab w:val="clear" w:pos="4153"/>
          <w:tab w:val="clear" w:pos="8306"/>
        </w:tabs>
        <w:jc w:val="both"/>
        <w:rPr>
          <w:rFonts w:cs="Tahoma"/>
          <w:color w:val="000000"/>
          <w:sz w:val="16"/>
          <w:szCs w:val="16"/>
        </w:rPr>
      </w:pPr>
      <w:r>
        <w:rPr>
          <w:rFonts w:cs="Tahoma"/>
          <w:color w:val="000000"/>
          <w:sz w:val="16"/>
          <w:szCs w:val="16"/>
        </w:rPr>
        <w:t xml:space="preserve">  </w:t>
      </w:r>
    </w:p>
    <w:p w14:paraId="4295C597" w14:textId="77777777" w:rsidR="00AC0122" w:rsidRDefault="00AC0122" w:rsidP="00AC0122">
      <w:pPr>
        <w:tabs>
          <w:tab w:val="left" w:pos="1005"/>
        </w:tabs>
        <w:jc w:val="both"/>
        <w:rPr>
          <w:rFonts w:ascii="Arial" w:hAnsi="Arial" w:cs="Arial"/>
          <w:b/>
          <w:sz w:val="28"/>
          <w:szCs w:val="28"/>
        </w:rPr>
      </w:pPr>
    </w:p>
    <w:p w14:paraId="06CA1151" w14:textId="77777777" w:rsidR="00C81351" w:rsidRPr="00156EB6" w:rsidRDefault="00C81351" w:rsidP="00156EB6">
      <w:pPr>
        <w:pStyle w:val="AppendixHead"/>
        <w:spacing w:before="0" w:after="0"/>
        <w:jc w:val="left"/>
        <w:rPr>
          <w:bCs/>
          <w:sz w:val="28"/>
          <w:szCs w:val="28"/>
        </w:rPr>
      </w:pPr>
      <w:bookmarkStart w:id="1282" w:name="_Toc471826851"/>
      <w:bookmarkStart w:id="1283" w:name="_Toc528323618"/>
      <w:r w:rsidRPr="00156EB6">
        <w:rPr>
          <w:sz w:val="28"/>
          <w:szCs w:val="28"/>
        </w:rPr>
        <w:lastRenderedPageBreak/>
        <w:t xml:space="preserve">Appendix 3: </w:t>
      </w:r>
      <w:r w:rsidRPr="00156EB6">
        <w:rPr>
          <w:bCs/>
          <w:sz w:val="28"/>
          <w:szCs w:val="28"/>
        </w:rPr>
        <w:t xml:space="preserve">Schedule of Investigations – Phase II Trial. </w:t>
      </w:r>
      <w:r w:rsidRPr="00156EB6">
        <w:rPr>
          <w:sz w:val="28"/>
          <w:szCs w:val="28"/>
        </w:rPr>
        <w:t>Each chemotherapy cycle is 21 days (3 weeks)</w:t>
      </w:r>
      <w:bookmarkEnd w:id="1282"/>
      <w:bookmarkEnd w:id="1283"/>
    </w:p>
    <w:tbl>
      <w:tblPr>
        <w:tblpPr w:leftFromText="180" w:rightFromText="180" w:vertAnchor="text" w:horzAnchor="margin" w:tblpY="80"/>
        <w:tblW w:w="14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8"/>
        <w:gridCol w:w="1330"/>
        <w:gridCol w:w="1134"/>
        <w:gridCol w:w="1119"/>
        <w:gridCol w:w="980"/>
        <w:gridCol w:w="1078"/>
        <w:gridCol w:w="1134"/>
        <w:gridCol w:w="1218"/>
        <w:gridCol w:w="392"/>
        <w:gridCol w:w="1385"/>
        <w:gridCol w:w="1078"/>
        <w:gridCol w:w="1427"/>
      </w:tblGrid>
      <w:tr w:rsidR="00D272FB" w:rsidRPr="006A65A7" w14:paraId="7848AA94" w14:textId="77777777" w:rsidTr="0082685F">
        <w:trPr>
          <w:trHeight w:val="268"/>
        </w:trPr>
        <w:tc>
          <w:tcPr>
            <w:tcW w:w="2348" w:type="dxa"/>
            <w:vMerge w:val="restart"/>
            <w:tcBorders>
              <w:top w:val="single" w:sz="8" w:space="0" w:color="000000"/>
              <w:left w:val="single" w:sz="8" w:space="0" w:color="000000"/>
              <w:bottom w:val="single" w:sz="8" w:space="0" w:color="000000"/>
              <w:right w:val="single" w:sz="8" w:space="0" w:color="000000"/>
            </w:tcBorders>
            <w:vAlign w:val="center"/>
          </w:tcPr>
          <w:p w14:paraId="110713A4" w14:textId="77777777" w:rsidR="00AF48AD" w:rsidRPr="00912946" w:rsidRDefault="00AF48AD" w:rsidP="00CF1033">
            <w:pPr>
              <w:pStyle w:val="NoSpacing"/>
              <w:rPr>
                <w:rFonts w:ascii="Arial" w:hAnsi="Arial" w:cs="Arial"/>
                <w:b/>
                <w:sz w:val="18"/>
                <w:szCs w:val="18"/>
              </w:rPr>
            </w:pPr>
            <w:r w:rsidRPr="00912946">
              <w:rPr>
                <w:rFonts w:ascii="Arial" w:hAnsi="Arial" w:cs="Arial"/>
                <w:b/>
                <w:sz w:val="18"/>
                <w:szCs w:val="18"/>
              </w:rPr>
              <w:t>Assessment</w:t>
            </w:r>
          </w:p>
          <w:p w14:paraId="57892B6E" w14:textId="77777777" w:rsidR="00AF48AD" w:rsidRPr="00912946" w:rsidRDefault="00AF48AD" w:rsidP="00CF1033">
            <w:pPr>
              <w:rPr>
                <w:sz w:val="18"/>
                <w:szCs w:val="18"/>
              </w:rPr>
            </w:pPr>
          </w:p>
        </w:tc>
        <w:tc>
          <w:tcPr>
            <w:tcW w:w="1330" w:type="dxa"/>
            <w:vMerge w:val="restart"/>
            <w:tcBorders>
              <w:top w:val="single" w:sz="8" w:space="0" w:color="000000"/>
              <w:left w:val="single" w:sz="8" w:space="0" w:color="000000"/>
              <w:bottom w:val="single" w:sz="8" w:space="0" w:color="000000"/>
              <w:right w:val="single" w:sz="8" w:space="0" w:color="000000"/>
            </w:tcBorders>
            <w:vAlign w:val="center"/>
          </w:tcPr>
          <w:p w14:paraId="44540549" w14:textId="77777777" w:rsidR="00AF48AD" w:rsidRPr="00912946" w:rsidRDefault="00AF48AD" w:rsidP="00CF1033">
            <w:pPr>
              <w:pStyle w:val="NoSpacing"/>
              <w:jc w:val="center"/>
              <w:rPr>
                <w:rFonts w:ascii="Arial" w:hAnsi="Arial" w:cs="Arial"/>
                <w:b/>
                <w:color w:val="000000"/>
                <w:sz w:val="18"/>
                <w:szCs w:val="18"/>
              </w:rPr>
            </w:pPr>
            <w:r w:rsidRPr="00912946">
              <w:rPr>
                <w:rFonts w:ascii="Arial" w:hAnsi="Arial" w:cs="Arial"/>
                <w:b/>
                <w:color w:val="000000"/>
                <w:sz w:val="18"/>
                <w:szCs w:val="18"/>
              </w:rPr>
              <w:t xml:space="preserve">Screening </w:t>
            </w:r>
            <w:r w:rsidRPr="00912946">
              <w:rPr>
                <w:rFonts w:ascii="Arial" w:hAnsi="Arial" w:cs="Arial"/>
                <w:color w:val="000000"/>
                <w:sz w:val="18"/>
                <w:szCs w:val="18"/>
              </w:rPr>
              <w:t>(assessments within 7 days except CT)</w:t>
            </w:r>
          </w:p>
        </w:tc>
        <w:tc>
          <w:tcPr>
            <w:tcW w:w="6663" w:type="dxa"/>
            <w:gridSpan w:val="6"/>
            <w:tcBorders>
              <w:top w:val="single" w:sz="8" w:space="0" w:color="000000"/>
              <w:left w:val="single" w:sz="8" w:space="0" w:color="000000"/>
              <w:bottom w:val="single" w:sz="8" w:space="0" w:color="000000"/>
              <w:right w:val="single" w:sz="8" w:space="0" w:color="000000"/>
            </w:tcBorders>
            <w:vAlign w:val="center"/>
          </w:tcPr>
          <w:p w14:paraId="665B91B1" w14:textId="77777777" w:rsidR="00AF48AD" w:rsidRPr="00912946" w:rsidRDefault="00AF48AD" w:rsidP="003F3F8D">
            <w:pPr>
              <w:pStyle w:val="NoSpacing"/>
              <w:jc w:val="center"/>
              <w:rPr>
                <w:rFonts w:ascii="Arial" w:hAnsi="Arial" w:cs="Arial"/>
                <w:color w:val="000000"/>
                <w:sz w:val="18"/>
                <w:szCs w:val="18"/>
              </w:rPr>
            </w:pPr>
            <w:r w:rsidRPr="00912946">
              <w:rPr>
                <w:rFonts w:ascii="Arial" w:hAnsi="Arial" w:cs="Arial"/>
                <w:color w:val="000000"/>
                <w:sz w:val="18"/>
                <w:szCs w:val="18"/>
              </w:rPr>
              <w:t>Pre-Cycle = Prior to administration of ganetespib and chemotherapy</w:t>
            </w:r>
          </w:p>
        </w:tc>
        <w:tc>
          <w:tcPr>
            <w:tcW w:w="392" w:type="dxa"/>
            <w:vMerge w:val="restart"/>
            <w:tcBorders>
              <w:top w:val="single" w:sz="8" w:space="0" w:color="000000"/>
              <w:left w:val="single" w:sz="8" w:space="0" w:color="000000"/>
              <w:right w:val="single" w:sz="8" w:space="0" w:color="000000"/>
            </w:tcBorders>
          </w:tcPr>
          <w:p w14:paraId="61F11AC6" w14:textId="77777777" w:rsidR="00AF48AD" w:rsidRPr="00912946" w:rsidRDefault="00AF48AD" w:rsidP="00CF1033">
            <w:pPr>
              <w:pStyle w:val="NoSpacing"/>
              <w:jc w:val="center"/>
              <w:rPr>
                <w:rFonts w:ascii="Arial" w:hAnsi="Arial" w:cs="Arial"/>
                <w:b/>
                <w:color w:val="000000"/>
                <w:sz w:val="18"/>
                <w:szCs w:val="18"/>
              </w:rPr>
            </w:pPr>
          </w:p>
        </w:tc>
        <w:tc>
          <w:tcPr>
            <w:tcW w:w="1385" w:type="dxa"/>
            <w:vMerge w:val="restart"/>
            <w:tcBorders>
              <w:top w:val="single" w:sz="8" w:space="0" w:color="000000"/>
              <w:left w:val="single" w:sz="8" w:space="0" w:color="000000"/>
              <w:right w:val="single" w:sz="8" w:space="0" w:color="000000"/>
            </w:tcBorders>
          </w:tcPr>
          <w:p w14:paraId="799D1836" w14:textId="77777777" w:rsidR="00AF48AD" w:rsidRPr="00912946" w:rsidRDefault="00AF48AD" w:rsidP="0010579D">
            <w:pPr>
              <w:pStyle w:val="NoSpacing"/>
              <w:jc w:val="center"/>
              <w:rPr>
                <w:rFonts w:ascii="Arial" w:hAnsi="Arial" w:cs="Arial"/>
                <w:b/>
                <w:color w:val="000000"/>
                <w:sz w:val="18"/>
                <w:szCs w:val="18"/>
              </w:rPr>
            </w:pPr>
            <w:r w:rsidRPr="00912946">
              <w:rPr>
                <w:rFonts w:ascii="Arial" w:hAnsi="Arial" w:cs="Arial"/>
                <w:b/>
                <w:color w:val="000000"/>
                <w:sz w:val="18"/>
                <w:szCs w:val="18"/>
              </w:rPr>
              <w:t>Maintenance</w:t>
            </w:r>
          </w:p>
          <w:p w14:paraId="1AB6BA3E" w14:textId="77777777" w:rsidR="00AF48AD" w:rsidRPr="00912946" w:rsidRDefault="00AF48AD" w:rsidP="0010579D">
            <w:pPr>
              <w:pStyle w:val="NoSpacing"/>
              <w:jc w:val="center"/>
              <w:rPr>
                <w:rFonts w:ascii="Arial" w:hAnsi="Arial" w:cs="Arial"/>
                <w:b/>
                <w:color w:val="000000"/>
                <w:sz w:val="18"/>
                <w:szCs w:val="18"/>
              </w:rPr>
            </w:pPr>
            <w:r w:rsidRPr="00912946">
              <w:rPr>
                <w:rFonts w:ascii="Arial" w:hAnsi="Arial" w:cs="Arial"/>
                <w:b/>
                <w:color w:val="000000"/>
                <w:sz w:val="18"/>
                <w:szCs w:val="18"/>
              </w:rPr>
              <w:t>Ganetespib (21 day cycle)</w:t>
            </w:r>
          </w:p>
          <w:p w14:paraId="6F13A247" w14:textId="77777777" w:rsidR="00AF48AD" w:rsidRPr="00912946" w:rsidRDefault="00AF48AD" w:rsidP="0010579D">
            <w:pPr>
              <w:pStyle w:val="NoSpacing"/>
              <w:jc w:val="center"/>
              <w:rPr>
                <w:rFonts w:ascii="Arial" w:hAnsi="Arial" w:cs="Arial"/>
                <w:b/>
                <w:color w:val="000000"/>
                <w:sz w:val="18"/>
                <w:szCs w:val="18"/>
              </w:rPr>
            </w:pPr>
          </w:p>
        </w:tc>
        <w:tc>
          <w:tcPr>
            <w:tcW w:w="1078" w:type="dxa"/>
            <w:vMerge w:val="restart"/>
            <w:tcBorders>
              <w:top w:val="single" w:sz="8" w:space="0" w:color="000000"/>
              <w:left w:val="single" w:sz="8" w:space="0" w:color="000000"/>
              <w:bottom w:val="single" w:sz="8" w:space="0" w:color="000000"/>
              <w:right w:val="single" w:sz="8" w:space="0" w:color="000000"/>
            </w:tcBorders>
            <w:vAlign w:val="center"/>
          </w:tcPr>
          <w:p w14:paraId="5F45821D" w14:textId="77777777" w:rsidR="00AF48AD" w:rsidRDefault="00AF48AD" w:rsidP="0010579D">
            <w:pPr>
              <w:pStyle w:val="NoSpacing"/>
              <w:jc w:val="center"/>
              <w:rPr>
                <w:rFonts w:ascii="Arial" w:hAnsi="Arial" w:cs="Arial"/>
                <w:b/>
                <w:color w:val="000000"/>
                <w:sz w:val="18"/>
                <w:szCs w:val="18"/>
              </w:rPr>
            </w:pPr>
            <w:r w:rsidRPr="00912946">
              <w:rPr>
                <w:rFonts w:ascii="Arial" w:hAnsi="Arial" w:cs="Arial"/>
                <w:b/>
                <w:color w:val="000000"/>
                <w:sz w:val="18"/>
                <w:szCs w:val="18"/>
              </w:rPr>
              <w:t>Day 21 of last treatment cycle</w:t>
            </w:r>
          </w:p>
          <w:p w14:paraId="089D8A59" w14:textId="77777777" w:rsidR="0082685F" w:rsidRPr="00912946" w:rsidRDefault="0082685F" w:rsidP="0010579D">
            <w:pPr>
              <w:pStyle w:val="NoSpacing"/>
              <w:jc w:val="center"/>
              <w:rPr>
                <w:rFonts w:ascii="Arial" w:hAnsi="Arial" w:cs="Arial"/>
                <w:b/>
                <w:color w:val="000000"/>
                <w:sz w:val="18"/>
                <w:szCs w:val="18"/>
              </w:rPr>
            </w:pPr>
            <w:r w:rsidRPr="0082685F">
              <w:rPr>
                <w:rFonts w:ascii="Arial" w:hAnsi="Arial" w:cs="Arial"/>
                <w:color w:val="000000"/>
                <w:sz w:val="18"/>
                <w:szCs w:val="18"/>
              </w:rPr>
              <w:t>(±3 days)</w:t>
            </w:r>
          </w:p>
        </w:tc>
        <w:tc>
          <w:tcPr>
            <w:tcW w:w="1427" w:type="dxa"/>
            <w:vMerge w:val="restart"/>
            <w:tcBorders>
              <w:top w:val="single" w:sz="8" w:space="0" w:color="000000"/>
              <w:left w:val="single" w:sz="8" w:space="0" w:color="000000"/>
              <w:bottom w:val="single" w:sz="8" w:space="0" w:color="000000"/>
              <w:right w:val="single" w:sz="8" w:space="0" w:color="000000"/>
            </w:tcBorders>
          </w:tcPr>
          <w:p w14:paraId="1ED13CD2" w14:textId="77777777" w:rsidR="00AF48AD" w:rsidRDefault="00AF48AD" w:rsidP="003F3F8D">
            <w:pPr>
              <w:pStyle w:val="NoSpacing"/>
              <w:jc w:val="center"/>
              <w:rPr>
                <w:rFonts w:ascii="Arial" w:hAnsi="Arial" w:cs="Arial"/>
                <w:b/>
                <w:color w:val="000000"/>
                <w:sz w:val="18"/>
                <w:szCs w:val="18"/>
                <w:vertAlign w:val="superscript"/>
              </w:rPr>
            </w:pPr>
            <w:r w:rsidRPr="00912946">
              <w:rPr>
                <w:rFonts w:ascii="Arial" w:hAnsi="Arial" w:cs="Arial"/>
                <w:b/>
                <w:color w:val="000000"/>
                <w:sz w:val="18"/>
                <w:szCs w:val="18"/>
              </w:rPr>
              <w:t xml:space="preserve">Follow-up trial </w:t>
            </w:r>
            <w:proofErr w:type="spellStart"/>
            <w:r w:rsidRPr="00912946">
              <w:rPr>
                <w:rFonts w:ascii="Arial" w:hAnsi="Arial" w:cs="Arial"/>
                <w:b/>
                <w:color w:val="000000"/>
                <w:sz w:val="18"/>
                <w:szCs w:val="18"/>
              </w:rPr>
              <w:t>assessments</w:t>
            </w:r>
            <w:r w:rsidRPr="00912946">
              <w:rPr>
                <w:rFonts w:ascii="Arial" w:hAnsi="Arial" w:cs="Arial"/>
                <w:b/>
                <w:color w:val="000000"/>
                <w:sz w:val="18"/>
                <w:szCs w:val="18"/>
                <w:vertAlign w:val="superscript"/>
              </w:rPr>
              <w:t>h</w:t>
            </w:r>
            <w:proofErr w:type="spellEnd"/>
          </w:p>
          <w:p w14:paraId="5C16F883" w14:textId="77777777" w:rsidR="0082685F" w:rsidRPr="00912946" w:rsidRDefault="0082685F" w:rsidP="003F3F8D">
            <w:pPr>
              <w:pStyle w:val="NoSpacing"/>
              <w:jc w:val="center"/>
              <w:rPr>
                <w:rFonts w:ascii="Arial" w:hAnsi="Arial" w:cs="Arial"/>
                <w:b/>
                <w:color w:val="000000"/>
                <w:sz w:val="18"/>
                <w:szCs w:val="18"/>
              </w:rPr>
            </w:pPr>
            <w:r w:rsidRPr="0082685F">
              <w:rPr>
                <w:rFonts w:ascii="Arial" w:hAnsi="Arial" w:cs="Arial"/>
                <w:color w:val="000000"/>
                <w:sz w:val="18"/>
                <w:szCs w:val="18"/>
              </w:rPr>
              <w:t>(±</w:t>
            </w:r>
            <w:r>
              <w:rPr>
                <w:rFonts w:ascii="Arial" w:hAnsi="Arial" w:cs="Arial"/>
                <w:color w:val="000000"/>
                <w:sz w:val="18"/>
                <w:szCs w:val="18"/>
              </w:rPr>
              <w:t>7</w:t>
            </w:r>
            <w:r w:rsidRPr="0082685F">
              <w:rPr>
                <w:rFonts w:ascii="Arial" w:hAnsi="Arial" w:cs="Arial"/>
                <w:color w:val="000000"/>
                <w:sz w:val="18"/>
                <w:szCs w:val="18"/>
              </w:rPr>
              <w:t xml:space="preserve"> days)</w:t>
            </w:r>
          </w:p>
        </w:tc>
      </w:tr>
      <w:tr w:rsidR="00D272FB" w:rsidRPr="006A65A7" w14:paraId="222E853E" w14:textId="77777777" w:rsidTr="0082685F">
        <w:trPr>
          <w:trHeight w:val="577"/>
        </w:trPr>
        <w:tc>
          <w:tcPr>
            <w:tcW w:w="2348" w:type="dxa"/>
            <w:vMerge/>
            <w:tcBorders>
              <w:top w:val="single" w:sz="8" w:space="0" w:color="000000"/>
              <w:bottom w:val="single" w:sz="12" w:space="0" w:color="000000"/>
            </w:tcBorders>
            <w:vAlign w:val="center"/>
          </w:tcPr>
          <w:p w14:paraId="16C4ECAD" w14:textId="77777777" w:rsidR="00AF48AD" w:rsidRPr="00912946" w:rsidRDefault="00AF48AD" w:rsidP="00CF1033">
            <w:pPr>
              <w:pStyle w:val="NoSpacing"/>
              <w:rPr>
                <w:rFonts w:ascii="Arial" w:hAnsi="Arial" w:cs="Arial"/>
                <w:sz w:val="18"/>
                <w:szCs w:val="18"/>
              </w:rPr>
            </w:pPr>
          </w:p>
        </w:tc>
        <w:tc>
          <w:tcPr>
            <w:tcW w:w="1330" w:type="dxa"/>
            <w:vMerge/>
            <w:tcBorders>
              <w:top w:val="single" w:sz="8" w:space="0" w:color="000000"/>
              <w:bottom w:val="single" w:sz="12" w:space="0" w:color="000000"/>
            </w:tcBorders>
          </w:tcPr>
          <w:p w14:paraId="1BB85489" w14:textId="77777777" w:rsidR="00AF48AD" w:rsidRPr="00912946" w:rsidRDefault="00AF48AD" w:rsidP="00CF1033">
            <w:pPr>
              <w:pStyle w:val="NoSpacing"/>
              <w:jc w:val="center"/>
              <w:rPr>
                <w:rFonts w:ascii="Arial" w:hAnsi="Arial" w:cs="Arial"/>
                <w:color w:val="000000"/>
                <w:sz w:val="18"/>
                <w:szCs w:val="18"/>
              </w:rPr>
            </w:pPr>
          </w:p>
        </w:tc>
        <w:tc>
          <w:tcPr>
            <w:tcW w:w="1134" w:type="dxa"/>
            <w:tcBorders>
              <w:top w:val="single" w:sz="8" w:space="0" w:color="000000"/>
              <w:bottom w:val="single" w:sz="12" w:space="0" w:color="000000"/>
            </w:tcBorders>
          </w:tcPr>
          <w:p w14:paraId="098FBB47" w14:textId="77777777" w:rsidR="00AF48AD" w:rsidRPr="00912946" w:rsidRDefault="00AF48AD" w:rsidP="00CF1033">
            <w:pPr>
              <w:pStyle w:val="NoSpacing"/>
              <w:jc w:val="center"/>
              <w:rPr>
                <w:rFonts w:ascii="Arial" w:hAnsi="Arial" w:cs="Arial"/>
                <w:b/>
                <w:color w:val="000000"/>
                <w:sz w:val="18"/>
                <w:szCs w:val="18"/>
              </w:rPr>
            </w:pPr>
            <w:r w:rsidRPr="00912946">
              <w:rPr>
                <w:rFonts w:ascii="Arial" w:hAnsi="Arial" w:cs="Arial"/>
                <w:b/>
                <w:color w:val="000000"/>
                <w:sz w:val="18"/>
                <w:szCs w:val="18"/>
              </w:rPr>
              <w:t>Pre - Cycle 1</w:t>
            </w:r>
          </w:p>
        </w:tc>
        <w:tc>
          <w:tcPr>
            <w:tcW w:w="1119" w:type="dxa"/>
            <w:tcBorders>
              <w:top w:val="single" w:sz="8" w:space="0" w:color="000000"/>
              <w:bottom w:val="single" w:sz="12" w:space="0" w:color="000000"/>
            </w:tcBorders>
          </w:tcPr>
          <w:p w14:paraId="6A104C69" w14:textId="77777777" w:rsidR="00AF48AD" w:rsidRPr="00912946" w:rsidRDefault="00AF48AD" w:rsidP="00CF1033">
            <w:pPr>
              <w:pStyle w:val="NoSpacing"/>
              <w:jc w:val="center"/>
              <w:rPr>
                <w:rFonts w:ascii="Arial" w:hAnsi="Arial" w:cs="Arial"/>
                <w:b/>
                <w:color w:val="000000"/>
                <w:sz w:val="18"/>
                <w:szCs w:val="18"/>
              </w:rPr>
            </w:pPr>
            <w:r w:rsidRPr="00912946">
              <w:rPr>
                <w:rFonts w:ascii="Arial" w:hAnsi="Arial" w:cs="Arial"/>
                <w:b/>
                <w:color w:val="000000"/>
                <w:sz w:val="18"/>
                <w:szCs w:val="18"/>
              </w:rPr>
              <w:t>Pre - Cycle 2</w:t>
            </w:r>
          </w:p>
        </w:tc>
        <w:tc>
          <w:tcPr>
            <w:tcW w:w="980" w:type="dxa"/>
            <w:tcBorders>
              <w:top w:val="single" w:sz="8" w:space="0" w:color="000000"/>
              <w:bottom w:val="single" w:sz="12" w:space="0" w:color="000000"/>
            </w:tcBorders>
          </w:tcPr>
          <w:p w14:paraId="0E504C23" w14:textId="77777777" w:rsidR="00AF48AD" w:rsidRPr="00912946" w:rsidRDefault="00AF48AD" w:rsidP="00CF1033">
            <w:pPr>
              <w:pStyle w:val="NoSpacing"/>
              <w:jc w:val="center"/>
              <w:rPr>
                <w:rFonts w:ascii="Arial" w:hAnsi="Arial" w:cs="Arial"/>
                <w:b/>
                <w:color w:val="000000"/>
                <w:sz w:val="18"/>
                <w:szCs w:val="18"/>
              </w:rPr>
            </w:pPr>
            <w:r w:rsidRPr="00912946">
              <w:rPr>
                <w:rFonts w:ascii="Arial" w:hAnsi="Arial" w:cs="Arial"/>
                <w:b/>
                <w:color w:val="000000"/>
                <w:sz w:val="18"/>
                <w:szCs w:val="18"/>
              </w:rPr>
              <w:t>Pre - Cycle 3</w:t>
            </w:r>
          </w:p>
        </w:tc>
        <w:tc>
          <w:tcPr>
            <w:tcW w:w="1078" w:type="dxa"/>
            <w:tcBorders>
              <w:top w:val="single" w:sz="8" w:space="0" w:color="000000"/>
              <w:bottom w:val="single" w:sz="12" w:space="0" w:color="000000"/>
            </w:tcBorders>
          </w:tcPr>
          <w:p w14:paraId="39859516" w14:textId="77777777" w:rsidR="00AF48AD" w:rsidRPr="00912946" w:rsidRDefault="00AF48AD" w:rsidP="00CF1033">
            <w:pPr>
              <w:pStyle w:val="NoSpacing"/>
              <w:jc w:val="center"/>
              <w:rPr>
                <w:rFonts w:ascii="Arial" w:hAnsi="Arial" w:cs="Arial"/>
                <w:b/>
                <w:color w:val="000000"/>
                <w:sz w:val="18"/>
                <w:szCs w:val="18"/>
              </w:rPr>
            </w:pPr>
            <w:r w:rsidRPr="00912946">
              <w:rPr>
                <w:rFonts w:ascii="Arial" w:hAnsi="Arial" w:cs="Arial"/>
                <w:b/>
                <w:color w:val="000000"/>
                <w:sz w:val="18"/>
                <w:szCs w:val="18"/>
              </w:rPr>
              <w:t>Pre - Cycle 4</w:t>
            </w:r>
          </w:p>
        </w:tc>
        <w:tc>
          <w:tcPr>
            <w:tcW w:w="1134" w:type="dxa"/>
            <w:tcBorders>
              <w:top w:val="single" w:sz="8" w:space="0" w:color="000000"/>
              <w:bottom w:val="single" w:sz="12" w:space="0" w:color="000000"/>
            </w:tcBorders>
          </w:tcPr>
          <w:p w14:paraId="54B53393" w14:textId="77777777" w:rsidR="00AF48AD" w:rsidRPr="00912946" w:rsidRDefault="00AF48AD" w:rsidP="00CF1033">
            <w:pPr>
              <w:pStyle w:val="NoSpacing"/>
              <w:jc w:val="center"/>
              <w:rPr>
                <w:rFonts w:ascii="Arial" w:hAnsi="Arial" w:cs="Arial"/>
                <w:b/>
                <w:color w:val="000000"/>
                <w:sz w:val="18"/>
                <w:szCs w:val="18"/>
              </w:rPr>
            </w:pPr>
            <w:r w:rsidRPr="00912946">
              <w:rPr>
                <w:rFonts w:ascii="Arial" w:hAnsi="Arial" w:cs="Arial"/>
                <w:b/>
                <w:color w:val="000000"/>
                <w:sz w:val="18"/>
                <w:szCs w:val="18"/>
              </w:rPr>
              <w:t>Pre - Cycle 5</w:t>
            </w:r>
          </w:p>
        </w:tc>
        <w:tc>
          <w:tcPr>
            <w:tcW w:w="1218" w:type="dxa"/>
            <w:tcBorders>
              <w:top w:val="single" w:sz="8" w:space="0" w:color="000000"/>
              <w:bottom w:val="single" w:sz="12" w:space="0" w:color="000000"/>
              <w:right w:val="single" w:sz="8" w:space="0" w:color="000000"/>
            </w:tcBorders>
          </w:tcPr>
          <w:p w14:paraId="46886C4A" w14:textId="77777777" w:rsidR="00AF48AD" w:rsidRPr="00912946" w:rsidRDefault="00AF48AD" w:rsidP="00CF1033">
            <w:pPr>
              <w:pStyle w:val="NoSpacing"/>
              <w:jc w:val="center"/>
              <w:rPr>
                <w:rFonts w:ascii="Arial" w:hAnsi="Arial" w:cs="Arial"/>
                <w:b/>
                <w:color w:val="000000"/>
                <w:sz w:val="18"/>
                <w:szCs w:val="18"/>
              </w:rPr>
            </w:pPr>
            <w:r w:rsidRPr="00912946">
              <w:rPr>
                <w:rFonts w:ascii="Arial" w:hAnsi="Arial" w:cs="Arial"/>
                <w:b/>
                <w:color w:val="000000"/>
                <w:sz w:val="18"/>
                <w:szCs w:val="18"/>
              </w:rPr>
              <w:t>Pre - Cycle 6</w:t>
            </w:r>
          </w:p>
        </w:tc>
        <w:tc>
          <w:tcPr>
            <w:tcW w:w="392" w:type="dxa"/>
            <w:vMerge/>
            <w:tcBorders>
              <w:left w:val="single" w:sz="8" w:space="0" w:color="000000"/>
              <w:bottom w:val="single" w:sz="12" w:space="0" w:color="000000"/>
              <w:right w:val="single" w:sz="8" w:space="0" w:color="000000"/>
            </w:tcBorders>
          </w:tcPr>
          <w:p w14:paraId="7AAF1D35" w14:textId="77777777" w:rsidR="00AF48AD" w:rsidRPr="00912946" w:rsidRDefault="00AF48AD" w:rsidP="00CF1033">
            <w:pPr>
              <w:pStyle w:val="NoSpacing"/>
              <w:jc w:val="center"/>
              <w:rPr>
                <w:rFonts w:ascii="Arial" w:hAnsi="Arial" w:cs="Arial"/>
                <w:color w:val="000000"/>
                <w:sz w:val="18"/>
                <w:szCs w:val="18"/>
              </w:rPr>
            </w:pPr>
          </w:p>
        </w:tc>
        <w:tc>
          <w:tcPr>
            <w:tcW w:w="1385" w:type="dxa"/>
            <w:vMerge/>
            <w:tcBorders>
              <w:left w:val="single" w:sz="8" w:space="0" w:color="000000"/>
              <w:bottom w:val="single" w:sz="12" w:space="0" w:color="000000"/>
              <w:right w:val="single" w:sz="8" w:space="0" w:color="000000"/>
            </w:tcBorders>
          </w:tcPr>
          <w:p w14:paraId="2B0081A7" w14:textId="77777777" w:rsidR="00AF48AD" w:rsidRPr="00912946" w:rsidRDefault="00AF48AD" w:rsidP="00CF1033">
            <w:pPr>
              <w:pStyle w:val="NoSpacing"/>
              <w:jc w:val="center"/>
              <w:rPr>
                <w:rFonts w:ascii="Arial" w:hAnsi="Arial" w:cs="Arial"/>
                <w:color w:val="000000"/>
                <w:sz w:val="18"/>
                <w:szCs w:val="18"/>
              </w:rPr>
            </w:pPr>
          </w:p>
        </w:tc>
        <w:tc>
          <w:tcPr>
            <w:tcW w:w="1078" w:type="dxa"/>
            <w:vMerge/>
            <w:tcBorders>
              <w:top w:val="single" w:sz="8" w:space="0" w:color="000000"/>
              <w:left w:val="single" w:sz="8" w:space="0" w:color="000000"/>
              <w:bottom w:val="single" w:sz="12" w:space="0" w:color="000000"/>
            </w:tcBorders>
          </w:tcPr>
          <w:p w14:paraId="4D7A9FD6" w14:textId="77777777" w:rsidR="00AF48AD" w:rsidRPr="00912946" w:rsidRDefault="00AF48AD" w:rsidP="00CF1033">
            <w:pPr>
              <w:pStyle w:val="NoSpacing"/>
              <w:jc w:val="center"/>
              <w:rPr>
                <w:rFonts w:ascii="Arial" w:hAnsi="Arial" w:cs="Arial"/>
                <w:color w:val="000000"/>
                <w:sz w:val="18"/>
                <w:szCs w:val="18"/>
              </w:rPr>
            </w:pPr>
          </w:p>
        </w:tc>
        <w:tc>
          <w:tcPr>
            <w:tcW w:w="1427" w:type="dxa"/>
            <w:vMerge/>
            <w:tcBorders>
              <w:top w:val="single" w:sz="8" w:space="0" w:color="000000"/>
              <w:bottom w:val="single" w:sz="12" w:space="0" w:color="000000"/>
            </w:tcBorders>
          </w:tcPr>
          <w:p w14:paraId="7452A91C" w14:textId="77777777" w:rsidR="00AF48AD" w:rsidRPr="00912946" w:rsidRDefault="00AF48AD" w:rsidP="00CF1033">
            <w:pPr>
              <w:pStyle w:val="NoSpacing"/>
              <w:jc w:val="center"/>
              <w:rPr>
                <w:rFonts w:ascii="Arial" w:hAnsi="Arial" w:cs="Arial"/>
                <w:color w:val="000000"/>
                <w:sz w:val="18"/>
                <w:szCs w:val="18"/>
              </w:rPr>
            </w:pPr>
          </w:p>
        </w:tc>
      </w:tr>
      <w:tr w:rsidR="00D272FB" w:rsidRPr="006A65A7" w14:paraId="5365A5FE" w14:textId="77777777" w:rsidTr="0082685F">
        <w:tc>
          <w:tcPr>
            <w:tcW w:w="2348" w:type="dxa"/>
            <w:tcBorders>
              <w:top w:val="single" w:sz="12" w:space="0" w:color="000000"/>
            </w:tcBorders>
            <w:vAlign w:val="center"/>
          </w:tcPr>
          <w:p w14:paraId="6DBA6EEB"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Informed consent</w:t>
            </w:r>
          </w:p>
        </w:tc>
        <w:tc>
          <w:tcPr>
            <w:tcW w:w="1330" w:type="dxa"/>
            <w:tcBorders>
              <w:top w:val="single" w:sz="12" w:space="0" w:color="000000"/>
            </w:tcBorders>
            <w:vAlign w:val="center"/>
          </w:tcPr>
          <w:p w14:paraId="243E0D95"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tcBorders>
              <w:top w:val="single" w:sz="12" w:space="0" w:color="000000"/>
            </w:tcBorders>
            <w:vAlign w:val="center"/>
          </w:tcPr>
          <w:p w14:paraId="7B9BC94B" w14:textId="77777777" w:rsidR="00AF48AD" w:rsidRPr="00912946" w:rsidRDefault="00AF48AD" w:rsidP="0010579D">
            <w:pPr>
              <w:pStyle w:val="NoSpacing"/>
              <w:jc w:val="center"/>
              <w:rPr>
                <w:rFonts w:ascii="Arial" w:hAnsi="Arial" w:cs="Arial"/>
                <w:color w:val="000000"/>
                <w:sz w:val="18"/>
                <w:szCs w:val="18"/>
              </w:rPr>
            </w:pPr>
          </w:p>
        </w:tc>
        <w:tc>
          <w:tcPr>
            <w:tcW w:w="1119" w:type="dxa"/>
            <w:tcBorders>
              <w:top w:val="single" w:sz="12" w:space="0" w:color="000000"/>
            </w:tcBorders>
            <w:vAlign w:val="center"/>
          </w:tcPr>
          <w:p w14:paraId="22863CFB" w14:textId="77777777" w:rsidR="00AF48AD" w:rsidRPr="00912946" w:rsidRDefault="00AF48AD" w:rsidP="0010579D">
            <w:pPr>
              <w:pStyle w:val="NoSpacing"/>
              <w:jc w:val="center"/>
              <w:rPr>
                <w:rFonts w:ascii="Arial" w:hAnsi="Arial" w:cs="Arial"/>
                <w:color w:val="000000"/>
                <w:sz w:val="18"/>
                <w:szCs w:val="18"/>
              </w:rPr>
            </w:pPr>
          </w:p>
        </w:tc>
        <w:tc>
          <w:tcPr>
            <w:tcW w:w="980" w:type="dxa"/>
            <w:tcBorders>
              <w:top w:val="single" w:sz="12" w:space="0" w:color="000000"/>
            </w:tcBorders>
            <w:vAlign w:val="center"/>
          </w:tcPr>
          <w:p w14:paraId="12DE310B" w14:textId="77777777" w:rsidR="00AF48AD" w:rsidRPr="00912946" w:rsidRDefault="00AF48AD" w:rsidP="0010579D">
            <w:pPr>
              <w:pStyle w:val="NoSpacing"/>
              <w:jc w:val="center"/>
              <w:rPr>
                <w:rFonts w:ascii="Arial" w:hAnsi="Arial" w:cs="Arial"/>
                <w:color w:val="000000"/>
                <w:sz w:val="18"/>
                <w:szCs w:val="18"/>
              </w:rPr>
            </w:pPr>
          </w:p>
        </w:tc>
        <w:tc>
          <w:tcPr>
            <w:tcW w:w="1078" w:type="dxa"/>
            <w:tcBorders>
              <w:top w:val="single" w:sz="12" w:space="0" w:color="000000"/>
            </w:tcBorders>
            <w:vAlign w:val="center"/>
          </w:tcPr>
          <w:p w14:paraId="710C2DE3" w14:textId="77777777" w:rsidR="00AF48AD" w:rsidRPr="00912946" w:rsidRDefault="00AF48AD" w:rsidP="0010579D">
            <w:pPr>
              <w:pStyle w:val="NoSpacing"/>
              <w:jc w:val="center"/>
              <w:rPr>
                <w:rFonts w:ascii="Arial" w:hAnsi="Arial" w:cs="Arial"/>
                <w:color w:val="000000"/>
                <w:sz w:val="18"/>
                <w:szCs w:val="18"/>
              </w:rPr>
            </w:pPr>
          </w:p>
        </w:tc>
        <w:tc>
          <w:tcPr>
            <w:tcW w:w="1134" w:type="dxa"/>
            <w:tcBorders>
              <w:top w:val="single" w:sz="12" w:space="0" w:color="000000"/>
            </w:tcBorders>
            <w:vAlign w:val="center"/>
          </w:tcPr>
          <w:p w14:paraId="7B4954D3" w14:textId="77777777" w:rsidR="00AF48AD" w:rsidRPr="00912946" w:rsidRDefault="00AF48AD" w:rsidP="0010579D">
            <w:pPr>
              <w:pStyle w:val="NoSpacing"/>
              <w:jc w:val="center"/>
              <w:rPr>
                <w:rFonts w:ascii="Arial" w:hAnsi="Arial" w:cs="Arial"/>
                <w:color w:val="000000"/>
                <w:sz w:val="18"/>
                <w:szCs w:val="18"/>
              </w:rPr>
            </w:pPr>
          </w:p>
        </w:tc>
        <w:tc>
          <w:tcPr>
            <w:tcW w:w="1218" w:type="dxa"/>
            <w:tcBorders>
              <w:top w:val="single" w:sz="12" w:space="0" w:color="000000"/>
            </w:tcBorders>
            <w:vAlign w:val="center"/>
          </w:tcPr>
          <w:p w14:paraId="47480A21" w14:textId="77777777" w:rsidR="00AF48AD" w:rsidRPr="00912946" w:rsidRDefault="00AF48AD" w:rsidP="0010579D">
            <w:pPr>
              <w:pStyle w:val="NoSpacing"/>
              <w:jc w:val="center"/>
              <w:rPr>
                <w:rFonts w:ascii="Arial" w:hAnsi="Arial" w:cs="Arial"/>
                <w:color w:val="000000"/>
                <w:sz w:val="18"/>
                <w:szCs w:val="18"/>
              </w:rPr>
            </w:pPr>
          </w:p>
        </w:tc>
        <w:tc>
          <w:tcPr>
            <w:tcW w:w="392" w:type="dxa"/>
            <w:vMerge w:val="restart"/>
            <w:tcBorders>
              <w:top w:val="single" w:sz="12" w:space="0" w:color="000000"/>
            </w:tcBorders>
            <w:textDirection w:val="btLr"/>
            <w:vAlign w:val="center"/>
          </w:tcPr>
          <w:p w14:paraId="31B967FC" w14:textId="77777777" w:rsidR="00AF48AD" w:rsidRPr="00912946" w:rsidRDefault="00AF48AD" w:rsidP="00D272FB">
            <w:pPr>
              <w:pStyle w:val="NoSpacing"/>
              <w:jc w:val="center"/>
              <w:rPr>
                <w:rFonts w:ascii="Arial" w:hAnsi="Arial" w:cs="Arial"/>
                <w:color w:val="000000"/>
                <w:sz w:val="18"/>
                <w:szCs w:val="18"/>
              </w:rPr>
            </w:pPr>
            <w:r w:rsidRPr="00912946">
              <w:rPr>
                <w:rFonts w:ascii="Arial" w:hAnsi="Arial" w:cs="Arial"/>
                <w:color w:val="000000"/>
                <w:sz w:val="18"/>
                <w:szCs w:val="18"/>
              </w:rPr>
              <w:t>Maintenance ganetespib (if appropriate)</w:t>
            </w:r>
          </w:p>
        </w:tc>
        <w:tc>
          <w:tcPr>
            <w:tcW w:w="1385" w:type="dxa"/>
            <w:tcBorders>
              <w:top w:val="single" w:sz="12" w:space="0" w:color="000000"/>
            </w:tcBorders>
          </w:tcPr>
          <w:p w14:paraId="30D6F9C7" w14:textId="77777777" w:rsidR="00AF48AD" w:rsidRPr="00912946" w:rsidRDefault="00AF48AD" w:rsidP="0010579D">
            <w:pPr>
              <w:pStyle w:val="NoSpacing"/>
              <w:jc w:val="center"/>
              <w:rPr>
                <w:rFonts w:ascii="Arial" w:hAnsi="Arial" w:cs="Arial"/>
                <w:color w:val="000000"/>
                <w:sz w:val="18"/>
                <w:szCs w:val="18"/>
              </w:rPr>
            </w:pPr>
          </w:p>
        </w:tc>
        <w:tc>
          <w:tcPr>
            <w:tcW w:w="1078" w:type="dxa"/>
            <w:tcBorders>
              <w:top w:val="single" w:sz="12" w:space="0" w:color="000000"/>
            </w:tcBorders>
            <w:vAlign w:val="center"/>
          </w:tcPr>
          <w:p w14:paraId="423908DB" w14:textId="77777777" w:rsidR="00AF48AD" w:rsidRPr="00912946" w:rsidRDefault="00AF48AD" w:rsidP="0010579D">
            <w:pPr>
              <w:pStyle w:val="NoSpacing"/>
              <w:jc w:val="center"/>
              <w:rPr>
                <w:rFonts w:ascii="Arial" w:hAnsi="Arial" w:cs="Arial"/>
                <w:color w:val="000000"/>
                <w:sz w:val="18"/>
                <w:szCs w:val="18"/>
              </w:rPr>
            </w:pPr>
          </w:p>
        </w:tc>
        <w:tc>
          <w:tcPr>
            <w:tcW w:w="1427" w:type="dxa"/>
            <w:tcBorders>
              <w:top w:val="single" w:sz="12" w:space="0" w:color="000000"/>
            </w:tcBorders>
            <w:vAlign w:val="center"/>
          </w:tcPr>
          <w:p w14:paraId="211590ED" w14:textId="77777777" w:rsidR="00AF48AD" w:rsidRPr="00912946" w:rsidRDefault="00AF48AD" w:rsidP="0010579D">
            <w:pPr>
              <w:pStyle w:val="NoSpacing"/>
              <w:jc w:val="center"/>
              <w:rPr>
                <w:rFonts w:ascii="Arial" w:hAnsi="Arial" w:cs="Arial"/>
                <w:color w:val="000000"/>
                <w:sz w:val="18"/>
                <w:szCs w:val="18"/>
              </w:rPr>
            </w:pPr>
          </w:p>
        </w:tc>
      </w:tr>
      <w:tr w:rsidR="00D272FB" w:rsidRPr="006A65A7" w14:paraId="2B9939F6" w14:textId="77777777" w:rsidTr="0082685F">
        <w:tc>
          <w:tcPr>
            <w:tcW w:w="2348" w:type="dxa"/>
            <w:vAlign w:val="center"/>
          </w:tcPr>
          <w:p w14:paraId="7D9DEF90"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Medical history and concomitant medication check</w:t>
            </w:r>
          </w:p>
        </w:tc>
        <w:tc>
          <w:tcPr>
            <w:tcW w:w="1330" w:type="dxa"/>
            <w:vAlign w:val="center"/>
          </w:tcPr>
          <w:p w14:paraId="2EFC75E7"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2643EBDF" w14:textId="77777777" w:rsidR="00AF48AD" w:rsidRPr="00912946" w:rsidRDefault="00AF48AD" w:rsidP="0010579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119" w:type="dxa"/>
            <w:vAlign w:val="center"/>
          </w:tcPr>
          <w:p w14:paraId="16BC9265" w14:textId="77777777" w:rsidR="00AF48AD" w:rsidRPr="00912946" w:rsidRDefault="00AF48AD" w:rsidP="0010579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980" w:type="dxa"/>
            <w:vAlign w:val="center"/>
          </w:tcPr>
          <w:p w14:paraId="5B48F200" w14:textId="77777777" w:rsidR="00AF48AD" w:rsidRPr="00912946" w:rsidRDefault="00AF48AD" w:rsidP="0010579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078" w:type="dxa"/>
            <w:vAlign w:val="center"/>
          </w:tcPr>
          <w:p w14:paraId="1878C484" w14:textId="77777777" w:rsidR="00AF48AD" w:rsidRPr="00912946" w:rsidRDefault="00AF48AD" w:rsidP="0010579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134" w:type="dxa"/>
            <w:vAlign w:val="center"/>
          </w:tcPr>
          <w:p w14:paraId="6C17BF9C" w14:textId="77777777" w:rsidR="00AF48AD" w:rsidRPr="00912946" w:rsidRDefault="00AF48AD" w:rsidP="0010579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218" w:type="dxa"/>
            <w:vAlign w:val="center"/>
          </w:tcPr>
          <w:p w14:paraId="661EC4B2" w14:textId="77777777" w:rsidR="00AF48AD" w:rsidRPr="00912946" w:rsidRDefault="00AF48AD" w:rsidP="0010579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392" w:type="dxa"/>
            <w:vMerge/>
          </w:tcPr>
          <w:p w14:paraId="456CD8C6"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7BC50449" w14:textId="77777777" w:rsidR="00AF48AD" w:rsidRPr="00912946" w:rsidRDefault="00AF48AD" w:rsidP="00D272FB">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504254FC" w14:textId="77777777" w:rsidR="00AF48AD" w:rsidRPr="00912946" w:rsidRDefault="00AF48AD" w:rsidP="0010579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c>
          <w:tcPr>
            <w:tcW w:w="1427" w:type="dxa"/>
            <w:vAlign w:val="center"/>
          </w:tcPr>
          <w:p w14:paraId="1BC33A1D" w14:textId="77777777" w:rsidR="00AF48AD" w:rsidRPr="00912946" w:rsidRDefault="00AF48AD" w:rsidP="0010579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a</w:t>
            </w:r>
            <w:proofErr w:type="spellEnd"/>
          </w:p>
        </w:tc>
      </w:tr>
      <w:tr w:rsidR="00D272FB" w:rsidRPr="006A65A7" w14:paraId="07E34F92" w14:textId="77777777" w:rsidTr="0082685F">
        <w:tc>
          <w:tcPr>
            <w:tcW w:w="2348" w:type="dxa"/>
            <w:vAlign w:val="center"/>
          </w:tcPr>
          <w:p w14:paraId="30515A86"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Clinical/physical examination (including height and weight)</w:t>
            </w:r>
          </w:p>
        </w:tc>
        <w:tc>
          <w:tcPr>
            <w:tcW w:w="1330" w:type="dxa"/>
            <w:vAlign w:val="center"/>
          </w:tcPr>
          <w:p w14:paraId="3C0A9D72"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7E47054A"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05A2D0C9"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52306DE2"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26F46027"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081984F9"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560EFEE6"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1855B179"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2A86225C" w14:textId="77777777" w:rsidR="00AF48AD" w:rsidRPr="00912946" w:rsidRDefault="00D272FB" w:rsidP="00D272FB">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76E0EE1F"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27" w:type="dxa"/>
            <w:vAlign w:val="center"/>
          </w:tcPr>
          <w:p w14:paraId="2E1C1F23"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D272FB" w:rsidRPr="006A65A7" w14:paraId="249577E7" w14:textId="77777777" w:rsidTr="0082685F">
        <w:tc>
          <w:tcPr>
            <w:tcW w:w="2348" w:type="dxa"/>
            <w:vAlign w:val="center"/>
          </w:tcPr>
          <w:p w14:paraId="36703CF3"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ECOG performance status</w:t>
            </w:r>
          </w:p>
        </w:tc>
        <w:tc>
          <w:tcPr>
            <w:tcW w:w="1330" w:type="dxa"/>
            <w:vAlign w:val="center"/>
          </w:tcPr>
          <w:p w14:paraId="0ADF16D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2B7CD4EF"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6F019496"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2AAE2E70"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7738408C"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44112E19"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62225D01"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5B56ED17"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30D2839E" w14:textId="77777777" w:rsidR="00AF48AD" w:rsidRPr="00912946" w:rsidRDefault="00AF48AD" w:rsidP="00D272FB">
            <w:pPr>
              <w:pStyle w:val="NoSpacing"/>
              <w:jc w:val="center"/>
              <w:rPr>
                <w:rFonts w:ascii="Arial" w:hAnsi="Arial" w:cs="Arial"/>
                <w:color w:val="000000"/>
                <w:sz w:val="18"/>
                <w:szCs w:val="18"/>
              </w:rPr>
            </w:pPr>
          </w:p>
        </w:tc>
        <w:tc>
          <w:tcPr>
            <w:tcW w:w="1078" w:type="dxa"/>
            <w:vAlign w:val="center"/>
          </w:tcPr>
          <w:p w14:paraId="17100C55"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27" w:type="dxa"/>
            <w:vAlign w:val="center"/>
          </w:tcPr>
          <w:p w14:paraId="5DB5DAB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D272FB" w:rsidRPr="006A65A7" w14:paraId="64947F04" w14:textId="77777777" w:rsidTr="0082685F">
        <w:tc>
          <w:tcPr>
            <w:tcW w:w="2348" w:type="dxa"/>
            <w:vAlign w:val="center"/>
          </w:tcPr>
          <w:p w14:paraId="15259A55"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 xml:space="preserve">Oncological </w:t>
            </w:r>
            <w:proofErr w:type="spellStart"/>
            <w:r w:rsidRPr="00912946">
              <w:rPr>
                <w:rFonts w:ascii="Arial" w:hAnsi="Arial" w:cs="Arial"/>
                <w:sz w:val="18"/>
                <w:szCs w:val="18"/>
              </w:rPr>
              <w:t>profile</w:t>
            </w:r>
            <w:r w:rsidRPr="00912946">
              <w:rPr>
                <w:rFonts w:ascii="Arial" w:hAnsi="Arial" w:cs="Arial"/>
                <w:sz w:val="18"/>
                <w:szCs w:val="18"/>
                <w:vertAlign w:val="superscript"/>
              </w:rPr>
              <w:t>b</w:t>
            </w:r>
            <w:proofErr w:type="spellEnd"/>
          </w:p>
        </w:tc>
        <w:tc>
          <w:tcPr>
            <w:tcW w:w="1330" w:type="dxa"/>
            <w:vAlign w:val="center"/>
          </w:tcPr>
          <w:p w14:paraId="5E9E784F"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007A48D8"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p w14:paraId="6E492749"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&amp; Day 15</w:t>
            </w:r>
            <w:r w:rsidRPr="00912946">
              <w:rPr>
                <w:rFonts w:ascii="Arial" w:hAnsi="Arial" w:cs="Arial"/>
                <w:color w:val="000000"/>
                <w:sz w:val="18"/>
                <w:szCs w:val="18"/>
                <w:vertAlign w:val="superscript"/>
              </w:rPr>
              <w:t>b2</w:t>
            </w:r>
          </w:p>
        </w:tc>
        <w:tc>
          <w:tcPr>
            <w:tcW w:w="1119" w:type="dxa"/>
            <w:vAlign w:val="center"/>
          </w:tcPr>
          <w:p w14:paraId="07750ACB"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p w14:paraId="302BC2B9" w14:textId="77777777" w:rsidR="00AF48AD" w:rsidRPr="00912946" w:rsidRDefault="00AF48AD" w:rsidP="0010579D">
            <w:pPr>
              <w:pStyle w:val="NoSpacing"/>
              <w:jc w:val="center"/>
              <w:rPr>
                <w:rFonts w:ascii="Arial" w:hAnsi="Arial" w:cs="Arial"/>
                <w:b/>
                <w:color w:val="000000"/>
                <w:sz w:val="18"/>
                <w:szCs w:val="18"/>
              </w:rPr>
            </w:pPr>
            <w:r w:rsidRPr="00912946">
              <w:rPr>
                <w:rFonts w:ascii="Arial" w:hAnsi="Arial" w:cs="Arial"/>
                <w:color w:val="000000"/>
                <w:sz w:val="18"/>
                <w:szCs w:val="18"/>
              </w:rPr>
              <w:t>&amp; Day 15</w:t>
            </w:r>
            <w:r w:rsidRPr="00912946">
              <w:rPr>
                <w:rFonts w:ascii="Arial" w:hAnsi="Arial" w:cs="Arial"/>
                <w:color w:val="000000"/>
                <w:sz w:val="18"/>
                <w:szCs w:val="18"/>
                <w:vertAlign w:val="superscript"/>
              </w:rPr>
              <w:t>b2</w:t>
            </w:r>
          </w:p>
        </w:tc>
        <w:tc>
          <w:tcPr>
            <w:tcW w:w="980" w:type="dxa"/>
            <w:vAlign w:val="center"/>
          </w:tcPr>
          <w:p w14:paraId="19D9F6CC"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59DD9D71"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25EDCDC5"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2EFBD09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0D7EECE8"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595339E6" w14:textId="77777777" w:rsidR="00AF48AD" w:rsidRPr="00912946" w:rsidRDefault="00D272FB" w:rsidP="00D272FB">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68E1208B"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27" w:type="dxa"/>
            <w:vAlign w:val="center"/>
          </w:tcPr>
          <w:p w14:paraId="1FAA553B" w14:textId="77777777" w:rsidR="00AF48AD" w:rsidRPr="00912946" w:rsidRDefault="00AF48AD" w:rsidP="0010579D">
            <w:pPr>
              <w:pStyle w:val="NoSpacing"/>
              <w:jc w:val="center"/>
              <w:rPr>
                <w:rFonts w:ascii="Arial" w:hAnsi="Arial" w:cs="Arial"/>
                <w:color w:val="000000"/>
                <w:sz w:val="18"/>
                <w:szCs w:val="18"/>
              </w:rPr>
            </w:pPr>
          </w:p>
        </w:tc>
      </w:tr>
      <w:tr w:rsidR="00D272FB" w:rsidRPr="006A65A7" w14:paraId="47869C6E" w14:textId="77777777" w:rsidTr="0082685F">
        <w:tc>
          <w:tcPr>
            <w:tcW w:w="2348" w:type="dxa"/>
            <w:vAlign w:val="center"/>
          </w:tcPr>
          <w:p w14:paraId="2FD99A57"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Serum pregnancy test (females only)</w:t>
            </w:r>
          </w:p>
        </w:tc>
        <w:tc>
          <w:tcPr>
            <w:tcW w:w="1330" w:type="dxa"/>
            <w:vAlign w:val="center"/>
          </w:tcPr>
          <w:p w14:paraId="4A02C5EF"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677042DB" w14:textId="77777777" w:rsidR="00AF48AD" w:rsidRPr="00912946" w:rsidRDefault="00AF48AD" w:rsidP="0010579D">
            <w:pPr>
              <w:pStyle w:val="NoSpacing"/>
              <w:jc w:val="center"/>
              <w:rPr>
                <w:rFonts w:ascii="Arial" w:hAnsi="Arial" w:cs="Arial"/>
                <w:color w:val="000000"/>
                <w:sz w:val="18"/>
                <w:szCs w:val="18"/>
              </w:rPr>
            </w:pPr>
            <w:proofErr w:type="spellStart"/>
            <w:r w:rsidRPr="00912946">
              <w:rPr>
                <w:rFonts w:ascii="Arial" w:hAnsi="Arial" w:cs="Arial"/>
                <w:color w:val="000000"/>
                <w:sz w:val="18"/>
                <w:szCs w:val="18"/>
              </w:rPr>
              <w:t>X</w:t>
            </w:r>
            <w:r w:rsidRPr="00912946">
              <w:rPr>
                <w:rFonts w:ascii="Arial" w:hAnsi="Arial" w:cs="Arial"/>
                <w:color w:val="000000"/>
                <w:sz w:val="18"/>
                <w:szCs w:val="18"/>
                <w:vertAlign w:val="superscript"/>
              </w:rPr>
              <w:t>c</w:t>
            </w:r>
            <w:proofErr w:type="spellEnd"/>
          </w:p>
        </w:tc>
        <w:tc>
          <w:tcPr>
            <w:tcW w:w="1119" w:type="dxa"/>
            <w:vAlign w:val="center"/>
          </w:tcPr>
          <w:p w14:paraId="58C1AE03" w14:textId="77777777" w:rsidR="00AF48AD" w:rsidRPr="00912946" w:rsidRDefault="00AF48AD" w:rsidP="0010579D">
            <w:pPr>
              <w:pStyle w:val="NoSpacing"/>
              <w:jc w:val="center"/>
              <w:rPr>
                <w:rFonts w:ascii="Arial" w:hAnsi="Arial" w:cs="Arial"/>
                <w:color w:val="000000"/>
                <w:sz w:val="18"/>
                <w:szCs w:val="18"/>
              </w:rPr>
            </w:pPr>
          </w:p>
        </w:tc>
        <w:tc>
          <w:tcPr>
            <w:tcW w:w="980" w:type="dxa"/>
            <w:vAlign w:val="center"/>
          </w:tcPr>
          <w:p w14:paraId="193D9CDB" w14:textId="77777777" w:rsidR="00AF48AD" w:rsidRPr="00912946" w:rsidRDefault="00AF48AD" w:rsidP="0010579D">
            <w:pPr>
              <w:pStyle w:val="NoSpacing"/>
              <w:jc w:val="center"/>
              <w:rPr>
                <w:rFonts w:ascii="Arial" w:hAnsi="Arial" w:cs="Arial"/>
                <w:color w:val="000000"/>
                <w:sz w:val="18"/>
                <w:szCs w:val="18"/>
              </w:rPr>
            </w:pPr>
          </w:p>
        </w:tc>
        <w:tc>
          <w:tcPr>
            <w:tcW w:w="1078" w:type="dxa"/>
            <w:vAlign w:val="center"/>
          </w:tcPr>
          <w:p w14:paraId="6BB74962" w14:textId="77777777" w:rsidR="00AF48AD" w:rsidRPr="00912946" w:rsidRDefault="00AF48AD" w:rsidP="0010579D">
            <w:pPr>
              <w:pStyle w:val="NoSpacing"/>
              <w:jc w:val="center"/>
              <w:rPr>
                <w:rFonts w:ascii="Arial" w:hAnsi="Arial" w:cs="Arial"/>
                <w:color w:val="000000"/>
                <w:sz w:val="18"/>
                <w:szCs w:val="18"/>
              </w:rPr>
            </w:pPr>
          </w:p>
        </w:tc>
        <w:tc>
          <w:tcPr>
            <w:tcW w:w="1134" w:type="dxa"/>
            <w:vAlign w:val="center"/>
          </w:tcPr>
          <w:p w14:paraId="71872DE8" w14:textId="77777777" w:rsidR="00AF48AD" w:rsidRPr="00912946" w:rsidRDefault="00AF48AD" w:rsidP="0010579D">
            <w:pPr>
              <w:pStyle w:val="NoSpacing"/>
              <w:jc w:val="center"/>
              <w:rPr>
                <w:rFonts w:ascii="Arial" w:hAnsi="Arial" w:cs="Arial"/>
                <w:color w:val="000000"/>
                <w:sz w:val="18"/>
                <w:szCs w:val="18"/>
              </w:rPr>
            </w:pPr>
          </w:p>
        </w:tc>
        <w:tc>
          <w:tcPr>
            <w:tcW w:w="1218" w:type="dxa"/>
            <w:vAlign w:val="center"/>
          </w:tcPr>
          <w:p w14:paraId="69F9207A" w14:textId="77777777" w:rsidR="00AF48AD" w:rsidRPr="00912946" w:rsidRDefault="00AF48AD" w:rsidP="0010579D">
            <w:pPr>
              <w:pStyle w:val="NoSpacing"/>
              <w:jc w:val="center"/>
              <w:rPr>
                <w:rFonts w:ascii="Arial" w:hAnsi="Arial" w:cs="Arial"/>
                <w:color w:val="000000"/>
                <w:sz w:val="18"/>
                <w:szCs w:val="18"/>
              </w:rPr>
            </w:pPr>
          </w:p>
        </w:tc>
        <w:tc>
          <w:tcPr>
            <w:tcW w:w="392" w:type="dxa"/>
            <w:vMerge/>
          </w:tcPr>
          <w:p w14:paraId="155FEAA0"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1BB8AABC" w14:textId="77777777" w:rsidR="00AF48AD" w:rsidRPr="00912946" w:rsidRDefault="00AF48AD" w:rsidP="00D272FB">
            <w:pPr>
              <w:pStyle w:val="NoSpacing"/>
              <w:jc w:val="center"/>
              <w:rPr>
                <w:rFonts w:ascii="Arial" w:hAnsi="Arial" w:cs="Arial"/>
                <w:color w:val="000000"/>
                <w:sz w:val="18"/>
                <w:szCs w:val="18"/>
              </w:rPr>
            </w:pPr>
          </w:p>
        </w:tc>
        <w:tc>
          <w:tcPr>
            <w:tcW w:w="1078" w:type="dxa"/>
            <w:vAlign w:val="center"/>
          </w:tcPr>
          <w:p w14:paraId="167AA107" w14:textId="77777777" w:rsidR="00AF48AD" w:rsidRPr="00912946" w:rsidRDefault="00AF48AD" w:rsidP="0010579D">
            <w:pPr>
              <w:pStyle w:val="NoSpacing"/>
              <w:jc w:val="center"/>
              <w:rPr>
                <w:rFonts w:ascii="Arial" w:hAnsi="Arial" w:cs="Arial"/>
                <w:color w:val="000000"/>
                <w:sz w:val="18"/>
                <w:szCs w:val="18"/>
              </w:rPr>
            </w:pPr>
          </w:p>
        </w:tc>
        <w:tc>
          <w:tcPr>
            <w:tcW w:w="1427" w:type="dxa"/>
            <w:vAlign w:val="center"/>
          </w:tcPr>
          <w:p w14:paraId="79803BE4" w14:textId="77777777" w:rsidR="00AF48AD" w:rsidRPr="00912946" w:rsidRDefault="00AF48AD" w:rsidP="0010579D">
            <w:pPr>
              <w:pStyle w:val="NoSpacing"/>
              <w:jc w:val="center"/>
              <w:rPr>
                <w:rFonts w:ascii="Arial" w:hAnsi="Arial" w:cs="Arial"/>
                <w:color w:val="000000"/>
                <w:sz w:val="18"/>
                <w:szCs w:val="18"/>
              </w:rPr>
            </w:pPr>
          </w:p>
        </w:tc>
      </w:tr>
      <w:tr w:rsidR="00D272FB" w:rsidRPr="006A65A7" w14:paraId="228D0D27" w14:textId="77777777" w:rsidTr="0082685F">
        <w:tc>
          <w:tcPr>
            <w:tcW w:w="2348" w:type="dxa"/>
            <w:vAlign w:val="center"/>
          </w:tcPr>
          <w:p w14:paraId="122BF285"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Urine analysis</w:t>
            </w:r>
          </w:p>
        </w:tc>
        <w:tc>
          <w:tcPr>
            <w:tcW w:w="1330" w:type="dxa"/>
            <w:vAlign w:val="center"/>
          </w:tcPr>
          <w:p w14:paraId="3B038187"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108CEE24"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p w14:paraId="0998833E"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&amp; Day 15</w:t>
            </w:r>
          </w:p>
        </w:tc>
        <w:tc>
          <w:tcPr>
            <w:tcW w:w="1119" w:type="dxa"/>
            <w:vAlign w:val="center"/>
          </w:tcPr>
          <w:p w14:paraId="3AEFA2C9"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1644DAE1"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6A8DA5C1"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571CC9E8"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067ABF99"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2E14FCCB"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7632B1AA" w14:textId="77777777" w:rsidR="00AF48AD" w:rsidRPr="00912946" w:rsidRDefault="003F3F8D" w:rsidP="00D272FB">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11D6B043"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27" w:type="dxa"/>
            <w:vAlign w:val="center"/>
          </w:tcPr>
          <w:p w14:paraId="7434A439" w14:textId="77777777" w:rsidR="00AF48AD" w:rsidRPr="00912946" w:rsidRDefault="00AF48AD" w:rsidP="0010579D">
            <w:pPr>
              <w:pStyle w:val="NoSpacing"/>
              <w:jc w:val="center"/>
              <w:rPr>
                <w:rFonts w:ascii="Arial" w:hAnsi="Arial" w:cs="Arial"/>
                <w:color w:val="000000"/>
                <w:sz w:val="18"/>
                <w:szCs w:val="18"/>
              </w:rPr>
            </w:pPr>
          </w:p>
        </w:tc>
      </w:tr>
      <w:tr w:rsidR="00D272FB" w:rsidRPr="006A65A7" w14:paraId="7D679EE3" w14:textId="77777777" w:rsidTr="0082685F">
        <w:tc>
          <w:tcPr>
            <w:tcW w:w="2348" w:type="dxa"/>
            <w:vAlign w:val="center"/>
          </w:tcPr>
          <w:p w14:paraId="183E611F"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Vital signs</w:t>
            </w:r>
          </w:p>
        </w:tc>
        <w:tc>
          <w:tcPr>
            <w:tcW w:w="1330" w:type="dxa"/>
            <w:vAlign w:val="center"/>
          </w:tcPr>
          <w:p w14:paraId="2C208E79"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780671E0"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2A4B87E0"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2EA86CA0"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0E5BFE36"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7A34070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38FF68B9"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3961435F"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636255E5" w14:textId="77777777" w:rsidR="00AF48AD" w:rsidRPr="00912946" w:rsidRDefault="00D272FB" w:rsidP="00D272FB">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4E862FD8"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27" w:type="dxa"/>
            <w:vAlign w:val="center"/>
          </w:tcPr>
          <w:p w14:paraId="0CE662C4"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D272FB" w:rsidRPr="006A65A7" w14:paraId="11B6A943" w14:textId="77777777" w:rsidTr="0082685F">
        <w:tc>
          <w:tcPr>
            <w:tcW w:w="2348" w:type="dxa"/>
            <w:vAlign w:val="center"/>
          </w:tcPr>
          <w:p w14:paraId="0B4778AF"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Chest X-</w:t>
            </w:r>
            <w:proofErr w:type="spellStart"/>
            <w:r w:rsidRPr="00912946">
              <w:rPr>
                <w:rFonts w:ascii="Arial" w:hAnsi="Arial" w:cs="Arial"/>
                <w:sz w:val="18"/>
                <w:szCs w:val="18"/>
              </w:rPr>
              <w:t>ray</w:t>
            </w:r>
            <w:r w:rsidRPr="00912946">
              <w:rPr>
                <w:rFonts w:ascii="Arial" w:hAnsi="Arial" w:cs="Arial"/>
                <w:sz w:val="18"/>
                <w:szCs w:val="18"/>
                <w:vertAlign w:val="superscript"/>
              </w:rPr>
              <w:t>d</w:t>
            </w:r>
            <w:proofErr w:type="spellEnd"/>
          </w:p>
        </w:tc>
        <w:tc>
          <w:tcPr>
            <w:tcW w:w="1330" w:type="dxa"/>
            <w:vAlign w:val="center"/>
          </w:tcPr>
          <w:p w14:paraId="4FED7BC2" w14:textId="77777777" w:rsidR="00AF48AD" w:rsidRPr="00912946" w:rsidRDefault="00AF48AD" w:rsidP="0010579D">
            <w:pPr>
              <w:pStyle w:val="NoSpacing"/>
              <w:jc w:val="center"/>
              <w:rPr>
                <w:rFonts w:ascii="Arial" w:hAnsi="Arial" w:cs="Arial"/>
                <w:color w:val="000000"/>
                <w:sz w:val="18"/>
                <w:szCs w:val="18"/>
              </w:rPr>
            </w:pPr>
          </w:p>
        </w:tc>
        <w:tc>
          <w:tcPr>
            <w:tcW w:w="1134" w:type="dxa"/>
            <w:vAlign w:val="center"/>
          </w:tcPr>
          <w:p w14:paraId="64B1A56E"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0E2452A4" w14:textId="77777777" w:rsidR="00AF48AD" w:rsidRPr="00912946" w:rsidRDefault="00AF48AD" w:rsidP="0010579D">
            <w:pPr>
              <w:pStyle w:val="NoSpacing"/>
              <w:jc w:val="center"/>
              <w:rPr>
                <w:rFonts w:ascii="Arial" w:hAnsi="Arial" w:cs="Arial"/>
                <w:color w:val="000000"/>
                <w:sz w:val="18"/>
                <w:szCs w:val="18"/>
              </w:rPr>
            </w:pPr>
          </w:p>
        </w:tc>
        <w:tc>
          <w:tcPr>
            <w:tcW w:w="980" w:type="dxa"/>
            <w:vAlign w:val="center"/>
          </w:tcPr>
          <w:p w14:paraId="228323B7"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1BFDD78F" w14:textId="77777777" w:rsidR="00AF48AD" w:rsidRPr="00912946" w:rsidRDefault="00AF48AD" w:rsidP="0010579D">
            <w:pPr>
              <w:pStyle w:val="NoSpacing"/>
              <w:jc w:val="center"/>
              <w:rPr>
                <w:rFonts w:ascii="Arial" w:hAnsi="Arial" w:cs="Arial"/>
                <w:color w:val="000000"/>
                <w:sz w:val="18"/>
                <w:szCs w:val="18"/>
              </w:rPr>
            </w:pPr>
          </w:p>
        </w:tc>
        <w:tc>
          <w:tcPr>
            <w:tcW w:w="1134" w:type="dxa"/>
            <w:vAlign w:val="center"/>
          </w:tcPr>
          <w:p w14:paraId="744345A3"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53D3835D" w14:textId="77777777" w:rsidR="00AF48AD" w:rsidRPr="00912946" w:rsidRDefault="00AF48AD" w:rsidP="0010579D">
            <w:pPr>
              <w:pStyle w:val="NoSpacing"/>
              <w:jc w:val="center"/>
              <w:rPr>
                <w:rFonts w:ascii="Arial" w:hAnsi="Arial" w:cs="Arial"/>
                <w:color w:val="000000"/>
                <w:sz w:val="18"/>
                <w:szCs w:val="18"/>
              </w:rPr>
            </w:pPr>
          </w:p>
        </w:tc>
        <w:tc>
          <w:tcPr>
            <w:tcW w:w="392" w:type="dxa"/>
            <w:vMerge/>
          </w:tcPr>
          <w:p w14:paraId="74635814"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2236FA8B" w14:textId="77777777" w:rsidR="00AF48AD" w:rsidRPr="00912946" w:rsidRDefault="00AF48AD" w:rsidP="00D272FB">
            <w:pPr>
              <w:pStyle w:val="NoSpacing"/>
              <w:jc w:val="center"/>
              <w:rPr>
                <w:rFonts w:ascii="Arial" w:hAnsi="Arial" w:cs="Arial"/>
                <w:color w:val="000000"/>
                <w:sz w:val="18"/>
                <w:szCs w:val="18"/>
              </w:rPr>
            </w:pPr>
          </w:p>
        </w:tc>
        <w:tc>
          <w:tcPr>
            <w:tcW w:w="1078" w:type="dxa"/>
            <w:vAlign w:val="center"/>
          </w:tcPr>
          <w:p w14:paraId="323662F7" w14:textId="77777777" w:rsidR="00AF48AD" w:rsidRPr="00912946" w:rsidRDefault="00AF48AD" w:rsidP="0010579D">
            <w:pPr>
              <w:pStyle w:val="NoSpacing"/>
              <w:jc w:val="center"/>
              <w:rPr>
                <w:rFonts w:ascii="Arial" w:hAnsi="Arial" w:cs="Arial"/>
                <w:color w:val="000000"/>
                <w:sz w:val="18"/>
                <w:szCs w:val="18"/>
              </w:rPr>
            </w:pPr>
          </w:p>
        </w:tc>
        <w:tc>
          <w:tcPr>
            <w:tcW w:w="1427" w:type="dxa"/>
            <w:vAlign w:val="center"/>
          </w:tcPr>
          <w:p w14:paraId="6B7F679C" w14:textId="77777777" w:rsidR="00AF48AD" w:rsidRPr="00912946" w:rsidRDefault="00AF48AD" w:rsidP="0010579D">
            <w:pPr>
              <w:pStyle w:val="NoSpacing"/>
              <w:jc w:val="center"/>
              <w:rPr>
                <w:rFonts w:ascii="Arial" w:hAnsi="Arial" w:cs="Arial"/>
                <w:color w:val="000000"/>
                <w:sz w:val="18"/>
                <w:szCs w:val="18"/>
              </w:rPr>
            </w:pPr>
          </w:p>
        </w:tc>
      </w:tr>
      <w:tr w:rsidR="00D272FB" w:rsidRPr="006A65A7" w14:paraId="74B3C895" w14:textId="77777777" w:rsidTr="0082685F">
        <w:tc>
          <w:tcPr>
            <w:tcW w:w="2348" w:type="dxa"/>
            <w:vAlign w:val="center"/>
          </w:tcPr>
          <w:p w14:paraId="27881DDF"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CT scan – Chest and abdomen (RECIST)</w:t>
            </w:r>
            <w:r w:rsidRPr="00912946">
              <w:rPr>
                <w:rFonts w:ascii="Arial" w:hAnsi="Arial" w:cs="Arial"/>
                <w:color w:val="000000"/>
                <w:sz w:val="18"/>
                <w:szCs w:val="18"/>
                <w:vertAlign w:val="superscript"/>
              </w:rPr>
              <w:t xml:space="preserve"> e</w:t>
            </w:r>
          </w:p>
        </w:tc>
        <w:tc>
          <w:tcPr>
            <w:tcW w:w="1330" w:type="dxa"/>
            <w:vAlign w:val="center"/>
          </w:tcPr>
          <w:p w14:paraId="2BEEC622"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0233E331" w14:textId="77777777" w:rsidR="00AF48AD" w:rsidRPr="00912946" w:rsidRDefault="00AF48AD" w:rsidP="0010579D">
            <w:pPr>
              <w:pStyle w:val="NoSpacing"/>
              <w:jc w:val="center"/>
              <w:rPr>
                <w:rFonts w:ascii="Arial" w:hAnsi="Arial" w:cs="Arial"/>
                <w:color w:val="000000"/>
                <w:sz w:val="18"/>
                <w:szCs w:val="18"/>
              </w:rPr>
            </w:pPr>
          </w:p>
        </w:tc>
        <w:tc>
          <w:tcPr>
            <w:tcW w:w="1119" w:type="dxa"/>
            <w:vAlign w:val="center"/>
          </w:tcPr>
          <w:p w14:paraId="1B9F844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51A34BF9" w14:textId="77777777" w:rsidR="00AF48AD" w:rsidRPr="00912946" w:rsidRDefault="00AF48AD" w:rsidP="0010579D">
            <w:pPr>
              <w:pStyle w:val="NoSpacing"/>
              <w:jc w:val="center"/>
              <w:rPr>
                <w:rFonts w:ascii="Arial" w:hAnsi="Arial" w:cs="Arial"/>
                <w:color w:val="000000"/>
                <w:sz w:val="18"/>
                <w:szCs w:val="18"/>
              </w:rPr>
            </w:pPr>
          </w:p>
        </w:tc>
        <w:tc>
          <w:tcPr>
            <w:tcW w:w="1078" w:type="dxa"/>
            <w:vAlign w:val="center"/>
          </w:tcPr>
          <w:p w14:paraId="00A683A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0F162CC3" w14:textId="77777777" w:rsidR="00AF48AD" w:rsidRPr="00912946" w:rsidRDefault="00AF48AD" w:rsidP="0010579D">
            <w:pPr>
              <w:pStyle w:val="NoSpacing"/>
              <w:jc w:val="center"/>
              <w:rPr>
                <w:rFonts w:ascii="Arial" w:hAnsi="Arial" w:cs="Arial"/>
                <w:color w:val="000000"/>
                <w:sz w:val="18"/>
                <w:szCs w:val="18"/>
              </w:rPr>
            </w:pPr>
          </w:p>
        </w:tc>
        <w:tc>
          <w:tcPr>
            <w:tcW w:w="1218" w:type="dxa"/>
            <w:vAlign w:val="center"/>
          </w:tcPr>
          <w:p w14:paraId="60BFEF0F"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 xml:space="preserve">X </w:t>
            </w:r>
          </w:p>
          <w:p w14:paraId="3E42FCF6" w14:textId="77777777" w:rsidR="00AF48AD" w:rsidRPr="00912946" w:rsidRDefault="00AF48AD" w:rsidP="003F3F8D">
            <w:pPr>
              <w:pStyle w:val="NoSpacing"/>
              <w:jc w:val="center"/>
              <w:rPr>
                <w:rFonts w:ascii="Arial" w:hAnsi="Arial" w:cs="Arial"/>
                <w:color w:val="000000"/>
                <w:sz w:val="16"/>
                <w:szCs w:val="16"/>
              </w:rPr>
            </w:pPr>
            <w:r w:rsidRPr="00912946">
              <w:rPr>
                <w:rFonts w:ascii="Arial" w:hAnsi="Arial" w:cs="Arial"/>
                <w:color w:val="000000"/>
                <w:sz w:val="16"/>
                <w:szCs w:val="16"/>
              </w:rPr>
              <w:t>(close to Day 21 of cycle 6)</w:t>
            </w:r>
          </w:p>
        </w:tc>
        <w:tc>
          <w:tcPr>
            <w:tcW w:w="392" w:type="dxa"/>
            <w:vMerge/>
          </w:tcPr>
          <w:p w14:paraId="2AEF37BE"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363A4DB7" w14:textId="77777777" w:rsidR="00AF48AD" w:rsidRPr="00912946" w:rsidRDefault="00D272FB" w:rsidP="00D272FB">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75C42936" w14:textId="77777777" w:rsidR="00AF48AD" w:rsidRPr="00912946" w:rsidRDefault="00AF48AD" w:rsidP="0010579D">
            <w:pPr>
              <w:pStyle w:val="NoSpacing"/>
              <w:jc w:val="center"/>
              <w:rPr>
                <w:rFonts w:ascii="Arial" w:hAnsi="Arial" w:cs="Arial"/>
                <w:color w:val="000000"/>
                <w:sz w:val="18"/>
                <w:szCs w:val="18"/>
              </w:rPr>
            </w:pPr>
          </w:p>
        </w:tc>
        <w:tc>
          <w:tcPr>
            <w:tcW w:w="1427" w:type="dxa"/>
            <w:vAlign w:val="center"/>
          </w:tcPr>
          <w:p w14:paraId="016E049E"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D272FB" w:rsidRPr="006A65A7" w14:paraId="790A9820" w14:textId="77777777" w:rsidTr="0082685F">
        <w:tc>
          <w:tcPr>
            <w:tcW w:w="2348" w:type="dxa"/>
            <w:vAlign w:val="center"/>
          </w:tcPr>
          <w:p w14:paraId="3022FC42"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 xml:space="preserve">12 Lead </w:t>
            </w:r>
            <w:proofErr w:type="spellStart"/>
            <w:r w:rsidRPr="00912946">
              <w:rPr>
                <w:rFonts w:ascii="Arial" w:hAnsi="Arial" w:cs="Arial"/>
                <w:sz w:val="18"/>
                <w:szCs w:val="18"/>
              </w:rPr>
              <w:t>ECG</w:t>
            </w:r>
            <w:r w:rsidRPr="00912946">
              <w:rPr>
                <w:rFonts w:ascii="Arial" w:hAnsi="Arial" w:cs="Arial"/>
                <w:sz w:val="18"/>
                <w:szCs w:val="18"/>
                <w:vertAlign w:val="superscript"/>
              </w:rPr>
              <w:t>f</w:t>
            </w:r>
            <w:proofErr w:type="spellEnd"/>
          </w:p>
        </w:tc>
        <w:tc>
          <w:tcPr>
            <w:tcW w:w="1330" w:type="dxa"/>
            <w:vAlign w:val="center"/>
          </w:tcPr>
          <w:p w14:paraId="49344638"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7576AEC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651CF438"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22D1EB07"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6A32277C"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2121A5E0"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22E55672"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5332259C"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45D9B57A" w14:textId="77777777" w:rsidR="00AF48AD" w:rsidRPr="00912946" w:rsidRDefault="00D272FB" w:rsidP="00D272FB">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4C13E110"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27" w:type="dxa"/>
            <w:vAlign w:val="center"/>
          </w:tcPr>
          <w:p w14:paraId="31ADF130" w14:textId="77777777" w:rsidR="00AF48AD" w:rsidRPr="00912946" w:rsidRDefault="00AF48AD" w:rsidP="0010579D">
            <w:pPr>
              <w:pStyle w:val="NoSpacing"/>
              <w:jc w:val="center"/>
              <w:rPr>
                <w:rFonts w:ascii="Arial" w:hAnsi="Arial" w:cs="Arial"/>
                <w:color w:val="000000"/>
                <w:sz w:val="18"/>
                <w:szCs w:val="18"/>
              </w:rPr>
            </w:pPr>
          </w:p>
        </w:tc>
      </w:tr>
      <w:tr w:rsidR="00D272FB" w:rsidRPr="006A65A7" w14:paraId="6D4C9565" w14:textId="77777777" w:rsidTr="0082685F">
        <w:tc>
          <w:tcPr>
            <w:tcW w:w="2348" w:type="dxa"/>
            <w:vAlign w:val="center"/>
          </w:tcPr>
          <w:p w14:paraId="267AEDBA"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Adverse events check</w:t>
            </w:r>
          </w:p>
        </w:tc>
        <w:tc>
          <w:tcPr>
            <w:tcW w:w="1330" w:type="dxa"/>
            <w:vAlign w:val="center"/>
          </w:tcPr>
          <w:p w14:paraId="54FEB3D6"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4A460C95"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19" w:type="dxa"/>
            <w:vAlign w:val="center"/>
          </w:tcPr>
          <w:p w14:paraId="7C5D82EC"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980" w:type="dxa"/>
            <w:vAlign w:val="center"/>
          </w:tcPr>
          <w:p w14:paraId="2A748CE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544F16DF"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792D3A61"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218" w:type="dxa"/>
            <w:vAlign w:val="center"/>
          </w:tcPr>
          <w:p w14:paraId="5725A57B"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392" w:type="dxa"/>
            <w:vMerge/>
          </w:tcPr>
          <w:p w14:paraId="5A4A3E77"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6D4B52D0" w14:textId="77777777" w:rsidR="00AF48AD" w:rsidRPr="00912946" w:rsidRDefault="00D272FB" w:rsidP="00D272FB">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78" w:type="dxa"/>
            <w:vAlign w:val="center"/>
          </w:tcPr>
          <w:p w14:paraId="7DB4F1D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427" w:type="dxa"/>
            <w:vAlign w:val="center"/>
          </w:tcPr>
          <w:p w14:paraId="21AFB8AD"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r>
      <w:tr w:rsidR="00D272FB" w:rsidRPr="006A65A7" w14:paraId="0A3A9119" w14:textId="77777777" w:rsidTr="0082685F">
        <w:tc>
          <w:tcPr>
            <w:tcW w:w="2348" w:type="dxa"/>
            <w:vAlign w:val="center"/>
          </w:tcPr>
          <w:p w14:paraId="2E0C27A6" w14:textId="77777777" w:rsidR="00AF48AD" w:rsidRPr="00912946" w:rsidRDefault="00AF48AD" w:rsidP="0010579D">
            <w:pPr>
              <w:pStyle w:val="NoSpacing"/>
              <w:rPr>
                <w:rFonts w:ascii="Arial" w:hAnsi="Arial" w:cs="Arial"/>
                <w:sz w:val="18"/>
                <w:szCs w:val="18"/>
              </w:rPr>
            </w:pPr>
            <w:r w:rsidRPr="00912946">
              <w:rPr>
                <w:rFonts w:ascii="Arial" w:hAnsi="Arial" w:cs="Arial"/>
                <w:sz w:val="18"/>
                <w:szCs w:val="18"/>
              </w:rPr>
              <w:t>Diagnostic tissue sample</w:t>
            </w:r>
          </w:p>
        </w:tc>
        <w:tc>
          <w:tcPr>
            <w:tcW w:w="1330" w:type="dxa"/>
            <w:vAlign w:val="center"/>
          </w:tcPr>
          <w:p w14:paraId="2359CAC5" w14:textId="77777777" w:rsidR="00AF48AD" w:rsidRPr="00912946" w:rsidRDefault="00AF48AD"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134" w:type="dxa"/>
            <w:vAlign w:val="center"/>
          </w:tcPr>
          <w:p w14:paraId="46C4BBA3" w14:textId="77777777" w:rsidR="00AF48AD" w:rsidRPr="00912946" w:rsidRDefault="00AF48AD" w:rsidP="0010579D">
            <w:pPr>
              <w:pStyle w:val="NoSpacing"/>
              <w:jc w:val="center"/>
              <w:rPr>
                <w:rFonts w:ascii="Arial" w:hAnsi="Arial" w:cs="Arial"/>
                <w:color w:val="000000"/>
                <w:sz w:val="18"/>
                <w:szCs w:val="18"/>
              </w:rPr>
            </w:pPr>
          </w:p>
        </w:tc>
        <w:tc>
          <w:tcPr>
            <w:tcW w:w="1119" w:type="dxa"/>
            <w:vAlign w:val="center"/>
          </w:tcPr>
          <w:p w14:paraId="045F2E6A" w14:textId="77777777" w:rsidR="00AF48AD" w:rsidRPr="00912946" w:rsidRDefault="00AF48AD" w:rsidP="0010579D">
            <w:pPr>
              <w:pStyle w:val="NoSpacing"/>
              <w:jc w:val="center"/>
              <w:rPr>
                <w:rFonts w:ascii="Arial" w:hAnsi="Arial" w:cs="Arial"/>
                <w:color w:val="000000"/>
                <w:sz w:val="18"/>
                <w:szCs w:val="18"/>
              </w:rPr>
            </w:pPr>
          </w:p>
        </w:tc>
        <w:tc>
          <w:tcPr>
            <w:tcW w:w="980" w:type="dxa"/>
            <w:vAlign w:val="center"/>
          </w:tcPr>
          <w:p w14:paraId="528455F3" w14:textId="77777777" w:rsidR="00AF48AD" w:rsidRPr="00912946" w:rsidRDefault="00AF48AD" w:rsidP="0010579D">
            <w:pPr>
              <w:pStyle w:val="NoSpacing"/>
              <w:jc w:val="center"/>
              <w:rPr>
                <w:rFonts w:ascii="Arial" w:hAnsi="Arial" w:cs="Arial"/>
                <w:color w:val="000000"/>
                <w:sz w:val="18"/>
                <w:szCs w:val="18"/>
              </w:rPr>
            </w:pPr>
          </w:p>
        </w:tc>
        <w:tc>
          <w:tcPr>
            <w:tcW w:w="1078" w:type="dxa"/>
            <w:vAlign w:val="center"/>
          </w:tcPr>
          <w:p w14:paraId="39E22305" w14:textId="77777777" w:rsidR="00AF48AD" w:rsidRPr="00912946" w:rsidRDefault="00AF48AD" w:rsidP="0010579D">
            <w:pPr>
              <w:pStyle w:val="NoSpacing"/>
              <w:jc w:val="center"/>
              <w:rPr>
                <w:rFonts w:ascii="Arial" w:hAnsi="Arial" w:cs="Arial"/>
                <w:color w:val="000000"/>
                <w:sz w:val="18"/>
                <w:szCs w:val="18"/>
              </w:rPr>
            </w:pPr>
          </w:p>
        </w:tc>
        <w:tc>
          <w:tcPr>
            <w:tcW w:w="1134" w:type="dxa"/>
            <w:vAlign w:val="center"/>
          </w:tcPr>
          <w:p w14:paraId="33664531" w14:textId="77777777" w:rsidR="00AF48AD" w:rsidRPr="00912946" w:rsidRDefault="00AF48AD" w:rsidP="0010579D">
            <w:pPr>
              <w:pStyle w:val="NoSpacing"/>
              <w:jc w:val="center"/>
              <w:rPr>
                <w:rFonts w:ascii="Arial" w:hAnsi="Arial" w:cs="Arial"/>
                <w:color w:val="000000"/>
                <w:sz w:val="18"/>
                <w:szCs w:val="18"/>
              </w:rPr>
            </w:pPr>
          </w:p>
        </w:tc>
        <w:tc>
          <w:tcPr>
            <w:tcW w:w="1218" w:type="dxa"/>
            <w:vAlign w:val="center"/>
          </w:tcPr>
          <w:p w14:paraId="7579427D" w14:textId="77777777" w:rsidR="00AF48AD" w:rsidRPr="00912946" w:rsidRDefault="00AF48AD" w:rsidP="0010579D">
            <w:pPr>
              <w:pStyle w:val="NoSpacing"/>
              <w:jc w:val="center"/>
              <w:rPr>
                <w:rFonts w:ascii="Arial" w:hAnsi="Arial" w:cs="Arial"/>
                <w:color w:val="000000"/>
                <w:sz w:val="18"/>
                <w:szCs w:val="18"/>
              </w:rPr>
            </w:pPr>
          </w:p>
        </w:tc>
        <w:tc>
          <w:tcPr>
            <w:tcW w:w="392" w:type="dxa"/>
            <w:vMerge/>
          </w:tcPr>
          <w:p w14:paraId="47F89F82" w14:textId="77777777" w:rsidR="00AF48AD" w:rsidRPr="00912946" w:rsidRDefault="00AF48AD" w:rsidP="0010579D">
            <w:pPr>
              <w:pStyle w:val="NoSpacing"/>
              <w:jc w:val="center"/>
              <w:rPr>
                <w:rFonts w:ascii="Arial" w:hAnsi="Arial" w:cs="Arial"/>
                <w:color w:val="000000"/>
                <w:sz w:val="18"/>
                <w:szCs w:val="18"/>
              </w:rPr>
            </w:pPr>
          </w:p>
        </w:tc>
        <w:tc>
          <w:tcPr>
            <w:tcW w:w="1385" w:type="dxa"/>
            <w:vAlign w:val="center"/>
          </w:tcPr>
          <w:p w14:paraId="280C1FDC" w14:textId="77777777" w:rsidR="00AF48AD" w:rsidRPr="00912946" w:rsidRDefault="00AF48AD" w:rsidP="00D272FB">
            <w:pPr>
              <w:pStyle w:val="NoSpacing"/>
              <w:jc w:val="center"/>
              <w:rPr>
                <w:rFonts w:ascii="Arial" w:hAnsi="Arial" w:cs="Arial"/>
                <w:color w:val="000000"/>
                <w:sz w:val="18"/>
                <w:szCs w:val="18"/>
              </w:rPr>
            </w:pPr>
          </w:p>
        </w:tc>
        <w:tc>
          <w:tcPr>
            <w:tcW w:w="1078" w:type="dxa"/>
            <w:vAlign w:val="center"/>
          </w:tcPr>
          <w:p w14:paraId="742F0865" w14:textId="77777777" w:rsidR="00AF48AD" w:rsidRPr="00912946" w:rsidRDefault="00AF48AD" w:rsidP="0010579D">
            <w:pPr>
              <w:pStyle w:val="NoSpacing"/>
              <w:jc w:val="center"/>
              <w:rPr>
                <w:rFonts w:ascii="Arial" w:hAnsi="Arial" w:cs="Arial"/>
                <w:color w:val="000000"/>
                <w:sz w:val="18"/>
                <w:szCs w:val="18"/>
              </w:rPr>
            </w:pPr>
          </w:p>
        </w:tc>
        <w:tc>
          <w:tcPr>
            <w:tcW w:w="1427" w:type="dxa"/>
            <w:vAlign w:val="center"/>
          </w:tcPr>
          <w:p w14:paraId="4B6203DA" w14:textId="77777777" w:rsidR="00AF48AD" w:rsidRPr="00912946" w:rsidRDefault="00AF48AD" w:rsidP="0010579D">
            <w:pPr>
              <w:pStyle w:val="NoSpacing"/>
              <w:jc w:val="center"/>
              <w:rPr>
                <w:rFonts w:ascii="Arial" w:hAnsi="Arial" w:cs="Arial"/>
                <w:color w:val="000000"/>
                <w:sz w:val="18"/>
                <w:szCs w:val="18"/>
              </w:rPr>
            </w:pPr>
          </w:p>
        </w:tc>
      </w:tr>
      <w:tr w:rsidR="00D272FB" w:rsidRPr="006A65A7" w14:paraId="24DA7D2D" w14:textId="77777777" w:rsidTr="0082685F">
        <w:tc>
          <w:tcPr>
            <w:tcW w:w="2348" w:type="dxa"/>
            <w:vAlign w:val="center"/>
          </w:tcPr>
          <w:p w14:paraId="03DD29D4" w14:textId="77777777" w:rsidR="00D272FB" w:rsidRPr="00912946" w:rsidRDefault="00D272FB" w:rsidP="0010579D">
            <w:pPr>
              <w:pStyle w:val="NoSpacing"/>
              <w:rPr>
                <w:rFonts w:ascii="Arial" w:hAnsi="Arial" w:cs="Arial"/>
                <w:sz w:val="18"/>
                <w:szCs w:val="18"/>
              </w:rPr>
            </w:pPr>
            <w:r w:rsidRPr="00912946">
              <w:rPr>
                <w:rFonts w:ascii="Arial" w:hAnsi="Arial" w:cs="Arial"/>
                <w:sz w:val="18"/>
                <w:szCs w:val="18"/>
              </w:rPr>
              <w:t>Translational blood sample</w:t>
            </w:r>
          </w:p>
        </w:tc>
        <w:tc>
          <w:tcPr>
            <w:tcW w:w="1330" w:type="dxa"/>
            <w:vAlign w:val="center"/>
          </w:tcPr>
          <w:p w14:paraId="569A50E7" w14:textId="77777777" w:rsidR="00D272FB" w:rsidRPr="00912946" w:rsidRDefault="00D272FB" w:rsidP="0010579D">
            <w:pPr>
              <w:pStyle w:val="NoSpacing"/>
              <w:jc w:val="center"/>
              <w:rPr>
                <w:rFonts w:ascii="Arial" w:hAnsi="Arial" w:cs="Arial"/>
                <w:color w:val="000000"/>
                <w:sz w:val="18"/>
                <w:szCs w:val="18"/>
              </w:rPr>
            </w:pPr>
            <w:r w:rsidRPr="00912946">
              <w:rPr>
                <w:rFonts w:ascii="Arial" w:hAnsi="Arial" w:cs="Arial"/>
                <w:color w:val="000000"/>
                <w:sz w:val="18"/>
                <w:szCs w:val="18"/>
              </w:rPr>
              <w:t>X</w:t>
            </w:r>
          </w:p>
        </w:tc>
        <w:tc>
          <w:tcPr>
            <w:tcW w:w="10945" w:type="dxa"/>
            <w:gridSpan w:val="10"/>
            <w:vAlign w:val="center"/>
          </w:tcPr>
          <w:p w14:paraId="791E922B" w14:textId="77777777" w:rsidR="00D272FB" w:rsidRPr="00912946" w:rsidRDefault="00D272FB" w:rsidP="00DC4845">
            <w:pPr>
              <w:pStyle w:val="NoSpacing"/>
              <w:jc w:val="center"/>
              <w:rPr>
                <w:rFonts w:ascii="Arial" w:hAnsi="Arial" w:cs="Arial"/>
                <w:color w:val="000000"/>
                <w:sz w:val="18"/>
                <w:szCs w:val="18"/>
              </w:rPr>
            </w:pPr>
            <w:r w:rsidRPr="00912946">
              <w:rPr>
                <w:rFonts w:ascii="Arial" w:hAnsi="Arial" w:cs="Arial"/>
                <w:color w:val="000000"/>
                <w:sz w:val="18"/>
                <w:szCs w:val="18"/>
              </w:rPr>
              <w:t>1 further blood sample taken at time of progression</w:t>
            </w:r>
          </w:p>
        </w:tc>
      </w:tr>
    </w:tbl>
    <w:p w14:paraId="6D00DD12" w14:textId="77777777" w:rsidR="00C81351" w:rsidRDefault="00C81351" w:rsidP="00C81351">
      <w:pPr>
        <w:pStyle w:val="Header"/>
        <w:tabs>
          <w:tab w:val="clear" w:pos="4153"/>
          <w:tab w:val="clear" w:pos="8306"/>
        </w:tabs>
        <w:jc w:val="both"/>
        <w:rPr>
          <w:rFonts w:cs="Tahoma"/>
          <w:color w:val="000000"/>
          <w:sz w:val="16"/>
          <w:szCs w:val="16"/>
        </w:rPr>
      </w:pPr>
      <w:r w:rsidRPr="005E2C7F">
        <w:rPr>
          <w:rFonts w:cs="Tahoma"/>
          <w:color w:val="000000"/>
          <w:sz w:val="16"/>
          <w:szCs w:val="16"/>
        </w:rPr>
        <w:t xml:space="preserve">a </w:t>
      </w:r>
      <w:r>
        <w:rPr>
          <w:rFonts w:cs="Tahoma"/>
          <w:color w:val="000000"/>
          <w:sz w:val="16"/>
          <w:szCs w:val="16"/>
        </w:rPr>
        <w:t>=</w:t>
      </w:r>
      <w:r w:rsidRPr="005E2C7F">
        <w:rPr>
          <w:rFonts w:cs="Tahoma"/>
          <w:color w:val="000000"/>
          <w:sz w:val="16"/>
          <w:szCs w:val="16"/>
        </w:rPr>
        <w:t xml:space="preserve"> </w:t>
      </w:r>
      <w:r>
        <w:rPr>
          <w:rFonts w:cs="Tahoma"/>
          <w:color w:val="000000"/>
          <w:sz w:val="16"/>
          <w:szCs w:val="16"/>
        </w:rPr>
        <w:t xml:space="preserve">Medical history not required after screening; </w:t>
      </w:r>
      <w:r w:rsidRPr="005E2C7F">
        <w:rPr>
          <w:rFonts w:cs="Tahoma"/>
          <w:color w:val="000000"/>
          <w:sz w:val="16"/>
          <w:szCs w:val="16"/>
        </w:rPr>
        <w:t xml:space="preserve">Concomitant check </w:t>
      </w:r>
      <w:r>
        <w:rPr>
          <w:rFonts w:cs="Tahoma"/>
          <w:color w:val="000000"/>
          <w:sz w:val="16"/>
          <w:szCs w:val="16"/>
        </w:rPr>
        <w:t>required from Pre-cycle 1 onwards only</w:t>
      </w:r>
    </w:p>
    <w:p w14:paraId="552DDE72" w14:textId="77777777" w:rsidR="00C81351" w:rsidRDefault="00C81351" w:rsidP="00C81351">
      <w:pPr>
        <w:pStyle w:val="Header"/>
        <w:tabs>
          <w:tab w:val="clear" w:pos="4153"/>
          <w:tab w:val="clear" w:pos="8306"/>
        </w:tabs>
        <w:jc w:val="both"/>
        <w:rPr>
          <w:rFonts w:cs="Tahoma"/>
          <w:color w:val="000000"/>
          <w:sz w:val="16"/>
          <w:szCs w:val="16"/>
        </w:rPr>
      </w:pPr>
      <w:r>
        <w:rPr>
          <w:rFonts w:cs="Tahoma"/>
          <w:color w:val="000000"/>
          <w:sz w:val="16"/>
          <w:szCs w:val="16"/>
        </w:rPr>
        <w:t xml:space="preserve">b = </w:t>
      </w:r>
      <w:r w:rsidRPr="00C1292A">
        <w:rPr>
          <w:rFonts w:cs="Tahoma"/>
          <w:color w:val="000000"/>
          <w:sz w:val="16"/>
          <w:szCs w:val="16"/>
        </w:rPr>
        <w:t>On</w:t>
      </w:r>
      <w:r>
        <w:rPr>
          <w:rFonts w:cs="Tahoma"/>
          <w:color w:val="000000"/>
          <w:sz w:val="16"/>
          <w:szCs w:val="16"/>
        </w:rPr>
        <w:t>cological profile -</w:t>
      </w:r>
      <w:r w:rsidRPr="00C1292A">
        <w:rPr>
          <w:rFonts w:cs="Tahoma"/>
          <w:color w:val="000000"/>
          <w:sz w:val="16"/>
          <w:szCs w:val="16"/>
        </w:rPr>
        <w:t xml:space="preserve"> Haematocrit, haemoglobin, RCC, white cell count with differential, platelets, sodium, potassium, urea, creatinine, chloride, bicarbonate, bilirubin, ALP, AST or ALT, LDH, albumin, total protein, calcium, phosphate, magnesium</w:t>
      </w:r>
      <w:r>
        <w:rPr>
          <w:rFonts w:cs="Tahoma"/>
          <w:color w:val="000000"/>
          <w:sz w:val="16"/>
          <w:szCs w:val="16"/>
        </w:rPr>
        <w:t>. Bloods may be taken up to 2 days prior to treatment.</w:t>
      </w:r>
    </w:p>
    <w:p w14:paraId="5BBB8C43" w14:textId="77777777" w:rsidR="00C81351" w:rsidRPr="00C1292A" w:rsidRDefault="00C81351" w:rsidP="00C81351">
      <w:pPr>
        <w:pStyle w:val="Header"/>
        <w:tabs>
          <w:tab w:val="clear" w:pos="4153"/>
          <w:tab w:val="clear" w:pos="8306"/>
        </w:tabs>
        <w:jc w:val="both"/>
        <w:rPr>
          <w:rFonts w:cs="Tahoma"/>
          <w:color w:val="000000"/>
          <w:sz w:val="16"/>
          <w:szCs w:val="16"/>
        </w:rPr>
      </w:pPr>
      <w:r>
        <w:rPr>
          <w:rFonts w:cs="Tahoma"/>
          <w:color w:val="000000"/>
          <w:sz w:val="16"/>
          <w:szCs w:val="16"/>
        </w:rPr>
        <w:t xml:space="preserve">b2 = Day </w:t>
      </w:r>
      <w:r w:rsidR="00782B5E">
        <w:rPr>
          <w:rFonts w:cs="Tahoma"/>
          <w:color w:val="000000"/>
          <w:sz w:val="16"/>
          <w:szCs w:val="16"/>
          <w:lang w:val="en-GB"/>
        </w:rPr>
        <w:t>15</w:t>
      </w:r>
      <w:r>
        <w:rPr>
          <w:rFonts w:cs="Tahoma"/>
          <w:color w:val="000000"/>
          <w:sz w:val="16"/>
          <w:szCs w:val="16"/>
        </w:rPr>
        <w:t xml:space="preserve"> of Cycles 1 and 2 the following required:</w:t>
      </w:r>
      <w:r w:rsidRPr="006F6C3D">
        <w:rPr>
          <w:rFonts w:cs="Tahoma"/>
          <w:color w:val="000000"/>
          <w:sz w:val="16"/>
          <w:szCs w:val="16"/>
        </w:rPr>
        <w:t xml:space="preserve"> </w:t>
      </w:r>
      <w:r w:rsidRPr="00C1292A">
        <w:rPr>
          <w:rFonts w:cs="Tahoma"/>
          <w:color w:val="000000"/>
          <w:sz w:val="16"/>
          <w:szCs w:val="16"/>
        </w:rPr>
        <w:t xml:space="preserve"> Haematocrit, haemoglobin, RCC, white cell count with differential, platelets</w:t>
      </w:r>
    </w:p>
    <w:p w14:paraId="4500BFCE" w14:textId="77777777" w:rsidR="00C81351" w:rsidRPr="005E2C7F" w:rsidRDefault="00C81351" w:rsidP="00C81351">
      <w:pPr>
        <w:pStyle w:val="Header"/>
        <w:tabs>
          <w:tab w:val="clear" w:pos="4153"/>
          <w:tab w:val="clear" w:pos="8306"/>
        </w:tabs>
        <w:jc w:val="both"/>
        <w:rPr>
          <w:rFonts w:cs="Tahoma"/>
          <w:color w:val="000000"/>
          <w:sz w:val="16"/>
          <w:szCs w:val="16"/>
        </w:rPr>
      </w:pPr>
      <w:r>
        <w:rPr>
          <w:rFonts w:cs="Tahoma"/>
          <w:color w:val="000000"/>
          <w:sz w:val="16"/>
          <w:szCs w:val="16"/>
        </w:rPr>
        <w:t xml:space="preserve">c = </w:t>
      </w:r>
      <w:r w:rsidRPr="00C1292A">
        <w:rPr>
          <w:rFonts w:cs="Tahoma"/>
          <w:color w:val="000000"/>
          <w:sz w:val="16"/>
          <w:szCs w:val="16"/>
        </w:rPr>
        <w:t xml:space="preserve">Repeat only if baseline test </w:t>
      </w:r>
      <w:r>
        <w:rPr>
          <w:rFonts w:cs="Tahoma"/>
          <w:color w:val="000000"/>
          <w:sz w:val="16"/>
          <w:szCs w:val="16"/>
        </w:rPr>
        <w:t xml:space="preserve">date </w:t>
      </w:r>
      <w:r w:rsidRPr="00C1292A">
        <w:rPr>
          <w:rFonts w:cs="Tahoma"/>
          <w:color w:val="000000"/>
          <w:sz w:val="16"/>
          <w:szCs w:val="16"/>
        </w:rPr>
        <w:t>&gt;1 week prior to 1st dose of ganetespib</w:t>
      </w:r>
    </w:p>
    <w:p w14:paraId="48CB1707" w14:textId="77777777" w:rsidR="00C81351" w:rsidRPr="005E2C7F" w:rsidRDefault="00C81351" w:rsidP="00C81351">
      <w:pPr>
        <w:pStyle w:val="Header"/>
        <w:tabs>
          <w:tab w:val="clear" w:pos="4153"/>
          <w:tab w:val="clear" w:pos="8306"/>
        </w:tabs>
        <w:jc w:val="both"/>
        <w:rPr>
          <w:rFonts w:cs="Tahoma"/>
          <w:color w:val="000000"/>
          <w:sz w:val="16"/>
          <w:szCs w:val="16"/>
        </w:rPr>
      </w:pPr>
      <w:r>
        <w:rPr>
          <w:rFonts w:cs="Tahoma"/>
          <w:color w:val="000000"/>
          <w:sz w:val="16"/>
          <w:szCs w:val="16"/>
        </w:rPr>
        <w:t>d</w:t>
      </w:r>
      <w:r w:rsidRPr="005E2C7F">
        <w:rPr>
          <w:rFonts w:cs="Tahoma"/>
          <w:color w:val="000000"/>
          <w:sz w:val="16"/>
          <w:szCs w:val="16"/>
        </w:rPr>
        <w:t xml:space="preserve"> </w:t>
      </w:r>
      <w:r>
        <w:rPr>
          <w:rFonts w:cs="Tahoma"/>
          <w:color w:val="000000"/>
          <w:sz w:val="16"/>
          <w:szCs w:val="16"/>
        </w:rPr>
        <w:t xml:space="preserve">=Chest x-ray - </w:t>
      </w:r>
      <w:r w:rsidRPr="00D63037">
        <w:rPr>
          <w:rFonts w:cs="Tahoma"/>
          <w:b/>
          <w:color w:val="000000"/>
          <w:sz w:val="16"/>
          <w:szCs w:val="16"/>
        </w:rPr>
        <w:t>post</w:t>
      </w:r>
      <w:r>
        <w:rPr>
          <w:rFonts w:cs="Tahoma"/>
          <w:color w:val="000000"/>
          <w:sz w:val="16"/>
          <w:szCs w:val="16"/>
        </w:rPr>
        <w:t xml:space="preserve"> cycles 1, 3 and 5</w:t>
      </w:r>
    </w:p>
    <w:p w14:paraId="323F558A" w14:textId="74029575" w:rsidR="00C81351" w:rsidRPr="00D272FB" w:rsidRDefault="00C81351" w:rsidP="00C81351">
      <w:pPr>
        <w:pStyle w:val="Header"/>
        <w:tabs>
          <w:tab w:val="clear" w:pos="4153"/>
          <w:tab w:val="clear" w:pos="8306"/>
        </w:tabs>
        <w:jc w:val="both"/>
        <w:rPr>
          <w:rFonts w:cs="Tahoma"/>
          <w:color w:val="000000"/>
          <w:sz w:val="16"/>
          <w:szCs w:val="16"/>
          <w:lang w:val="en-GB"/>
        </w:rPr>
      </w:pPr>
      <w:r>
        <w:rPr>
          <w:rFonts w:cs="Tahoma"/>
          <w:color w:val="000000"/>
          <w:sz w:val="16"/>
          <w:szCs w:val="16"/>
        </w:rPr>
        <w:t xml:space="preserve">e = </w:t>
      </w:r>
      <w:r w:rsidRPr="005E2C7F">
        <w:rPr>
          <w:rFonts w:cs="Tahoma"/>
          <w:color w:val="000000"/>
          <w:sz w:val="16"/>
          <w:szCs w:val="16"/>
        </w:rPr>
        <w:t>CT scan –</w:t>
      </w:r>
      <w:r w:rsidR="00772BF4">
        <w:rPr>
          <w:rFonts w:cs="Tahoma"/>
          <w:color w:val="000000"/>
          <w:sz w:val="16"/>
          <w:szCs w:val="16"/>
          <w:lang w:val="en-GB"/>
        </w:rPr>
        <w:t xml:space="preserve"> screening CT within 28 days of randomisation. CT scan during treatment to be completed </w:t>
      </w:r>
      <w:r w:rsidRPr="00B4190B">
        <w:rPr>
          <w:rFonts w:cs="Tahoma"/>
          <w:b/>
          <w:color w:val="000000"/>
          <w:sz w:val="16"/>
          <w:szCs w:val="16"/>
        </w:rPr>
        <w:t>post</w:t>
      </w:r>
      <w:r w:rsidRPr="005E2C7F">
        <w:rPr>
          <w:rFonts w:cs="Tahoma"/>
          <w:color w:val="000000"/>
          <w:sz w:val="16"/>
          <w:szCs w:val="16"/>
        </w:rPr>
        <w:t xml:space="preserve"> cycles 2, 4, and 6</w:t>
      </w:r>
      <w:r w:rsidR="00D272FB">
        <w:rPr>
          <w:rFonts w:cs="Tahoma"/>
          <w:color w:val="000000"/>
          <w:sz w:val="16"/>
          <w:szCs w:val="16"/>
          <w:lang w:val="en-GB"/>
        </w:rPr>
        <w:t xml:space="preserve">. CT scans ever 6 weeks for the first year </w:t>
      </w:r>
      <w:r w:rsidR="00A11A84">
        <w:rPr>
          <w:rFonts w:cs="Tahoma"/>
          <w:color w:val="000000"/>
          <w:sz w:val="16"/>
          <w:szCs w:val="16"/>
          <w:lang w:val="en-GB"/>
        </w:rPr>
        <w:t xml:space="preserve">(i.e. 12 months from Day 1 of chemotherapy) </w:t>
      </w:r>
      <w:r w:rsidR="00D272FB">
        <w:rPr>
          <w:rFonts w:cs="Tahoma"/>
          <w:color w:val="000000"/>
          <w:sz w:val="16"/>
          <w:szCs w:val="16"/>
          <w:lang w:val="en-GB"/>
        </w:rPr>
        <w:t>then 12</w:t>
      </w:r>
      <w:r w:rsidR="00A11A84">
        <w:rPr>
          <w:rFonts w:cs="Tahoma"/>
          <w:color w:val="000000"/>
          <w:sz w:val="16"/>
          <w:szCs w:val="16"/>
          <w:lang w:val="en-GB"/>
        </w:rPr>
        <w:t>-</w:t>
      </w:r>
      <w:r w:rsidR="00D272FB">
        <w:rPr>
          <w:rFonts w:cs="Tahoma"/>
          <w:color w:val="000000"/>
          <w:sz w:val="16"/>
          <w:szCs w:val="16"/>
          <w:lang w:val="en-GB"/>
        </w:rPr>
        <w:t xml:space="preserve">weekly </w:t>
      </w:r>
      <w:r w:rsidR="003F3F8D">
        <w:rPr>
          <w:rFonts w:cs="Tahoma"/>
          <w:color w:val="000000"/>
          <w:sz w:val="16"/>
          <w:szCs w:val="16"/>
          <w:lang w:val="en-GB"/>
        </w:rPr>
        <w:t>thereafter</w:t>
      </w:r>
      <w:r w:rsidR="00D272FB">
        <w:rPr>
          <w:rFonts w:cs="Tahoma"/>
          <w:color w:val="000000"/>
          <w:sz w:val="16"/>
          <w:szCs w:val="16"/>
          <w:lang w:val="en-GB"/>
        </w:rPr>
        <w:t>.</w:t>
      </w:r>
    </w:p>
    <w:p w14:paraId="42C15B7C" w14:textId="77777777" w:rsidR="00C81351" w:rsidRDefault="00C81351" w:rsidP="00C81351">
      <w:pPr>
        <w:pStyle w:val="Header"/>
        <w:tabs>
          <w:tab w:val="clear" w:pos="4153"/>
          <w:tab w:val="clear" w:pos="8306"/>
        </w:tabs>
        <w:jc w:val="both"/>
        <w:rPr>
          <w:rFonts w:cs="Tahoma"/>
          <w:color w:val="000000"/>
          <w:sz w:val="16"/>
          <w:szCs w:val="16"/>
        </w:rPr>
      </w:pPr>
      <w:r>
        <w:rPr>
          <w:rFonts w:cs="Tahoma"/>
          <w:color w:val="000000"/>
          <w:sz w:val="16"/>
          <w:szCs w:val="16"/>
        </w:rPr>
        <w:t>f = At screening and Day 1 of each cycle. Repeat ECGs where clinically indicated</w:t>
      </w:r>
    </w:p>
    <w:p w14:paraId="0EDF8169" w14:textId="77777777" w:rsidR="00C81351" w:rsidRDefault="00C81351" w:rsidP="00C81351">
      <w:pPr>
        <w:pStyle w:val="Header"/>
        <w:tabs>
          <w:tab w:val="clear" w:pos="4153"/>
          <w:tab w:val="clear" w:pos="8306"/>
        </w:tabs>
        <w:jc w:val="both"/>
        <w:rPr>
          <w:rFonts w:ascii="Arial" w:hAnsi="Arial" w:cs="Arial"/>
          <w:b/>
          <w:kern w:val="32"/>
          <w:sz w:val="32"/>
          <w:szCs w:val="32"/>
        </w:rPr>
      </w:pPr>
      <w:r>
        <w:rPr>
          <w:rFonts w:cs="Tahoma"/>
          <w:color w:val="000000"/>
          <w:sz w:val="16"/>
          <w:szCs w:val="16"/>
        </w:rPr>
        <w:t>g</w:t>
      </w:r>
      <w:r w:rsidRPr="005E2C7F">
        <w:rPr>
          <w:rFonts w:cs="Tahoma"/>
          <w:color w:val="000000"/>
          <w:sz w:val="16"/>
          <w:szCs w:val="16"/>
        </w:rPr>
        <w:t xml:space="preserve"> </w:t>
      </w:r>
      <w:r>
        <w:rPr>
          <w:rFonts w:cs="Tahoma"/>
          <w:color w:val="000000"/>
          <w:sz w:val="16"/>
          <w:szCs w:val="16"/>
        </w:rPr>
        <w:t>=</w:t>
      </w:r>
      <w:r w:rsidRPr="005E2C7F">
        <w:rPr>
          <w:rFonts w:cs="Tahoma"/>
          <w:color w:val="000000"/>
          <w:sz w:val="16"/>
          <w:szCs w:val="16"/>
        </w:rPr>
        <w:t xml:space="preserve"> After this, patients are managed according to usual local practi</w:t>
      </w:r>
      <w:r>
        <w:rPr>
          <w:rFonts w:cs="Tahoma"/>
          <w:color w:val="000000"/>
          <w:sz w:val="16"/>
          <w:szCs w:val="16"/>
        </w:rPr>
        <w:t>s</w:t>
      </w:r>
      <w:r w:rsidRPr="005E2C7F">
        <w:rPr>
          <w:rFonts w:cs="Tahoma"/>
          <w:color w:val="000000"/>
          <w:sz w:val="16"/>
          <w:szCs w:val="16"/>
        </w:rPr>
        <w:t>e</w:t>
      </w:r>
    </w:p>
    <w:p w14:paraId="2F74590F" w14:textId="77777777" w:rsidR="00C81351" w:rsidRDefault="00C81351" w:rsidP="00C81351">
      <w:pPr>
        <w:pStyle w:val="Header"/>
        <w:tabs>
          <w:tab w:val="clear" w:pos="4153"/>
          <w:tab w:val="clear" w:pos="8306"/>
        </w:tabs>
        <w:jc w:val="both"/>
        <w:rPr>
          <w:rFonts w:cs="Tahoma"/>
          <w:color w:val="000000"/>
          <w:sz w:val="16"/>
          <w:szCs w:val="16"/>
        </w:rPr>
      </w:pPr>
      <w:r>
        <w:rPr>
          <w:rFonts w:cs="Tahoma"/>
          <w:color w:val="000000"/>
          <w:sz w:val="16"/>
          <w:szCs w:val="16"/>
        </w:rPr>
        <w:t xml:space="preserve">h = </w:t>
      </w:r>
      <w:r w:rsidRPr="005E2C7F">
        <w:rPr>
          <w:rFonts w:cs="Tahoma"/>
          <w:color w:val="000000"/>
          <w:sz w:val="16"/>
          <w:szCs w:val="16"/>
        </w:rPr>
        <w:t xml:space="preserve">Follow-up visit - </w:t>
      </w:r>
      <w:r>
        <w:rPr>
          <w:rFonts w:cs="Tahoma"/>
          <w:sz w:val="16"/>
          <w:szCs w:val="16"/>
        </w:rPr>
        <w:t>starting 6 weeks after ‘Day 21 of the last chemo cycle’, and6 weekly during the first</w:t>
      </w:r>
      <w:r w:rsidRPr="005E2C7F">
        <w:rPr>
          <w:rFonts w:cs="Tahoma"/>
          <w:sz w:val="16"/>
          <w:szCs w:val="16"/>
        </w:rPr>
        <w:t xml:space="preserve"> year from </w:t>
      </w:r>
      <w:r>
        <w:rPr>
          <w:rFonts w:cs="Tahoma"/>
          <w:sz w:val="16"/>
          <w:szCs w:val="16"/>
        </w:rPr>
        <w:t xml:space="preserve">Day 1 of chemotherapy Cycle 1. </w:t>
      </w:r>
      <w:r w:rsidRPr="005E2C7F">
        <w:rPr>
          <w:rFonts w:cs="Tahoma"/>
          <w:sz w:val="16"/>
          <w:szCs w:val="16"/>
        </w:rPr>
        <w:t xml:space="preserve">For those who survive to 12 months without progression, follow up would be every 12 weeks thereafter until death or until the trial results are </w:t>
      </w:r>
      <w:r>
        <w:rPr>
          <w:rFonts w:cs="Tahoma"/>
          <w:sz w:val="16"/>
          <w:szCs w:val="16"/>
        </w:rPr>
        <w:t>available</w:t>
      </w:r>
      <w:r w:rsidRPr="005E2C7F">
        <w:rPr>
          <w:rFonts w:cs="Tahoma"/>
          <w:sz w:val="16"/>
          <w:szCs w:val="16"/>
        </w:rPr>
        <w:t>, whichever is sooner.</w:t>
      </w:r>
    </w:p>
    <w:p w14:paraId="1D896BF8" w14:textId="77777777" w:rsidR="00DA67E8" w:rsidRDefault="00DA67E8" w:rsidP="009359BA">
      <w:pPr>
        <w:pStyle w:val="Heading10"/>
        <w:sectPr w:rsidR="00DA67E8" w:rsidSect="00AC0122">
          <w:footerReference w:type="default" r:id="rId176"/>
          <w:footerReference w:type="first" r:id="rId177"/>
          <w:pgSz w:w="16838" w:h="11906" w:orient="landscape" w:code="9"/>
          <w:pgMar w:top="310" w:right="1134" w:bottom="1134" w:left="1134" w:header="285" w:footer="92" w:gutter="0"/>
          <w:cols w:space="708"/>
          <w:titlePg/>
          <w:docGrid w:linePitch="360"/>
        </w:sectPr>
      </w:pPr>
      <w:bookmarkStart w:id="1284" w:name="_Toc296077001"/>
    </w:p>
    <w:p w14:paraId="3BFFC290" w14:textId="77777777" w:rsidR="00DA67E8" w:rsidRPr="00156EB6" w:rsidRDefault="00DA67E8" w:rsidP="00156EB6">
      <w:pPr>
        <w:pStyle w:val="AppendixHead"/>
      </w:pPr>
      <w:bookmarkStart w:id="1285" w:name="_Toc471826852"/>
      <w:bookmarkStart w:id="1286" w:name="_Toc528323619"/>
      <w:r w:rsidRPr="00156EB6">
        <w:lastRenderedPageBreak/>
        <w:t>Appendix 4: Cockcroft &amp; Gault Formula</w:t>
      </w:r>
      <w:bookmarkEnd w:id="1284"/>
      <w:bookmarkEnd w:id="1285"/>
      <w:bookmarkEnd w:id="1286"/>
    </w:p>
    <w:p w14:paraId="5DD7F45D" w14:textId="77777777" w:rsidR="00DA67E8" w:rsidRPr="00156EB6" w:rsidRDefault="00DA67E8" w:rsidP="00156EB6">
      <w:pPr>
        <w:pStyle w:val="Default"/>
        <w:rPr>
          <w:rFonts w:ascii="Arial" w:hAnsi="Arial" w:cs="Arial"/>
          <w:b/>
          <w:sz w:val="22"/>
          <w:szCs w:val="22"/>
          <w:u w:val="single"/>
        </w:rPr>
      </w:pPr>
      <w:r w:rsidRPr="00156EB6">
        <w:rPr>
          <w:rFonts w:ascii="Arial" w:hAnsi="Arial" w:cs="Arial"/>
          <w:b/>
          <w:sz w:val="22"/>
          <w:szCs w:val="22"/>
          <w:u w:val="single"/>
        </w:rPr>
        <w:t>If creatinine measured in µmol/l:</w:t>
      </w:r>
    </w:p>
    <w:p w14:paraId="40C67CC3" w14:textId="77777777" w:rsidR="00DA67E8" w:rsidRPr="009359BA" w:rsidRDefault="00DA67E8" w:rsidP="009359BA">
      <w:pPr>
        <w:tabs>
          <w:tab w:val="left" w:pos="360"/>
          <w:tab w:val="left" w:pos="720"/>
          <w:tab w:val="left" w:pos="1880"/>
          <w:tab w:val="left" w:pos="3140"/>
          <w:tab w:val="left" w:pos="3600"/>
          <w:tab w:val="left" w:pos="4860"/>
          <w:tab w:val="left" w:pos="6200"/>
        </w:tabs>
        <w:ind w:right="-2"/>
        <w:jc w:val="both"/>
        <w:rPr>
          <w:rFonts w:ascii="Arial" w:hAnsi="Arial" w:cs="Arial"/>
          <w:sz w:val="22"/>
          <w:szCs w:val="22"/>
        </w:rPr>
      </w:pPr>
    </w:p>
    <w:p w14:paraId="19AD0AAD" w14:textId="77777777" w:rsidR="00DA67E8" w:rsidRPr="009359BA" w:rsidRDefault="00DA67E8" w:rsidP="009359BA">
      <w:pPr>
        <w:tabs>
          <w:tab w:val="left" w:pos="360"/>
          <w:tab w:val="left" w:pos="720"/>
          <w:tab w:val="left" w:pos="1880"/>
          <w:tab w:val="left" w:pos="3261"/>
          <w:tab w:val="left" w:pos="4678"/>
          <w:tab w:val="left" w:pos="6200"/>
        </w:tabs>
        <w:ind w:right="-2"/>
        <w:jc w:val="both"/>
        <w:rPr>
          <w:rFonts w:ascii="Arial" w:hAnsi="Arial" w:cs="Arial"/>
          <w:sz w:val="22"/>
          <w:szCs w:val="22"/>
          <w:u w:val="single"/>
        </w:rPr>
      </w:pP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b/>
          <w:sz w:val="22"/>
          <w:szCs w:val="22"/>
        </w:rPr>
        <w:t>Males:</w:t>
      </w:r>
      <w:r w:rsidRPr="009359BA">
        <w:rPr>
          <w:rFonts w:ascii="Arial" w:hAnsi="Arial" w:cs="Arial"/>
          <w:sz w:val="22"/>
          <w:szCs w:val="22"/>
        </w:rPr>
        <w:tab/>
      </w:r>
      <w:r w:rsidRPr="009359BA">
        <w:rPr>
          <w:rFonts w:ascii="Arial" w:hAnsi="Arial" w:cs="Arial"/>
          <w:sz w:val="22"/>
          <w:szCs w:val="22"/>
          <w:u w:val="single"/>
        </w:rPr>
        <w:t>1.</w:t>
      </w:r>
      <w:proofErr w:type="gramStart"/>
      <w:r w:rsidRPr="009359BA">
        <w:rPr>
          <w:rFonts w:ascii="Arial" w:hAnsi="Arial" w:cs="Arial"/>
          <w:sz w:val="22"/>
          <w:szCs w:val="22"/>
          <w:u w:val="single"/>
        </w:rPr>
        <w:t>23  x</w:t>
      </w:r>
      <w:proofErr w:type="gramEnd"/>
      <w:r w:rsidRPr="009359BA">
        <w:rPr>
          <w:rFonts w:ascii="Arial" w:hAnsi="Arial" w:cs="Arial"/>
          <w:sz w:val="22"/>
          <w:szCs w:val="22"/>
          <w:u w:val="single"/>
        </w:rPr>
        <w:t xml:space="preserve">  (140 - age)  x  </w:t>
      </w:r>
      <w:r w:rsidR="0003558A">
        <w:rPr>
          <w:rFonts w:ascii="Arial" w:hAnsi="Arial" w:cs="Arial"/>
          <w:sz w:val="22"/>
          <w:szCs w:val="22"/>
          <w:u w:val="single"/>
        </w:rPr>
        <w:t xml:space="preserve">actual body </w:t>
      </w:r>
      <w:r w:rsidRPr="009359BA">
        <w:rPr>
          <w:rFonts w:ascii="Arial" w:hAnsi="Arial" w:cs="Arial"/>
          <w:sz w:val="22"/>
          <w:szCs w:val="22"/>
          <w:u w:val="single"/>
        </w:rPr>
        <w:t>weight (kg)</w:t>
      </w:r>
    </w:p>
    <w:p w14:paraId="1E7F4D6A" w14:textId="77777777" w:rsidR="00DA67E8" w:rsidRPr="009359BA" w:rsidRDefault="00DA67E8" w:rsidP="009359BA">
      <w:pPr>
        <w:tabs>
          <w:tab w:val="left" w:pos="360"/>
          <w:tab w:val="left" w:pos="720"/>
          <w:tab w:val="left" w:pos="1880"/>
          <w:tab w:val="left" w:pos="3140"/>
          <w:tab w:val="left" w:pos="3600"/>
          <w:tab w:val="left" w:pos="4860"/>
          <w:tab w:val="left" w:pos="6200"/>
        </w:tabs>
        <w:ind w:right="-2"/>
        <w:jc w:val="both"/>
        <w:rPr>
          <w:rFonts w:ascii="Arial" w:hAnsi="Arial" w:cs="Arial"/>
          <w:sz w:val="22"/>
          <w:szCs w:val="22"/>
        </w:rPr>
      </w:pP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t xml:space="preserve">    serum creatinine (µmol/l)</w:t>
      </w:r>
    </w:p>
    <w:p w14:paraId="14C9A8B0" w14:textId="77777777" w:rsidR="00DA67E8" w:rsidRPr="009359BA" w:rsidRDefault="00DA67E8" w:rsidP="009359BA">
      <w:pPr>
        <w:tabs>
          <w:tab w:val="left" w:pos="360"/>
          <w:tab w:val="left" w:pos="720"/>
          <w:tab w:val="left" w:pos="1880"/>
          <w:tab w:val="left" w:pos="3140"/>
          <w:tab w:val="left" w:pos="3600"/>
          <w:tab w:val="left" w:pos="4860"/>
          <w:tab w:val="left" w:pos="6200"/>
        </w:tabs>
        <w:ind w:right="-2"/>
        <w:jc w:val="both"/>
        <w:rPr>
          <w:rFonts w:ascii="Arial" w:hAnsi="Arial" w:cs="Arial"/>
          <w:sz w:val="22"/>
          <w:szCs w:val="22"/>
        </w:rPr>
      </w:pPr>
    </w:p>
    <w:p w14:paraId="17591EDD" w14:textId="77777777" w:rsidR="00DA67E8" w:rsidRPr="009359BA" w:rsidRDefault="00DA67E8" w:rsidP="009359BA">
      <w:pPr>
        <w:tabs>
          <w:tab w:val="left" w:pos="360"/>
          <w:tab w:val="left" w:pos="720"/>
          <w:tab w:val="left" w:pos="1880"/>
          <w:tab w:val="left" w:pos="3140"/>
          <w:tab w:val="left" w:pos="3600"/>
          <w:tab w:val="left" w:pos="4860"/>
          <w:tab w:val="left" w:pos="6200"/>
        </w:tabs>
        <w:ind w:right="-2"/>
        <w:jc w:val="both"/>
        <w:rPr>
          <w:rFonts w:ascii="Arial" w:hAnsi="Arial" w:cs="Arial"/>
          <w:sz w:val="22"/>
          <w:szCs w:val="22"/>
        </w:rPr>
      </w:pPr>
    </w:p>
    <w:p w14:paraId="5101BD3B" w14:textId="77777777" w:rsidR="00DA67E8" w:rsidRPr="009359BA" w:rsidRDefault="00DA67E8" w:rsidP="009359BA">
      <w:pPr>
        <w:tabs>
          <w:tab w:val="left" w:pos="360"/>
          <w:tab w:val="left" w:pos="720"/>
          <w:tab w:val="left" w:pos="1880"/>
          <w:tab w:val="left" w:pos="3140"/>
          <w:tab w:val="left" w:pos="3600"/>
          <w:tab w:val="left" w:pos="4860"/>
          <w:tab w:val="left" w:pos="6200"/>
        </w:tabs>
        <w:ind w:right="-2"/>
        <w:jc w:val="both"/>
        <w:rPr>
          <w:rFonts w:ascii="Arial" w:hAnsi="Arial" w:cs="Arial"/>
          <w:sz w:val="22"/>
          <w:szCs w:val="22"/>
        </w:rPr>
      </w:pPr>
    </w:p>
    <w:p w14:paraId="4AC55C12" w14:textId="77777777" w:rsidR="00DA67E8" w:rsidRPr="009359BA" w:rsidRDefault="00DA67E8" w:rsidP="009359BA">
      <w:pPr>
        <w:tabs>
          <w:tab w:val="left" w:pos="360"/>
          <w:tab w:val="left" w:pos="720"/>
          <w:tab w:val="left" w:pos="1880"/>
          <w:tab w:val="left" w:pos="3261"/>
          <w:tab w:val="left" w:pos="4680"/>
          <w:tab w:val="left" w:pos="6200"/>
        </w:tabs>
        <w:ind w:right="-2"/>
        <w:jc w:val="both"/>
        <w:rPr>
          <w:rFonts w:ascii="Arial" w:hAnsi="Arial" w:cs="Arial"/>
          <w:sz w:val="22"/>
          <w:szCs w:val="22"/>
        </w:rPr>
      </w:pP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b/>
          <w:sz w:val="22"/>
          <w:szCs w:val="22"/>
        </w:rPr>
        <w:t>Females:</w:t>
      </w:r>
      <w:r w:rsidRPr="009359BA">
        <w:rPr>
          <w:rFonts w:ascii="Arial" w:hAnsi="Arial" w:cs="Arial"/>
          <w:sz w:val="22"/>
          <w:szCs w:val="22"/>
        </w:rPr>
        <w:tab/>
      </w:r>
      <w:r w:rsidRPr="009359BA">
        <w:rPr>
          <w:rFonts w:ascii="Arial" w:hAnsi="Arial" w:cs="Arial"/>
          <w:sz w:val="22"/>
          <w:szCs w:val="22"/>
          <w:u w:val="single"/>
        </w:rPr>
        <w:t>1.</w:t>
      </w:r>
      <w:proofErr w:type="gramStart"/>
      <w:r w:rsidRPr="009359BA">
        <w:rPr>
          <w:rFonts w:ascii="Arial" w:hAnsi="Arial" w:cs="Arial"/>
          <w:sz w:val="22"/>
          <w:szCs w:val="22"/>
          <w:u w:val="single"/>
        </w:rPr>
        <w:t>05  x</w:t>
      </w:r>
      <w:proofErr w:type="gramEnd"/>
      <w:r w:rsidRPr="009359BA">
        <w:rPr>
          <w:rFonts w:ascii="Arial" w:hAnsi="Arial" w:cs="Arial"/>
          <w:sz w:val="22"/>
          <w:szCs w:val="22"/>
          <w:u w:val="single"/>
        </w:rPr>
        <w:t xml:space="preserve">  (140 - age)  x  </w:t>
      </w:r>
      <w:r w:rsidR="0003558A">
        <w:rPr>
          <w:rFonts w:ascii="Arial" w:hAnsi="Arial" w:cs="Arial"/>
          <w:sz w:val="22"/>
          <w:szCs w:val="22"/>
          <w:u w:val="single"/>
        </w:rPr>
        <w:t xml:space="preserve">actual body </w:t>
      </w:r>
      <w:r w:rsidRPr="009359BA">
        <w:rPr>
          <w:rFonts w:ascii="Arial" w:hAnsi="Arial" w:cs="Arial"/>
          <w:sz w:val="22"/>
          <w:szCs w:val="22"/>
          <w:u w:val="single"/>
        </w:rPr>
        <w:t>weight (kg)</w:t>
      </w:r>
    </w:p>
    <w:p w14:paraId="1069FE00" w14:textId="77777777" w:rsidR="00DA67E8" w:rsidRPr="009359BA" w:rsidRDefault="00DA67E8" w:rsidP="009359BA">
      <w:pPr>
        <w:tabs>
          <w:tab w:val="left" w:pos="360"/>
          <w:tab w:val="left" w:pos="720"/>
          <w:tab w:val="left" w:pos="1880"/>
          <w:tab w:val="left" w:pos="2880"/>
          <w:tab w:val="left" w:pos="3600"/>
          <w:tab w:val="left" w:pos="4860"/>
          <w:tab w:val="left" w:pos="6200"/>
        </w:tabs>
        <w:ind w:right="-2"/>
        <w:jc w:val="both"/>
        <w:rPr>
          <w:rFonts w:ascii="Arial" w:hAnsi="Arial" w:cs="Arial"/>
          <w:sz w:val="22"/>
          <w:szCs w:val="22"/>
        </w:rPr>
      </w:pP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t xml:space="preserve">   serum creatinine (µmol/l)</w:t>
      </w:r>
    </w:p>
    <w:p w14:paraId="4D420936" w14:textId="77777777" w:rsidR="00DA67E8" w:rsidRPr="009359BA" w:rsidRDefault="00DA67E8" w:rsidP="009359BA">
      <w:pPr>
        <w:tabs>
          <w:tab w:val="left" w:pos="360"/>
          <w:tab w:val="left" w:pos="720"/>
          <w:tab w:val="left" w:pos="1880"/>
          <w:tab w:val="left" w:pos="2880"/>
          <w:tab w:val="left" w:pos="3600"/>
          <w:tab w:val="left" w:pos="5400"/>
          <w:tab w:val="left" w:pos="6200"/>
        </w:tabs>
        <w:ind w:right="-2"/>
        <w:jc w:val="both"/>
        <w:rPr>
          <w:rFonts w:ascii="Arial" w:hAnsi="Arial" w:cs="Arial"/>
          <w:sz w:val="22"/>
          <w:szCs w:val="22"/>
        </w:rPr>
      </w:pPr>
    </w:p>
    <w:p w14:paraId="796833D5" w14:textId="77777777" w:rsidR="00DA67E8" w:rsidRPr="009359BA" w:rsidRDefault="00DA67E8" w:rsidP="009359BA">
      <w:pPr>
        <w:tabs>
          <w:tab w:val="left" w:pos="426"/>
          <w:tab w:val="left" w:pos="720"/>
          <w:tab w:val="left" w:pos="1880"/>
          <w:tab w:val="left" w:pos="2880"/>
          <w:tab w:val="left" w:pos="3600"/>
          <w:tab w:val="left" w:pos="5400"/>
          <w:tab w:val="left" w:pos="6200"/>
        </w:tabs>
        <w:ind w:right="-2"/>
        <w:jc w:val="both"/>
        <w:rPr>
          <w:rFonts w:ascii="Arial" w:hAnsi="Arial" w:cs="Arial"/>
          <w:sz w:val="22"/>
          <w:szCs w:val="22"/>
        </w:rPr>
      </w:pPr>
    </w:p>
    <w:p w14:paraId="2D995CB4" w14:textId="77777777" w:rsidR="00DA67E8" w:rsidRPr="009359BA" w:rsidRDefault="00DA67E8" w:rsidP="009359BA">
      <w:pPr>
        <w:tabs>
          <w:tab w:val="left" w:pos="426"/>
          <w:tab w:val="left" w:pos="720"/>
          <w:tab w:val="left" w:pos="1880"/>
          <w:tab w:val="left" w:pos="2880"/>
          <w:tab w:val="left" w:pos="3600"/>
          <w:tab w:val="left" w:pos="5400"/>
          <w:tab w:val="left" w:pos="6200"/>
        </w:tabs>
        <w:ind w:right="-2"/>
        <w:jc w:val="both"/>
        <w:rPr>
          <w:rFonts w:ascii="Arial" w:hAnsi="Arial" w:cs="Arial"/>
          <w:sz w:val="22"/>
          <w:szCs w:val="22"/>
        </w:rPr>
      </w:pPr>
    </w:p>
    <w:p w14:paraId="6F8635A3" w14:textId="77777777" w:rsidR="00DA67E8" w:rsidRPr="009359BA" w:rsidRDefault="00DA67E8" w:rsidP="00156EB6">
      <w:pPr>
        <w:pStyle w:val="Default"/>
        <w:rPr>
          <w:rFonts w:ascii="Arial" w:hAnsi="Arial" w:cs="Arial"/>
          <w:b/>
          <w:sz w:val="22"/>
          <w:szCs w:val="22"/>
          <w:u w:val="single"/>
        </w:rPr>
      </w:pPr>
      <w:bookmarkStart w:id="1287" w:name="_Toc333484823"/>
      <w:bookmarkStart w:id="1288" w:name="_Toc333484938"/>
      <w:bookmarkStart w:id="1289" w:name="_Toc351624890"/>
      <w:r w:rsidRPr="009359BA">
        <w:rPr>
          <w:rFonts w:ascii="Arial" w:hAnsi="Arial" w:cs="Arial"/>
          <w:b/>
          <w:sz w:val="22"/>
          <w:szCs w:val="22"/>
          <w:u w:val="single"/>
        </w:rPr>
        <w:t>If creatinine measured in mg/%</w:t>
      </w:r>
      <w:bookmarkEnd w:id="1287"/>
      <w:bookmarkEnd w:id="1288"/>
      <w:bookmarkEnd w:id="1289"/>
    </w:p>
    <w:p w14:paraId="0AC49CAA" w14:textId="77777777" w:rsidR="00DA67E8" w:rsidRPr="009359BA" w:rsidRDefault="00DA67E8" w:rsidP="009359BA">
      <w:pPr>
        <w:tabs>
          <w:tab w:val="left" w:pos="360"/>
          <w:tab w:val="left" w:pos="720"/>
          <w:tab w:val="left" w:pos="1880"/>
          <w:tab w:val="left" w:pos="2880"/>
          <w:tab w:val="left" w:pos="3600"/>
          <w:tab w:val="left" w:pos="5400"/>
          <w:tab w:val="left" w:pos="6200"/>
        </w:tabs>
        <w:ind w:right="-2"/>
        <w:jc w:val="both"/>
        <w:rPr>
          <w:rFonts w:ascii="Arial" w:hAnsi="Arial" w:cs="Arial"/>
          <w:sz w:val="22"/>
          <w:szCs w:val="22"/>
        </w:rPr>
      </w:pPr>
    </w:p>
    <w:p w14:paraId="33BACF58" w14:textId="77777777" w:rsidR="00DA67E8" w:rsidRPr="009359BA" w:rsidRDefault="00DA67E8" w:rsidP="009359BA">
      <w:pPr>
        <w:tabs>
          <w:tab w:val="left" w:pos="360"/>
          <w:tab w:val="left" w:pos="720"/>
          <w:tab w:val="left" w:pos="1880"/>
          <w:tab w:val="left" w:pos="3261"/>
          <w:tab w:val="left" w:pos="3600"/>
          <w:tab w:val="left" w:pos="5040"/>
          <w:tab w:val="left" w:pos="6200"/>
        </w:tabs>
        <w:ind w:right="-2"/>
        <w:jc w:val="both"/>
        <w:rPr>
          <w:rFonts w:ascii="Arial" w:hAnsi="Arial" w:cs="Arial"/>
          <w:sz w:val="22"/>
          <w:szCs w:val="22"/>
          <w:u w:val="single"/>
        </w:rPr>
      </w:pP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b/>
          <w:sz w:val="22"/>
          <w:szCs w:val="22"/>
        </w:rPr>
        <w:t>Males:</w:t>
      </w:r>
      <w:r w:rsidRPr="009359BA">
        <w:rPr>
          <w:rFonts w:ascii="Arial" w:hAnsi="Arial" w:cs="Arial"/>
          <w:sz w:val="22"/>
          <w:szCs w:val="22"/>
        </w:rPr>
        <w:tab/>
      </w:r>
      <w:r w:rsidRPr="009359BA">
        <w:rPr>
          <w:rFonts w:ascii="Arial" w:hAnsi="Arial" w:cs="Arial"/>
          <w:sz w:val="22"/>
          <w:szCs w:val="22"/>
          <w:u w:val="single"/>
        </w:rPr>
        <w:t xml:space="preserve">(140 - </w:t>
      </w:r>
      <w:proofErr w:type="gramStart"/>
      <w:r w:rsidRPr="009359BA">
        <w:rPr>
          <w:rFonts w:ascii="Arial" w:hAnsi="Arial" w:cs="Arial"/>
          <w:sz w:val="22"/>
          <w:szCs w:val="22"/>
          <w:u w:val="single"/>
        </w:rPr>
        <w:t>age)  x</w:t>
      </w:r>
      <w:proofErr w:type="gramEnd"/>
      <w:r w:rsidRPr="009359BA">
        <w:rPr>
          <w:rFonts w:ascii="Arial" w:hAnsi="Arial" w:cs="Arial"/>
          <w:sz w:val="22"/>
          <w:szCs w:val="22"/>
          <w:u w:val="single"/>
        </w:rPr>
        <w:t xml:space="preserve">  </w:t>
      </w:r>
      <w:r w:rsidR="0003558A">
        <w:rPr>
          <w:rFonts w:ascii="Arial" w:hAnsi="Arial" w:cs="Arial"/>
          <w:sz w:val="22"/>
          <w:szCs w:val="22"/>
          <w:u w:val="single"/>
        </w:rPr>
        <w:t xml:space="preserve">actual body </w:t>
      </w:r>
      <w:r w:rsidRPr="009359BA">
        <w:rPr>
          <w:rFonts w:ascii="Arial" w:hAnsi="Arial" w:cs="Arial"/>
          <w:sz w:val="22"/>
          <w:szCs w:val="22"/>
          <w:u w:val="single"/>
        </w:rPr>
        <w:t>weight (kg)</w:t>
      </w:r>
    </w:p>
    <w:p w14:paraId="20B1358B" w14:textId="77777777" w:rsidR="00DA67E8" w:rsidRPr="009359BA" w:rsidRDefault="00DA67E8" w:rsidP="009359BA">
      <w:pPr>
        <w:tabs>
          <w:tab w:val="left" w:pos="360"/>
          <w:tab w:val="left" w:pos="720"/>
          <w:tab w:val="left" w:pos="1880"/>
          <w:tab w:val="left" w:pos="2880"/>
          <w:tab w:val="left" w:pos="3261"/>
          <w:tab w:val="left" w:pos="5040"/>
          <w:tab w:val="left" w:pos="6200"/>
        </w:tabs>
        <w:ind w:right="-2"/>
        <w:jc w:val="both"/>
        <w:rPr>
          <w:rFonts w:ascii="Arial" w:hAnsi="Arial" w:cs="Arial"/>
          <w:sz w:val="22"/>
          <w:szCs w:val="22"/>
        </w:rPr>
      </w:pP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t xml:space="preserve">   </w:t>
      </w:r>
      <w:proofErr w:type="gramStart"/>
      <w:r w:rsidRPr="009359BA">
        <w:rPr>
          <w:rFonts w:ascii="Arial" w:hAnsi="Arial" w:cs="Arial"/>
          <w:sz w:val="22"/>
          <w:szCs w:val="22"/>
        </w:rPr>
        <w:t>72  x</w:t>
      </w:r>
      <w:proofErr w:type="gramEnd"/>
      <w:r w:rsidRPr="009359BA">
        <w:rPr>
          <w:rFonts w:ascii="Arial" w:hAnsi="Arial" w:cs="Arial"/>
          <w:sz w:val="22"/>
          <w:szCs w:val="22"/>
        </w:rPr>
        <w:t xml:space="preserve">  serum creatinine</w:t>
      </w:r>
    </w:p>
    <w:p w14:paraId="495FCF6A" w14:textId="77777777" w:rsidR="00DA67E8" w:rsidRPr="009359BA" w:rsidRDefault="00DA67E8" w:rsidP="009359BA">
      <w:pPr>
        <w:tabs>
          <w:tab w:val="left" w:pos="360"/>
          <w:tab w:val="left" w:pos="720"/>
          <w:tab w:val="left" w:pos="1880"/>
          <w:tab w:val="left" w:pos="2880"/>
          <w:tab w:val="left" w:pos="3600"/>
          <w:tab w:val="left" w:pos="4860"/>
          <w:tab w:val="left" w:pos="6200"/>
        </w:tabs>
        <w:ind w:right="-2"/>
        <w:jc w:val="both"/>
        <w:rPr>
          <w:rFonts w:ascii="Arial" w:hAnsi="Arial" w:cs="Arial"/>
          <w:sz w:val="22"/>
          <w:szCs w:val="22"/>
        </w:rPr>
      </w:pPr>
    </w:p>
    <w:p w14:paraId="7BA4FF01" w14:textId="77777777" w:rsidR="00DA67E8" w:rsidRPr="009359BA" w:rsidRDefault="00DA67E8" w:rsidP="009359BA">
      <w:pPr>
        <w:tabs>
          <w:tab w:val="left" w:pos="360"/>
          <w:tab w:val="left" w:pos="720"/>
          <w:tab w:val="left" w:pos="1880"/>
          <w:tab w:val="left" w:pos="3402"/>
          <w:tab w:val="left" w:pos="3600"/>
          <w:tab w:val="left" w:pos="4860"/>
          <w:tab w:val="left" w:pos="6200"/>
        </w:tabs>
        <w:ind w:right="-2"/>
        <w:jc w:val="both"/>
        <w:rPr>
          <w:rFonts w:ascii="Arial" w:hAnsi="Arial" w:cs="Arial"/>
          <w:sz w:val="22"/>
          <w:szCs w:val="22"/>
        </w:rPr>
      </w:pPr>
    </w:p>
    <w:p w14:paraId="03D7BFFB" w14:textId="77777777" w:rsidR="00DA67E8" w:rsidRPr="009359BA" w:rsidRDefault="00DA67E8" w:rsidP="009359BA">
      <w:pPr>
        <w:tabs>
          <w:tab w:val="left" w:pos="360"/>
          <w:tab w:val="left" w:pos="720"/>
          <w:tab w:val="left" w:pos="1880"/>
          <w:tab w:val="left" w:pos="3261"/>
          <w:tab w:val="left" w:pos="4860"/>
          <w:tab w:val="left" w:pos="6200"/>
        </w:tabs>
        <w:ind w:right="-2"/>
        <w:jc w:val="both"/>
        <w:rPr>
          <w:rFonts w:ascii="Arial" w:hAnsi="Arial" w:cs="Arial"/>
          <w:sz w:val="22"/>
          <w:szCs w:val="22"/>
          <w:u w:val="single"/>
        </w:rPr>
      </w:pP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b/>
          <w:sz w:val="22"/>
          <w:szCs w:val="22"/>
        </w:rPr>
        <w:t>Females:</w:t>
      </w:r>
      <w:r w:rsidRPr="009359BA">
        <w:rPr>
          <w:rFonts w:ascii="Arial" w:hAnsi="Arial" w:cs="Arial"/>
          <w:sz w:val="22"/>
          <w:szCs w:val="22"/>
        </w:rPr>
        <w:tab/>
      </w:r>
      <w:r w:rsidRPr="009359BA">
        <w:rPr>
          <w:rFonts w:ascii="Arial" w:hAnsi="Arial" w:cs="Arial"/>
          <w:sz w:val="22"/>
          <w:szCs w:val="22"/>
          <w:u w:val="single"/>
        </w:rPr>
        <w:t xml:space="preserve">(140 - </w:t>
      </w:r>
      <w:proofErr w:type="gramStart"/>
      <w:r w:rsidRPr="009359BA">
        <w:rPr>
          <w:rFonts w:ascii="Arial" w:hAnsi="Arial" w:cs="Arial"/>
          <w:sz w:val="22"/>
          <w:szCs w:val="22"/>
          <w:u w:val="single"/>
        </w:rPr>
        <w:t>age)  x</w:t>
      </w:r>
      <w:proofErr w:type="gramEnd"/>
      <w:r w:rsidRPr="009359BA">
        <w:rPr>
          <w:rFonts w:ascii="Arial" w:hAnsi="Arial" w:cs="Arial"/>
          <w:sz w:val="22"/>
          <w:szCs w:val="22"/>
          <w:u w:val="single"/>
        </w:rPr>
        <w:t xml:space="preserve">  </w:t>
      </w:r>
      <w:r w:rsidR="0003558A">
        <w:rPr>
          <w:rFonts w:ascii="Arial" w:hAnsi="Arial" w:cs="Arial"/>
          <w:sz w:val="22"/>
          <w:szCs w:val="22"/>
          <w:u w:val="single"/>
        </w:rPr>
        <w:t xml:space="preserve">actual body </w:t>
      </w:r>
      <w:r w:rsidRPr="009359BA">
        <w:rPr>
          <w:rFonts w:ascii="Arial" w:hAnsi="Arial" w:cs="Arial"/>
          <w:sz w:val="22"/>
          <w:szCs w:val="22"/>
          <w:u w:val="single"/>
        </w:rPr>
        <w:t>weight (kg)  x  0.85</w:t>
      </w:r>
    </w:p>
    <w:p w14:paraId="06ECA1FB" w14:textId="77777777" w:rsidR="00DA67E8" w:rsidRPr="009359BA" w:rsidRDefault="00DA67E8" w:rsidP="009359BA">
      <w:pPr>
        <w:tabs>
          <w:tab w:val="left" w:pos="360"/>
          <w:tab w:val="left" w:pos="720"/>
          <w:tab w:val="left" w:pos="1880"/>
          <w:tab w:val="left" w:pos="2880"/>
          <w:tab w:val="left" w:pos="3600"/>
          <w:tab w:val="left" w:pos="4860"/>
          <w:tab w:val="left" w:pos="5120"/>
        </w:tabs>
        <w:ind w:right="-2"/>
        <w:jc w:val="both"/>
        <w:rPr>
          <w:rFonts w:ascii="Arial" w:hAnsi="Arial" w:cs="Arial"/>
          <w:sz w:val="22"/>
          <w:szCs w:val="22"/>
        </w:rPr>
      </w:pP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r>
      <w:r w:rsidRPr="009359BA">
        <w:rPr>
          <w:rFonts w:ascii="Arial" w:hAnsi="Arial" w:cs="Arial"/>
          <w:sz w:val="22"/>
          <w:szCs w:val="22"/>
        </w:rPr>
        <w:tab/>
        <w:t xml:space="preserve">     72 x serum creatinine</w:t>
      </w:r>
    </w:p>
    <w:p w14:paraId="3F0ECA96" w14:textId="77777777" w:rsidR="00DA67E8" w:rsidRPr="009359BA" w:rsidRDefault="00DA67E8" w:rsidP="009359BA">
      <w:pPr>
        <w:tabs>
          <w:tab w:val="left" w:pos="360"/>
          <w:tab w:val="left" w:pos="720"/>
          <w:tab w:val="left" w:pos="1880"/>
          <w:tab w:val="left" w:pos="2880"/>
          <w:tab w:val="left" w:pos="3600"/>
          <w:tab w:val="left" w:pos="4860"/>
          <w:tab w:val="left" w:pos="5120"/>
        </w:tabs>
        <w:ind w:right="-2"/>
        <w:jc w:val="both"/>
        <w:rPr>
          <w:rFonts w:ascii="Arial" w:hAnsi="Arial" w:cs="Arial"/>
        </w:rPr>
      </w:pPr>
    </w:p>
    <w:p w14:paraId="357EC35F" w14:textId="77777777" w:rsidR="00DA67E8" w:rsidRDefault="00277882" w:rsidP="00CB1D22">
      <w:pPr>
        <w:rPr>
          <w:rFonts w:ascii="Arial" w:hAnsi="Arial" w:cs="Arial"/>
          <w:sz w:val="22"/>
          <w:szCs w:val="22"/>
          <w:lang w:val="en-US"/>
        </w:rPr>
      </w:pPr>
      <w:r>
        <w:rPr>
          <w:rFonts w:ascii="Arial" w:hAnsi="Arial" w:cs="Arial"/>
          <w:b/>
          <w:kern w:val="32"/>
          <w:sz w:val="32"/>
          <w:szCs w:val="32"/>
        </w:rPr>
        <w:br w:type="page"/>
      </w:r>
      <w:bookmarkStart w:id="1290" w:name="_Toc283031897"/>
      <w:bookmarkStart w:id="1291" w:name="_Toc283376434"/>
      <w:bookmarkEnd w:id="1280"/>
      <w:bookmarkEnd w:id="1281"/>
    </w:p>
    <w:p w14:paraId="5B19D60C" w14:textId="77777777" w:rsidR="00277882" w:rsidRPr="00156EB6" w:rsidRDefault="00DA67E8" w:rsidP="003243FF">
      <w:pPr>
        <w:pStyle w:val="AppendixHead"/>
        <w:spacing w:after="0"/>
      </w:pPr>
      <w:bookmarkStart w:id="1292" w:name="_Toc471826853"/>
      <w:bookmarkStart w:id="1293" w:name="_Toc528323620"/>
      <w:bookmarkStart w:id="1294" w:name="_Toc333484824"/>
      <w:bookmarkStart w:id="1295" w:name="_Toc333484939"/>
      <w:bookmarkStart w:id="1296" w:name="_Toc351624891"/>
      <w:r w:rsidRPr="00BF16F9">
        <w:lastRenderedPageBreak/>
        <w:t xml:space="preserve">Appendix </w:t>
      </w:r>
      <w:r w:rsidR="00E85021" w:rsidRPr="00BF16F9">
        <w:t>5</w:t>
      </w:r>
      <w:r w:rsidRPr="00156EB6">
        <w:t xml:space="preserve">: </w:t>
      </w:r>
      <w:r w:rsidR="00277882" w:rsidRPr="00156EB6">
        <w:t xml:space="preserve">Drugs With Risk Of </w:t>
      </w:r>
      <w:proofErr w:type="spellStart"/>
      <w:r w:rsidR="00277882" w:rsidRPr="00156EB6">
        <w:t>Torsades</w:t>
      </w:r>
      <w:proofErr w:type="spellEnd"/>
      <w:r w:rsidR="00277882" w:rsidRPr="00156EB6">
        <w:t xml:space="preserve"> De Pointes</w:t>
      </w:r>
      <w:bookmarkEnd w:id="1292"/>
      <w:bookmarkEnd w:id="1293"/>
      <w:r w:rsidR="00277882" w:rsidRPr="00156EB6">
        <w:t xml:space="preserve"> </w:t>
      </w:r>
    </w:p>
    <w:p w14:paraId="09356F97" w14:textId="77777777" w:rsidR="003243FF" w:rsidRDefault="003243FF" w:rsidP="00D65C3A">
      <w:pPr>
        <w:autoSpaceDE w:val="0"/>
        <w:autoSpaceDN w:val="0"/>
        <w:adjustRightInd w:val="0"/>
        <w:rPr>
          <w:rFonts w:asciiTheme="majorHAnsi" w:hAnsiTheme="majorHAnsi" w:cstheme="majorHAnsi"/>
          <w:color w:val="0000FF"/>
          <w:sz w:val="22"/>
          <w:szCs w:val="22"/>
          <w:lang w:eastAsia="en-GB"/>
        </w:rPr>
      </w:pPr>
    </w:p>
    <w:p w14:paraId="3695BF4C" w14:textId="77777777" w:rsidR="00D65C3A" w:rsidRPr="00B774F5" w:rsidRDefault="00D65C3A" w:rsidP="00D65C3A">
      <w:pPr>
        <w:autoSpaceDE w:val="0"/>
        <w:autoSpaceDN w:val="0"/>
        <w:adjustRightInd w:val="0"/>
        <w:rPr>
          <w:rFonts w:ascii="Arial" w:hAnsi="Arial" w:cs="Arial"/>
          <w:sz w:val="22"/>
          <w:szCs w:val="22"/>
        </w:rPr>
      </w:pPr>
    </w:p>
    <w:p w14:paraId="779B816B" w14:textId="77777777" w:rsidR="00277882" w:rsidRPr="00B774F5" w:rsidRDefault="00277882" w:rsidP="00277882">
      <w:pPr>
        <w:pStyle w:val="Default"/>
        <w:rPr>
          <w:rFonts w:ascii="Arial" w:hAnsi="Arial" w:cs="Arial"/>
          <w:sz w:val="22"/>
          <w:szCs w:val="22"/>
        </w:rPr>
      </w:pPr>
      <w:r w:rsidRPr="00B774F5">
        <w:rPr>
          <w:rFonts w:ascii="Arial" w:hAnsi="Arial" w:cs="Arial"/>
          <w:sz w:val="22"/>
          <w:szCs w:val="22"/>
        </w:rPr>
        <w:t xml:space="preserve">Substantial evidence supports the conclusion that these drugs, when used as directed in labeling, can prolong the QT interval and can have a risk of </w:t>
      </w:r>
      <w:proofErr w:type="spellStart"/>
      <w:r w:rsidRPr="00B774F5">
        <w:rPr>
          <w:rFonts w:ascii="Arial" w:hAnsi="Arial" w:cs="Arial"/>
          <w:sz w:val="22"/>
          <w:szCs w:val="22"/>
        </w:rPr>
        <w:t>Torsades</w:t>
      </w:r>
      <w:proofErr w:type="spellEnd"/>
      <w:r w:rsidRPr="00B774F5">
        <w:rPr>
          <w:rFonts w:ascii="Arial" w:hAnsi="Arial" w:cs="Arial"/>
          <w:sz w:val="22"/>
          <w:szCs w:val="22"/>
        </w:rPr>
        <w:t xml:space="preserve"> de pointes (</w:t>
      </w:r>
      <w:proofErr w:type="spellStart"/>
      <w:r w:rsidRPr="00B774F5">
        <w:rPr>
          <w:rFonts w:ascii="Arial" w:hAnsi="Arial" w:cs="Arial"/>
          <w:sz w:val="22"/>
          <w:szCs w:val="22"/>
        </w:rPr>
        <w:t>TdP</w:t>
      </w:r>
      <w:proofErr w:type="spellEnd"/>
      <w:r w:rsidRPr="00B774F5">
        <w:rPr>
          <w:rFonts w:ascii="Arial" w:hAnsi="Arial" w:cs="Arial"/>
          <w:sz w:val="22"/>
          <w:szCs w:val="22"/>
        </w:rPr>
        <w:t>) in some patients</w:t>
      </w:r>
    </w:p>
    <w:p w14:paraId="23C0E600" w14:textId="77777777" w:rsidR="00A61853" w:rsidRPr="00B774F5" w:rsidRDefault="00A61853" w:rsidP="00277882">
      <w:pPr>
        <w:pStyle w:val="Default"/>
        <w:rPr>
          <w:rFonts w:ascii="Arial" w:hAnsi="Arial" w:cs="Arial"/>
          <w:sz w:val="22"/>
          <w:szCs w:val="22"/>
        </w:rPr>
      </w:pPr>
    </w:p>
    <w:p w14:paraId="3A4458DB" w14:textId="4C7440B4" w:rsidR="000C1CF5" w:rsidRPr="00B774F5" w:rsidRDefault="000C1CF5" w:rsidP="000C1CF5">
      <w:pPr>
        <w:autoSpaceDE w:val="0"/>
        <w:autoSpaceDN w:val="0"/>
        <w:adjustRightInd w:val="0"/>
        <w:rPr>
          <w:rFonts w:ascii="Times New Roman" w:hAnsi="Times New Roman"/>
          <w:color w:val="0000FF"/>
          <w:sz w:val="22"/>
          <w:szCs w:val="22"/>
          <w:lang w:eastAsia="en-GB"/>
        </w:rPr>
      </w:pPr>
      <w:r w:rsidRPr="00B774F5">
        <w:rPr>
          <w:rFonts w:ascii="Arial" w:hAnsi="Arial" w:cs="Arial"/>
          <w:sz w:val="22"/>
          <w:szCs w:val="22"/>
        </w:rPr>
        <w:t xml:space="preserve">This list was obtained from the Arizona Center for Education and Research on Therapeutics (AZCERT) website </w:t>
      </w:r>
      <w:r w:rsidRPr="00B774F5">
        <w:rPr>
          <w:rFonts w:asciiTheme="majorHAnsi" w:hAnsiTheme="majorHAnsi" w:cstheme="majorHAnsi"/>
          <w:color w:val="0000FF"/>
          <w:sz w:val="22"/>
          <w:szCs w:val="22"/>
          <w:lang w:eastAsia="en-GB"/>
        </w:rPr>
        <w:t xml:space="preserve">https://www.crediblemeds.org/ </w:t>
      </w:r>
      <w:r w:rsidR="00A21CF0">
        <w:rPr>
          <w:rFonts w:ascii="Arial" w:hAnsi="Arial" w:cs="Arial"/>
          <w:sz w:val="22"/>
          <w:szCs w:val="22"/>
        </w:rPr>
        <w:t>(last accessed 09 January 2017</w:t>
      </w:r>
      <w:r w:rsidRPr="00B774F5">
        <w:rPr>
          <w:rFonts w:ascii="Arial" w:hAnsi="Arial" w:cs="Arial"/>
          <w:sz w:val="22"/>
          <w:szCs w:val="22"/>
        </w:rPr>
        <w:t xml:space="preserve">). Please refer to the website for the most up-to-date information. </w:t>
      </w:r>
    </w:p>
    <w:p w14:paraId="6B118EA4" w14:textId="77777777" w:rsidR="00A61853" w:rsidRPr="003243FF" w:rsidRDefault="00A61853" w:rsidP="00277882">
      <w:pPr>
        <w:pStyle w:val="Default"/>
        <w:rPr>
          <w:rFonts w:ascii="Arial" w:hAnsi="Arial" w:cs="Arial"/>
          <w:sz w:val="20"/>
          <w:szCs w:val="20"/>
        </w:rPr>
      </w:pPr>
    </w:p>
    <w:p w14:paraId="01399253" w14:textId="5D7DFD97" w:rsidR="003243FF" w:rsidRDefault="00A61853" w:rsidP="00277882">
      <w:pPr>
        <w:pStyle w:val="Default"/>
        <w:rPr>
          <w:noProof/>
          <w:lang w:val="en-GB" w:eastAsia="en-GB"/>
        </w:rPr>
      </w:pPr>
      <w:r>
        <w:rPr>
          <w:noProof/>
          <w:lang w:val="en-GB" w:eastAsia="en-GB"/>
        </w:rPr>
        <w:t xml:space="preserve"> </w:t>
      </w:r>
    </w:p>
    <w:p w14:paraId="45767A79" w14:textId="16CEFC65" w:rsidR="00A21CF0" w:rsidRPr="005630CC" w:rsidRDefault="00A21CF0" w:rsidP="00277882">
      <w:pPr>
        <w:pStyle w:val="Default"/>
        <w:rPr>
          <w:rFonts w:ascii="Arial" w:hAnsi="Arial" w:cs="Arial"/>
          <w:sz w:val="22"/>
          <w:szCs w:val="22"/>
        </w:rPr>
      </w:pPr>
      <w:r>
        <w:rPr>
          <w:rFonts w:ascii="Arial" w:hAnsi="Arial" w:cs="Arial"/>
          <w:noProof/>
          <w:sz w:val="22"/>
          <w:szCs w:val="22"/>
          <w:lang w:val="en-GB" w:eastAsia="en-GB"/>
        </w:rPr>
        <w:drawing>
          <wp:inline distT="0" distB="0" distL="0" distR="0" wp14:anchorId="1DB57BCC" wp14:editId="19A87927">
            <wp:extent cx="6120130" cy="4772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ugs QT &amp; TDP Image 1.png"/>
                    <pic:cNvPicPr/>
                  </pic:nvPicPr>
                  <pic:blipFill>
                    <a:blip r:embed="rId178">
                      <a:extLst>
                        <a:ext uri="{28A0092B-C50C-407E-A947-70E740481C1C}">
                          <a14:useLocalDpi xmlns:a14="http://schemas.microsoft.com/office/drawing/2010/main" val="0"/>
                        </a:ext>
                      </a:extLst>
                    </a:blip>
                    <a:stretch>
                      <a:fillRect/>
                    </a:stretch>
                  </pic:blipFill>
                  <pic:spPr>
                    <a:xfrm>
                      <a:off x="0" y="0"/>
                      <a:ext cx="6120130" cy="4772025"/>
                    </a:xfrm>
                    <a:prstGeom prst="rect">
                      <a:avLst/>
                    </a:prstGeom>
                  </pic:spPr>
                </pic:pic>
              </a:graphicData>
            </a:graphic>
          </wp:inline>
        </w:drawing>
      </w:r>
    </w:p>
    <w:p w14:paraId="18AF344D" w14:textId="77777777" w:rsidR="00277882" w:rsidRDefault="00277882" w:rsidP="00277882">
      <w:pPr>
        <w:ind w:left="-284"/>
        <w:rPr>
          <w:sz w:val="16"/>
          <w:szCs w:val="16"/>
        </w:rPr>
      </w:pPr>
    </w:p>
    <w:p w14:paraId="14761FA7" w14:textId="77777777" w:rsidR="000C1CF5" w:rsidRPr="000C1CF5" w:rsidRDefault="000C1CF5" w:rsidP="00277882">
      <w:pPr>
        <w:ind w:left="-284"/>
        <w:rPr>
          <w:rFonts w:ascii="Arial" w:hAnsi="Arial" w:cs="Arial"/>
          <w:sz w:val="20"/>
          <w:szCs w:val="20"/>
        </w:rPr>
      </w:pPr>
      <w:r w:rsidRPr="000C1CF5">
        <w:rPr>
          <w:rFonts w:ascii="Arial" w:hAnsi="Arial" w:cs="Arial"/>
          <w:sz w:val="20"/>
          <w:szCs w:val="20"/>
        </w:rPr>
        <w:t>List continued on next page.</w:t>
      </w:r>
    </w:p>
    <w:p w14:paraId="12A9190F" w14:textId="77777777" w:rsidR="000C1CF5" w:rsidRDefault="000C1CF5" w:rsidP="00277882">
      <w:pPr>
        <w:ind w:left="-284"/>
        <w:rPr>
          <w:sz w:val="16"/>
          <w:szCs w:val="16"/>
        </w:rPr>
      </w:pPr>
    </w:p>
    <w:p w14:paraId="7C3305F0" w14:textId="77777777" w:rsidR="000C1CF5" w:rsidRPr="009B77DC" w:rsidRDefault="000C1CF5" w:rsidP="000C1CF5">
      <w:pPr>
        <w:ind w:left="-284"/>
      </w:pPr>
      <w:r>
        <w:rPr>
          <w:sz w:val="16"/>
          <w:szCs w:val="16"/>
        </w:rPr>
        <w:t>Source: www.QTdrugs.org</w:t>
      </w:r>
    </w:p>
    <w:p w14:paraId="4C77B432" w14:textId="77777777" w:rsidR="000C1CF5" w:rsidRDefault="000C1CF5" w:rsidP="00277882">
      <w:pPr>
        <w:ind w:left="-284"/>
        <w:rPr>
          <w:sz w:val="16"/>
          <w:szCs w:val="16"/>
        </w:rPr>
      </w:pPr>
    </w:p>
    <w:p w14:paraId="2748C8E5" w14:textId="776C8E14" w:rsidR="000C1CF5" w:rsidRDefault="00A21CF0" w:rsidP="00277882">
      <w:pPr>
        <w:ind w:left="-284"/>
        <w:rPr>
          <w:sz w:val="16"/>
          <w:szCs w:val="16"/>
        </w:rPr>
      </w:pPr>
      <w:r>
        <w:rPr>
          <w:noProof/>
          <w:sz w:val="16"/>
          <w:szCs w:val="16"/>
          <w:lang w:eastAsia="en-GB"/>
        </w:rPr>
        <w:lastRenderedPageBreak/>
        <w:drawing>
          <wp:inline distT="0" distB="0" distL="0" distR="0" wp14:anchorId="1A938703" wp14:editId="5B9A7EAD">
            <wp:extent cx="6120130" cy="481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ugs QT &amp; TDP Image 2.png"/>
                    <pic:cNvPicPr/>
                  </pic:nvPicPr>
                  <pic:blipFill>
                    <a:blip r:embed="rId179">
                      <a:extLst>
                        <a:ext uri="{28A0092B-C50C-407E-A947-70E740481C1C}">
                          <a14:useLocalDpi xmlns:a14="http://schemas.microsoft.com/office/drawing/2010/main" val="0"/>
                        </a:ext>
                      </a:extLst>
                    </a:blip>
                    <a:stretch>
                      <a:fillRect/>
                    </a:stretch>
                  </pic:blipFill>
                  <pic:spPr>
                    <a:xfrm>
                      <a:off x="0" y="0"/>
                      <a:ext cx="6120130" cy="4815840"/>
                    </a:xfrm>
                    <a:prstGeom prst="rect">
                      <a:avLst/>
                    </a:prstGeom>
                  </pic:spPr>
                </pic:pic>
              </a:graphicData>
            </a:graphic>
          </wp:inline>
        </w:drawing>
      </w:r>
    </w:p>
    <w:p w14:paraId="2E4FADCB" w14:textId="77777777" w:rsidR="000C1CF5" w:rsidRDefault="000C1CF5" w:rsidP="00277882">
      <w:pPr>
        <w:ind w:left="-284"/>
        <w:rPr>
          <w:sz w:val="16"/>
          <w:szCs w:val="16"/>
        </w:rPr>
      </w:pPr>
    </w:p>
    <w:p w14:paraId="41CB0BDA" w14:textId="77777777" w:rsidR="000C1CF5" w:rsidRDefault="000C1CF5" w:rsidP="00277882">
      <w:pPr>
        <w:ind w:left="-284"/>
        <w:rPr>
          <w:sz w:val="16"/>
          <w:szCs w:val="16"/>
        </w:rPr>
      </w:pPr>
    </w:p>
    <w:p w14:paraId="2592927F" w14:textId="77777777" w:rsidR="000C1CF5" w:rsidRDefault="000C1CF5" w:rsidP="00277882">
      <w:pPr>
        <w:ind w:left="-284"/>
        <w:rPr>
          <w:sz w:val="16"/>
          <w:szCs w:val="16"/>
        </w:rPr>
      </w:pPr>
    </w:p>
    <w:p w14:paraId="030AE5FC" w14:textId="77777777" w:rsidR="00277882" w:rsidRPr="009B77DC" w:rsidRDefault="00277882" w:rsidP="00277882">
      <w:pPr>
        <w:ind w:left="-284"/>
      </w:pPr>
      <w:r>
        <w:rPr>
          <w:sz w:val="16"/>
          <w:szCs w:val="16"/>
        </w:rPr>
        <w:t>Source: www.QTdrugs.org</w:t>
      </w:r>
    </w:p>
    <w:p w14:paraId="5425B1D6" w14:textId="77777777" w:rsidR="00BF2157" w:rsidRPr="003B3461" w:rsidRDefault="00277882" w:rsidP="003B3461">
      <w:pPr>
        <w:pStyle w:val="AppendixHead"/>
        <w:spacing w:after="0"/>
      </w:pPr>
      <w:bookmarkStart w:id="1297" w:name="_Toc471826854"/>
      <w:bookmarkStart w:id="1298" w:name="_Toc528323621"/>
      <w:r w:rsidRPr="00BF2157">
        <w:lastRenderedPageBreak/>
        <w:t>Appendix 6</w:t>
      </w:r>
      <w:r w:rsidR="00BF2157" w:rsidRPr="00BF2157">
        <w:t xml:space="preserve"> </w:t>
      </w:r>
      <w:r w:rsidR="00BF2157" w:rsidRPr="003B3461">
        <w:t>Meso - Modified RECIST criteria</w:t>
      </w:r>
      <w:bookmarkEnd w:id="1297"/>
      <w:bookmarkEnd w:id="1298"/>
    </w:p>
    <w:p w14:paraId="45244EEA" w14:textId="77777777" w:rsidR="003B3461" w:rsidRDefault="003B3461" w:rsidP="003B3461">
      <w:pPr>
        <w:jc w:val="both"/>
        <w:rPr>
          <w:rFonts w:ascii="Arial" w:hAnsi="Arial" w:cs="Arial"/>
          <w:sz w:val="22"/>
          <w:szCs w:val="22"/>
        </w:rPr>
      </w:pPr>
    </w:p>
    <w:p w14:paraId="1CF42E44" w14:textId="77777777" w:rsidR="00BF2157" w:rsidRPr="00622988" w:rsidRDefault="00BF2157" w:rsidP="003B3461">
      <w:pPr>
        <w:jc w:val="both"/>
        <w:rPr>
          <w:rFonts w:ascii="Arial" w:hAnsi="Arial" w:cs="Arial"/>
          <w:b/>
          <w:sz w:val="22"/>
          <w:szCs w:val="22"/>
        </w:rPr>
      </w:pPr>
      <w:r w:rsidRPr="00622988">
        <w:rPr>
          <w:rFonts w:ascii="Arial" w:hAnsi="Arial" w:cs="Arial"/>
          <w:b/>
          <w:sz w:val="22"/>
          <w:szCs w:val="22"/>
        </w:rPr>
        <w:t xml:space="preserve">Pleural </w:t>
      </w:r>
      <w:proofErr w:type="spellStart"/>
      <w:r w:rsidRPr="00622988">
        <w:rPr>
          <w:rFonts w:ascii="Arial" w:hAnsi="Arial" w:cs="Arial"/>
          <w:b/>
          <w:sz w:val="22"/>
          <w:szCs w:val="22"/>
        </w:rPr>
        <w:t>uni</w:t>
      </w:r>
      <w:proofErr w:type="spellEnd"/>
      <w:r w:rsidRPr="00622988">
        <w:rPr>
          <w:rFonts w:ascii="Arial" w:hAnsi="Arial" w:cs="Arial"/>
          <w:b/>
          <w:sz w:val="22"/>
          <w:szCs w:val="22"/>
        </w:rPr>
        <w:t>-dimensional lesions:</w:t>
      </w:r>
    </w:p>
    <w:p w14:paraId="5E9FB693" w14:textId="77777777" w:rsidR="003B3461" w:rsidRPr="003B3461" w:rsidRDefault="003B3461" w:rsidP="003B3461">
      <w:pPr>
        <w:jc w:val="both"/>
        <w:rPr>
          <w:rFonts w:ascii="Arial" w:hAnsi="Arial" w:cs="Arial"/>
          <w:sz w:val="22"/>
          <w:szCs w:val="22"/>
        </w:rPr>
      </w:pPr>
    </w:p>
    <w:p w14:paraId="302C175F" w14:textId="77777777" w:rsidR="00BF2157" w:rsidRPr="003B3461" w:rsidRDefault="00BF2157" w:rsidP="003B3461">
      <w:pPr>
        <w:pStyle w:val="ListParagraph"/>
        <w:numPr>
          <w:ilvl w:val="0"/>
          <w:numId w:val="52"/>
        </w:numPr>
        <w:jc w:val="both"/>
        <w:rPr>
          <w:rFonts w:ascii="Arial" w:hAnsi="Arial" w:cs="Arial"/>
          <w:sz w:val="22"/>
          <w:szCs w:val="22"/>
        </w:rPr>
      </w:pPr>
      <w:r w:rsidRPr="003B3461">
        <w:rPr>
          <w:rFonts w:ascii="Arial" w:hAnsi="Arial" w:cs="Arial"/>
          <w:sz w:val="22"/>
          <w:szCs w:val="22"/>
        </w:rPr>
        <w:t>Tumour thickness measurement should be made perpendicular to the chest wall or mediastinum</w:t>
      </w:r>
    </w:p>
    <w:p w14:paraId="2689558E" w14:textId="77777777" w:rsidR="00BF2157" w:rsidRPr="003B3461" w:rsidRDefault="00BF2157" w:rsidP="00EB71D3">
      <w:pPr>
        <w:pStyle w:val="ListParagraph"/>
        <w:numPr>
          <w:ilvl w:val="0"/>
          <w:numId w:val="52"/>
        </w:numPr>
        <w:jc w:val="both"/>
        <w:rPr>
          <w:rFonts w:ascii="Arial" w:hAnsi="Arial" w:cs="Arial"/>
          <w:sz w:val="22"/>
          <w:szCs w:val="22"/>
        </w:rPr>
      </w:pPr>
      <w:r w:rsidRPr="003B3461">
        <w:rPr>
          <w:rFonts w:ascii="Arial" w:hAnsi="Arial" w:cs="Arial"/>
          <w:sz w:val="22"/>
          <w:szCs w:val="22"/>
        </w:rPr>
        <w:t>Measurements should be taken at two positions at three separate levels on transverse cuts of the</w:t>
      </w:r>
      <w:r w:rsidR="003B3461" w:rsidRPr="003B3461">
        <w:rPr>
          <w:rFonts w:ascii="Arial" w:hAnsi="Arial" w:cs="Arial"/>
          <w:sz w:val="22"/>
          <w:szCs w:val="22"/>
        </w:rPr>
        <w:t xml:space="preserve"> </w:t>
      </w:r>
      <w:r w:rsidRPr="003B3461">
        <w:rPr>
          <w:rFonts w:ascii="Arial" w:hAnsi="Arial" w:cs="Arial"/>
          <w:sz w:val="22"/>
          <w:szCs w:val="22"/>
        </w:rPr>
        <w:t>CT scan</w:t>
      </w:r>
    </w:p>
    <w:p w14:paraId="7DA3EB58" w14:textId="77777777" w:rsidR="00BF2157" w:rsidRPr="003B3461" w:rsidRDefault="00BF2157" w:rsidP="00EB71D3">
      <w:pPr>
        <w:pStyle w:val="ListParagraph"/>
        <w:numPr>
          <w:ilvl w:val="0"/>
          <w:numId w:val="52"/>
        </w:numPr>
        <w:jc w:val="both"/>
        <w:rPr>
          <w:rFonts w:ascii="Arial" w:hAnsi="Arial" w:cs="Arial"/>
          <w:sz w:val="22"/>
          <w:szCs w:val="22"/>
        </w:rPr>
      </w:pPr>
      <w:r w:rsidRPr="003B3461">
        <w:rPr>
          <w:rFonts w:ascii="Arial" w:hAnsi="Arial" w:cs="Arial"/>
          <w:sz w:val="22"/>
          <w:szCs w:val="22"/>
        </w:rPr>
        <w:t>Transverse cuts should be at least 1cm apart and related to anatomical landmarks in the thorax</w:t>
      </w:r>
      <w:r w:rsidR="003B3461" w:rsidRPr="003B3461">
        <w:rPr>
          <w:rFonts w:ascii="Arial" w:hAnsi="Arial" w:cs="Arial"/>
          <w:sz w:val="22"/>
          <w:szCs w:val="22"/>
        </w:rPr>
        <w:t xml:space="preserve"> </w:t>
      </w:r>
      <w:r w:rsidRPr="003B3461">
        <w:rPr>
          <w:rFonts w:ascii="Arial" w:hAnsi="Arial" w:cs="Arial"/>
          <w:sz w:val="22"/>
          <w:szCs w:val="22"/>
        </w:rPr>
        <w:t>for reproducible assessments at later time points</w:t>
      </w:r>
    </w:p>
    <w:p w14:paraId="1488891B" w14:textId="77777777" w:rsidR="00BF2157" w:rsidRPr="003B3461" w:rsidRDefault="00BF2157" w:rsidP="00EB71D3">
      <w:pPr>
        <w:pStyle w:val="ListParagraph"/>
        <w:numPr>
          <w:ilvl w:val="0"/>
          <w:numId w:val="52"/>
        </w:numPr>
        <w:jc w:val="both"/>
        <w:rPr>
          <w:rFonts w:ascii="Arial" w:hAnsi="Arial" w:cs="Arial"/>
          <w:sz w:val="22"/>
          <w:szCs w:val="22"/>
        </w:rPr>
      </w:pPr>
      <w:r w:rsidRPr="003B3461">
        <w:rPr>
          <w:rFonts w:ascii="Arial" w:hAnsi="Arial" w:cs="Arial"/>
          <w:sz w:val="22"/>
          <w:szCs w:val="22"/>
        </w:rPr>
        <w:t>If measurable tumour is present, transverse cuts in the upper thorax above the main bronchi is</w:t>
      </w:r>
      <w:r w:rsidR="003B3461" w:rsidRPr="003B3461">
        <w:rPr>
          <w:rFonts w:ascii="Arial" w:hAnsi="Arial" w:cs="Arial"/>
          <w:sz w:val="22"/>
          <w:szCs w:val="22"/>
        </w:rPr>
        <w:t xml:space="preserve"> </w:t>
      </w:r>
      <w:r w:rsidRPr="003B3461">
        <w:rPr>
          <w:rFonts w:ascii="Arial" w:hAnsi="Arial" w:cs="Arial"/>
          <w:sz w:val="22"/>
          <w:szCs w:val="22"/>
        </w:rPr>
        <w:t>preferred</w:t>
      </w:r>
    </w:p>
    <w:p w14:paraId="55008748" w14:textId="77777777" w:rsidR="003B3461" w:rsidRDefault="003B3461" w:rsidP="003B3461">
      <w:pPr>
        <w:jc w:val="both"/>
        <w:rPr>
          <w:rFonts w:ascii="Arial" w:hAnsi="Arial" w:cs="Arial"/>
          <w:sz w:val="22"/>
          <w:szCs w:val="22"/>
        </w:rPr>
      </w:pPr>
    </w:p>
    <w:p w14:paraId="1052B106" w14:textId="77777777" w:rsidR="00386080" w:rsidRDefault="00386080" w:rsidP="00622988">
      <w:pPr>
        <w:jc w:val="center"/>
        <w:rPr>
          <w:rFonts w:ascii="Arial" w:hAnsi="Arial" w:cs="Arial"/>
          <w:sz w:val="22"/>
          <w:szCs w:val="22"/>
        </w:rPr>
      </w:pPr>
      <w:r>
        <w:rPr>
          <w:noProof/>
          <w:lang w:eastAsia="en-GB"/>
        </w:rPr>
        <w:drawing>
          <wp:inline distT="0" distB="0" distL="0" distR="0" wp14:anchorId="3311CA46" wp14:editId="4C89A88F">
            <wp:extent cx="4777483" cy="184935"/>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11249" t="7555" r="10662" b="88666"/>
                    <a:stretch/>
                  </pic:blipFill>
                  <pic:spPr bwMode="auto">
                    <a:xfrm>
                      <a:off x="0" y="0"/>
                      <a:ext cx="4779116" cy="1849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8145A94" wp14:editId="1FE3B76F">
            <wp:extent cx="3732307" cy="246579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32206" t="51330" r="28986" b="16620"/>
                    <a:stretch/>
                  </pic:blipFill>
                  <pic:spPr bwMode="auto">
                    <a:xfrm>
                      <a:off x="0" y="0"/>
                      <a:ext cx="3764104" cy="2486805"/>
                    </a:xfrm>
                    <a:prstGeom prst="rect">
                      <a:avLst/>
                    </a:prstGeom>
                    <a:ln>
                      <a:noFill/>
                    </a:ln>
                    <a:extLst>
                      <a:ext uri="{53640926-AAD7-44D8-BBD7-CCE9431645EC}">
                        <a14:shadowObscured xmlns:a14="http://schemas.microsoft.com/office/drawing/2010/main"/>
                      </a:ext>
                    </a:extLst>
                  </pic:spPr>
                </pic:pic>
              </a:graphicData>
            </a:graphic>
          </wp:inline>
        </w:drawing>
      </w:r>
    </w:p>
    <w:p w14:paraId="4F5DDAD1" w14:textId="77777777" w:rsidR="00622988" w:rsidRPr="00622988" w:rsidRDefault="00622988" w:rsidP="00622988">
      <w:pPr>
        <w:rPr>
          <w:rFonts w:asciiTheme="majorHAnsi" w:hAnsiTheme="majorHAnsi" w:cstheme="majorHAnsi"/>
          <w:color w:val="000000"/>
          <w:sz w:val="18"/>
          <w:szCs w:val="18"/>
          <w:shd w:val="clear" w:color="auto" w:fill="FFFFFF"/>
        </w:rPr>
      </w:pPr>
      <w:r w:rsidRPr="00622988">
        <w:rPr>
          <w:rFonts w:asciiTheme="majorHAnsi" w:hAnsiTheme="majorHAnsi" w:cstheme="majorHAnsi"/>
          <w:color w:val="000000"/>
          <w:sz w:val="18"/>
          <w:szCs w:val="18"/>
          <w:shd w:val="clear" w:color="auto" w:fill="FFFFFF"/>
        </w:rPr>
        <w:t>Lines represent suggested measurement sites perpendicular to fixed structures, chest wall and vertebral column, according to Modified RECIST criteria</w:t>
      </w:r>
    </w:p>
    <w:p w14:paraId="5EA06123" w14:textId="77777777" w:rsidR="00622988" w:rsidRDefault="00622988" w:rsidP="00622988">
      <w:pPr>
        <w:jc w:val="center"/>
        <w:rPr>
          <w:rFonts w:ascii="Arial" w:hAnsi="Arial" w:cs="Arial"/>
          <w:sz w:val="22"/>
          <w:szCs w:val="22"/>
        </w:rPr>
      </w:pPr>
    </w:p>
    <w:p w14:paraId="49BB540E" w14:textId="77777777" w:rsidR="00BF2157" w:rsidRPr="00622988" w:rsidRDefault="00BF2157" w:rsidP="003B3461">
      <w:pPr>
        <w:jc w:val="both"/>
        <w:rPr>
          <w:rFonts w:ascii="Arial" w:hAnsi="Arial" w:cs="Arial"/>
          <w:b/>
          <w:sz w:val="22"/>
          <w:szCs w:val="22"/>
        </w:rPr>
      </w:pPr>
      <w:r w:rsidRPr="00622988">
        <w:rPr>
          <w:rFonts w:ascii="Arial" w:hAnsi="Arial" w:cs="Arial"/>
          <w:b/>
          <w:sz w:val="22"/>
          <w:szCs w:val="22"/>
        </w:rPr>
        <w:t>Bi-dimensional lesions</w:t>
      </w:r>
    </w:p>
    <w:p w14:paraId="32947CD8" w14:textId="77777777" w:rsidR="003B3461" w:rsidRPr="003B3461" w:rsidRDefault="003B3461" w:rsidP="003B3461">
      <w:pPr>
        <w:pStyle w:val="ListParagraph"/>
        <w:jc w:val="both"/>
        <w:rPr>
          <w:rFonts w:ascii="Arial" w:hAnsi="Arial" w:cs="Arial"/>
          <w:sz w:val="22"/>
          <w:szCs w:val="22"/>
        </w:rPr>
      </w:pPr>
    </w:p>
    <w:p w14:paraId="0586498F" w14:textId="77777777" w:rsidR="00BF2157" w:rsidRPr="003B3461" w:rsidRDefault="00BF2157" w:rsidP="003B3461">
      <w:pPr>
        <w:pStyle w:val="ListParagraph"/>
        <w:numPr>
          <w:ilvl w:val="0"/>
          <w:numId w:val="52"/>
        </w:numPr>
        <w:jc w:val="both"/>
        <w:rPr>
          <w:rFonts w:ascii="Arial" w:hAnsi="Arial" w:cs="Arial"/>
          <w:sz w:val="22"/>
          <w:szCs w:val="22"/>
        </w:rPr>
      </w:pPr>
      <w:r w:rsidRPr="003B3461">
        <w:rPr>
          <w:rFonts w:ascii="Arial" w:hAnsi="Arial" w:cs="Arial"/>
          <w:sz w:val="22"/>
          <w:szCs w:val="22"/>
        </w:rPr>
        <w:t>To be measured according to RECIST 1.1</w:t>
      </w:r>
    </w:p>
    <w:p w14:paraId="0BC09352" w14:textId="77777777" w:rsidR="00BF2157" w:rsidRPr="003B3461" w:rsidRDefault="00BF2157" w:rsidP="00EB71D3">
      <w:pPr>
        <w:pStyle w:val="ListParagraph"/>
        <w:numPr>
          <w:ilvl w:val="0"/>
          <w:numId w:val="52"/>
        </w:numPr>
        <w:jc w:val="both"/>
        <w:rPr>
          <w:rFonts w:ascii="Arial" w:hAnsi="Arial" w:cs="Arial"/>
          <w:sz w:val="22"/>
          <w:szCs w:val="22"/>
        </w:rPr>
      </w:pPr>
      <w:r w:rsidRPr="003B3461">
        <w:rPr>
          <w:rFonts w:ascii="Arial" w:hAnsi="Arial" w:cs="Arial"/>
          <w:sz w:val="22"/>
          <w:szCs w:val="22"/>
        </w:rPr>
        <w:t xml:space="preserve"> A maximum of five lesions total (and a maximum of two lesions per organ) representative of all</w:t>
      </w:r>
      <w:r w:rsidR="003B3461" w:rsidRPr="003B3461">
        <w:rPr>
          <w:rFonts w:ascii="Arial" w:hAnsi="Arial" w:cs="Arial"/>
          <w:sz w:val="22"/>
          <w:szCs w:val="22"/>
        </w:rPr>
        <w:t xml:space="preserve"> </w:t>
      </w:r>
      <w:r w:rsidRPr="003B3461">
        <w:rPr>
          <w:rFonts w:ascii="Arial" w:hAnsi="Arial" w:cs="Arial"/>
          <w:sz w:val="22"/>
          <w:szCs w:val="22"/>
        </w:rPr>
        <w:t>involved organs should be identified. Target lesions should be selected on the basis of their size</w:t>
      </w:r>
      <w:r w:rsidR="003B3461" w:rsidRPr="003B3461">
        <w:rPr>
          <w:rFonts w:ascii="Arial" w:hAnsi="Arial" w:cs="Arial"/>
          <w:sz w:val="22"/>
          <w:szCs w:val="22"/>
        </w:rPr>
        <w:t xml:space="preserve"> </w:t>
      </w:r>
      <w:r w:rsidRPr="003B3461">
        <w:rPr>
          <w:rFonts w:ascii="Arial" w:hAnsi="Arial" w:cs="Arial"/>
          <w:sz w:val="22"/>
          <w:szCs w:val="22"/>
        </w:rPr>
        <w:t>(lesions with the longest diameter), be representative of all involved organs, but in addition should</w:t>
      </w:r>
      <w:r w:rsidR="003B3461" w:rsidRPr="003B3461">
        <w:rPr>
          <w:rFonts w:ascii="Arial" w:hAnsi="Arial" w:cs="Arial"/>
          <w:sz w:val="22"/>
          <w:szCs w:val="22"/>
        </w:rPr>
        <w:t xml:space="preserve"> </w:t>
      </w:r>
      <w:r w:rsidRPr="003B3461">
        <w:rPr>
          <w:rFonts w:ascii="Arial" w:hAnsi="Arial" w:cs="Arial"/>
          <w:sz w:val="22"/>
          <w:szCs w:val="22"/>
        </w:rPr>
        <w:t>be those that lend themselves to reproducible repeated measurements.</w:t>
      </w:r>
    </w:p>
    <w:p w14:paraId="75E0763F" w14:textId="77777777" w:rsidR="00BF2157" w:rsidRPr="003B3461" w:rsidRDefault="00BF2157" w:rsidP="00EB71D3">
      <w:pPr>
        <w:pStyle w:val="ListParagraph"/>
        <w:numPr>
          <w:ilvl w:val="0"/>
          <w:numId w:val="52"/>
        </w:numPr>
        <w:jc w:val="both"/>
        <w:rPr>
          <w:rFonts w:ascii="Arial" w:hAnsi="Arial" w:cs="Arial"/>
          <w:sz w:val="22"/>
          <w:szCs w:val="22"/>
        </w:rPr>
      </w:pPr>
      <w:r w:rsidRPr="003B3461">
        <w:rPr>
          <w:rFonts w:ascii="Arial" w:hAnsi="Arial" w:cs="Arial"/>
          <w:sz w:val="22"/>
          <w:szCs w:val="22"/>
        </w:rPr>
        <w:t>Must be accurately measured in at least one dimension (longest diameter in the plane of measurement</w:t>
      </w:r>
      <w:r w:rsidR="003B3461" w:rsidRPr="003B3461">
        <w:rPr>
          <w:rFonts w:ascii="Arial" w:hAnsi="Arial" w:cs="Arial"/>
          <w:sz w:val="22"/>
          <w:szCs w:val="22"/>
        </w:rPr>
        <w:t xml:space="preserve"> </w:t>
      </w:r>
      <w:r w:rsidRPr="003B3461">
        <w:rPr>
          <w:rFonts w:ascii="Arial" w:hAnsi="Arial" w:cs="Arial"/>
          <w:sz w:val="22"/>
          <w:szCs w:val="22"/>
        </w:rPr>
        <w:t>is to be recorded) with a minimum size of:</w:t>
      </w:r>
      <w:r w:rsidR="003B3461" w:rsidRPr="003B3461">
        <w:rPr>
          <w:rFonts w:ascii="Arial" w:hAnsi="Arial" w:cs="Arial"/>
          <w:sz w:val="22"/>
          <w:szCs w:val="22"/>
        </w:rPr>
        <w:t xml:space="preserve"> </w:t>
      </w:r>
      <w:r w:rsidRPr="003B3461">
        <w:rPr>
          <w:rFonts w:ascii="Arial" w:hAnsi="Arial" w:cs="Arial"/>
          <w:sz w:val="22"/>
          <w:szCs w:val="22"/>
        </w:rPr>
        <w:t>- 10 mm by CT scan (CT scan slice thickness no greater than 5 mm);</w:t>
      </w:r>
    </w:p>
    <w:p w14:paraId="3F253756" w14:textId="77777777" w:rsidR="00BF2157" w:rsidRPr="003B3461" w:rsidRDefault="00BF2157" w:rsidP="00EB71D3">
      <w:pPr>
        <w:pStyle w:val="ListParagraph"/>
        <w:numPr>
          <w:ilvl w:val="0"/>
          <w:numId w:val="52"/>
        </w:numPr>
        <w:jc w:val="both"/>
        <w:rPr>
          <w:rFonts w:ascii="Arial" w:hAnsi="Arial" w:cs="Arial"/>
          <w:sz w:val="22"/>
          <w:szCs w:val="22"/>
        </w:rPr>
      </w:pPr>
      <w:r w:rsidRPr="003B3461">
        <w:rPr>
          <w:rFonts w:ascii="Arial" w:hAnsi="Arial" w:cs="Arial"/>
          <w:sz w:val="22"/>
          <w:szCs w:val="22"/>
        </w:rPr>
        <w:t>Malignant lymph nodes: To be considered pathologically enlarged and measurable, a lymph node</w:t>
      </w:r>
      <w:r w:rsidR="003B3461" w:rsidRPr="003B3461">
        <w:rPr>
          <w:rFonts w:ascii="Arial" w:hAnsi="Arial" w:cs="Arial"/>
          <w:sz w:val="22"/>
          <w:szCs w:val="22"/>
        </w:rPr>
        <w:t xml:space="preserve"> </w:t>
      </w:r>
      <w:r w:rsidRPr="003B3461">
        <w:rPr>
          <w:rFonts w:ascii="Arial" w:hAnsi="Arial" w:cs="Arial"/>
          <w:sz w:val="22"/>
          <w:szCs w:val="22"/>
        </w:rPr>
        <w:t xml:space="preserve">must be </w:t>
      </w:r>
      <w:r w:rsidR="003B3461">
        <w:rPr>
          <w:rFonts w:ascii="Arial" w:hAnsi="Arial" w:cs="Arial"/>
          <w:sz w:val="22"/>
          <w:szCs w:val="22"/>
        </w:rPr>
        <w:t>≥</w:t>
      </w:r>
      <w:r w:rsidRPr="003B3461">
        <w:rPr>
          <w:rFonts w:ascii="Arial" w:hAnsi="Arial" w:cs="Arial"/>
          <w:sz w:val="22"/>
          <w:szCs w:val="22"/>
        </w:rPr>
        <w:t xml:space="preserve"> 15 mm in short axis when assessed by CT scan</w:t>
      </w:r>
    </w:p>
    <w:p w14:paraId="11C8C02D" w14:textId="77777777" w:rsidR="003B3461" w:rsidRDefault="003B3461" w:rsidP="003B3461">
      <w:pPr>
        <w:jc w:val="both"/>
        <w:rPr>
          <w:rFonts w:ascii="Arial" w:hAnsi="Arial" w:cs="Arial"/>
          <w:sz w:val="22"/>
          <w:szCs w:val="22"/>
        </w:rPr>
      </w:pPr>
    </w:p>
    <w:p w14:paraId="5D814155" w14:textId="77777777" w:rsidR="00BF2157" w:rsidRPr="00622988" w:rsidRDefault="00BF2157" w:rsidP="003B3461">
      <w:pPr>
        <w:jc w:val="both"/>
        <w:rPr>
          <w:rFonts w:ascii="Arial" w:hAnsi="Arial" w:cs="Arial"/>
          <w:b/>
          <w:sz w:val="22"/>
          <w:szCs w:val="22"/>
        </w:rPr>
      </w:pPr>
      <w:r w:rsidRPr="00622988">
        <w:rPr>
          <w:rFonts w:ascii="Arial" w:hAnsi="Arial" w:cs="Arial"/>
          <w:b/>
          <w:sz w:val="22"/>
          <w:szCs w:val="22"/>
        </w:rPr>
        <w:t>Non-measurable</w:t>
      </w:r>
    </w:p>
    <w:p w14:paraId="42B4428E" w14:textId="77777777" w:rsidR="003B3461" w:rsidRPr="003B3461" w:rsidRDefault="003B3461" w:rsidP="003B3461">
      <w:pPr>
        <w:jc w:val="both"/>
        <w:rPr>
          <w:rFonts w:ascii="Arial" w:hAnsi="Arial" w:cs="Arial"/>
          <w:sz w:val="22"/>
          <w:szCs w:val="22"/>
        </w:rPr>
      </w:pPr>
    </w:p>
    <w:p w14:paraId="186A11E9" w14:textId="77777777" w:rsidR="00BF2157" w:rsidRPr="003B3461" w:rsidRDefault="00BF2157" w:rsidP="003B3461">
      <w:pPr>
        <w:pStyle w:val="ListParagraph"/>
        <w:numPr>
          <w:ilvl w:val="0"/>
          <w:numId w:val="52"/>
        </w:numPr>
        <w:jc w:val="both"/>
        <w:rPr>
          <w:rFonts w:ascii="Arial" w:hAnsi="Arial" w:cs="Arial"/>
          <w:sz w:val="22"/>
          <w:szCs w:val="22"/>
        </w:rPr>
      </w:pPr>
      <w:r w:rsidRPr="003B3461">
        <w:rPr>
          <w:rFonts w:ascii="Arial" w:hAnsi="Arial" w:cs="Arial"/>
          <w:sz w:val="22"/>
          <w:szCs w:val="22"/>
        </w:rPr>
        <w:t>Pleural effusions are not considered measurable</w:t>
      </w:r>
    </w:p>
    <w:p w14:paraId="383DE6B2" w14:textId="77777777" w:rsidR="00BF2157" w:rsidRPr="003B3461" w:rsidRDefault="00BF2157" w:rsidP="003B3461">
      <w:pPr>
        <w:pStyle w:val="ListParagraph"/>
        <w:numPr>
          <w:ilvl w:val="0"/>
          <w:numId w:val="52"/>
        </w:numPr>
        <w:jc w:val="both"/>
        <w:rPr>
          <w:rFonts w:ascii="Arial" w:hAnsi="Arial" w:cs="Arial"/>
          <w:sz w:val="22"/>
          <w:szCs w:val="22"/>
        </w:rPr>
      </w:pPr>
      <w:r w:rsidRPr="003B3461">
        <w:rPr>
          <w:rFonts w:ascii="Arial" w:hAnsi="Arial" w:cs="Arial"/>
          <w:sz w:val="22"/>
          <w:szCs w:val="22"/>
        </w:rPr>
        <w:t>All other lesions, including small lesions (longest diameter &lt;10 mm or pathological lymph nodes</w:t>
      </w:r>
      <w:r w:rsidR="003B3461" w:rsidRPr="003B3461">
        <w:rPr>
          <w:rFonts w:ascii="Arial" w:hAnsi="Arial" w:cs="Arial"/>
          <w:sz w:val="22"/>
          <w:szCs w:val="22"/>
        </w:rPr>
        <w:t xml:space="preserve"> </w:t>
      </w:r>
      <w:r w:rsidRPr="003B3461">
        <w:rPr>
          <w:rFonts w:ascii="Arial" w:hAnsi="Arial" w:cs="Arial"/>
          <w:sz w:val="22"/>
          <w:szCs w:val="22"/>
        </w:rPr>
        <w:t xml:space="preserve">with </w:t>
      </w:r>
      <w:r w:rsidR="003B3461">
        <w:rPr>
          <w:rFonts w:ascii="Arial" w:hAnsi="Arial" w:cs="Arial"/>
          <w:sz w:val="22"/>
          <w:szCs w:val="22"/>
        </w:rPr>
        <w:t>≥</w:t>
      </w:r>
      <w:r w:rsidRPr="003B3461">
        <w:rPr>
          <w:rFonts w:ascii="Arial" w:hAnsi="Arial" w:cs="Arial"/>
          <w:sz w:val="22"/>
          <w:szCs w:val="22"/>
        </w:rPr>
        <w:t>10 to &lt;15 mm short axis) as well as truly non-measurable lesions.</w:t>
      </w:r>
    </w:p>
    <w:p w14:paraId="39C80658" w14:textId="77777777" w:rsidR="003B3461" w:rsidRDefault="003B3461" w:rsidP="003B3461">
      <w:pPr>
        <w:jc w:val="both"/>
        <w:rPr>
          <w:rFonts w:ascii="Arial" w:hAnsi="Arial" w:cs="Arial"/>
          <w:sz w:val="22"/>
          <w:szCs w:val="22"/>
        </w:rPr>
      </w:pPr>
    </w:p>
    <w:p w14:paraId="49A822FA" w14:textId="77777777" w:rsidR="00622988" w:rsidRPr="00622988" w:rsidRDefault="00622988" w:rsidP="003B3461">
      <w:pPr>
        <w:jc w:val="both"/>
        <w:rPr>
          <w:rFonts w:ascii="Arial" w:hAnsi="Arial" w:cs="Arial"/>
          <w:b/>
          <w:sz w:val="22"/>
          <w:szCs w:val="22"/>
        </w:rPr>
      </w:pPr>
      <w:r>
        <w:rPr>
          <w:rFonts w:ascii="Arial" w:hAnsi="Arial" w:cs="Arial"/>
          <w:sz w:val="22"/>
          <w:szCs w:val="22"/>
        </w:rPr>
        <w:t xml:space="preserve">The </w:t>
      </w:r>
      <w:proofErr w:type="spellStart"/>
      <w:r>
        <w:rPr>
          <w:rFonts w:ascii="Arial" w:hAnsi="Arial" w:cs="Arial"/>
          <w:sz w:val="22"/>
          <w:szCs w:val="22"/>
        </w:rPr>
        <w:t>uni</w:t>
      </w:r>
      <w:proofErr w:type="spellEnd"/>
      <w:r>
        <w:rPr>
          <w:rFonts w:ascii="Arial" w:hAnsi="Arial" w:cs="Arial"/>
          <w:sz w:val="22"/>
          <w:szCs w:val="22"/>
        </w:rPr>
        <w:t>-</w:t>
      </w:r>
      <w:r w:rsidRPr="00622988">
        <w:rPr>
          <w:rFonts w:ascii="Arial" w:hAnsi="Arial" w:cs="Arial"/>
          <w:sz w:val="22"/>
          <w:szCs w:val="22"/>
        </w:rPr>
        <w:t xml:space="preserve"> </w:t>
      </w:r>
      <w:r w:rsidRPr="003B3461">
        <w:rPr>
          <w:rFonts w:ascii="Arial" w:hAnsi="Arial" w:cs="Arial"/>
          <w:sz w:val="22"/>
          <w:szCs w:val="22"/>
        </w:rPr>
        <w:t xml:space="preserve">dimensional </w:t>
      </w:r>
      <w:r>
        <w:rPr>
          <w:rFonts w:ascii="Arial" w:hAnsi="Arial" w:cs="Arial"/>
          <w:sz w:val="22"/>
          <w:szCs w:val="22"/>
        </w:rPr>
        <w:t>and b</w:t>
      </w:r>
      <w:r w:rsidRPr="003B3461">
        <w:rPr>
          <w:rFonts w:ascii="Arial" w:hAnsi="Arial" w:cs="Arial"/>
          <w:sz w:val="22"/>
          <w:szCs w:val="22"/>
        </w:rPr>
        <w:t>i-dimensional</w:t>
      </w:r>
      <w:r>
        <w:rPr>
          <w:rFonts w:ascii="Arial" w:hAnsi="Arial" w:cs="Arial"/>
          <w:sz w:val="22"/>
          <w:szCs w:val="22"/>
        </w:rPr>
        <w:t xml:space="preserve"> </w:t>
      </w:r>
      <w:r w:rsidR="00804A82">
        <w:rPr>
          <w:rFonts w:ascii="Arial" w:hAnsi="Arial" w:cs="Arial"/>
          <w:sz w:val="22"/>
          <w:szCs w:val="22"/>
        </w:rPr>
        <w:t>measurements</w:t>
      </w:r>
      <w:r>
        <w:rPr>
          <w:rFonts w:ascii="Arial" w:hAnsi="Arial" w:cs="Arial"/>
          <w:sz w:val="22"/>
          <w:szCs w:val="22"/>
        </w:rPr>
        <w:t xml:space="preserve"> are summated to produce the </w:t>
      </w:r>
      <w:r w:rsidRPr="00622988">
        <w:rPr>
          <w:rFonts w:ascii="Arial" w:hAnsi="Arial" w:cs="Arial"/>
          <w:b/>
          <w:sz w:val="22"/>
          <w:szCs w:val="22"/>
        </w:rPr>
        <w:t>total tumour burden</w:t>
      </w:r>
      <w:r>
        <w:rPr>
          <w:rFonts w:ascii="Arial" w:hAnsi="Arial" w:cs="Arial"/>
          <w:b/>
          <w:sz w:val="22"/>
          <w:szCs w:val="22"/>
        </w:rPr>
        <w:t>.</w:t>
      </w:r>
    </w:p>
    <w:p w14:paraId="5252B5D3" w14:textId="77777777" w:rsidR="003B3461" w:rsidRDefault="003B3461" w:rsidP="003B3461">
      <w:pPr>
        <w:jc w:val="both"/>
        <w:rPr>
          <w:rFonts w:ascii="Arial" w:hAnsi="Arial" w:cs="Arial"/>
          <w:sz w:val="22"/>
          <w:szCs w:val="22"/>
        </w:rPr>
      </w:pPr>
    </w:p>
    <w:p w14:paraId="4A1633CC" w14:textId="77777777" w:rsidR="00622988" w:rsidRDefault="00622988" w:rsidP="003B3461">
      <w:pPr>
        <w:jc w:val="both"/>
        <w:rPr>
          <w:rFonts w:ascii="Arial" w:hAnsi="Arial" w:cs="Arial"/>
          <w:sz w:val="22"/>
          <w:szCs w:val="22"/>
        </w:rPr>
      </w:pPr>
    </w:p>
    <w:p w14:paraId="50CDF246" w14:textId="77777777" w:rsidR="00622988" w:rsidRDefault="00622988" w:rsidP="003B3461">
      <w:pPr>
        <w:jc w:val="both"/>
        <w:rPr>
          <w:rFonts w:ascii="Arial" w:hAnsi="Arial" w:cs="Arial"/>
          <w:b/>
          <w:sz w:val="22"/>
          <w:szCs w:val="22"/>
        </w:rPr>
      </w:pPr>
      <w:r w:rsidRPr="005F130C">
        <w:rPr>
          <w:rFonts w:ascii="Arial" w:hAnsi="Arial" w:cs="Arial"/>
          <w:b/>
          <w:sz w:val="22"/>
          <w:szCs w:val="22"/>
        </w:rPr>
        <w:t>Assessment of tumour response</w:t>
      </w:r>
    </w:p>
    <w:p w14:paraId="07D4471E" w14:textId="77777777" w:rsidR="005F130C" w:rsidRPr="005F130C" w:rsidRDefault="005F130C" w:rsidP="003B3461">
      <w:pPr>
        <w:jc w:val="both"/>
        <w:rPr>
          <w:rFonts w:ascii="Arial" w:hAnsi="Arial" w:cs="Arial"/>
          <w:b/>
          <w:sz w:val="22"/>
          <w:szCs w:val="22"/>
        </w:rPr>
      </w:pPr>
    </w:p>
    <w:p w14:paraId="75B8FBA6" w14:textId="77777777" w:rsidR="00622988" w:rsidRDefault="00622988" w:rsidP="00804A82">
      <w:pPr>
        <w:jc w:val="both"/>
        <w:rPr>
          <w:rFonts w:ascii="Arial" w:hAnsi="Arial" w:cs="Arial"/>
          <w:lang w:eastAsia="en-GB"/>
        </w:rPr>
      </w:pPr>
      <w:r w:rsidRPr="00804A82">
        <w:rPr>
          <w:rFonts w:ascii="Arial" w:hAnsi="Arial" w:cs="Arial"/>
          <w:sz w:val="22"/>
          <w:szCs w:val="22"/>
        </w:rPr>
        <w:t>Tumour response for modified RECIST criteria is defined as:</w:t>
      </w:r>
    </w:p>
    <w:p w14:paraId="549B0085" w14:textId="77777777" w:rsidR="00622988" w:rsidRDefault="00622988" w:rsidP="005F130C">
      <w:pPr>
        <w:widowControl w:val="0"/>
        <w:rPr>
          <w:rFonts w:ascii="Times New Roman" w:hAnsi="Times New Roman"/>
          <w:lang w:eastAsia="en-GB"/>
        </w:rPr>
      </w:pPr>
      <w:r>
        <w:rPr>
          <w:noProof/>
          <w:lang w:eastAsia="en-GB"/>
        </w:rPr>
        <mc:AlternateContent>
          <mc:Choice Requires="wps">
            <w:drawing>
              <wp:anchor distT="36576" distB="36576" distL="36576" distR="36576" simplePos="0" relativeHeight="251665408" behindDoc="0" locked="0" layoutInCell="1" allowOverlap="1" wp14:anchorId="7E00E4BA" wp14:editId="0353B7BF">
                <wp:simplePos x="0" y="0"/>
                <wp:positionH relativeFrom="column">
                  <wp:posOffset>899795</wp:posOffset>
                </wp:positionH>
                <wp:positionV relativeFrom="paragraph">
                  <wp:posOffset>2087880</wp:posOffset>
                </wp:positionV>
                <wp:extent cx="6047740" cy="2714625"/>
                <wp:effectExtent l="4445" t="1905"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47740" cy="27146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999F3" id="Rectangle 16" o:spid="_x0000_s1026" style="position:absolute;margin-left:70.85pt;margin-top:164.4pt;width:476.2pt;height:213.7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" filled="f" stroked="f" insetpen="t">
                <v:shadow color="#dcd6d4"/>
                <o:lock v:ext="edit" shapetype="t"/>
                <v:textbox inset="0,0,0,0"/>
              </v:rect>
            </w:pict>
          </mc:Fallback>
        </mc:AlternateContent>
      </w:r>
    </w:p>
    <w:tbl>
      <w:tblPr>
        <w:tblW w:w="9524" w:type="dxa"/>
        <w:tblCellMar>
          <w:left w:w="0" w:type="dxa"/>
          <w:right w:w="0" w:type="dxa"/>
        </w:tblCellMar>
        <w:tblLook w:val="04A0" w:firstRow="1" w:lastRow="0" w:firstColumn="1" w:lastColumn="0" w:noHBand="0" w:noVBand="1"/>
      </w:tblPr>
      <w:tblGrid>
        <w:gridCol w:w="1361"/>
        <w:gridCol w:w="8163"/>
      </w:tblGrid>
      <w:tr w:rsidR="00622988" w:rsidRPr="00804A82" w14:paraId="5C1FDA7A" w14:textId="77777777" w:rsidTr="00622988">
        <w:trPr>
          <w:trHeight w:val="537"/>
        </w:trPr>
        <w:tc>
          <w:tcPr>
            <w:tcW w:w="1361" w:type="dxa"/>
            <w:tcBorders>
              <w:top w:val="single" w:sz="8" w:space="0" w:color="212120"/>
              <w:left w:val="single" w:sz="8" w:space="0" w:color="212120"/>
              <w:bottom w:val="single" w:sz="4" w:space="0" w:color="212120"/>
              <w:right w:val="single" w:sz="4" w:space="0" w:color="212120"/>
            </w:tcBorders>
            <w:tcMar>
              <w:top w:w="58" w:type="dxa"/>
              <w:left w:w="58" w:type="dxa"/>
              <w:bottom w:w="58" w:type="dxa"/>
              <w:right w:w="58" w:type="dxa"/>
            </w:tcMar>
            <w:hideMark/>
          </w:tcPr>
          <w:p w14:paraId="596FD9D6" w14:textId="77777777" w:rsidR="00622988" w:rsidRPr="00804A82" w:rsidRDefault="00622988">
            <w:pPr>
              <w:widowControl w:val="0"/>
              <w:jc w:val="center"/>
              <w:rPr>
                <w:rFonts w:ascii="Arial" w:hAnsi="Arial" w:cs="Arial"/>
                <w:b/>
                <w:bCs/>
                <w:color w:val="212120"/>
                <w:kern w:val="28"/>
                <w:sz w:val="22"/>
                <w:szCs w:val="22"/>
                <w14:cntxtAlts/>
              </w:rPr>
            </w:pPr>
            <w:r w:rsidRPr="00804A82">
              <w:rPr>
                <w:rFonts w:ascii="Arial" w:hAnsi="Arial" w:cs="Arial"/>
                <w:b/>
                <w:bCs/>
                <w:sz w:val="22"/>
                <w:szCs w:val="22"/>
              </w:rPr>
              <w:t>Response</w:t>
            </w:r>
          </w:p>
        </w:tc>
        <w:tc>
          <w:tcPr>
            <w:tcW w:w="8164" w:type="dxa"/>
            <w:tcBorders>
              <w:top w:val="single" w:sz="8" w:space="0" w:color="212120"/>
              <w:left w:val="single" w:sz="4" w:space="0" w:color="212120"/>
              <w:bottom w:val="single" w:sz="4" w:space="0" w:color="212120"/>
              <w:right w:val="single" w:sz="8" w:space="0" w:color="212120"/>
            </w:tcBorders>
            <w:tcMar>
              <w:top w:w="58" w:type="dxa"/>
              <w:left w:w="58" w:type="dxa"/>
              <w:bottom w:w="58" w:type="dxa"/>
              <w:right w:w="58" w:type="dxa"/>
            </w:tcMar>
            <w:hideMark/>
          </w:tcPr>
          <w:p w14:paraId="3304D9AF" w14:textId="77777777" w:rsidR="00622988" w:rsidRPr="00804A82" w:rsidRDefault="00622988">
            <w:pPr>
              <w:widowControl w:val="0"/>
              <w:jc w:val="center"/>
              <w:rPr>
                <w:rFonts w:ascii="Arial" w:hAnsi="Arial" w:cs="Arial"/>
                <w:b/>
                <w:bCs/>
                <w:sz w:val="22"/>
                <w:szCs w:val="22"/>
              </w:rPr>
            </w:pPr>
            <w:r w:rsidRPr="00804A82">
              <w:rPr>
                <w:rFonts w:ascii="Arial" w:hAnsi="Arial" w:cs="Arial"/>
                <w:b/>
                <w:bCs/>
                <w:sz w:val="22"/>
                <w:szCs w:val="22"/>
              </w:rPr>
              <w:t>Response Parameters</w:t>
            </w:r>
          </w:p>
        </w:tc>
      </w:tr>
      <w:tr w:rsidR="00622988" w:rsidRPr="00804A82" w14:paraId="324B4FF5" w14:textId="77777777" w:rsidTr="00804A82">
        <w:trPr>
          <w:trHeight w:val="746"/>
        </w:trPr>
        <w:tc>
          <w:tcPr>
            <w:tcW w:w="1361" w:type="dxa"/>
            <w:tcBorders>
              <w:top w:val="single" w:sz="4" w:space="0" w:color="212120"/>
              <w:left w:val="single" w:sz="8" w:space="0" w:color="212120"/>
              <w:bottom w:val="single" w:sz="4" w:space="0" w:color="212120"/>
              <w:right w:val="single" w:sz="4" w:space="0" w:color="212120"/>
            </w:tcBorders>
            <w:tcMar>
              <w:top w:w="58" w:type="dxa"/>
              <w:left w:w="58" w:type="dxa"/>
              <w:bottom w:w="58" w:type="dxa"/>
              <w:right w:w="58" w:type="dxa"/>
            </w:tcMar>
            <w:vAlign w:val="center"/>
            <w:hideMark/>
          </w:tcPr>
          <w:p w14:paraId="4D0D543C" w14:textId="77777777" w:rsidR="00622988" w:rsidRPr="00804A82" w:rsidRDefault="00622988" w:rsidP="00804A82">
            <w:pPr>
              <w:widowControl w:val="0"/>
              <w:rPr>
                <w:rFonts w:ascii="Arial" w:hAnsi="Arial" w:cs="Arial"/>
                <w:sz w:val="22"/>
                <w:szCs w:val="22"/>
              </w:rPr>
            </w:pPr>
            <w:r w:rsidRPr="00804A82">
              <w:rPr>
                <w:rFonts w:ascii="Arial" w:hAnsi="Arial" w:cs="Arial"/>
                <w:sz w:val="22"/>
                <w:szCs w:val="22"/>
              </w:rPr>
              <w:t>CR</w:t>
            </w:r>
          </w:p>
        </w:tc>
        <w:tc>
          <w:tcPr>
            <w:tcW w:w="8164" w:type="dxa"/>
            <w:tcBorders>
              <w:top w:val="single" w:sz="4" w:space="0" w:color="212120"/>
              <w:left w:val="single" w:sz="4" w:space="0" w:color="212120"/>
              <w:bottom w:val="single" w:sz="4" w:space="0" w:color="212120"/>
              <w:right w:val="single" w:sz="8" w:space="0" w:color="212120"/>
            </w:tcBorders>
            <w:tcMar>
              <w:top w:w="58" w:type="dxa"/>
              <w:left w:w="58" w:type="dxa"/>
              <w:bottom w:w="58" w:type="dxa"/>
              <w:right w:w="58" w:type="dxa"/>
            </w:tcMar>
            <w:vAlign w:val="center"/>
            <w:hideMark/>
          </w:tcPr>
          <w:p w14:paraId="13655A71" w14:textId="77777777" w:rsidR="00622988" w:rsidRPr="00804A82" w:rsidRDefault="00622988" w:rsidP="00804A82">
            <w:pPr>
              <w:widowControl w:val="0"/>
              <w:rPr>
                <w:rFonts w:ascii="Arial" w:hAnsi="Arial" w:cs="Arial"/>
                <w:sz w:val="22"/>
                <w:szCs w:val="22"/>
              </w:rPr>
            </w:pPr>
            <w:r w:rsidRPr="00804A82">
              <w:rPr>
                <w:rFonts w:ascii="Arial" w:hAnsi="Arial" w:cs="Arial"/>
                <w:sz w:val="22"/>
                <w:szCs w:val="22"/>
              </w:rPr>
              <w:t>Complete disap</w:t>
            </w:r>
            <w:r w:rsidR="00804A82">
              <w:rPr>
                <w:rFonts w:ascii="Arial" w:hAnsi="Arial" w:cs="Arial"/>
                <w:sz w:val="22"/>
                <w:szCs w:val="22"/>
              </w:rPr>
              <w:t xml:space="preserve">pearance of all target lesions </w:t>
            </w:r>
            <w:r w:rsidRPr="00804A82">
              <w:rPr>
                <w:rFonts w:ascii="Arial" w:hAnsi="Arial" w:cs="Arial"/>
                <w:sz w:val="22"/>
                <w:szCs w:val="22"/>
              </w:rPr>
              <w:t xml:space="preserve">with no evidence of tumour elsewhere. </w:t>
            </w:r>
          </w:p>
        </w:tc>
      </w:tr>
      <w:tr w:rsidR="00622988" w:rsidRPr="00804A82" w14:paraId="61C53DDE" w14:textId="77777777" w:rsidTr="00804A82">
        <w:trPr>
          <w:trHeight w:val="487"/>
        </w:trPr>
        <w:tc>
          <w:tcPr>
            <w:tcW w:w="1361" w:type="dxa"/>
            <w:tcBorders>
              <w:top w:val="single" w:sz="4" w:space="0" w:color="212120"/>
              <w:left w:val="single" w:sz="8" w:space="0" w:color="212120"/>
              <w:bottom w:val="single" w:sz="4" w:space="0" w:color="212120"/>
              <w:right w:val="single" w:sz="4" w:space="0" w:color="212120"/>
            </w:tcBorders>
            <w:tcMar>
              <w:top w:w="58" w:type="dxa"/>
              <w:left w:w="58" w:type="dxa"/>
              <w:bottom w:w="58" w:type="dxa"/>
              <w:right w:w="58" w:type="dxa"/>
            </w:tcMar>
            <w:vAlign w:val="center"/>
            <w:hideMark/>
          </w:tcPr>
          <w:p w14:paraId="0E47389B" w14:textId="77777777" w:rsidR="00622988" w:rsidRPr="00804A82" w:rsidRDefault="00622988" w:rsidP="00804A82">
            <w:pPr>
              <w:widowControl w:val="0"/>
              <w:rPr>
                <w:rFonts w:ascii="Arial" w:hAnsi="Arial" w:cs="Arial"/>
                <w:sz w:val="22"/>
                <w:szCs w:val="22"/>
              </w:rPr>
            </w:pPr>
            <w:r w:rsidRPr="00804A82">
              <w:rPr>
                <w:rFonts w:ascii="Arial" w:hAnsi="Arial" w:cs="Arial"/>
                <w:sz w:val="22"/>
                <w:szCs w:val="22"/>
              </w:rPr>
              <w:t>PR</w:t>
            </w:r>
          </w:p>
        </w:tc>
        <w:tc>
          <w:tcPr>
            <w:tcW w:w="8164" w:type="dxa"/>
            <w:tcBorders>
              <w:top w:val="single" w:sz="4" w:space="0" w:color="212120"/>
              <w:left w:val="single" w:sz="4" w:space="0" w:color="212120"/>
              <w:bottom w:val="single" w:sz="4" w:space="0" w:color="212120"/>
              <w:right w:val="single" w:sz="8" w:space="0" w:color="212120"/>
            </w:tcBorders>
            <w:tcMar>
              <w:top w:w="58" w:type="dxa"/>
              <w:left w:w="58" w:type="dxa"/>
              <w:bottom w:w="58" w:type="dxa"/>
              <w:right w:w="58" w:type="dxa"/>
            </w:tcMar>
            <w:vAlign w:val="center"/>
            <w:hideMark/>
          </w:tcPr>
          <w:p w14:paraId="5D535A8A" w14:textId="77777777" w:rsidR="00622988" w:rsidRPr="00804A82" w:rsidRDefault="00622988" w:rsidP="00804A82">
            <w:pPr>
              <w:widowControl w:val="0"/>
              <w:rPr>
                <w:rFonts w:ascii="Arial" w:hAnsi="Arial" w:cs="Arial"/>
                <w:sz w:val="22"/>
                <w:szCs w:val="22"/>
              </w:rPr>
            </w:pPr>
            <w:r w:rsidRPr="00804A82">
              <w:rPr>
                <w:rFonts w:ascii="Arial" w:hAnsi="Arial" w:cs="Arial"/>
                <w:sz w:val="22"/>
                <w:szCs w:val="22"/>
              </w:rPr>
              <w:t>A ≥30% reduction in the total tumour measurement</w:t>
            </w:r>
          </w:p>
        </w:tc>
      </w:tr>
      <w:tr w:rsidR="00622988" w:rsidRPr="00804A82" w14:paraId="46F74FB9" w14:textId="77777777" w:rsidTr="00804A82">
        <w:trPr>
          <w:trHeight w:val="1367"/>
        </w:trPr>
        <w:tc>
          <w:tcPr>
            <w:tcW w:w="1361" w:type="dxa"/>
            <w:tcBorders>
              <w:top w:val="single" w:sz="4" w:space="0" w:color="212120"/>
              <w:left w:val="single" w:sz="8" w:space="0" w:color="212120"/>
              <w:bottom w:val="single" w:sz="4" w:space="0" w:color="212120"/>
              <w:right w:val="single" w:sz="4" w:space="0" w:color="212120"/>
            </w:tcBorders>
            <w:tcMar>
              <w:top w:w="58" w:type="dxa"/>
              <w:left w:w="58" w:type="dxa"/>
              <w:bottom w:w="58" w:type="dxa"/>
              <w:right w:w="58" w:type="dxa"/>
            </w:tcMar>
            <w:vAlign w:val="center"/>
            <w:hideMark/>
          </w:tcPr>
          <w:p w14:paraId="66E35067" w14:textId="77777777" w:rsidR="00622988" w:rsidRPr="00804A82" w:rsidRDefault="00622988" w:rsidP="00804A82">
            <w:pPr>
              <w:widowControl w:val="0"/>
              <w:rPr>
                <w:rFonts w:ascii="Arial" w:hAnsi="Arial" w:cs="Arial"/>
                <w:sz w:val="22"/>
                <w:szCs w:val="22"/>
              </w:rPr>
            </w:pPr>
            <w:r w:rsidRPr="00804A82">
              <w:rPr>
                <w:rFonts w:ascii="Arial" w:hAnsi="Arial" w:cs="Arial"/>
                <w:sz w:val="22"/>
                <w:szCs w:val="22"/>
              </w:rPr>
              <w:t>PD</w:t>
            </w:r>
          </w:p>
        </w:tc>
        <w:tc>
          <w:tcPr>
            <w:tcW w:w="8164" w:type="dxa"/>
            <w:tcBorders>
              <w:top w:val="single" w:sz="4" w:space="0" w:color="212120"/>
              <w:left w:val="single" w:sz="4" w:space="0" w:color="212120"/>
              <w:bottom w:val="single" w:sz="4" w:space="0" w:color="212120"/>
              <w:right w:val="single" w:sz="8" w:space="0" w:color="212120"/>
            </w:tcBorders>
            <w:tcMar>
              <w:top w:w="58" w:type="dxa"/>
              <w:left w:w="58" w:type="dxa"/>
              <w:bottom w:w="58" w:type="dxa"/>
              <w:right w:w="58" w:type="dxa"/>
            </w:tcMar>
            <w:vAlign w:val="center"/>
            <w:hideMark/>
          </w:tcPr>
          <w:p w14:paraId="7E35367B" w14:textId="5A59BACA" w:rsidR="004D7C6B" w:rsidRDefault="00622988" w:rsidP="00804A82">
            <w:pPr>
              <w:widowControl w:val="0"/>
              <w:rPr>
                <w:rFonts w:ascii="Arial" w:hAnsi="Arial" w:cs="Arial"/>
                <w:sz w:val="22"/>
                <w:szCs w:val="22"/>
              </w:rPr>
            </w:pPr>
            <w:r w:rsidRPr="00804A82">
              <w:rPr>
                <w:rFonts w:ascii="Arial" w:hAnsi="Arial" w:cs="Arial"/>
                <w:sz w:val="22"/>
                <w:szCs w:val="22"/>
              </w:rPr>
              <w:t>An increase of at least 20% in the total tumour measurement against the nadir measurement</w:t>
            </w:r>
            <w:r w:rsidR="004D7C6B">
              <w:rPr>
                <w:rFonts w:ascii="Arial" w:hAnsi="Arial" w:cs="Arial"/>
                <w:sz w:val="22"/>
                <w:szCs w:val="22"/>
              </w:rPr>
              <w:t xml:space="preserve"> </w:t>
            </w:r>
            <w:r w:rsidR="000B7167">
              <w:rPr>
                <w:rFonts w:ascii="Arial" w:hAnsi="Arial" w:cs="Arial"/>
                <w:sz w:val="22"/>
                <w:szCs w:val="22"/>
              </w:rPr>
              <w:t xml:space="preserve">(the smallest sum on the study), </w:t>
            </w:r>
            <w:r w:rsidR="000B7167" w:rsidRPr="004D7C6B">
              <w:rPr>
                <w:rFonts w:ascii="Arial" w:hAnsi="Arial" w:cs="Arial"/>
                <w:sz w:val="22"/>
                <w:szCs w:val="22"/>
              </w:rPr>
              <w:t>plus an absolute increase of at least 5 mm</w:t>
            </w:r>
          </w:p>
          <w:p w14:paraId="38F7912C" w14:textId="77777777" w:rsidR="00622988" w:rsidRPr="00804A82" w:rsidRDefault="00622988" w:rsidP="00427465">
            <w:pPr>
              <w:widowControl w:val="0"/>
              <w:rPr>
                <w:rFonts w:ascii="Arial" w:hAnsi="Arial" w:cs="Arial"/>
                <w:sz w:val="22"/>
                <w:szCs w:val="22"/>
              </w:rPr>
            </w:pPr>
            <w:r w:rsidRPr="00804A82">
              <w:rPr>
                <w:rFonts w:ascii="Arial" w:hAnsi="Arial" w:cs="Arial"/>
                <w:sz w:val="22"/>
                <w:szCs w:val="22"/>
              </w:rPr>
              <w:t>or</w:t>
            </w:r>
          </w:p>
          <w:p w14:paraId="0C8913BD" w14:textId="77777777" w:rsidR="00622988" w:rsidRPr="00804A82" w:rsidRDefault="00622988" w:rsidP="006A334B">
            <w:pPr>
              <w:widowControl w:val="0"/>
              <w:rPr>
                <w:rFonts w:ascii="Arial" w:hAnsi="Arial" w:cs="Arial"/>
                <w:sz w:val="22"/>
                <w:szCs w:val="22"/>
              </w:rPr>
            </w:pPr>
            <w:r w:rsidRPr="00804A82">
              <w:rPr>
                <w:rFonts w:ascii="Arial" w:hAnsi="Arial" w:cs="Arial"/>
                <w:sz w:val="22"/>
                <w:szCs w:val="22"/>
              </w:rPr>
              <w:t> </w:t>
            </w:r>
          </w:p>
          <w:p w14:paraId="01C6E978" w14:textId="77777777" w:rsidR="00622988" w:rsidRPr="00804A82" w:rsidRDefault="00622988" w:rsidP="004B455E">
            <w:pPr>
              <w:widowControl w:val="0"/>
              <w:rPr>
                <w:rFonts w:ascii="Arial" w:hAnsi="Arial" w:cs="Arial"/>
                <w:sz w:val="22"/>
                <w:szCs w:val="22"/>
              </w:rPr>
            </w:pPr>
            <w:r w:rsidRPr="00804A82">
              <w:rPr>
                <w:rFonts w:ascii="Arial" w:hAnsi="Arial" w:cs="Arial"/>
                <w:sz w:val="22"/>
                <w:szCs w:val="22"/>
              </w:rPr>
              <w:t>The appearance of one or more new lesions</w:t>
            </w:r>
          </w:p>
        </w:tc>
      </w:tr>
      <w:tr w:rsidR="00622988" w:rsidRPr="00804A82" w14:paraId="59AE3C7D" w14:textId="77777777" w:rsidTr="00804A82">
        <w:trPr>
          <w:trHeight w:val="505"/>
        </w:trPr>
        <w:tc>
          <w:tcPr>
            <w:tcW w:w="1361" w:type="dxa"/>
            <w:tcBorders>
              <w:top w:val="single" w:sz="4" w:space="0" w:color="212120"/>
              <w:left w:val="single" w:sz="8" w:space="0" w:color="212120"/>
              <w:bottom w:val="single" w:sz="8" w:space="0" w:color="212120"/>
              <w:right w:val="single" w:sz="4" w:space="0" w:color="212120"/>
            </w:tcBorders>
            <w:tcMar>
              <w:top w:w="58" w:type="dxa"/>
              <w:left w:w="58" w:type="dxa"/>
              <w:bottom w:w="58" w:type="dxa"/>
              <w:right w:w="58" w:type="dxa"/>
            </w:tcMar>
            <w:vAlign w:val="center"/>
            <w:hideMark/>
          </w:tcPr>
          <w:p w14:paraId="18BA4FB8" w14:textId="77777777" w:rsidR="00622988" w:rsidRPr="00804A82" w:rsidRDefault="00622988" w:rsidP="00804A82">
            <w:pPr>
              <w:widowControl w:val="0"/>
              <w:rPr>
                <w:rFonts w:ascii="Arial" w:hAnsi="Arial" w:cs="Arial"/>
                <w:sz w:val="22"/>
                <w:szCs w:val="22"/>
              </w:rPr>
            </w:pPr>
            <w:r w:rsidRPr="00804A82">
              <w:rPr>
                <w:rFonts w:ascii="Arial" w:hAnsi="Arial" w:cs="Arial"/>
                <w:sz w:val="22"/>
                <w:szCs w:val="22"/>
              </w:rPr>
              <w:t>SD</w:t>
            </w:r>
          </w:p>
        </w:tc>
        <w:tc>
          <w:tcPr>
            <w:tcW w:w="8164" w:type="dxa"/>
            <w:tcBorders>
              <w:top w:val="single" w:sz="4" w:space="0" w:color="212120"/>
              <w:left w:val="single" w:sz="4" w:space="0" w:color="212120"/>
              <w:bottom w:val="single" w:sz="8" w:space="0" w:color="212120"/>
              <w:right w:val="single" w:sz="8" w:space="0" w:color="212120"/>
            </w:tcBorders>
            <w:tcMar>
              <w:top w:w="58" w:type="dxa"/>
              <w:left w:w="58" w:type="dxa"/>
              <w:bottom w:w="58" w:type="dxa"/>
              <w:right w:w="58" w:type="dxa"/>
            </w:tcMar>
            <w:vAlign w:val="center"/>
            <w:hideMark/>
          </w:tcPr>
          <w:p w14:paraId="3E90F25A" w14:textId="77777777" w:rsidR="00622988" w:rsidRPr="00804A82" w:rsidRDefault="00622988" w:rsidP="00804A82">
            <w:pPr>
              <w:widowControl w:val="0"/>
              <w:rPr>
                <w:rFonts w:ascii="Arial" w:hAnsi="Arial" w:cs="Arial"/>
                <w:sz w:val="22"/>
                <w:szCs w:val="22"/>
              </w:rPr>
            </w:pPr>
            <w:r w:rsidRPr="00804A82">
              <w:rPr>
                <w:rFonts w:ascii="Arial" w:hAnsi="Arial" w:cs="Arial"/>
                <w:sz w:val="22"/>
                <w:szCs w:val="22"/>
              </w:rPr>
              <w:t>Not meeting the criteria for PR or PD</w:t>
            </w:r>
          </w:p>
        </w:tc>
      </w:tr>
    </w:tbl>
    <w:p w14:paraId="0C53606E" w14:textId="77777777" w:rsidR="00622988" w:rsidRPr="00622988" w:rsidRDefault="00622988" w:rsidP="003B3461">
      <w:pPr>
        <w:jc w:val="both"/>
        <w:rPr>
          <w:rFonts w:ascii="Arial" w:hAnsi="Arial" w:cs="Arial"/>
          <w:sz w:val="22"/>
          <w:szCs w:val="22"/>
        </w:rPr>
      </w:pPr>
    </w:p>
    <w:p w14:paraId="75A70757" w14:textId="77777777" w:rsidR="003B3461" w:rsidRDefault="00BF2157" w:rsidP="003B3461">
      <w:pPr>
        <w:jc w:val="both"/>
        <w:rPr>
          <w:rFonts w:ascii="Arial" w:hAnsi="Arial" w:cs="Arial"/>
          <w:sz w:val="22"/>
          <w:szCs w:val="22"/>
        </w:rPr>
      </w:pPr>
      <w:r w:rsidRPr="003B3461">
        <w:rPr>
          <w:rFonts w:ascii="Arial" w:hAnsi="Arial" w:cs="Arial"/>
          <w:sz w:val="22"/>
          <w:szCs w:val="22"/>
        </w:rPr>
        <w:t xml:space="preserve">Reference: </w:t>
      </w:r>
    </w:p>
    <w:p w14:paraId="23D19B54" w14:textId="77777777" w:rsidR="003B3461" w:rsidRDefault="003B3461" w:rsidP="003B3461">
      <w:pPr>
        <w:jc w:val="both"/>
        <w:rPr>
          <w:rFonts w:ascii="Arial" w:hAnsi="Arial" w:cs="Arial"/>
          <w:sz w:val="22"/>
          <w:szCs w:val="22"/>
        </w:rPr>
      </w:pPr>
    </w:p>
    <w:p w14:paraId="0764AE10" w14:textId="77777777" w:rsidR="00DA18E9" w:rsidRPr="00E2159E" w:rsidRDefault="00DA18E9" w:rsidP="00DA18E9">
      <w:pPr>
        <w:rPr>
          <w:rFonts w:ascii="Arial" w:hAnsi="Arial" w:cs="Arial"/>
          <w:sz w:val="22"/>
          <w:szCs w:val="22"/>
          <w:lang w:val="it-IT"/>
        </w:rPr>
      </w:pPr>
      <w:r>
        <w:rPr>
          <w:rFonts w:ascii="Arial" w:hAnsi="Arial" w:cs="Arial"/>
          <w:sz w:val="22"/>
          <w:szCs w:val="22"/>
          <w:lang w:val="it-IT"/>
        </w:rPr>
        <w:t xml:space="preserve">Armato SG, Nowak AK. J. </w:t>
      </w:r>
      <w:r w:rsidRPr="00E2159E">
        <w:rPr>
          <w:rFonts w:ascii="Arial" w:hAnsi="Arial" w:cs="Arial"/>
          <w:sz w:val="22"/>
          <w:szCs w:val="22"/>
          <w:lang w:val="it-IT"/>
        </w:rPr>
        <w:t>Revised Modified Response Evaluation Criteria in Solid Tumors for Assessment of Response in Malignant Pleural Mesothelioma (Version 1.1).</w:t>
      </w:r>
      <w:r>
        <w:rPr>
          <w:rFonts w:ascii="Arial" w:hAnsi="Arial" w:cs="Arial"/>
          <w:sz w:val="22"/>
          <w:szCs w:val="22"/>
          <w:lang w:val="it-IT"/>
        </w:rPr>
        <w:t xml:space="preserve"> </w:t>
      </w:r>
      <w:r w:rsidRPr="00E2159E">
        <w:rPr>
          <w:rFonts w:ascii="Arial" w:hAnsi="Arial" w:cs="Arial"/>
          <w:sz w:val="22"/>
          <w:szCs w:val="22"/>
          <w:lang w:val="it-IT"/>
        </w:rPr>
        <w:t>Thorac Oncol. 2018 Jul;13(7):1012-1021.</w:t>
      </w:r>
    </w:p>
    <w:p w14:paraId="470CC7F3" w14:textId="77777777" w:rsidR="00DA18E9" w:rsidRDefault="00DA18E9" w:rsidP="003B3461">
      <w:pPr>
        <w:jc w:val="both"/>
        <w:rPr>
          <w:rFonts w:ascii="Arial" w:hAnsi="Arial" w:cs="Arial"/>
          <w:sz w:val="22"/>
          <w:szCs w:val="22"/>
        </w:rPr>
      </w:pPr>
    </w:p>
    <w:p w14:paraId="3B40AFC5" w14:textId="5A2B37E9" w:rsidR="003B3461" w:rsidRDefault="00BF2157" w:rsidP="003B3461">
      <w:pPr>
        <w:jc w:val="both"/>
        <w:rPr>
          <w:rFonts w:ascii="Arial" w:hAnsi="Arial" w:cs="Arial"/>
          <w:sz w:val="22"/>
          <w:szCs w:val="22"/>
        </w:rPr>
      </w:pPr>
      <w:r w:rsidRPr="003B3461">
        <w:rPr>
          <w:rFonts w:ascii="Arial" w:hAnsi="Arial" w:cs="Arial"/>
          <w:sz w:val="22"/>
          <w:szCs w:val="22"/>
        </w:rPr>
        <w:t>Byrne MJ, Nowak AK. (2004). Modified RECIST criteria for assessment of response in malignant pleural mesothelioma.</w:t>
      </w:r>
      <w:r w:rsidR="003B3461">
        <w:rPr>
          <w:rFonts w:ascii="Arial" w:hAnsi="Arial" w:cs="Arial"/>
          <w:sz w:val="22"/>
          <w:szCs w:val="22"/>
        </w:rPr>
        <w:t xml:space="preserve"> </w:t>
      </w:r>
      <w:r w:rsidRPr="003B3461">
        <w:rPr>
          <w:rFonts w:ascii="Arial" w:hAnsi="Arial" w:cs="Arial"/>
          <w:sz w:val="22"/>
          <w:szCs w:val="22"/>
        </w:rPr>
        <w:t>Ann Oncol. 2004 Feb;15(2):257-60.</w:t>
      </w:r>
    </w:p>
    <w:p w14:paraId="6E05D66F" w14:textId="4F1872E0" w:rsidR="00DA18E9" w:rsidRDefault="00DA18E9" w:rsidP="003B3461">
      <w:pPr>
        <w:jc w:val="both"/>
        <w:rPr>
          <w:rFonts w:ascii="Arial" w:hAnsi="Arial" w:cs="Arial"/>
          <w:sz w:val="22"/>
          <w:szCs w:val="22"/>
        </w:rPr>
      </w:pPr>
    </w:p>
    <w:p w14:paraId="77FBCF97" w14:textId="77777777" w:rsidR="00DA18E9" w:rsidRDefault="00DA18E9" w:rsidP="003B3461">
      <w:pPr>
        <w:jc w:val="both"/>
        <w:rPr>
          <w:rFonts w:ascii="Arial" w:hAnsi="Arial" w:cs="Arial"/>
          <w:sz w:val="22"/>
          <w:szCs w:val="22"/>
        </w:rPr>
      </w:pPr>
    </w:p>
    <w:p w14:paraId="3BA3F2A1" w14:textId="77777777" w:rsidR="003B3461" w:rsidRDefault="003B3461" w:rsidP="003B3461">
      <w:pPr>
        <w:jc w:val="both"/>
        <w:rPr>
          <w:rFonts w:ascii="Arial" w:hAnsi="Arial" w:cs="Arial"/>
          <w:sz w:val="22"/>
          <w:szCs w:val="22"/>
        </w:rPr>
      </w:pPr>
    </w:p>
    <w:p w14:paraId="1B9FF111" w14:textId="77777777" w:rsidR="00BF2157" w:rsidRDefault="00BF2157" w:rsidP="003B3461">
      <w:pPr>
        <w:jc w:val="both"/>
        <w:rPr>
          <w:rFonts w:ascii="Arial" w:hAnsi="Arial" w:cs="Arial"/>
          <w:b/>
          <w:kern w:val="32"/>
          <w:sz w:val="32"/>
          <w:szCs w:val="32"/>
          <w:lang w:val="x-none" w:eastAsia="x-none"/>
        </w:rPr>
      </w:pPr>
      <w:r>
        <w:rPr>
          <w:rFonts w:cs="Arial"/>
        </w:rPr>
        <w:br w:type="page"/>
      </w:r>
    </w:p>
    <w:p w14:paraId="61EFE633" w14:textId="77777777" w:rsidR="00DA67E8" w:rsidRPr="00A23D8C" w:rsidRDefault="00277882" w:rsidP="00BF2157">
      <w:pPr>
        <w:pStyle w:val="AppendixHead"/>
        <w:spacing w:after="240"/>
      </w:pPr>
      <w:r w:rsidRPr="00A643C3">
        <w:rPr>
          <w:lang w:val="en-GB"/>
        </w:rPr>
        <w:lastRenderedPageBreak/>
        <w:t xml:space="preserve"> </w:t>
      </w:r>
      <w:bookmarkStart w:id="1299" w:name="_Toc471826855"/>
      <w:bookmarkStart w:id="1300" w:name="_Toc528323622"/>
      <w:r w:rsidR="00BF2157" w:rsidRPr="00BF2157">
        <w:t>Appendix</w:t>
      </w:r>
      <w:r w:rsidR="00BF2157">
        <w:t xml:space="preserve"> 7: </w:t>
      </w:r>
      <w:r w:rsidR="00DA67E8" w:rsidRPr="00A23D8C">
        <w:t>Protocol Version History</w:t>
      </w:r>
      <w:bookmarkEnd w:id="1290"/>
      <w:bookmarkEnd w:id="1291"/>
      <w:bookmarkEnd w:id="1294"/>
      <w:bookmarkEnd w:id="1295"/>
      <w:bookmarkEnd w:id="1296"/>
      <w:bookmarkEnd w:id="1299"/>
      <w:bookmarkEnd w:id="1300"/>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tblBorders>
        <w:tblLayout w:type="fixed"/>
        <w:tblLook w:val="0000" w:firstRow="0" w:lastRow="0" w:firstColumn="0" w:lastColumn="0" w:noHBand="0" w:noVBand="0"/>
      </w:tblPr>
      <w:tblGrid>
        <w:gridCol w:w="1134"/>
        <w:gridCol w:w="1206"/>
        <w:gridCol w:w="1682"/>
        <w:gridCol w:w="1507"/>
        <w:gridCol w:w="4371"/>
      </w:tblGrid>
      <w:tr w:rsidR="0068479F" w:rsidRPr="00A23D8C" w14:paraId="751074DD" w14:textId="77777777" w:rsidTr="00270A43">
        <w:trPr>
          <w:cantSplit/>
        </w:trPr>
        <w:tc>
          <w:tcPr>
            <w:tcW w:w="2340" w:type="dxa"/>
            <w:gridSpan w:val="2"/>
            <w:tcBorders>
              <w:bottom w:val="single" w:sz="4" w:space="0" w:color="auto"/>
              <w:right w:val="single" w:sz="4" w:space="0" w:color="auto"/>
            </w:tcBorders>
          </w:tcPr>
          <w:p w14:paraId="4B5F283D" w14:textId="77777777" w:rsidR="0068479F" w:rsidRPr="00A23D8C" w:rsidRDefault="0068479F">
            <w:pPr>
              <w:jc w:val="both"/>
              <w:rPr>
                <w:rFonts w:ascii="Arial" w:hAnsi="Arial" w:cs="Arial"/>
                <w:b/>
                <w:bCs/>
              </w:rPr>
            </w:pPr>
            <w:r w:rsidRPr="00A23D8C">
              <w:rPr>
                <w:rFonts w:ascii="Arial" w:hAnsi="Arial" w:cs="Arial"/>
                <w:b/>
                <w:bCs/>
              </w:rPr>
              <w:t>Protocol:</w:t>
            </w:r>
          </w:p>
        </w:tc>
        <w:tc>
          <w:tcPr>
            <w:tcW w:w="3189" w:type="dxa"/>
            <w:gridSpan w:val="2"/>
            <w:tcBorders>
              <w:left w:val="single" w:sz="4" w:space="0" w:color="auto"/>
              <w:bottom w:val="single" w:sz="4" w:space="0" w:color="auto"/>
            </w:tcBorders>
          </w:tcPr>
          <w:p w14:paraId="1C9793B7" w14:textId="77777777" w:rsidR="0068479F" w:rsidRPr="00A23D8C" w:rsidRDefault="0068479F">
            <w:pPr>
              <w:jc w:val="both"/>
              <w:rPr>
                <w:rFonts w:ascii="Arial" w:hAnsi="Arial" w:cs="Arial"/>
                <w:b/>
                <w:bCs/>
              </w:rPr>
            </w:pPr>
            <w:r w:rsidRPr="00A23D8C">
              <w:rPr>
                <w:rFonts w:ascii="Arial" w:hAnsi="Arial" w:cs="Arial"/>
                <w:b/>
                <w:bCs/>
              </w:rPr>
              <w:t>Amendments:</w:t>
            </w:r>
          </w:p>
        </w:tc>
        <w:tc>
          <w:tcPr>
            <w:tcW w:w="4371" w:type="dxa"/>
            <w:tcBorders>
              <w:bottom w:val="single" w:sz="4" w:space="0" w:color="auto"/>
            </w:tcBorders>
          </w:tcPr>
          <w:p w14:paraId="7E0A8800" w14:textId="77777777" w:rsidR="0068479F" w:rsidRPr="00A23D8C" w:rsidRDefault="0068479F">
            <w:pPr>
              <w:jc w:val="both"/>
              <w:rPr>
                <w:rFonts w:ascii="Arial" w:hAnsi="Arial" w:cs="Arial"/>
                <w:b/>
                <w:bCs/>
              </w:rPr>
            </w:pPr>
          </w:p>
        </w:tc>
      </w:tr>
      <w:tr w:rsidR="0052391C" w:rsidRPr="00A23D8C" w14:paraId="203ED85B" w14:textId="77777777" w:rsidTr="0068479F">
        <w:trPr>
          <w:cantSplit/>
        </w:trPr>
        <w:tc>
          <w:tcPr>
            <w:tcW w:w="1134" w:type="dxa"/>
            <w:tcBorders>
              <w:top w:val="single" w:sz="4" w:space="0" w:color="auto"/>
              <w:left w:val="single" w:sz="4" w:space="0" w:color="auto"/>
              <w:bottom w:val="single" w:sz="4" w:space="0" w:color="auto"/>
              <w:right w:val="single" w:sz="4" w:space="0" w:color="auto"/>
            </w:tcBorders>
          </w:tcPr>
          <w:p w14:paraId="13602EB6" w14:textId="77777777" w:rsidR="0052391C" w:rsidRPr="0068479F" w:rsidRDefault="0052391C">
            <w:pPr>
              <w:jc w:val="both"/>
              <w:rPr>
                <w:rFonts w:ascii="Arial" w:hAnsi="Arial" w:cs="Arial"/>
                <w:b/>
                <w:bCs/>
                <w:sz w:val="22"/>
                <w:szCs w:val="22"/>
              </w:rPr>
            </w:pPr>
            <w:r w:rsidRPr="0068479F">
              <w:rPr>
                <w:rFonts w:ascii="Arial" w:hAnsi="Arial" w:cs="Arial"/>
                <w:b/>
                <w:bCs/>
                <w:sz w:val="22"/>
                <w:szCs w:val="22"/>
              </w:rPr>
              <w:t>Version no.</w:t>
            </w:r>
          </w:p>
        </w:tc>
        <w:tc>
          <w:tcPr>
            <w:tcW w:w="1206" w:type="dxa"/>
            <w:tcBorders>
              <w:top w:val="single" w:sz="4" w:space="0" w:color="auto"/>
              <w:left w:val="single" w:sz="4" w:space="0" w:color="auto"/>
              <w:bottom w:val="single" w:sz="4" w:space="0" w:color="auto"/>
              <w:right w:val="single" w:sz="4" w:space="0" w:color="auto"/>
            </w:tcBorders>
          </w:tcPr>
          <w:p w14:paraId="6BECA94C" w14:textId="77777777" w:rsidR="0052391C" w:rsidRPr="0068479F" w:rsidRDefault="0052391C">
            <w:pPr>
              <w:jc w:val="both"/>
              <w:rPr>
                <w:rFonts w:ascii="Arial" w:hAnsi="Arial" w:cs="Arial"/>
                <w:b/>
                <w:bCs/>
                <w:sz w:val="22"/>
                <w:szCs w:val="22"/>
              </w:rPr>
            </w:pPr>
            <w:r w:rsidRPr="0068479F">
              <w:rPr>
                <w:rFonts w:ascii="Arial" w:hAnsi="Arial" w:cs="Arial"/>
                <w:b/>
                <w:bCs/>
                <w:sz w:val="22"/>
                <w:szCs w:val="22"/>
              </w:rPr>
              <w:t>Date</w:t>
            </w:r>
          </w:p>
        </w:tc>
        <w:tc>
          <w:tcPr>
            <w:tcW w:w="1682" w:type="dxa"/>
            <w:tcBorders>
              <w:top w:val="single" w:sz="4" w:space="0" w:color="auto"/>
              <w:left w:val="single" w:sz="4" w:space="0" w:color="auto"/>
              <w:bottom w:val="single" w:sz="4" w:space="0" w:color="auto"/>
              <w:right w:val="single" w:sz="4" w:space="0" w:color="auto"/>
            </w:tcBorders>
          </w:tcPr>
          <w:p w14:paraId="7127B6C0" w14:textId="77777777" w:rsidR="0052391C" w:rsidRPr="0068479F" w:rsidRDefault="0052391C">
            <w:pPr>
              <w:jc w:val="both"/>
              <w:rPr>
                <w:rFonts w:ascii="Arial" w:hAnsi="Arial" w:cs="Arial"/>
                <w:b/>
                <w:bCs/>
                <w:sz w:val="22"/>
                <w:szCs w:val="22"/>
              </w:rPr>
            </w:pPr>
            <w:r w:rsidRPr="0068479F">
              <w:rPr>
                <w:rFonts w:ascii="Arial" w:hAnsi="Arial" w:cs="Arial"/>
                <w:b/>
                <w:bCs/>
                <w:sz w:val="22"/>
                <w:szCs w:val="22"/>
              </w:rPr>
              <w:t xml:space="preserve">Amendment no. </w:t>
            </w:r>
          </w:p>
        </w:tc>
        <w:tc>
          <w:tcPr>
            <w:tcW w:w="5878" w:type="dxa"/>
            <w:gridSpan w:val="2"/>
            <w:tcBorders>
              <w:top w:val="single" w:sz="4" w:space="0" w:color="auto"/>
              <w:left w:val="single" w:sz="4" w:space="0" w:color="auto"/>
              <w:bottom w:val="single" w:sz="4" w:space="0" w:color="auto"/>
              <w:right w:val="single" w:sz="4" w:space="0" w:color="auto"/>
            </w:tcBorders>
          </w:tcPr>
          <w:p w14:paraId="1B9AE48E" w14:textId="77777777" w:rsidR="0052391C" w:rsidRPr="0068479F" w:rsidRDefault="0052391C">
            <w:pPr>
              <w:jc w:val="both"/>
              <w:rPr>
                <w:rFonts w:ascii="Arial" w:hAnsi="Arial" w:cs="Arial"/>
                <w:b/>
                <w:bCs/>
                <w:sz w:val="22"/>
                <w:szCs w:val="22"/>
              </w:rPr>
            </w:pPr>
            <w:r w:rsidRPr="0068479F">
              <w:rPr>
                <w:rFonts w:ascii="Arial" w:hAnsi="Arial" w:cs="Arial"/>
                <w:b/>
                <w:bCs/>
                <w:sz w:val="22"/>
                <w:szCs w:val="22"/>
              </w:rPr>
              <w:t>Summary of main changes from previous version.</w:t>
            </w:r>
          </w:p>
        </w:tc>
      </w:tr>
      <w:tr w:rsidR="0052391C" w:rsidRPr="00A23D8C" w14:paraId="65948507" w14:textId="77777777" w:rsidTr="0068479F">
        <w:trPr>
          <w:cantSplit/>
        </w:trPr>
        <w:tc>
          <w:tcPr>
            <w:tcW w:w="1134" w:type="dxa"/>
            <w:tcBorders>
              <w:top w:val="single" w:sz="4" w:space="0" w:color="auto"/>
              <w:left w:val="single" w:sz="4" w:space="0" w:color="auto"/>
              <w:bottom w:val="single" w:sz="4" w:space="0" w:color="auto"/>
              <w:right w:val="single" w:sz="4" w:space="0" w:color="auto"/>
            </w:tcBorders>
          </w:tcPr>
          <w:p w14:paraId="25FEDA73" w14:textId="77777777" w:rsidR="0052391C" w:rsidRPr="0068479F" w:rsidRDefault="0052391C">
            <w:pPr>
              <w:jc w:val="both"/>
              <w:rPr>
                <w:rFonts w:ascii="Arial" w:hAnsi="Arial" w:cs="Arial"/>
                <w:sz w:val="20"/>
                <w:szCs w:val="20"/>
              </w:rPr>
            </w:pPr>
            <w:r w:rsidRPr="0068479F">
              <w:rPr>
                <w:rFonts w:ascii="Arial" w:hAnsi="Arial" w:cs="Arial"/>
                <w:sz w:val="20"/>
                <w:szCs w:val="20"/>
              </w:rPr>
              <w:t>2.0</w:t>
            </w:r>
          </w:p>
        </w:tc>
        <w:tc>
          <w:tcPr>
            <w:tcW w:w="1206" w:type="dxa"/>
            <w:tcBorders>
              <w:top w:val="single" w:sz="4" w:space="0" w:color="auto"/>
              <w:left w:val="single" w:sz="4" w:space="0" w:color="auto"/>
              <w:bottom w:val="single" w:sz="4" w:space="0" w:color="auto"/>
              <w:right w:val="single" w:sz="4" w:space="0" w:color="auto"/>
            </w:tcBorders>
          </w:tcPr>
          <w:p w14:paraId="3D0F3AE1" w14:textId="77777777" w:rsidR="0052391C" w:rsidRPr="0068479F" w:rsidRDefault="0068479F" w:rsidP="0068479F">
            <w:pPr>
              <w:ind w:right="-36"/>
              <w:jc w:val="both"/>
              <w:rPr>
                <w:rFonts w:ascii="Arial" w:hAnsi="Arial" w:cs="Arial"/>
                <w:sz w:val="20"/>
                <w:szCs w:val="20"/>
              </w:rPr>
            </w:pPr>
            <w:r w:rsidRPr="0068479F">
              <w:rPr>
                <w:rFonts w:ascii="Arial" w:hAnsi="Arial" w:cs="Arial"/>
                <w:sz w:val="20"/>
                <w:szCs w:val="20"/>
              </w:rPr>
              <w:t>20-03-2013</w:t>
            </w:r>
          </w:p>
        </w:tc>
        <w:tc>
          <w:tcPr>
            <w:tcW w:w="1682" w:type="dxa"/>
            <w:tcBorders>
              <w:top w:val="single" w:sz="4" w:space="0" w:color="auto"/>
              <w:left w:val="single" w:sz="4" w:space="0" w:color="auto"/>
              <w:bottom w:val="single" w:sz="4" w:space="0" w:color="auto"/>
              <w:right w:val="single" w:sz="4" w:space="0" w:color="auto"/>
            </w:tcBorders>
          </w:tcPr>
          <w:p w14:paraId="0C52A00F" w14:textId="77777777" w:rsidR="0052391C" w:rsidRPr="0068479F" w:rsidRDefault="0052391C">
            <w:pPr>
              <w:jc w:val="both"/>
              <w:rPr>
                <w:rFonts w:ascii="Arial" w:hAnsi="Arial" w:cs="Arial"/>
                <w:sz w:val="20"/>
                <w:szCs w:val="20"/>
              </w:rPr>
            </w:pPr>
            <w:r w:rsidRPr="0068479F">
              <w:rPr>
                <w:rFonts w:ascii="Arial" w:hAnsi="Arial" w:cs="Arial"/>
                <w:sz w:val="20"/>
                <w:szCs w:val="20"/>
              </w:rPr>
              <w:t>1.0</w:t>
            </w:r>
            <w:r w:rsidR="0068479F" w:rsidRPr="0068479F">
              <w:rPr>
                <w:rFonts w:ascii="Arial" w:hAnsi="Arial" w:cs="Arial"/>
                <w:sz w:val="20"/>
                <w:szCs w:val="20"/>
              </w:rPr>
              <w:t xml:space="preserve">           </w:t>
            </w:r>
          </w:p>
        </w:tc>
        <w:tc>
          <w:tcPr>
            <w:tcW w:w="5878" w:type="dxa"/>
            <w:gridSpan w:val="2"/>
            <w:tcBorders>
              <w:top w:val="single" w:sz="4" w:space="0" w:color="auto"/>
              <w:left w:val="single" w:sz="4" w:space="0" w:color="auto"/>
              <w:bottom w:val="single" w:sz="4" w:space="0" w:color="auto"/>
              <w:right w:val="single" w:sz="4" w:space="0" w:color="auto"/>
            </w:tcBorders>
          </w:tcPr>
          <w:p w14:paraId="58D31C84" w14:textId="77777777" w:rsidR="0052391C" w:rsidRDefault="0052391C"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 xml:space="preserve">Section 2.1 (ganetespib) – updated in line with v8.0 of the IB: no. of patients being treated with ganetespib and the number of new studies. Adverse Events has also been updated with new events and the percentages reported has now changed as the sample size increased. </w:t>
            </w:r>
          </w:p>
          <w:p w14:paraId="35F9CF37" w14:textId="77777777" w:rsidR="0052391C" w:rsidRPr="0052391C" w:rsidRDefault="0052391C" w:rsidP="00D65DE2">
            <w:pPr>
              <w:pStyle w:val="ListParagraph"/>
              <w:numPr>
                <w:ilvl w:val="0"/>
                <w:numId w:val="45"/>
              </w:numPr>
              <w:contextualSpacing/>
              <w:rPr>
                <w:rFonts w:ascii="Arial" w:hAnsi="Arial" w:cs="Arial"/>
                <w:color w:val="000000"/>
                <w:sz w:val="20"/>
                <w:szCs w:val="20"/>
              </w:rPr>
            </w:pPr>
            <w:r w:rsidRPr="0052391C">
              <w:rPr>
                <w:rFonts w:ascii="Arial" w:hAnsi="Arial" w:cs="Arial"/>
                <w:color w:val="000000"/>
                <w:sz w:val="20"/>
                <w:szCs w:val="20"/>
              </w:rPr>
              <w:t>Section 4.1 updated in line with CTC template – sites must assess a patient’s ability to understand verbal explanations and written information in English.  If local interpreters are not available and fully informed consent is not deemed possible, the patient should not be considered for the trial</w:t>
            </w:r>
          </w:p>
          <w:p w14:paraId="4B8F53F6" w14:textId="77777777" w:rsidR="0052391C" w:rsidRDefault="0052391C"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 xml:space="preserve">Section 7.3.1 – updated in line with v8.0 of the IB: (Events of special interest), updated instructions for investigators regarding neutropenia. </w:t>
            </w:r>
          </w:p>
          <w:p w14:paraId="5494DC2F" w14:textId="77777777" w:rsidR="0052391C" w:rsidRPr="00A47775" w:rsidRDefault="0052391C"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Section 7.5 – Ganetespib administration – ‘</w:t>
            </w:r>
            <w:r w:rsidRPr="0052391C">
              <w:rPr>
                <w:rFonts w:ascii="Arial" w:hAnsi="Arial" w:cs="Arial"/>
                <w:color w:val="000000"/>
                <w:sz w:val="20"/>
                <w:szCs w:val="20"/>
              </w:rPr>
              <w:t>D5W’ American terminology changed to ‘5% Glucose’ to concentration of solution when making infusion.</w:t>
            </w:r>
          </w:p>
          <w:p w14:paraId="6DCFCC6A" w14:textId="77777777" w:rsidR="0052391C" w:rsidRPr="00A47775" w:rsidRDefault="0052391C" w:rsidP="00D65DE2">
            <w:pPr>
              <w:pStyle w:val="ListParagraph"/>
              <w:numPr>
                <w:ilvl w:val="0"/>
                <w:numId w:val="45"/>
              </w:numPr>
              <w:contextualSpacing/>
              <w:rPr>
                <w:rFonts w:ascii="Arial" w:hAnsi="Arial" w:cs="Arial"/>
                <w:color w:val="000000"/>
                <w:sz w:val="20"/>
                <w:szCs w:val="20"/>
              </w:rPr>
            </w:pPr>
            <w:r w:rsidRPr="0052391C">
              <w:rPr>
                <w:rFonts w:ascii="Arial" w:hAnsi="Arial" w:cs="Arial"/>
                <w:color w:val="000000"/>
                <w:sz w:val="20"/>
                <w:szCs w:val="20"/>
              </w:rPr>
              <w:t xml:space="preserve">Section 7.14.1 – Management of severe or complicated neutropenia – recommendation of GCSF prophylactic use during subsequent treatment cycles in cases of Neutropenia lasting more than 7 days </w:t>
            </w:r>
          </w:p>
          <w:p w14:paraId="57E1FA70" w14:textId="77777777" w:rsidR="0052391C" w:rsidRPr="0052391C" w:rsidRDefault="0052391C" w:rsidP="00D65DE2">
            <w:pPr>
              <w:pStyle w:val="ListParagraph"/>
              <w:numPr>
                <w:ilvl w:val="0"/>
                <w:numId w:val="45"/>
              </w:numPr>
              <w:contextualSpacing/>
              <w:rPr>
                <w:rFonts w:ascii="Arial" w:hAnsi="Arial" w:cs="Arial"/>
                <w:color w:val="000000"/>
                <w:sz w:val="20"/>
                <w:szCs w:val="20"/>
              </w:rPr>
            </w:pPr>
            <w:r w:rsidRPr="0052391C">
              <w:rPr>
                <w:rFonts w:ascii="Arial" w:hAnsi="Arial" w:cs="Arial"/>
                <w:color w:val="000000"/>
                <w:sz w:val="20"/>
                <w:szCs w:val="20"/>
              </w:rPr>
              <w:t xml:space="preserve">Section 7.14.2 - Ganetespib pre-medication and management of hypersensitivity reactions – minor edits in line with IB: upon recover patients may also or re-schedule patient for re-treatment </w:t>
            </w:r>
          </w:p>
          <w:p w14:paraId="13518550" w14:textId="77777777" w:rsidR="0052391C" w:rsidRPr="0052391C" w:rsidRDefault="0052391C" w:rsidP="00D65DE2">
            <w:pPr>
              <w:pStyle w:val="ListParagraph"/>
              <w:numPr>
                <w:ilvl w:val="0"/>
                <w:numId w:val="45"/>
              </w:numPr>
              <w:contextualSpacing/>
              <w:rPr>
                <w:rFonts w:ascii="Arial" w:hAnsi="Arial" w:cs="Arial"/>
                <w:color w:val="000000"/>
                <w:sz w:val="20"/>
                <w:szCs w:val="20"/>
              </w:rPr>
            </w:pPr>
            <w:r w:rsidRPr="0052391C">
              <w:rPr>
                <w:rFonts w:ascii="Arial" w:hAnsi="Arial" w:cs="Arial"/>
                <w:color w:val="000000"/>
                <w:sz w:val="20"/>
                <w:szCs w:val="20"/>
              </w:rPr>
              <w:t>Section 9.0 updated in line with CTC template – data in CRFs should be verifiable by source date</w:t>
            </w:r>
          </w:p>
          <w:p w14:paraId="397413BF" w14:textId="77777777" w:rsidR="0052391C" w:rsidRPr="0052391C" w:rsidRDefault="0052391C" w:rsidP="00D65DE2">
            <w:pPr>
              <w:pStyle w:val="ListParagraph"/>
              <w:numPr>
                <w:ilvl w:val="0"/>
                <w:numId w:val="45"/>
              </w:numPr>
              <w:contextualSpacing/>
              <w:rPr>
                <w:rFonts w:ascii="Arial" w:hAnsi="Arial" w:cs="Arial"/>
                <w:color w:val="000000"/>
                <w:sz w:val="20"/>
                <w:szCs w:val="20"/>
              </w:rPr>
            </w:pPr>
            <w:r w:rsidRPr="0052391C">
              <w:rPr>
                <w:rFonts w:ascii="Arial" w:hAnsi="Arial" w:cs="Arial"/>
                <w:color w:val="000000"/>
                <w:sz w:val="20"/>
                <w:szCs w:val="20"/>
              </w:rPr>
              <w:t>Section 9.1 and 9.4 updated in line CTC template – instruction regarding CRF corrections and update regarding the use of query sheets</w:t>
            </w:r>
          </w:p>
          <w:p w14:paraId="35265D61" w14:textId="77777777" w:rsidR="0052391C" w:rsidRDefault="0052391C" w:rsidP="00D65DE2">
            <w:pPr>
              <w:pStyle w:val="ListParagraph"/>
              <w:numPr>
                <w:ilvl w:val="0"/>
                <w:numId w:val="45"/>
              </w:numPr>
              <w:contextualSpacing/>
              <w:rPr>
                <w:bCs/>
                <w:sz w:val="20"/>
                <w:szCs w:val="20"/>
              </w:rPr>
            </w:pPr>
            <w:r w:rsidRPr="0052391C">
              <w:rPr>
                <w:rFonts w:ascii="Arial" w:hAnsi="Arial" w:cs="Arial"/>
                <w:color w:val="000000"/>
                <w:sz w:val="20"/>
                <w:szCs w:val="20"/>
              </w:rPr>
              <w:t>Section</w:t>
            </w:r>
            <w:r w:rsidRPr="00271F72">
              <w:rPr>
                <w:bCs/>
                <w:sz w:val="20"/>
                <w:szCs w:val="20"/>
              </w:rPr>
              <w:t xml:space="preserve"> 10.0 updated </w:t>
            </w:r>
            <w:r>
              <w:rPr>
                <w:bCs/>
                <w:sz w:val="20"/>
                <w:szCs w:val="20"/>
              </w:rPr>
              <w:t>i</w:t>
            </w:r>
            <w:r w:rsidRPr="00271F72">
              <w:rPr>
                <w:bCs/>
                <w:sz w:val="20"/>
                <w:szCs w:val="20"/>
              </w:rPr>
              <w:t>n line with CTC template:</w:t>
            </w:r>
            <w:r>
              <w:rPr>
                <w:bCs/>
                <w:sz w:val="20"/>
                <w:szCs w:val="20"/>
              </w:rPr>
              <w:t xml:space="preserve"> </w:t>
            </w:r>
            <w:r w:rsidRPr="0052391C">
              <w:rPr>
                <w:bCs/>
                <w:sz w:val="20"/>
                <w:szCs w:val="20"/>
              </w:rPr>
              <w:t>UCL CTC will consider events evaluated as possibly, probably or definitely related to be adverse reactions</w:t>
            </w:r>
          </w:p>
          <w:p w14:paraId="1BD927A9" w14:textId="77777777" w:rsidR="00557714" w:rsidRPr="00557714" w:rsidRDefault="00557714" w:rsidP="00D65DE2">
            <w:pPr>
              <w:pStyle w:val="ListParagraph"/>
              <w:numPr>
                <w:ilvl w:val="0"/>
                <w:numId w:val="45"/>
              </w:numPr>
              <w:contextualSpacing/>
              <w:rPr>
                <w:rFonts w:ascii="Arial" w:hAnsi="Arial" w:cs="Arial"/>
                <w:color w:val="000000"/>
                <w:sz w:val="20"/>
                <w:szCs w:val="20"/>
              </w:rPr>
            </w:pPr>
            <w:r w:rsidRPr="0052391C">
              <w:rPr>
                <w:rFonts w:ascii="Arial" w:hAnsi="Arial" w:cs="Arial"/>
                <w:color w:val="000000"/>
                <w:sz w:val="20"/>
                <w:szCs w:val="20"/>
              </w:rPr>
              <w:t>Section</w:t>
            </w:r>
            <w:r w:rsidRPr="00557714">
              <w:rPr>
                <w:rFonts w:ascii="Arial" w:hAnsi="Arial" w:cs="Arial"/>
                <w:color w:val="000000"/>
                <w:sz w:val="20"/>
                <w:szCs w:val="20"/>
              </w:rPr>
              <w:t xml:space="preserve"> 10.0 updated  - ‘Exemptions from SAE Report Submission’ updated to include events that occur after 30 days post last trial treatment administration that are not considered to be side-effects of the trial treatment and are not AEs of special interest.</w:t>
            </w:r>
          </w:p>
          <w:p w14:paraId="74D33491" w14:textId="77777777" w:rsidR="0052391C" w:rsidRPr="00A23D8C" w:rsidRDefault="0052391C" w:rsidP="00D65DE2">
            <w:pPr>
              <w:pStyle w:val="ListParagraph"/>
              <w:numPr>
                <w:ilvl w:val="0"/>
                <w:numId w:val="45"/>
              </w:numPr>
              <w:contextualSpacing/>
              <w:rPr>
                <w:rFonts w:ascii="Arial" w:hAnsi="Arial" w:cs="Arial"/>
              </w:rPr>
            </w:pPr>
            <w:r w:rsidRPr="0052391C">
              <w:rPr>
                <w:rFonts w:ascii="Arial" w:hAnsi="Arial" w:cs="Arial"/>
                <w:color w:val="000000"/>
                <w:sz w:val="20"/>
                <w:szCs w:val="20"/>
              </w:rPr>
              <w:t>Section 12.2 updated in line with CTC template – Central Monitoring – Data received at UCL CTC will be subject to review in accordance with section 9</w:t>
            </w:r>
          </w:p>
        </w:tc>
      </w:tr>
      <w:tr w:rsidR="00877D7B" w:rsidRPr="00A23D8C" w14:paraId="0B0CCDBC" w14:textId="77777777" w:rsidTr="009D76BA">
        <w:trPr>
          <w:cantSplit/>
          <w:trHeight w:val="13553"/>
        </w:trPr>
        <w:tc>
          <w:tcPr>
            <w:tcW w:w="1134" w:type="dxa"/>
            <w:tcBorders>
              <w:top w:val="single" w:sz="4" w:space="0" w:color="auto"/>
              <w:left w:val="single" w:sz="4" w:space="0" w:color="auto"/>
              <w:bottom w:val="single" w:sz="4" w:space="0" w:color="auto"/>
              <w:right w:val="single" w:sz="4" w:space="0" w:color="auto"/>
            </w:tcBorders>
          </w:tcPr>
          <w:p w14:paraId="0DC03C2E" w14:textId="77777777" w:rsidR="00877D7B" w:rsidRPr="0068479F" w:rsidRDefault="00877D7B">
            <w:pPr>
              <w:jc w:val="both"/>
              <w:rPr>
                <w:rFonts w:ascii="Arial" w:hAnsi="Arial" w:cs="Arial"/>
                <w:sz w:val="20"/>
                <w:szCs w:val="20"/>
              </w:rPr>
            </w:pPr>
            <w:r>
              <w:rPr>
                <w:rFonts w:ascii="Arial" w:hAnsi="Arial" w:cs="Arial"/>
                <w:sz w:val="20"/>
                <w:szCs w:val="20"/>
              </w:rPr>
              <w:lastRenderedPageBreak/>
              <w:t>3.0</w:t>
            </w:r>
          </w:p>
        </w:tc>
        <w:tc>
          <w:tcPr>
            <w:tcW w:w="1206" w:type="dxa"/>
            <w:tcBorders>
              <w:top w:val="single" w:sz="4" w:space="0" w:color="auto"/>
              <w:left w:val="single" w:sz="4" w:space="0" w:color="auto"/>
              <w:bottom w:val="single" w:sz="4" w:space="0" w:color="auto"/>
              <w:right w:val="single" w:sz="4" w:space="0" w:color="auto"/>
            </w:tcBorders>
          </w:tcPr>
          <w:p w14:paraId="22D17400" w14:textId="77777777" w:rsidR="00877D7B" w:rsidRPr="0068479F" w:rsidRDefault="001E4475" w:rsidP="001E4475">
            <w:pPr>
              <w:ind w:right="-36"/>
              <w:jc w:val="both"/>
              <w:rPr>
                <w:rFonts w:ascii="Arial" w:hAnsi="Arial" w:cs="Arial"/>
                <w:sz w:val="20"/>
                <w:szCs w:val="20"/>
              </w:rPr>
            </w:pPr>
            <w:r>
              <w:rPr>
                <w:rFonts w:ascii="Arial" w:hAnsi="Arial" w:cs="Arial"/>
                <w:sz w:val="20"/>
                <w:szCs w:val="20"/>
              </w:rPr>
              <w:t>14-05-2013</w:t>
            </w:r>
          </w:p>
        </w:tc>
        <w:tc>
          <w:tcPr>
            <w:tcW w:w="1682" w:type="dxa"/>
            <w:tcBorders>
              <w:top w:val="single" w:sz="4" w:space="0" w:color="auto"/>
              <w:left w:val="single" w:sz="4" w:space="0" w:color="auto"/>
              <w:bottom w:val="single" w:sz="4" w:space="0" w:color="auto"/>
              <w:right w:val="single" w:sz="4" w:space="0" w:color="auto"/>
            </w:tcBorders>
          </w:tcPr>
          <w:p w14:paraId="585BDBD2" w14:textId="77777777" w:rsidR="00877D7B" w:rsidRPr="0068479F" w:rsidRDefault="00877D7B">
            <w:pPr>
              <w:jc w:val="both"/>
              <w:rPr>
                <w:rFonts w:ascii="Arial" w:hAnsi="Arial" w:cs="Arial"/>
                <w:sz w:val="20"/>
                <w:szCs w:val="20"/>
              </w:rPr>
            </w:pPr>
            <w:r>
              <w:rPr>
                <w:rFonts w:ascii="Arial" w:hAnsi="Arial" w:cs="Arial"/>
                <w:sz w:val="20"/>
                <w:szCs w:val="20"/>
              </w:rPr>
              <w:t>2.0</w:t>
            </w:r>
          </w:p>
        </w:tc>
        <w:tc>
          <w:tcPr>
            <w:tcW w:w="5878" w:type="dxa"/>
            <w:gridSpan w:val="2"/>
            <w:tcBorders>
              <w:top w:val="single" w:sz="4" w:space="0" w:color="auto"/>
              <w:left w:val="single" w:sz="4" w:space="0" w:color="auto"/>
              <w:bottom w:val="single" w:sz="4" w:space="0" w:color="auto"/>
              <w:right w:val="single" w:sz="4" w:space="0" w:color="auto"/>
            </w:tcBorders>
          </w:tcPr>
          <w:p w14:paraId="570CED7D" w14:textId="77777777" w:rsidR="009D76BA" w:rsidRDefault="009D76BA"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Updated Front Page with Clinicaltrials.gov number</w:t>
            </w:r>
          </w:p>
          <w:p w14:paraId="25FFCB53" w14:textId="77777777" w:rsidR="009D76BA" w:rsidRDefault="009D76BA"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Section 1.1 updated with Clinicaltrials.gov number</w:t>
            </w:r>
          </w:p>
          <w:p w14:paraId="6127ECBE" w14:textId="77777777" w:rsidR="009D76BA" w:rsidRDefault="009D76BA"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Section 1.1 – Units for Haemoglobin changed from g/dL to g/L in accordance with the new national units</w:t>
            </w:r>
          </w:p>
          <w:p w14:paraId="53B21AB3" w14:textId="77777777" w:rsidR="009D76BA" w:rsidRDefault="009D76BA"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 xml:space="preserve">Section 1.2 – Trial Schema – </w:t>
            </w:r>
            <w:proofErr w:type="spellStart"/>
            <w:r>
              <w:rPr>
                <w:rFonts w:ascii="Arial" w:hAnsi="Arial" w:cs="Arial"/>
                <w:color w:val="000000"/>
                <w:sz w:val="20"/>
                <w:szCs w:val="20"/>
              </w:rPr>
              <w:t>Mosteller</w:t>
            </w:r>
            <w:proofErr w:type="spellEnd"/>
            <w:r>
              <w:rPr>
                <w:rFonts w:ascii="Arial" w:hAnsi="Arial" w:cs="Arial"/>
                <w:color w:val="000000"/>
                <w:sz w:val="20"/>
                <w:szCs w:val="20"/>
              </w:rPr>
              <w:t xml:space="preserve"> formula for calculation of BSA changed to Dubois and Dubois</w:t>
            </w:r>
          </w:p>
          <w:p w14:paraId="72B73185" w14:textId="77777777" w:rsidR="009D76BA" w:rsidRPr="009D76BA" w:rsidRDefault="009D76BA" w:rsidP="00D65DE2">
            <w:pPr>
              <w:pStyle w:val="ListParagraph"/>
              <w:numPr>
                <w:ilvl w:val="0"/>
                <w:numId w:val="45"/>
              </w:numPr>
              <w:contextualSpacing/>
              <w:rPr>
                <w:rFonts w:ascii="Arial" w:hAnsi="Arial" w:cs="Arial"/>
                <w:sz w:val="20"/>
                <w:szCs w:val="20"/>
              </w:rPr>
            </w:pPr>
            <w:r w:rsidRPr="00DC4DC4">
              <w:rPr>
                <w:rFonts w:ascii="Arial" w:hAnsi="Arial" w:cs="Arial"/>
                <w:color w:val="000000"/>
                <w:sz w:val="20"/>
                <w:szCs w:val="20"/>
              </w:rPr>
              <w:t>S</w:t>
            </w:r>
            <w:r w:rsidRPr="009D76BA">
              <w:rPr>
                <w:rFonts w:ascii="Arial" w:hAnsi="Arial" w:cs="Arial"/>
                <w:sz w:val="20"/>
                <w:szCs w:val="20"/>
              </w:rPr>
              <w:t xml:space="preserve">ection 4.0 – updated in line with new CTC template - Sites must assess a patient’s ability to understand verbal and written information in English and whether or not an interpreter would be required to ensure fully informed consent. </w:t>
            </w:r>
          </w:p>
          <w:p w14:paraId="78F3BC1D" w14:textId="77777777" w:rsidR="009D76BA" w:rsidRDefault="009D76BA"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 xml:space="preserve">Section 5.3 – Patient Eligibility – updated in line with new CTC template </w:t>
            </w:r>
            <w:r w:rsidRPr="00DC4DC4">
              <w:rPr>
                <w:rFonts w:ascii="Arial" w:hAnsi="Arial" w:cs="Arial"/>
                <w:color w:val="000000"/>
                <w:sz w:val="20"/>
                <w:szCs w:val="20"/>
              </w:rPr>
              <w:t xml:space="preserve">- </w:t>
            </w:r>
            <w:r w:rsidRPr="00DC4DC4">
              <w:rPr>
                <w:rFonts w:ascii="Arial" w:hAnsi="Arial" w:cs="Arial"/>
                <w:sz w:val="20"/>
                <w:szCs w:val="20"/>
              </w:rPr>
              <w:t>Ensuring</w:t>
            </w:r>
            <w:r w:rsidRPr="00DC4DC4">
              <w:rPr>
                <w:rFonts w:ascii="Arial" w:hAnsi="Arial" w:cs="Arial"/>
                <w:color w:val="FF0000"/>
                <w:sz w:val="20"/>
                <w:szCs w:val="20"/>
              </w:rPr>
              <w:t xml:space="preserve"> </w:t>
            </w:r>
            <w:r w:rsidRPr="00DC4DC4">
              <w:rPr>
                <w:rFonts w:ascii="Arial" w:hAnsi="Arial" w:cs="Arial"/>
                <w:sz w:val="20"/>
                <w:szCs w:val="20"/>
              </w:rPr>
              <w:t>patient eligibility is the responsibility of the PI or other delegated Investigator(s).</w:t>
            </w:r>
            <w:r w:rsidRPr="000950BB">
              <w:rPr>
                <w:sz w:val="22"/>
              </w:rPr>
              <w:t xml:space="preserve"> </w:t>
            </w:r>
            <w:r>
              <w:rPr>
                <w:rFonts w:ascii="Arial" w:hAnsi="Arial" w:cs="Arial"/>
                <w:color w:val="000000"/>
                <w:sz w:val="20"/>
                <w:szCs w:val="20"/>
              </w:rPr>
              <w:t xml:space="preserve"> </w:t>
            </w:r>
          </w:p>
          <w:p w14:paraId="3984AE07" w14:textId="77777777" w:rsidR="009D76BA" w:rsidRDefault="009D76BA"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 xml:space="preserve">Section 5.4 - Units for Haemoglobin changed from g/dL to g/L in accordance with the new national units </w:t>
            </w:r>
          </w:p>
          <w:p w14:paraId="3215285F" w14:textId="77777777" w:rsidR="009D76BA" w:rsidRDefault="009D76BA"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 xml:space="preserve">Section 7.3 – Phase I trial - </w:t>
            </w:r>
            <w:proofErr w:type="spellStart"/>
            <w:r>
              <w:rPr>
                <w:rFonts w:ascii="Arial" w:hAnsi="Arial" w:cs="Arial"/>
                <w:color w:val="000000"/>
                <w:sz w:val="20"/>
                <w:szCs w:val="20"/>
              </w:rPr>
              <w:t>Mosteller</w:t>
            </w:r>
            <w:proofErr w:type="spellEnd"/>
            <w:r>
              <w:rPr>
                <w:rFonts w:ascii="Arial" w:hAnsi="Arial" w:cs="Arial"/>
                <w:color w:val="000000"/>
                <w:sz w:val="20"/>
                <w:szCs w:val="20"/>
              </w:rPr>
              <w:t xml:space="preserve"> formula for calculation of BSA changed to Dubois and Dubois</w:t>
            </w:r>
          </w:p>
          <w:p w14:paraId="70BA9894" w14:textId="77777777" w:rsidR="009D76BA" w:rsidRDefault="009D76BA"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 xml:space="preserve">Section 7.3.2 – Randomised Phase II trial - </w:t>
            </w:r>
            <w:proofErr w:type="spellStart"/>
            <w:r>
              <w:rPr>
                <w:rFonts w:ascii="Arial" w:hAnsi="Arial" w:cs="Arial"/>
                <w:color w:val="000000"/>
                <w:sz w:val="20"/>
                <w:szCs w:val="20"/>
              </w:rPr>
              <w:t>Mosteller</w:t>
            </w:r>
            <w:proofErr w:type="spellEnd"/>
            <w:r>
              <w:rPr>
                <w:rFonts w:ascii="Arial" w:hAnsi="Arial" w:cs="Arial"/>
                <w:color w:val="000000"/>
                <w:sz w:val="20"/>
                <w:szCs w:val="20"/>
              </w:rPr>
              <w:t xml:space="preserve"> formula for calculation of BSA changed to Dubois and Dubois</w:t>
            </w:r>
          </w:p>
          <w:p w14:paraId="417C5E53" w14:textId="77777777" w:rsidR="009D76BA" w:rsidRPr="0077635F" w:rsidRDefault="009D76BA" w:rsidP="00D65DE2">
            <w:pPr>
              <w:pStyle w:val="ListParagraph"/>
              <w:numPr>
                <w:ilvl w:val="0"/>
                <w:numId w:val="45"/>
              </w:numPr>
              <w:contextualSpacing/>
              <w:rPr>
                <w:rFonts w:ascii="Arial" w:hAnsi="Arial" w:cs="Arial"/>
                <w:color w:val="000000"/>
                <w:sz w:val="20"/>
                <w:szCs w:val="20"/>
              </w:rPr>
            </w:pPr>
            <w:r w:rsidRPr="0077635F">
              <w:rPr>
                <w:rFonts w:ascii="Arial" w:hAnsi="Arial" w:cs="Arial"/>
                <w:color w:val="000000"/>
                <w:sz w:val="20"/>
                <w:szCs w:val="20"/>
              </w:rPr>
              <w:t xml:space="preserve">Section 7.5 – Ganetespib - </w:t>
            </w:r>
            <w:r w:rsidRPr="0077635F">
              <w:rPr>
                <w:rFonts w:ascii="Arial" w:hAnsi="Arial" w:cs="Arial"/>
                <w:sz w:val="20"/>
                <w:szCs w:val="20"/>
              </w:rPr>
              <w:t xml:space="preserve">Ganetespib infusion </w:t>
            </w:r>
            <w:r>
              <w:rPr>
                <w:rFonts w:ascii="Arial" w:hAnsi="Arial" w:cs="Arial"/>
                <w:sz w:val="20"/>
                <w:szCs w:val="20"/>
              </w:rPr>
              <w:t xml:space="preserve">now supplied </w:t>
            </w:r>
            <w:r w:rsidRPr="0077635F">
              <w:rPr>
                <w:rFonts w:ascii="Arial" w:hAnsi="Arial" w:cs="Arial"/>
                <w:sz w:val="20"/>
                <w:szCs w:val="20"/>
              </w:rPr>
              <w:t>in 2 different vials sizes; 300mg and 400mg.</w:t>
            </w:r>
            <w:r>
              <w:rPr>
                <w:rFonts w:ascii="Arial" w:hAnsi="Arial" w:cs="Arial"/>
                <w:sz w:val="20"/>
                <w:szCs w:val="20"/>
              </w:rPr>
              <w:t xml:space="preserve"> Container and Storage conditions added for 300mg vial.</w:t>
            </w:r>
          </w:p>
          <w:p w14:paraId="5B3B7A08" w14:textId="77777777" w:rsidR="009D76BA" w:rsidRPr="007C5DEB" w:rsidRDefault="009D76BA" w:rsidP="00D65DE2">
            <w:pPr>
              <w:pStyle w:val="ListParagraph"/>
              <w:numPr>
                <w:ilvl w:val="0"/>
                <w:numId w:val="45"/>
              </w:numPr>
              <w:contextualSpacing/>
              <w:rPr>
                <w:rFonts w:ascii="Arial" w:hAnsi="Arial" w:cs="Arial"/>
                <w:color w:val="000000"/>
                <w:sz w:val="20"/>
                <w:szCs w:val="20"/>
              </w:rPr>
            </w:pPr>
            <w:r w:rsidRPr="00D467F9">
              <w:rPr>
                <w:rFonts w:ascii="Arial" w:hAnsi="Arial" w:cs="Arial"/>
                <w:color w:val="000000"/>
                <w:sz w:val="20"/>
                <w:szCs w:val="20"/>
              </w:rPr>
              <w:t xml:space="preserve">Section 7.5 – Administration - </w:t>
            </w:r>
            <w:r w:rsidRPr="00D467F9">
              <w:rPr>
                <w:rFonts w:ascii="Arial" w:hAnsi="Arial" w:cs="Arial"/>
                <w:sz w:val="20"/>
                <w:szCs w:val="20"/>
              </w:rPr>
              <w:t xml:space="preserve">The DuBois and DuBois formula is the recommended method to be used for the calculation of BSA. </w:t>
            </w:r>
          </w:p>
          <w:p w14:paraId="13C5639E" w14:textId="77777777" w:rsidR="009D76BA" w:rsidRPr="00DC1EDF" w:rsidRDefault="009D76BA" w:rsidP="00D65DE2">
            <w:pPr>
              <w:pStyle w:val="ListParagraph"/>
              <w:numPr>
                <w:ilvl w:val="0"/>
                <w:numId w:val="45"/>
              </w:numPr>
              <w:contextualSpacing/>
              <w:rPr>
                <w:rFonts w:ascii="Arial" w:hAnsi="Arial" w:cs="Arial"/>
                <w:color w:val="000000"/>
                <w:sz w:val="20"/>
                <w:szCs w:val="20"/>
              </w:rPr>
            </w:pPr>
            <w:r>
              <w:rPr>
                <w:rFonts w:ascii="Arial" w:hAnsi="Arial" w:cs="Arial"/>
                <w:sz w:val="20"/>
                <w:szCs w:val="20"/>
              </w:rPr>
              <w:t xml:space="preserve">Section 7.11.1 – Ganetespib dose reductions – ANC values for Haematological Toxicity clarified </w:t>
            </w:r>
          </w:p>
          <w:p w14:paraId="168B6EA8" w14:textId="77777777" w:rsidR="009D76BA" w:rsidRPr="00DC1EDF" w:rsidRDefault="009D76BA" w:rsidP="00D65DE2">
            <w:pPr>
              <w:pStyle w:val="ListParagraph"/>
              <w:numPr>
                <w:ilvl w:val="0"/>
                <w:numId w:val="45"/>
              </w:numPr>
              <w:contextualSpacing/>
              <w:rPr>
                <w:rFonts w:ascii="Arial" w:hAnsi="Arial" w:cs="Arial"/>
                <w:color w:val="000000"/>
                <w:sz w:val="20"/>
                <w:szCs w:val="20"/>
              </w:rPr>
            </w:pPr>
            <w:r w:rsidRPr="00DC1EDF">
              <w:rPr>
                <w:rFonts w:ascii="Arial" w:hAnsi="Arial" w:cs="Arial"/>
                <w:color w:val="000000"/>
                <w:sz w:val="20"/>
                <w:szCs w:val="20"/>
              </w:rPr>
              <w:t xml:space="preserve">Section 7.11.3 – </w:t>
            </w:r>
            <w:proofErr w:type="spellStart"/>
            <w:r w:rsidRPr="00DC1EDF">
              <w:rPr>
                <w:rFonts w:ascii="Arial" w:hAnsi="Arial" w:cs="Arial"/>
                <w:color w:val="000000"/>
                <w:sz w:val="20"/>
                <w:szCs w:val="20"/>
              </w:rPr>
              <w:t>Pem</w:t>
            </w:r>
            <w:proofErr w:type="spellEnd"/>
            <w:r w:rsidRPr="00DC1EDF">
              <w:rPr>
                <w:rFonts w:ascii="Arial" w:hAnsi="Arial" w:cs="Arial"/>
                <w:color w:val="000000"/>
                <w:sz w:val="20"/>
                <w:szCs w:val="20"/>
              </w:rPr>
              <w:t xml:space="preserve">/Cis dose reduction guidelines - </w:t>
            </w:r>
            <w:r w:rsidRPr="00DC1EDF">
              <w:rPr>
                <w:rFonts w:ascii="Arial" w:hAnsi="Arial" w:cs="Arial"/>
                <w:sz w:val="20"/>
                <w:szCs w:val="20"/>
              </w:rPr>
              <w:t>The dose modification schedules should be followed as closely as possible but these are recommendations only and clinical judgement should be used in individual cases.</w:t>
            </w:r>
          </w:p>
          <w:p w14:paraId="7E20D6BA" w14:textId="77777777" w:rsidR="009D76BA" w:rsidRDefault="009D76BA" w:rsidP="00D65DE2">
            <w:pPr>
              <w:pStyle w:val="ListParagraph"/>
              <w:numPr>
                <w:ilvl w:val="0"/>
                <w:numId w:val="45"/>
              </w:numPr>
              <w:contextualSpacing/>
              <w:rPr>
                <w:rFonts w:ascii="Arial" w:hAnsi="Arial" w:cs="Arial"/>
                <w:color w:val="000000"/>
                <w:sz w:val="20"/>
                <w:szCs w:val="20"/>
              </w:rPr>
            </w:pPr>
            <w:r w:rsidRPr="00DC1EDF">
              <w:rPr>
                <w:rFonts w:ascii="Arial" w:hAnsi="Arial" w:cs="Arial"/>
                <w:color w:val="000000"/>
                <w:sz w:val="20"/>
                <w:szCs w:val="20"/>
              </w:rPr>
              <w:t xml:space="preserve">Section 9 – Data Management - </w:t>
            </w:r>
            <w:r w:rsidRPr="00DC1EDF">
              <w:rPr>
                <w:rFonts w:ascii="Arial" w:hAnsi="Arial" w:cs="Arial"/>
                <w:sz w:val="20"/>
                <w:szCs w:val="20"/>
              </w:rPr>
              <w:t>S</w:t>
            </w:r>
            <w:r w:rsidRPr="00DC1EDF">
              <w:rPr>
                <w:rFonts w:ascii="Arial" w:hAnsi="Arial" w:cs="Arial"/>
                <w:color w:val="000000"/>
                <w:sz w:val="20"/>
                <w:szCs w:val="20"/>
              </w:rPr>
              <w:t>ome data will be recorded directly on the CRFs (i.e. no prior written or electronic record of data) and it will be considered to be the source document.</w:t>
            </w:r>
          </w:p>
          <w:p w14:paraId="4CDAAA83" w14:textId="77777777" w:rsidR="009D76BA" w:rsidRDefault="009D76BA" w:rsidP="00D65DE2">
            <w:pPr>
              <w:pStyle w:val="ListParagraph"/>
              <w:numPr>
                <w:ilvl w:val="0"/>
                <w:numId w:val="45"/>
              </w:numPr>
              <w:contextualSpacing/>
              <w:rPr>
                <w:rFonts w:ascii="Arial" w:hAnsi="Arial" w:cs="Arial"/>
                <w:color w:val="000000"/>
                <w:sz w:val="20"/>
                <w:szCs w:val="20"/>
              </w:rPr>
            </w:pPr>
            <w:r>
              <w:rPr>
                <w:rFonts w:ascii="Arial" w:hAnsi="Arial" w:cs="Arial"/>
                <w:color w:val="000000"/>
                <w:sz w:val="20"/>
                <w:szCs w:val="20"/>
              </w:rPr>
              <w:t xml:space="preserve">Section 12.1 – On-Site Monitoring – Key areas for assessment during on site monitoring removed altogether and referenced to the trial monitoring plan document. </w:t>
            </w:r>
          </w:p>
          <w:p w14:paraId="7BCC30B0" w14:textId="77777777" w:rsidR="009D76BA" w:rsidRPr="00BC3970" w:rsidRDefault="009D76BA" w:rsidP="00D65DE2">
            <w:pPr>
              <w:pStyle w:val="ListParagraph"/>
              <w:numPr>
                <w:ilvl w:val="0"/>
                <w:numId w:val="45"/>
              </w:numPr>
              <w:contextualSpacing/>
              <w:rPr>
                <w:rFonts w:ascii="Arial" w:hAnsi="Arial" w:cs="Arial"/>
                <w:color w:val="000000"/>
                <w:sz w:val="20"/>
                <w:szCs w:val="20"/>
              </w:rPr>
            </w:pPr>
            <w:r w:rsidRPr="005E4F81">
              <w:rPr>
                <w:rFonts w:ascii="Arial" w:hAnsi="Arial" w:cs="Arial"/>
                <w:color w:val="000000"/>
                <w:sz w:val="20"/>
                <w:szCs w:val="20"/>
              </w:rPr>
              <w:t xml:space="preserve">Section 12.2 – Central Monitoring - </w:t>
            </w:r>
            <w:r w:rsidRPr="005E4F81">
              <w:rPr>
                <w:rFonts w:ascii="Arial" w:hAnsi="Arial" w:cs="Arial"/>
                <w:sz w:val="20"/>
                <w:szCs w:val="20"/>
              </w:rPr>
              <w:t>Ensuring</w:t>
            </w:r>
            <w:r w:rsidRPr="005E4F81">
              <w:rPr>
                <w:rFonts w:ascii="Arial" w:hAnsi="Arial" w:cs="Arial"/>
                <w:color w:val="FF0000"/>
                <w:sz w:val="20"/>
                <w:szCs w:val="20"/>
              </w:rPr>
              <w:t xml:space="preserve"> </w:t>
            </w:r>
            <w:r w:rsidRPr="005E4F81">
              <w:rPr>
                <w:rFonts w:ascii="Arial" w:hAnsi="Arial" w:cs="Arial"/>
                <w:sz w:val="20"/>
                <w:szCs w:val="20"/>
              </w:rPr>
              <w:t>patient eligibility is the responsibility of the PI or other delegated Investigator(s).</w:t>
            </w:r>
          </w:p>
          <w:p w14:paraId="6374CC9E" w14:textId="77777777" w:rsidR="009D76BA" w:rsidRPr="00BC3970" w:rsidRDefault="009D76BA" w:rsidP="00D65DE2">
            <w:pPr>
              <w:pStyle w:val="ListParagraph"/>
              <w:numPr>
                <w:ilvl w:val="0"/>
                <w:numId w:val="45"/>
              </w:numPr>
              <w:contextualSpacing/>
              <w:rPr>
                <w:rFonts w:ascii="Arial" w:hAnsi="Arial" w:cs="Arial"/>
                <w:color w:val="000000"/>
                <w:sz w:val="20"/>
                <w:szCs w:val="20"/>
              </w:rPr>
            </w:pPr>
            <w:r w:rsidRPr="00BC3970">
              <w:rPr>
                <w:rFonts w:ascii="Arial" w:hAnsi="Arial" w:cs="Arial"/>
                <w:sz w:val="20"/>
                <w:szCs w:val="20"/>
              </w:rPr>
              <w:t xml:space="preserve">Section 13 – Withdrawals – Discontinuation - Patient withdrawing to further trial treatment changed to Patient Choice. Withdrawal of consent for data collection changed to Future Data Collection - If a patient </w:t>
            </w:r>
            <w:r w:rsidRPr="00BC3970">
              <w:rPr>
                <w:rFonts w:ascii="Arial" w:hAnsi="Arial" w:cs="Arial"/>
                <w:sz w:val="20"/>
                <w:szCs w:val="20"/>
                <w:u w:val="single"/>
              </w:rPr>
              <w:t>explicitly</w:t>
            </w:r>
            <w:r w:rsidRPr="00BC3970">
              <w:rPr>
                <w:rFonts w:ascii="Arial" w:hAnsi="Arial" w:cs="Arial"/>
                <w:sz w:val="20"/>
                <w:szCs w:val="20"/>
              </w:rPr>
              <w:t xml:space="preserve"> states they do not wish to contribute further data to the trial their decision must be respected, with the exception of safety data, and recorded on the relevant CRF</w:t>
            </w:r>
          </w:p>
          <w:p w14:paraId="12DAACD5" w14:textId="77777777" w:rsidR="009D76BA" w:rsidRPr="009D76BA" w:rsidRDefault="009D76BA" w:rsidP="00D65DE2">
            <w:pPr>
              <w:pStyle w:val="ListParagraph"/>
              <w:numPr>
                <w:ilvl w:val="0"/>
                <w:numId w:val="45"/>
              </w:numPr>
              <w:contextualSpacing/>
              <w:rPr>
                <w:rFonts w:ascii="Arial" w:hAnsi="Arial" w:cs="Arial"/>
                <w:color w:val="000000"/>
                <w:sz w:val="20"/>
                <w:szCs w:val="20"/>
              </w:rPr>
            </w:pPr>
            <w:r w:rsidRPr="009D76BA">
              <w:rPr>
                <w:rFonts w:ascii="Arial" w:hAnsi="Arial" w:cs="Arial"/>
                <w:sz w:val="20"/>
                <w:szCs w:val="20"/>
              </w:rPr>
              <w:t>Section 16 – Ethical and Regulatory Approvals – updated in line with new CTC template.</w:t>
            </w:r>
          </w:p>
          <w:p w14:paraId="6A251C47" w14:textId="77777777" w:rsidR="009D76BA" w:rsidRPr="00823969" w:rsidRDefault="009D76BA" w:rsidP="00D65DE2">
            <w:pPr>
              <w:pStyle w:val="ListParagraph"/>
              <w:numPr>
                <w:ilvl w:val="0"/>
                <w:numId w:val="45"/>
              </w:numPr>
              <w:contextualSpacing/>
              <w:rPr>
                <w:rFonts w:ascii="Arial" w:hAnsi="Arial" w:cs="Arial"/>
                <w:color w:val="000000"/>
                <w:sz w:val="20"/>
                <w:szCs w:val="20"/>
              </w:rPr>
            </w:pPr>
            <w:r>
              <w:rPr>
                <w:rFonts w:ascii="Arial" w:hAnsi="Arial" w:cs="Arial"/>
                <w:sz w:val="20"/>
                <w:szCs w:val="20"/>
              </w:rPr>
              <w:t xml:space="preserve">Section 16.3  - updated in line with new CTC template - Site Approvals reference to Lead CLRN removed </w:t>
            </w:r>
          </w:p>
          <w:p w14:paraId="2CBAB2C6" w14:textId="77777777" w:rsidR="009D76BA" w:rsidRPr="00823969" w:rsidRDefault="009D76BA" w:rsidP="00D65DE2">
            <w:pPr>
              <w:pStyle w:val="ListParagraph"/>
              <w:numPr>
                <w:ilvl w:val="0"/>
                <w:numId w:val="45"/>
              </w:numPr>
              <w:contextualSpacing/>
              <w:rPr>
                <w:rFonts w:ascii="Arial" w:hAnsi="Arial" w:cs="Arial"/>
                <w:color w:val="000000"/>
                <w:sz w:val="20"/>
                <w:szCs w:val="20"/>
              </w:rPr>
            </w:pPr>
            <w:r>
              <w:rPr>
                <w:rFonts w:ascii="Arial" w:hAnsi="Arial" w:cs="Arial"/>
                <w:sz w:val="20"/>
                <w:szCs w:val="20"/>
              </w:rPr>
              <w:t>Section 17.1 – Sponsor Details updated</w:t>
            </w:r>
          </w:p>
          <w:p w14:paraId="11692DC0" w14:textId="77777777" w:rsidR="00877D7B" w:rsidRDefault="009D76BA" w:rsidP="00D65DE2">
            <w:pPr>
              <w:pStyle w:val="ListParagraph"/>
              <w:numPr>
                <w:ilvl w:val="0"/>
                <w:numId w:val="45"/>
              </w:numPr>
              <w:contextualSpacing/>
              <w:rPr>
                <w:rFonts w:ascii="Arial" w:hAnsi="Arial" w:cs="Arial"/>
                <w:color w:val="000000"/>
                <w:sz w:val="20"/>
                <w:szCs w:val="20"/>
              </w:rPr>
            </w:pPr>
            <w:r>
              <w:rPr>
                <w:rFonts w:ascii="Arial" w:hAnsi="Arial" w:cs="Arial"/>
                <w:sz w:val="20"/>
                <w:szCs w:val="20"/>
              </w:rPr>
              <w:t>Section 20 – Translational Research – Address for diagnostic tissue samples updated.</w:t>
            </w:r>
          </w:p>
        </w:tc>
      </w:tr>
    </w:tbl>
    <w:p w14:paraId="053D5481" w14:textId="77777777" w:rsidR="00DA67E8" w:rsidRDefault="00DA67E8" w:rsidP="00A256E8">
      <w:pPr>
        <w:pStyle w:val="Header"/>
        <w:tabs>
          <w:tab w:val="clear" w:pos="4153"/>
          <w:tab w:val="clear" w:pos="8306"/>
        </w:tabs>
        <w:jc w:val="both"/>
        <w:rPr>
          <w:rFonts w:ascii="Arial" w:hAnsi="Arial" w:cs="Arial"/>
          <w:lang w:val="en-GB"/>
        </w:rPr>
      </w:pPr>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tblBorders>
        <w:tblLayout w:type="fixed"/>
        <w:tblLook w:val="0000" w:firstRow="0" w:lastRow="0" w:firstColumn="0" w:lastColumn="0" w:noHBand="0" w:noVBand="0"/>
      </w:tblPr>
      <w:tblGrid>
        <w:gridCol w:w="1134"/>
        <w:gridCol w:w="1206"/>
        <w:gridCol w:w="1771"/>
        <w:gridCol w:w="5789"/>
      </w:tblGrid>
      <w:tr w:rsidR="005A7C04" w14:paraId="1111255D" w14:textId="77777777" w:rsidTr="00816118">
        <w:trPr>
          <w:trHeight w:val="3074"/>
        </w:trPr>
        <w:tc>
          <w:tcPr>
            <w:tcW w:w="1134" w:type="dxa"/>
            <w:tcBorders>
              <w:top w:val="single" w:sz="4" w:space="0" w:color="auto"/>
              <w:left w:val="single" w:sz="4" w:space="0" w:color="auto"/>
              <w:bottom w:val="single" w:sz="4" w:space="0" w:color="auto"/>
              <w:right w:val="single" w:sz="4" w:space="0" w:color="auto"/>
            </w:tcBorders>
          </w:tcPr>
          <w:p w14:paraId="1CDF9CFA" w14:textId="77777777" w:rsidR="005A7C04" w:rsidRPr="0068479F" w:rsidRDefault="005A7C04" w:rsidP="005A7C04">
            <w:pPr>
              <w:jc w:val="both"/>
              <w:rPr>
                <w:rFonts w:ascii="Arial" w:hAnsi="Arial" w:cs="Arial"/>
                <w:sz w:val="20"/>
                <w:szCs w:val="20"/>
              </w:rPr>
            </w:pPr>
            <w:r>
              <w:rPr>
                <w:rFonts w:ascii="Arial" w:hAnsi="Arial" w:cs="Arial"/>
                <w:sz w:val="20"/>
                <w:szCs w:val="20"/>
              </w:rPr>
              <w:lastRenderedPageBreak/>
              <w:t>3.1</w:t>
            </w:r>
          </w:p>
        </w:tc>
        <w:tc>
          <w:tcPr>
            <w:tcW w:w="1206" w:type="dxa"/>
            <w:tcBorders>
              <w:top w:val="single" w:sz="4" w:space="0" w:color="auto"/>
              <w:left w:val="single" w:sz="4" w:space="0" w:color="auto"/>
              <w:bottom w:val="single" w:sz="4" w:space="0" w:color="auto"/>
              <w:right w:val="single" w:sz="4" w:space="0" w:color="auto"/>
            </w:tcBorders>
          </w:tcPr>
          <w:p w14:paraId="4995DA91" w14:textId="77777777" w:rsidR="005A7C04" w:rsidRPr="0068479F" w:rsidRDefault="005A7C04" w:rsidP="005A7C04">
            <w:pPr>
              <w:ind w:right="-36"/>
              <w:jc w:val="both"/>
              <w:rPr>
                <w:rFonts w:ascii="Arial" w:hAnsi="Arial" w:cs="Arial"/>
                <w:sz w:val="20"/>
                <w:szCs w:val="20"/>
              </w:rPr>
            </w:pPr>
            <w:r>
              <w:rPr>
                <w:rFonts w:ascii="Arial" w:hAnsi="Arial" w:cs="Arial"/>
                <w:sz w:val="20"/>
                <w:szCs w:val="20"/>
              </w:rPr>
              <w:t>07-08-2013</w:t>
            </w:r>
          </w:p>
        </w:tc>
        <w:tc>
          <w:tcPr>
            <w:tcW w:w="1771" w:type="dxa"/>
            <w:tcBorders>
              <w:top w:val="single" w:sz="4" w:space="0" w:color="auto"/>
              <w:left w:val="single" w:sz="4" w:space="0" w:color="auto"/>
              <w:bottom w:val="single" w:sz="4" w:space="0" w:color="auto"/>
              <w:right w:val="single" w:sz="4" w:space="0" w:color="auto"/>
            </w:tcBorders>
          </w:tcPr>
          <w:p w14:paraId="14EECBEA" w14:textId="77777777" w:rsidR="005A7C04" w:rsidRDefault="005A7C04" w:rsidP="005A7C04">
            <w:pPr>
              <w:jc w:val="both"/>
              <w:rPr>
                <w:rFonts w:ascii="Arial" w:hAnsi="Arial" w:cs="Arial"/>
                <w:sz w:val="20"/>
                <w:szCs w:val="20"/>
              </w:rPr>
            </w:pPr>
            <w:r>
              <w:rPr>
                <w:rFonts w:ascii="Arial" w:hAnsi="Arial" w:cs="Arial"/>
                <w:sz w:val="20"/>
                <w:szCs w:val="20"/>
              </w:rPr>
              <w:t xml:space="preserve">N/A </w:t>
            </w:r>
          </w:p>
          <w:p w14:paraId="28117E51" w14:textId="77777777" w:rsidR="005A7C04" w:rsidRPr="005A7C04" w:rsidRDefault="005A7C04" w:rsidP="005A7C04">
            <w:pPr>
              <w:jc w:val="both"/>
              <w:rPr>
                <w:rFonts w:ascii="Arial" w:hAnsi="Arial" w:cs="Arial"/>
                <w:b/>
                <w:sz w:val="20"/>
                <w:szCs w:val="20"/>
              </w:rPr>
            </w:pPr>
            <w:r w:rsidRPr="005A7C04">
              <w:rPr>
                <w:rFonts w:ascii="Arial" w:hAnsi="Arial" w:cs="Arial"/>
                <w:b/>
                <w:sz w:val="20"/>
                <w:szCs w:val="20"/>
              </w:rPr>
              <w:t xml:space="preserve">non- substantial </w:t>
            </w:r>
          </w:p>
        </w:tc>
        <w:tc>
          <w:tcPr>
            <w:tcW w:w="5789" w:type="dxa"/>
            <w:tcBorders>
              <w:top w:val="single" w:sz="4" w:space="0" w:color="auto"/>
              <w:left w:val="single" w:sz="4" w:space="0" w:color="auto"/>
              <w:bottom w:val="single" w:sz="4" w:space="0" w:color="auto"/>
              <w:right w:val="single" w:sz="4" w:space="0" w:color="auto"/>
            </w:tcBorders>
          </w:tcPr>
          <w:p w14:paraId="4227A6A4" w14:textId="77777777" w:rsidR="005A7C04" w:rsidRPr="00B6334F" w:rsidRDefault="005A7C04" w:rsidP="00D65DE2">
            <w:pPr>
              <w:pStyle w:val="ListParagraph"/>
              <w:numPr>
                <w:ilvl w:val="0"/>
                <w:numId w:val="45"/>
              </w:numPr>
              <w:contextualSpacing/>
              <w:rPr>
                <w:rFonts w:ascii="Arial" w:hAnsi="Arial" w:cs="Arial"/>
                <w:sz w:val="20"/>
                <w:szCs w:val="20"/>
              </w:rPr>
            </w:pPr>
            <w:r>
              <w:rPr>
                <w:rFonts w:ascii="Arial" w:hAnsi="Arial" w:cs="Arial"/>
                <w:sz w:val="20"/>
                <w:szCs w:val="20"/>
              </w:rPr>
              <w:t>Change in Trial Coordinator’s name</w:t>
            </w:r>
          </w:p>
          <w:p w14:paraId="0630CAC8" w14:textId="77777777" w:rsidR="00B6334F" w:rsidRPr="00B6334F" w:rsidRDefault="00B6334F" w:rsidP="00D65DE2">
            <w:pPr>
              <w:pStyle w:val="ListParagraph"/>
              <w:numPr>
                <w:ilvl w:val="0"/>
                <w:numId w:val="45"/>
              </w:numPr>
              <w:contextualSpacing/>
              <w:rPr>
                <w:rFonts w:ascii="Arial" w:hAnsi="Arial" w:cs="Arial"/>
                <w:sz w:val="20"/>
                <w:szCs w:val="20"/>
              </w:rPr>
            </w:pPr>
            <w:r>
              <w:rPr>
                <w:rFonts w:ascii="Arial" w:hAnsi="Arial" w:cs="Arial"/>
                <w:sz w:val="20"/>
                <w:szCs w:val="20"/>
              </w:rPr>
              <w:t>7.3 – clarification loperamide is administered prior to day 1 and 15 ganetespib administration</w:t>
            </w:r>
          </w:p>
          <w:p w14:paraId="18E00F09" w14:textId="77777777" w:rsidR="00B6334F" w:rsidRPr="00B6334F" w:rsidRDefault="00B6334F" w:rsidP="00D65DE2">
            <w:pPr>
              <w:pStyle w:val="ListParagraph"/>
              <w:numPr>
                <w:ilvl w:val="0"/>
                <w:numId w:val="45"/>
              </w:numPr>
              <w:contextualSpacing/>
              <w:rPr>
                <w:rFonts w:ascii="Arial" w:hAnsi="Arial" w:cs="Arial"/>
                <w:color w:val="000000"/>
                <w:sz w:val="20"/>
                <w:szCs w:val="20"/>
              </w:rPr>
            </w:pPr>
            <w:r>
              <w:rPr>
                <w:rFonts w:ascii="Arial" w:hAnsi="Arial" w:cs="Arial"/>
                <w:sz w:val="20"/>
                <w:szCs w:val="20"/>
              </w:rPr>
              <w:t xml:space="preserve">7.11 clarification the </w:t>
            </w:r>
            <w:r w:rsidRPr="00B6334F">
              <w:rPr>
                <w:rFonts w:ascii="Arial" w:hAnsi="Arial" w:cs="Arial"/>
                <w:sz w:val="20"/>
                <w:szCs w:val="20"/>
              </w:rPr>
              <w:t>two dose reductions that can occur before a patient must be withdrawn refers to ganetespib only</w:t>
            </w:r>
          </w:p>
          <w:p w14:paraId="66AD7E78" w14:textId="77777777" w:rsidR="00B6334F" w:rsidRPr="00B6334F" w:rsidRDefault="00B6334F" w:rsidP="00D65DE2">
            <w:pPr>
              <w:pStyle w:val="ListParagraph"/>
              <w:numPr>
                <w:ilvl w:val="0"/>
                <w:numId w:val="45"/>
              </w:numPr>
              <w:contextualSpacing/>
              <w:rPr>
                <w:rFonts w:ascii="Arial" w:hAnsi="Arial" w:cs="Arial"/>
                <w:color w:val="000000"/>
                <w:sz w:val="20"/>
                <w:szCs w:val="20"/>
              </w:rPr>
            </w:pPr>
            <w:r>
              <w:rPr>
                <w:rFonts w:ascii="Arial" w:hAnsi="Arial" w:cs="Arial"/>
                <w:sz w:val="20"/>
                <w:szCs w:val="20"/>
              </w:rPr>
              <w:t>7.14.2 - chlorphenamine added as an alternative to diphenhydramine</w:t>
            </w:r>
          </w:p>
          <w:p w14:paraId="28D9B642" w14:textId="77777777" w:rsidR="00B6334F" w:rsidRPr="00B6334F" w:rsidRDefault="00B6334F" w:rsidP="00D65DE2">
            <w:pPr>
              <w:pStyle w:val="ListParagraph"/>
              <w:numPr>
                <w:ilvl w:val="0"/>
                <w:numId w:val="45"/>
              </w:numPr>
              <w:contextualSpacing/>
              <w:rPr>
                <w:rFonts w:ascii="Arial" w:hAnsi="Arial" w:cs="Arial"/>
                <w:color w:val="000000"/>
                <w:sz w:val="20"/>
                <w:szCs w:val="20"/>
              </w:rPr>
            </w:pPr>
            <w:r>
              <w:rPr>
                <w:rFonts w:ascii="Arial" w:hAnsi="Arial" w:cs="Arial"/>
                <w:sz w:val="20"/>
                <w:szCs w:val="20"/>
              </w:rPr>
              <w:t xml:space="preserve">7.15 - correction to the telephone number for </w:t>
            </w:r>
            <w:r w:rsidRPr="00B6334F">
              <w:rPr>
                <w:rFonts w:ascii="Arial" w:hAnsi="Arial" w:cs="Arial"/>
                <w:sz w:val="20"/>
                <w:szCs w:val="20"/>
              </w:rPr>
              <w:t>drug-specific advice for</w:t>
            </w:r>
            <w:r>
              <w:rPr>
                <w:rFonts w:ascii="Arial" w:hAnsi="Arial" w:cs="Arial"/>
                <w:sz w:val="20"/>
                <w:szCs w:val="20"/>
              </w:rPr>
              <w:t xml:space="preserve"> ganetespib, and alternative numbers added</w:t>
            </w:r>
          </w:p>
          <w:p w14:paraId="4331D4B3" w14:textId="77777777" w:rsidR="00B6334F" w:rsidRPr="00B6334F" w:rsidRDefault="00B6334F" w:rsidP="00D65DE2">
            <w:pPr>
              <w:pStyle w:val="ListParagraph"/>
              <w:numPr>
                <w:ilvl w:val="0"/>
                <w:numId w:val="45"/>
              </w:numPr>
              <w:contextualSpacing/>
              <w:rPr>
                <w:rFonts w:ascii="Arial" w:hAnsi="Arial" w:cs="Arial"/>
                <w:color w:val="000000"/>
                <w:sz w:val="20"/>
                <w:szCs w:val="20"/>
              </w:rPr>
            </w:pPr>
            <w:r>
              <w:rPr>
                <w:rFonts w:ascii="Arial" w:hAnsi="Arial" w:cs="Arial"/>
                <w:sz w:val="20"/>
                <w:szCs w:val="20"/>
              </w:rPr>
              <w:t>8.1, 8.2 &amp; 8.3 – typographical errors amended</w:t>
            </w:r>
          </w:p>
          <w:p w14:paraId="69B99EE2" w14:textId="77777777" w:rsidR="00B6334F" w:rsidRDefault="00B6334F" w:rsidP="00D65DE2">
            <w:pPr>
              <w:pStyle w:val="ListParagraph"/>
              <w:numPr>
                <w:ilvl w:val="0"/>
                <w:numId w:val="45"/>
              </w:numPr>
              <w:contextualSpacing/>
              <w:rPr>
                <w:rFonts w:ascii="Arial" w:hAnsi="Arial" w:cs="Arial"/>
                <w:color w:val="000000"/>
                <w:sz w:val="20"/>
                <w:szCs w:val="20"/>
              </w:rPr>
            </w:pPr>
            <w:r>
              <w:rPr>
                <w:rFonts w:ascii="Arial" w:hAnsi="Arial" w:cs="Arial"/>
                <w:sz w:val="20"/>
                <w:szCs w:val="20"/>
              </w:rPr>
              <w:t>Appendix 2 – table corrected to match protocol</w:t>
            </w:r>
          </w:p>
        </w:tc>
      </w:tr>
      <w:tr w:rsidR="00CA5BA2" w14:paraId="7959E267" w14:textId="77777777" w:rsidTr="00F95FB2">
        <w:trPr>
          <w:trHeight w:val="1090"/>
        </w:trPr>
        <w:tc>
          <w:tcPr>
            <w:tcW w:w="1134" w:type="dxa"/>
            <w:tcBorders>
              <w:top w:val="single" w:sz="4" w:space="0" w:color="auto"/>
              <w:left w:val="single" w:sz="4" w:space="0" w:color="auto"/>
              <w:bottom w:val="single" w:sz="4" w:space="0" w:color="auto"/>
              <w:right w:val="single" w:sz="4" w:space="0" w:color="auto"/>
            </w:tcBorders>
          </w:tcPr>
          <w:p w14:paraId="59D30B6B" w14:textId="77777777" w:rsidR="00CA5BA2" w:rsidRDefault="00CA5BA2" w:rsidP="005A7C04">
            <w:pPr>
              <w:jc w:val="both"/>
              <w:rPr>
                <w:rFonts w:ascii="Arial" w:hAnsi="Arial" w:cs="Arial"/>
                <w:sz w:val="20"/>
                <w:szCs w:val="20"/>
              </w:rPr>
            </w:pPr>
            <w:r>
              <w:rPr>
                <w:rFonts w:ascii="Arial" w:hAnsi="Arial" w:cs="Arial"/>
                <w:sz w:val="20"/>
                <w:szCs w:val="20"/>
              </w:rPr>
              <w:t>4.0</w:t>
            </w:r>
          </w:p>
        </w:tc>
        <w:tc>
          <w:tcPr>
            <w:tcW w:w="1206" w:type="dxa"/>
            <w:tcBorders>
              <w:top w:val="single" w:sz="4" w:space="0" w:color="auto"/>
              <w:left w:val="single" w:sz="4" w:space="0" w:color="auto"/>
              <w:bottom w:val="single" w:sz="4" w:space="0" w:color="auto"/>
              <w:right w:val="single" w:sz="4" w:space="0" w:color="auto"/>
            </w:tcBorders>
          </w:tcPr>
          <w:p w14:paraId="1069EF46" w14:textId="77777777" w:rsidR="00CA5BA2" w:rsidRDefault="00C86FF9" w:rsidP="005A7C04">
            <w:pPr>
              <w:ind w:right="-36"/>
              <w:jc w:val="both"/>
              <w:rPr>
                <w:rFonts w:ascii="Arial" w:hAnsi="Arial" w:cs="Arial"/>
                <w:sz w:val="20"/>
                <w:szCs w:val="20"/>
              </w:rPr>
            </w:pPr>
            <w:r>
              <w:rPr>
                <w:rFonts w:ascii="Arial" w:hAnsi="Arial" w:cs="Arial"/>
                <w:sz w:val="20"/>
                <w:szCs w:val="20"/>
              </w:rPr>
              <w:t>19-03</w:t>
            </w:r>
            <w:r w:rsidR="00CA5BA2">
              <w:rPr>
                <w:rFonts w:ascii="Arial" w:hAnsi="Arial" w:cs="Arial"/>
                <w:sz w:val="20"/>
                <w:szCs w:val="20"/>
              </w:rPr>
              <w:t>-2014</w:t>
            </w:r>
          </w:p>
        </w:tc>
        <w:tc>
          <w:tcPr>
            <w:tcW w:w="1771" w:type="dxa"/>
            <w:tcBorders>
              <w:top w:val="single" w:sz="4" w:space="0" w:color="auto"/>
              <w:left w:val="single" w:sz="4" w:space="0" w:color="auto"/>
              <w:bottom w:val="single" w:sz="4" w:space="0" w:color="auto"/>
              <w:right w:val="single" w:sz="4" w:space="0" w:color="auto"/>
            </w:tcBorders>
          </w:tcPr>
          <w:p w14:paraId="4B0D1D61" w14:textId="77777777" w:rsidR="00CA5BA2" w:rsidRDefault="00CA5BA2" w:rsidP="005A7C04">
            <w:pPr>
              <w:jc w:val="both"/>
              <w:rPr>
                <w:rFonts w:ascii="Arial" w:hAnsi="Arial" w:cs="Arial"/>
                <w:sz w:val="20"/>
                <w:szCs w:val="20"/>
              </w:rPr>
            </w:pPr>
            <w:r>
              <w:rPr>
                <w:rFonts w:ascii="Arial" w:hAnsi="Arial" w:cs="Arial"/>
                <w:sz w:val="20"/>
                <w:szCs w:val="20"/>
              </w:rPr>
              <w:t>3.0</w:t>
            </w:r>
          </w:p>
        </w:tc>
        <w:tc>
          <w:tcPr>
            <w:tcW w:w="5789" w:type="dxa"/>
            <w:tcBorders>
              <w:top w:val="single" w:sz="4" w:space="0" w:color="auto"/>
              <w:left w:val="single" w:sz="4" w:space="0" w:color="auto"/>
              <w:bottom w:val="single" w:sz="4" w:space="0" w:color="auto"/>
              <w:right w:val="single" w:sz="4" w:space="0" w:color="auto"/>
            </w:tcBorders>
          </w:tcPr>
          <w:p w14:paraId="512D00FB" w14:textId="77777777" w:rsidR="00CA5BA2" w:rsidRDefault="00CA5BA2" w:rsidP="00D65DE2">
            <w:pPr>
              <w:pStyle w:val="ListParagraph"/>
              <w:numPr>
                <w:ilvl w:val="0"/>
                <w:numId w:val="45"/>
              </w:numPr>
              <w:contextualSpacing/>
              <w:rPr>
                <w:rFonts w:ascii="Arial" w:hAnsi="Arial" w:cs="Arial"/>
                <w:sz w:val="20"/>
                <w:szCs w:val="20"/>
              </w:rPr>
            </w:pPr>
            <w:r>
              <w:rPr>
                <w:rFonts w:ascii="Arial" w:hAnsi="Arial" w:cs="Arial"/>
                <w:sz w:val="20"/>
                <w:szCs w:val="20"/>
              </w:rPr>
              <w:t>Change in title from cisplatin to platinum to reflect option of using carboplatin in phase II</w:t>
            </w:r>
          </w:p>
          <w:p w14:paraId="468B88DB" w14:textId="77777777" w:rsidR="00CA5BA2" w:rsidRPr="00C40D49" w:rsidRDefault="00CA5BA2" w:rsidP="00D65DE2">
            <w:pPr>
              <w:pStyle w:val="ListParagraph"/>
              <w:numPr>
                <w:ilvl w:val="0"/>
                <w:numId w:val="45"/>
              </w:numPr>
              <w:contextualSpacing/>
              <w:rPr>
                <w:rFonts w:ascii="Arial" w:hAnsi="Arial" w:cs="Arial"/>
                <w:sz w:val="20"/>
                <w:szCs w:val="20"/>
              </w:rPr>
            </w:pPr>
            <w:r w:rsidRPr="00C40D49">
              <w:rPr>
                <w:rFonts w:ascii="Arial" w:hAnsi="Arial" w:cs="Arial"/>
                <w:sz w:val="20"/>
                <w:szCs w:val="20"/>
              </w:rPr>
              <w:t>Change in TMG members</w:t>
            </w:r>
          </w:p>
          <w:p w14:paraId="720E1412" w14:textId="77777777" w:rsidR="00CA5BA2" w:rsidRPr="00C40D49" w:rsidRDefault="00CA5BA2" w:rsidP="00D65DE2">
            <w:pPr>
              <w:pStyle w:val="ListParagraph"/>
              <w:numPr>
                <w:ilvl w:val="0"/>
                <w:numId w:val="45"/>
              </w:numPr>
              <w:contextualSpacing/>
              <w:rPr>
                <w:rFonts w:ascii="Arial" w:hAnsi="Arial" w:cs="Arial"/>
                <w:sz w:val="20"/>
                <w:szCs w:val="20"/>
              </w:rPr>
            </w:pPr>
            <w:r w:rsidRPr="00C40D49">
              <w:rPr>
                <w:rFonts w:ascii="Arial" w:hAnsi="Arial" w:cs="Arial"/>
                <w:sz w:val="20"/>
                <w:szCs w:val="20"/>
              </w:rPr>
              <w:t>Section 1.1 - Summary of trial design updated to reflect changes in main protocol</w:t>
            </w:r>
          </w:p>
          <w:p w14:paraId="2124E091" w14:textId="77777777" w:rsidR="00CA5BA2" w:rsidRPr="00C40D49" w:rsidRDefault="00CA5BA2" w:rsidP="00D65DE2">
            <w:pPr>
              <w:pStyle w:val="ListParagraph"/>
              <w:numPr>
                <w:ilvl w:val="0"/>
                <w:numId w:val="45"/>
              </w:numPr>
              <w:contextualSpacing/>
              <w:rPr>
                <w:rFonts w:ascii="Arial" w:hAnsi="Arial" w:cs="Arial"/>
                <w:sz w:val="20"/>
                <w:szCs w:val="20"/>
              </w:rPr>
            </w:pPr>
            <w:r w:rsidRPr="00C40D49">
              <w:rPr>
                <w:rFonts w:ascii="Arial" w:hAnsi="Arial" w:cs="Arial"/>
                <w:sz w:val="20"/>
                <w:szCs w:val="20"/>
              </w:rPr>
              <w:t xml:space="preserve">Sections 1.2, 2.2, 7.3 - details added to include </w:t>
            </w:r>
            <w:r w:rsidR="00A643C3">
              <w:rPr>
                <w:rFonts w:ascii="Arial" w:hAnsi="Arial" w:cs="Arial"/>
                <w:sz w:val="20"/>
                <w:szCs w:val="20"/>
              </w:rPr>
              <w:t>additional</w:t>
            </w:r>
            <w:r w:rsidRPr="00C40D49">
              <w:rPr>
                <w:rFonts w:ascii="Arial" w:hAnsi="Arial" w:cs="Arial"/>
                <w:sz w:val="20"/>
                <w:szCs w:val="20"/>
              </w:rPr>
              <w:t xml:space="preserve"> patients to be registered to receive ganetespib, pemetrexed and carboplatin in the phase I. This group will be recruited concurrently with the group of patients used to confirm the MTD.</w:t>
            </w:r>
          </w:p>
          <w:p w14:paraId="1EC7CF0E" w14:textId="77777777" w:rsidR="00CA5BA2" w:rsidRDefault="00CA5BA2" w:rsidP="00D65DE2">
            <w:pPr>
              <w:pStyle w:val="ListParagraph"/>
              <w:numPr>
                <w:ilvl w:val="0"/>
                <w:numId w:val="45"/>
              </w:numPr>
              <w:contextualSpacing/>
              <w:rPr>
                <w:rFonts w:ascii="Arial" w:hAnsi="Arial" w:cs="Arial"/>
                <w:sz w:val="20"/>
                <w:szCs w:val="20"/>
              </w:rPr>
            </w:pPr>
            <w:r w:rsidRPr="00C40D49">
              <w:rPr>
                <w:rFonts w:ascii="Arial" w:hAnsi="Arial" w:cs="Arial"/>
                <w:sz w:val="20"/>
                <w:szCs w:val="20"/>
              </w:rPr>
              <w:t>Section 1.2</w:t>
            </w:r>
            <w:r>
              <w:rPr>
                <w:rFonts w:ascii="Arial" w:hAnsi="Arial" w:cs="Arial"/>
                <w:sz w:val="20"/>
                <w:szCs w:val="20"/>
              </w:rPr>
              <w:t>.</w:t>
            </w:r>
            <w:r w:rsidRPr="00C40D49">
              <w:rPr>
                <w:rFonts w:ascii="Arial" w:hAnsi="Arial" w:cs="Arial"/>
                <w:sz w:val="20"/>
                <w:szCs w:val="20"/>
              </w:rPr>
              <w:t>3, 2.2.2, 7.3.2. - updated to reflect the option of using carboplatin in the phase II</w:t>
            </w:r>
          </w:p>
          <w:p w14:paraId="725EFE49" w14:textId="77777777" w:rsidR="00CA5BA2" w:rsidRDefault="00CA5BA2" w:rsidP="00D65DE2">
            <w:pPr>
              <w:pStyle w:val="ListParagraph"/>
              <w:numPr>
                <w:ilvl w:val="0"/>
                <w:numId w:val="45"/>
              </w:numPr>
              <w:contextualSpacing/>
              <w:rPr>
                <w:rFonts w:ascii="Arial" w:hAnsi="Arial" w:cs="Arial"/>
                <w:sz w:val="20"/>
                <w:szCs w:val="20"/>
              </w:rPr>
            </w:pPr>
            <w:r>
              <w:rPr>
                <w:rFonts w:ascii="Arial" w:hAnsi="Arial" w:cs="Arial"/>
                <w:sz w:val="20"/>
                <w:szCs w:val="20"/>
              </w:rPr>
              <w:t>Section 2.1 – Clinical experience and Adverse Events updated in line with new version of IB for ganetespib</w:t>
            </w:r>
          </w:p>
          <w:p w14:paraId="414E2B2F" w14:textId="77777777" w:rsidR="00E6231B" w:rsidRDefault="00E6231B" w:rsidP="00D65DE2">
            <w:pPr>
              <w:pStyle w:val="ListParagraph"/>
              <w:numPr>
                <w:ilvl w:val="0"/>
                <w:numId w:val="45"/>
              </w:numPr>
              <w:contextualSpacing/>
              <w:rPr>
                <w:rFonts w:ascii="Arial" w:hAnsi="Arial" w:cs="Arial"/>
                <w:sz w:val="20"/>
                <w:szCs w:val="20"/>
              </w:rPr>
            </w:pPr>
            <w:r>
              <w:rPr>
                <w:rFonts w:ascii="Arial" w:hAnsi="Arial" w:cs="Arial"/>
                <w:sz w:val="20"/>
                <w:szCs w:val="20"/>
              </w:rPr>
              <w:t>Sections 2.2.3, 8.1, 8.3, 8.4, 20</w:t>
            </w:r>
            <w:r w:rsidR="0035008C">
              <w:rPr>
                <w:rFonts w:ascii="Arial" w:hAnsi="Arial" w:cs="Arial"/>
                <w:sz w:val="20"/>
                <w:szCs w:val="20"/>
              </w:rPr>
              <w:t xml:space="preserve"> and Appendi</w:t>
            </w:r>
            <w:r w:rsidR="00DC4845">
              <w:rPr>
                <w:rFonts w:ascii="Arial" w:hAnsi="Arial" w:cs="Arial"/>
                <w:sz w:val="20"/>
                <w:szCs w:val="20"/>
              </w:rPr>
              <w:t>x</w:t>
            </w:r>
            <w:r w:rsidR="0035008C">
              <w:rPr>
                <w:rFonts w:ascii="Arial" w:hAnsi="Arial" w:cs="Arial"/>
                <w:sz w:val="20"/>
                <w:szCs w:val="20"/>
              </w:rPr>
              <w:t xml:space="preserve"> 2 – update to schedule of blood sample collection for translational research</w:t>
            </w:r>
          </w:p>
          <w:p w14:paraId="6EDB7CDE" w14:textId="77777777" w:rsidR="00CA5BA2" w:rsidRPr="00C40D49" w:rsidRDefault="00CA5BA2" w:rsidP="00D65DE2">
            <w:pPr>
              <w:pStyle w:val="ListParagraph"/>
              <w:numPr>
                <w:ilvl w:val="0"/>
                <w:numId w:val="45"/>
              </w:numPr>
              <w:contextualSpacing/>
              <w:rPr>
                <w:rFonts w:ascii="Arial" w:hAnsi="Arial" w:cs="Arial"/>
                <w:sz w:val="20"/>
                <w:szCs w:val="20"/>
              </w:rPr>
            </w:pPr>
            <w:r>
              <w:rPr>
                <w:rFonts w:ascii="Arial" w:hAnsi="Arial" w:cs="Arial"/>
                <w:sz w:val="20"/>
                <w:szCs w:val="20"/>
              </w:rPr>
              <w:t>Section 5.5 – Patient Exclusion criteria updated in line with version 9.0 of IB for ganetespib</w:t>
            </w:r>
          </w:p>
          <w:p w14:paraId="755245D5" w14:textId="77777777" w:rsidR="00CA5BA2" w:rsidRDefault="00CA5BA2" w:rsidP="00D65DE2">
            <w:pPr>
              <w:pStyle w:val="ListParagraph"/>
              <w:numPr>
                <w:ilvl w:val="0"/>
                <w:numId w:val="45"/>
              </w:numPr>
              <w:contextualSpacing/>
              <w:rPr>
                <w:rFonts w:ascii="Arial" w:hAnsi="Arial" w:cs="Arial"/>
                <w:sz w:val="20"/>
                <w:szCs w:val="20"/>
              </w:rPr>
            </w:pPr>
            <w:r w:rsidRPr="00C40D49">
              <w:rPr>
                <w:rFonts w:ascii="Arial" w:hAnsi="Arial" w:cs="Arial"/>
                <w:sz w:val="20"/>
                <w:szCs w:val="20"/>
              </w:rPr>
              <w:t>Section 6.3 – updated to include carboplatin (to be supplied from hospital stock)</w:t>
            </w:r>
          </w:p>
          <w:p w14:paraId="704DFFE0" w14:textId="77777777" w:rsidR="008B6B2E" w:rsidRDefault="008B6B2E" w:rsidP="00D65DE2">
            <w:pPr>
              <w:pStyle w:val="ListParagraph"/>
              <w:numPr>
                <w:ilvl w:val="0"/>
                <w:numId w:val="45"/>
              </w:numPr>
              <w:contextualSpacing/>
              <w:rPr>
                <w:rFonts w:ascii="Arial" w:hAnsi="Arial" w:cs="Arial"/>
                <w:sz w:val="20"/>
                <w:szCs w:val="20"/>
              </w:rPr>
            </w:pPr>
            <w:r>
              <w:rPr>
                <w:rFonts w:ascii="Arial" w:hAnsi="Arial" w:cs="Arial"/>
                <w:sz w:val="20"/>
                <w:szCs w:val="20"/>
              </w:rPr>
              <w:t>Section 7.1 – update to include carboplatin as IMP</w:t>
            </w:r>
          </w:p>
          <w:p w14:paraId="7B5E2C2F" w14:textId="77777777" w:rsidR="00CA5BA2" w:rsidRDefault="00CA5BA2" w:rsidP="00D65DE2">
            <w:pPr>
              <w:pStyle w:val="ListParagraph"/>
              <w:numPr>
                <w:ilvl w:val="0"/>
                <w:numId w:val="45"/>
              </w:numPr>
              <w:contextualSpacing/>
              <w:rPr>
                <w:rFonts w:ascii="Arial" w:hAnsi="Arial" w:cs="Arial"/>
                <w:sz w:val="20"/>
                <w:szCs w:val="20"/>
              </w:rPr>
            </w:pPr>
            <w:r>
              <w:rPr>
                <w:rFonts w:ascii="Arial" w:hAnsi="Arial" w:cs="Arial"/>
                <w:sz w:val="20"/>
                <w:szCs w:val="20"/>
              </w:rPr>
              <w:t>Section 7.3.1 – updated to clarify definition of DLTs</w:t>
            </w:r>
          </w:p>
          <w:p w14:paraId="66D1F1FF" w14:textId="77777777" w:rsidR="000D0326" w:rsidRPr="000D0326" w:rsidRDefault="000D0326" w:rsidP="000D0326">
            <w:pPr>
              <w:pStyle w:val="ListParagraph"/>
              <w:numPr>
                <w:ilvl w:val="0"/>
                <w:numId w:val="45"/>
              </w:numPr>
              <w:contextualSpacing/>
              <w:rPr>
                <w:rFonts w:ascii="Arial" w:hAnsi="Arial" w:cs="Arial"/>
                <w:sz w:val="20"/>
                <w:szCs w:val="20"/>
              </w:rPr>
            </w:pPr>
            <w:r>
              <w:rPr>
                <w:rFonts w:ascii="Arial" w:hAnsi="Arial" w:cs="Arial"/>
                <w:sz w:val="20"/>
                <w:szCs w:val="20"/>
              </w:rPr>
              <w:t>Section 7.3.1 – updated to</w:t>
            </w:r>
            <w:r w:rsidR="00F53F3D">
              <w:rPr>
                <w:rFonts w:ascii="Arial" w:hAnsi="Arial" w:cs="Arial"/>
                <w:sz w:val="20"/>
                <w:szCs w:val="20"/>
              </w:rPr>
              <w:t xml:space="preserve"> </w:t>
            </w:r>
            <w:r>
              <w:rPr>
                <w:rFonts w:ascii="Arial" w:hAnsi="Arial" w:cs="Arial"/>
                <w:sz w:val="20"/>
                <w:szCs w:val="20"/>
              </w:rPr>
              <w:t>clarify accelerated titrated phase I design</w:t>
            </w:r>
          </w:p>
          <w:p w14:paraId="1F3DA545" w14:textId="77777777" w:rsidR="00CA5BA2" w:rsidRDefault="00CA5BA2" w:rsidP="00D65DE2">
            <w:pPr>
              <w:pStyle w:val="ListParagraph"/>
              <w:numPr>
                <w:ilvl w:val="0"/>
                <w:numId w:val="45"/>
              </w:numPr>
              <w:contextualSpacing/>
              <w:rPr>
                <w:rFonts w:ascii="Arial" w:hAnsi="Arial" w:cs="Arial"/>
                <w:sz w:val="20"/>
                <w:szCs w:val="20"/>
              </w:rPr>
            </w:pPr>
            <w:r>
              <w:rPr>
                <w:rFonts w:ascii="Arial" w:hAnsi="Arial" w:cs="Arial"/>
                <w:sz w:val="20"/>
                <w:szCs w:val="20"/>
              </w:rPr>
              <w:t>Section 7.3.1, 7.15.1, 7.15.2, 7.15.3 – Management of events of special interest updated in line with version 9.0 of IB for ganetespib</w:t>
            </w:r>
          </w:p>
          <w:p w14:paraId="1AFA158B" w14:textId="77777777" w:rsidR="00CA5BA2" w:rsidRPr="00C40D49" w:rsidRDefault="00CA5BA2" w:rsidP="00D65DE2">
            <w:pPr>
              <w:pStyle w:val="ListParagraph"/>
              <w:numPr>
                <w:ilvl w:val="0"/>
                <w:numId w:val="45"/>
              </w:numPr>
              <w:contextualSpacing/>
              <w:rPr>
                <w:rFonts w:ascii="Arial" w:hAnsi="Arial" w:cs="Arial"/>
                <w:sz w:val="20"/>
                <w:szCs w:val="20"/>
              </w:rPr>
            </w:pPr>
            <w:r>
              <w:rPr>
                <w:rFonts w:ascii="Arial" w:hAnsi="Arial" w:cs="Arial"/>
                <w:sz w:val="20"/>
                <w:szCs w:val="20"/>
              </w:rPr>
              <w:t>Section 7.5 – ganetespib storage conditions updated in line with version 9.0 of IB for ganetespib</w:t>
            </w:r>
          </w:p>
          <w:p w14:paraId="0719484C" w14:textId="77777777" w:rsidR="00CA5BA2" w:rsidRDefault="00CA5BA2" w:rsidP="00D65DE2">
            <w:pPr>
              <w:pStyle w:val="ListParagraph"/>
              <w:numPr>
                <w:ilvl w:val="0"/>
                <w:numId w:val="45"/>
              </w:numPr>
              <w:contextualSpacing/>
              <w:rPr>
                <w:rFonts w:ascii="Arial" w:hAnsi="Arial" w:cs="Arial"/>
                <w:sz w:val="20"/>
                <w:szCs w:val="20"/>
              </w:rPr>
            </w:pPr>
            <w:r w:rsidRPr="00C40D49">
              <w:rPr>
                <w:rFonts w:ascii="Arial" w:hAnsi="Arial" w:cs="Arial"/>
                <w:sz w:val="20"/>
                <w:szCs w:val="20"/>
              </w:rPr>
              <w:t>Section 7.8 – new section to add dosing details for carboplatin</w:t>
            </w:r>
          </w:p>
          <w:p w14:paraId="6FF73411" w14:textId="77777777" w:rsidR="00CA5BA2" w:rsidRPr="00C40D49" w:rsidRDefault="00CA5BA2" w:rsidP="00D65DE2">
            <w:pPr>
              <w:pStyle w:val="ListParagraph"/>
              <w:numPr>
                <w:ilvl w:val="0"/>
                <w:numId w:val="45"/>
              </w:numPr>
              <w:contextualSpacing/>
              <w:rPr>
                <w:rFonts w:ascii="Arial" w:hAnsi="Arial" w:cs="Arial"/>
                <w:sz w:val="20"/>
                <w:szCs w:val="20"/>
              </w:rPr>
            </w:pPr>
            <w:r>
              <w:rPr>
                <w:rFonts w:ascii="Arial" w:hAnsi="Arial" w:cs="Arial"/>
                <w:sz w:val="20"/>
                <w:szCs w:val="20"/>
              </w:rPr>
              <w:t>Section 7.12.1 – dose modifications for ganetespib updated in line with version 9.0 of IB</w:t>
            </w:r>
          </w:p>
          <w:p w14:paraId="799573AC" w14:textId="77777777" w:rsidR="00CA5BA2" w:rsidRDefault="00CA5BA2" w:rsidP="00D65DE2">
            <w:pPr>
              <w:pStyle w:val="ListParagraph"/>
              <w:numPr>
                <w:ilvl w:val="0"/>
                <w:numId w:val="45"/>
              </w:numPr>
              <w:contextualSpacing/>
              <w:rPr>
                <w:rFonts w:ascii="Arial" w:hAnsi="Arial" w:cs="Arial"/>
                <w:sz w:val="20"/>
                <w:szCs w:val="20"/>
              </w:rPr>
            </w:pPr>
            <w:r w:rsidRPr="00C40D49">
              <w:rPr>
                <w:rFonts w:ascii="Arial" w:hAnsi="Arial" w:cs="Arial"/>
                <w:sz w:val="20"/>
                <w:szCs w:val="20"/>
              </w:rPr>
              <w:t>Section 7.1</w:t>
            </w:r>
            <w:r>
              <w:rPr>
                <w:rFonts w:ascii="Arial" w:hAnsi="Arial" w:cs="Arial"/>
                <w:sz w:val="20"/>
                <w:szCs w:val="20"/>
              </w:rPr>
              <w:t>2</w:t>
            </w:r>
            <w:r w:rsidRPr="00C40D49">
              <w:rPr>
                <w:rFonts w:ascii="Arial" w:hAnsi="Arial" w:cs="Arial"/>
                <w:sz w:val="20"/>
                <w:szCs w:val="20"/>
              </w:rPr>
              <w:t>.3.7 – new section added for dose modifications for carboplatin</w:t>
            </w:r>
          </w:p>
          <w:p w14:paraId="7583854B" w14:textId="77777777" w:rsidR="00CA5BA2" w:rsidRPr="00C40D49" w:rsidRDefault="00CA5BA2" w:rsidP="00D65DE2">
            <w:pPr>
              <w:pStyle w:val="ListParagraph"/>
              <w:numPr>
                <w:ilvl w:val="0"/>
                <w:numId w:val="45"/>
              </w:numPr>
              <w:contextualSpacing/>
              <w:rPr>
                <w:rFonts w:ascii="Arial" w:hAnsi="Arial" w:cs="Arial"/>
                <w:sz w:val="20"/>
                <w:szCs w:val="20"/>
              </w:rPr>
            </w:pPr>
            <w:r>
              <w:rPr>
                <w:rFonts w:ascii="Arial" w:hAnsi="Arial" w:cs="Arial"/>
                <w:sz w:val="20"/>
                <w:szCs w:val="20"/>
              </w:rPr>
              <w:t>Section 7.13.2 drug interaction section updated for ganetespib in line with version 9.0 of IB</w:t>
            </w:r>
          </w:p>
          <w:p w14:paraId="519D792B" w14:textId="77777777" w:rsidR="00CA5BA2" w:rsidRDefault="00CA5BA2" w:rsidP="00D65DE2">
            <w:pPr>
              <w:pStyle w:val="ListParagraph"/>
              <w:numPr>
                <w:ilvl w:val="0"/>
                <w:numId w:val="45"/>
              </w:numPr>
              <w:contextualSpacing/>
              <w:rPr>
                <w:rFonts w:ascii="Arial" w:hAnsi="Arial" w:cs="Arial"/>
                <w:sz w:val="20"/>
                <w:szCs w:val="20"/>
              </w:rPr>
            </w:pPr>
            <w:r w:rsidRPr="00C40D49">
              <w:rPr>
                <w:rFonts w:ascii="Arial" w:hAnsi="Arial" w:cs="Arial"/>
                <w:sz w:val="20"/>
                <w:szCs w:val="20"/>
              </w:rPr>
              <w:t>Section 7.13.5 - new section added for drug interactions for carboplatin</w:t>
            </w:r>
          </w:p>
          <w:p w14:paraId="213E4841" w14:textId="77777777" w:rsidR="00190DFB" w:rsidRPr="00190DFB" w:rsidRDefault="00CA5BA2" w:rsidP="00D65DE2">
            <w:pPr>
              <w:pStyle w:val="ListParagraph"/>
              <w:numPr>
                <w:ilvl w:val="0"/>
                <w:numId w:val="45"/>
              </w:numPr>
              <w:contextualSpacing/>
              <w:rPr>
                <w:rFonts w:ascii="Arial" w:hAnsi="Arial" w:cs="Arial"/>
                <w:sz w:val="20"/>
                <w:szCs w:val="20"/>
              </w:rPr>
            </w:pPr>
            <w:r>
              <w:rPr>
                <w:rFonts w:ascii="Arial" w:hAnsi="Arial" w:cs="Arial"/>
                <w:sz w:val="20"/>
                <w:szCs w:val="20"/>
              </w:rPr>
              <w:t>Section 7.14, 7.14.1 – Medications used with caution updated in line with version 9.0 of IB for ganetespib</w:t>
            </w:r>
          </w:p>
          <w:p w14:paraId="6D66B316" w14:textId="77777777" w:rsidR="00190DFB" w:rsidRDefault="00190DFB" w:rsidP="00D65DE2">
            <w:pPr>
              <w:pStyle w:val="ListParagraph"/>
              <w:numPr>
                <w:ilvl w:val="0"/>
                <w:numId w:val="45"/>
              </w:numPr>
              <w:contextualSpacing/>
              <w:rPr>
                <w:rFonts w:ascii="Arial" w:hAnsi="Arial" w:cs="Arial"/>
                <w:sz w:val="20"/>
                <w:szCs w:val="20"/>
              </w:rPr>
            </w:pPr>
            <w:r>
              <w:rPr>
                <w:rFonts w:ascii="Arial" w:hAnsi="Arial" w:cs="Arial"/>
                <w:sz w:val="20"/>
                <w:szCs w:val="20"/>
              </w:rPr>
              <w:t>Section 8.2</w:t>
            </w:r>
            <w:r w:rsidR="00801320">
              <w:rPr>
                <w:rFonts w:ascii="Arial" w:hAnsi="Arial" w:cs="Arial"/>
                <w:sz w:val="20"/>
                <w:szCs w:val="20"/>
              </w:rPr>
              <w:t>, Appendices 2 and 3</w:t>
            </w:r>
            <w:r>
              <w:rPr>
                <w:rFonts w:ascii="Arial" w:hAnsi="Arial" w:cs="Arial"/>
                <w:sz w:val="20"/>
                <w:szCs w:val="20"/>
              </w:rPr>
              <w:t xml:space="preserve"> – Schedule of ECG and dose modifications in the event of QTc prolongation updated in line </w:t>
            </w:r>
            <w:r w:rsidR="001F1FEA">
              <w:rPr>
                <w:rFonts w:ascii="Arial" w:hAnsi="Arial" w:cs="Arial"/>
                <w:sz w:val="20"/>
                <w:szCs w:val="20"/>
              </w:rPr>
              <w:t xml:space="preserve">with </w:t>
            </w:r>
            <w:r>
              <w:rPr>
                <w:rFonts w:ascii="Arial" w:hAnsi="Arial" w:cs="Arial"/>
                <w:sz w:val="20"/>
                <w:szCs w:val="20"/>
              </w:rPr>
              <w:t>version 9.0 of IB for ganetespib</w:t>
            </w:r>
          </w:p>
          <w:p w14:paraId="17F14C27" w14:textId="77777777" w:rsidR="00CA5BA2" w:rsidRDefault="00190DFB" w:rsidP="00D65DE2">
            <w:pPr>
              <w:pStyle w:val="ListParagraph"/>
              <w:numPr>
                <w:ilvl w:val="0"/>
                <w:numId w:val="45"/>
              </w:numPr>
              <w:contextualSpacing/>
              <w:rPr>
                <w:rFonts w:ascii="Arial" w:hAnsi="Arial" w:cs="Arial"/>
                <w:sz w:val="20"/>
                <w:szCs w:val="20"/>
              </w:rPr>
            </w:pPr>
            <w:r>
              <w:rPr>
                <w:rFonts w:ascii="Arial" w:hAnsi="Arial" w:cs="Arial"/>
                <w:sz w:val="20"/>
                <w:szCs w:val="20"/>
              </w:rPr>
              <w:lastRenderedPageBreak/>
              <w:t>Section 15 – Statistical considerations updated to reflect the option of using carboplatin in phase II</w:t>
            </w:r>
          </w:p>
          <w:p w14:paraId="1F034312" w14:textId="77777777" w:rsidR="00190DFB" w:rsidRDefault="00190DFB" w:rsidP="00D65DE2">
            <w:pPr>
              <w:pStyle w:val="ListParagraph"/>
              <w:numPr>
                <w:ilvl w:val="0"/>
                <w:numId w:val="45"/>
              </w:numPr>
              <w:contextualSpacing/>
              <w:rPr>
                <w:rFonts w:ascii="Arial" w:hAnsi="Arial" w:cs="Arial"/>
                <w:sz w:val="20"/>
                <w:szCs w:val="20"/>
              </w:rPr>
            </w:pPr>
            <w:r>
              <w:rPr>
                <w:rFonts w:ascii="Arial" w:hAnsi="Arial" w:cs="Arial"/>
                <w:sz w:val="20"/>
                <w:szCs w:val="20"/>
              </w:rPr>
              <w:t xml:space="preserve">Section 21 – references updated to include </w:t>
            </w:r>
            <w:proofErr w:type="spellStart"/>
            <w:r>
              <w:rPr>
                <w:rFonts w:ascii="Arial" w:hAnsi="Arial" w:cs="Arial"/>
                <w:sz w:val="20"/>
                <w:szCs w:val="20"/>
              </w:rPr>
              <w:t>Synta</w:t>
            </w:r>
            <w:proofErr w:type="spellEnd"/>
            <w:r>
              <w:rPr>
                <w:rFonts w:ascii="Arial" w:hAnsi="Arial" w:cs="Arial"/>
                <w:sz w:val="20"/>
                <w:szCs w:val="20"/>
              </w:rPr>
              <w:t xml:space="preserve"> studies</w:t>
            </w:r>
          </w:p>
          <w:p w14:paraId="5B30C747" w14:textId="77777777" w:rsidR="00190DFB" w:rsidRPr="00190DFB" w:rsidRDefault="00190DFB" w:rsidP="00D65DE2">
            <w:pPr>
              <w:pStyle w:val="ListParagraph"/>
              <w:numPr>
                <w:ilvl w:val="0"/>
                <w:numId w:val="45"/>
              </w:numPr>
              <w:contextualSpacing/>
              <w:rPr>
                <w:rFonts w:ascii="Arial" w:hAnsi="Arial" w:cs="Arial"/>
                <w:sz w:val="20"/>
                <w:szCs w:val="20"/>
              </w:rPr>
            </w:pPr>
            <w:r>
              <w:rPr>
                <w:rFonts w:ascii="Arial" w:hAnsi="Arial" w:cs="Arial"/>
                <w:sz w:val="20"/>
                <w:szCs w:val="20"/>
              </w:rPr>
              <w:t xml:space="preserve">Appendix 5 – new appendix listing drugs with a risk of </w:t>
            </w:r>
            <w:proofErr w:type="spellStart"/>
            <w:r>
              <w:rPr>
                <w:rFonts w:ascii="Arial" w:hAnsi="Arial" w:cs="Arial"/>
                <w:sz w:val="20"/>
                <w:szCs w:val="20"/>
              </w:rPr>
              <w:t>Torsades</w:t>
            </w:r>
            <w:proofErr w:type="spellEnd"/>
            <w:r>
              <w:rPr>
                <w:rFonts w:ascii="Arial" w:hAnsi="Arial" w:cs="Arial"/>
                <w:sz w:val="20"/>
                <w:szCs w:val="20"/>
              </w:rPr>
              <w:t xml:space="preserve"> de Pointes</w:t>
            </w:r>
          </w:p>
        </w:tc>
      </w:tr>
      <w:tr w:rsidR="006B65C6" w14:paraId="36BB5D3A" w14:textId="77777777" w:rsidTr="00DF2DDA">
        <w:trPr>
          <w:trHeight w:val="7669"/>
        </w:trPr>
        <w:tc>
          <w:tcPr>
            <w:tcW w:w="1134" w:type="dxa"/>
            <w:tcBorders>
              <w:top w:val="single" w:sz="4" w:space="0" w:color="auto"/>
              <w:left w:val="single" w:sz="4" w:space="0" w:color="auto"/>
              <w:bottom w:val="single" w:sz="4" w:space="0" w:color="auto"/>
              <w:right w:val="single" w:sz="4" w:space="0" w:color="auto"/>
            </w:tcBorders>
          </w:tcPr>
          <w:p w14:paraId="084F940A" w14:textId="77777777" w:rsidR="006B65C6" w:rsidRDefault="006B65C6" w:rsidP="005A7C04">
            <w:pPr>
              <w:jc w:val="both"/>
              <w:rPr>
                <w:rFonts w:ascii="Arial" w:hAnsi="Arial" w:cs="Arial"/>
                <w:sz w:val="20"/>
                <w:szCs w:val="20"/>
              </w:rPr>
            </w:pPr>
            <w:r>
              <w:rPr>
                <w:rFonts w:ascii="Arial" w:hAnsi="Arial" w:cs="Arial"/>
                <w:sz w:val="20"/>
                <w:szCs w:val="20"/>
              </w:rPr>
              <w:lastRenderedPageBreak/>
              <w:t>5.0</w:t>
            </w:r>
          </w:p>
        </w:tc>
        <w:tc>
          <w:tcPr>
            <w:tcW w:w="1206" w:type="dxa"/>
            <w:tcBorders>
              <w:top w:val="single" w:sz="4" w:space="0" w:color="auto"/>
              <w:left w:val="single" w:sz="4" w:space="0" w:color="auto"/>
              <w:bottom w:val="single" w:sz="4" w:space="0" w:color="auto"/>
              <w:right w:val="single" w:sz="4" w:space="0" w:color="auto"/>
            </w:tcBorders>
          </w:tcPr>
          <w:p w14:paraId="6FEEF89B" w14:textId="77777777" w:rsidR="006B65C6" w:rsidRDefault="004949FC" w:rsidP="005A7C04">
            <w:pPr>
              <w:ind w:right="-36"/>
              <w:jc w:val="both"/>
              <w:rPr>
                <w:rFonts w:ascii="Arial" w:hAnsi="Arial" w:cs="Arial"/>
                <w:sz w:val="20"/>
                <w:szCs w:val="20"/>
              </w:rPr>
            </w:pPr>
            <w:r>
              <w:rPr>
                <w:rFonts w:ascii="Arial" w:hAnsi="Arial" w:cs="Arial"/>
                <w:sz w:val="20"/>
                <w:szCs w:val="20"/>
              </w:rPr>
              <w:t>30-09</w:t>
            </w:r>
            <w:r w:rsidR="007B081E">
              <w:rPr>
                <w:rFonts w:ascii="Arial" w:hAnsi="Arial" w:cs="Arial"/>
                <w:sz w:val="20"/>
                <w:szCs w:val="20"/>
              </w:rPr>
              <w:t>-2015</w:t>
            </w:r>
          </w:p>
        </w:tc>
        <w:tc>
          <w:tcPr>
            <w:tcW w:w="1771" w:type="dxa"/>
            <w:tcBorders>
              <w:top w:val="single" w:sz="4" w:space="0" w:color="auto"/>
              <w:left w:val="single" w:sz="4" w:space="0" w:color="auto"/>
              <w:bottom w:val="single" w:sz="4" w:space="0" w:color="auto"/>
              <w:right w:val="single" w:sz="4" w:space="0" w:color="auto"/>
            </w:tcBorders>
          </w:tcPr>
          <w:p w14:paraId="3DC43C42" w14:textId="60FDB2FE" w:rsidR="006B65C6" w:rsidRDefault="000B7167" w:rsidP="005A7C04">
            <w:pPr>
              <w:jc w:val="both"/>
              <w:rPr>
                <w:rFonts w:ascii="Arial" w:hAnsi="Arial" w:cs="Arial"/>
                <w:sz w:val="20"/>
                <w:szCs w:val="20"/>
              </w:rPr>
            </w:pPr>
            <w:r>
              <w:rPr>
                <w:rFonts w:ascii="Arial" w:hAnsi="Arial" w:cs="Arial"/>
                <w:sz w:val="20"/>
                <w:szCs w:val="20"/>
              </w:rPr>
              <w:t>5</w:t>
            </w:r>
            <w:r w:rsidR="006B65C6">
              <w:rPr>
                <w:rFonts w:ascii="Arial" w:hAnsi="Arial" w:cs="Arial"/>
                <w:sz w:val="20"/>
                <w:szCs w:val="20"/>
              </w:rPr>
              <w:t>.0</w:t>
            </w:r>
          </w:p>
        </w:tc>
        <w:tc>
          <w:tcPr>
            <w:tcW w:w="5789" w:type="dxa"/>
            <w:tcBorders>
              <w:top w:val="single" w:sz="4" w:space="0" w:color="auto"/>
              <w:left w:val="single" w:sz="4" w:space="0" w:color="auto"/>
              <w:bottom w:val="single" w:sz="4" w:space="0" w:color="auto"/>
              <w:right w:val="single" w:sz="4" w:space="0" w:color="auto"/>
            </w:tcBorders>
          </w:tcPr>
          <w:p w14:paraId="2C4883D3" w14:textId="77777777" w:rsidR="006B65C6" w:rsidRDefault="006B65C6" w:rsidP="006B65C6">
            <w:pPr>
              <w:pStyle w:val="ListParagraph"/>
              <w:numPr>
                <w:ilvl w:val="0"/>
                <w:numId w:val="45"/>
              </w:numPr>
              <w:contextualSpacing/>
              <w:rPr>
                <w:rFonts w:ascii="Arial" w:hAnsi="Arial" w:cs="Arial"/>
                <w:sz w:val="20"/>
                <w:szCs w:val="20"/>
              </w:rPr>
            </w:pPr>
            <w:r w:rsidRPr="006B65C6">
              <w:rPr>
                <w:rFonts w:ascii="Arial" w:hAnsi="Arial" w:cs="Arial"/>
                <w:sz w:val="20"/>
                <w:szCs w:val="20"/>
              </w:rPr>
              <w:t>Change to Trial Coordinator</w:t>
            </w:r>
          </w:p>
          <w:p w14:paraId="74F5F2F1" w14:textId="77777777" w:rsidR="00855A86" w:rsidRPr="00C874F5" w:rsidRDefault="00855A86" w:rsidP="00855A86">
            <w:pPr>
              <w:pStyle w:val="ListParagraph"/>
              <w:numPr>
                <w:ilvl w:val="0"/>
                <w:numId w:val="45"/>
              </w:numPr>
              <w:contextualSpacing/>
              <w:rPr>
                <w:rFonts w:ascii="Arial" w:hAnsi="Arial" w:cs="Arial"/>
                <w:sz w:val="20"/>
                <w:szCs w:val="20"/>
              </w:rPr>
            </w:pPr>
            <w:r>
              <w:rPr>
                <w:rFonts w:ascii="Arial" w:hAnsi="Arial" w:cs="Arial"/>
                <w:sz w:val="20"/>
                <w:szCs w:val="20"/>
              </w:rPr>
              <w:t>Update to exclusion criteria to reflect new safety data</w:t>
            </w:r>
          </w:p>
          <w:p w14:paraId="1A75F7B9" w14:textId="77777777" w:rsidR="006B65C6" w:rsidRPr="006B65C6" w:rsidRDefault="006B65C6" w:rsidP="006B65C6">
            <w:pPr>
              <w:pStyle w:val="ListParagraph"/>
              <w:numPr>
                <w:ilvl w:val="0"/>
                <w:numId w:val="45"/>
              </w:numPr>
              <w:contextualSpacing/>
              <w:rPr>
                <w:rFonts w:ascii="Arial" w:hAnsi="Arial" w:cs="Arial"/>
                <w:sz w:val="20"/>
                <w:szCs w:val="20"/>
              </w:rPr>
            </w:pPr>
            <w:r w:rsidRPr="006B65C6">
              <w:rPr>
                <w:rFonts w:ascii="Arial" w:hAnsi="Arial" w:cs="Arial"/>
                <w:sz w:val="20"/>
                <w:szCs w:val="20"/>
              </w:rPr>
              <w:t xml:space="preserve">Section 2.1 - Background clinical information and adverse effects for ganetespib have been updated to reflect new data. </w:t>
            </w:r>
          </w:p>
          <w:p w14:paraId="3AAD2489" w14:textId="77777777" w:rsidR="006B65C6" w:rsidRDefault="006B65C6" w:rsidP="006B65C6">
            <w:pPr>
              <w:pStyle w:val="ListParagraph"/>
              <w:numPr>
                <w:ilvl w:val="0"/>
                <w:numId w:val="45"/>
              </w:numPr>
              <w:contextualSpacing/>
              <w:rPr>
                <w:rFonts w:ascii="Arial" w:hAnsi="Arial" w:cs="Arial"/>
                <w:sz w:val="20"/>
                <w:szCs w:val="20"/>
              </w:rPr>
            </w:pPr>
            <w:r w:rsidRPr="006B65C6">
              <w:rPr>
                <w:rFonts w:ascii="Arial" w:hAnsi="Arial" w:cs="Arial"/>
                <w:sz w:val="20"/>
                <w:szCs w:val="20"/>
              </w:rPr>
              <w:t xml:space="preserve">Section 2.2.3 – Changes to translational blood sample evaluation and use </w:t>
            </w:r>
            <w:r>
              <w:rPr>
                <w:rFonts w:ascii="Arial" w:hAnsi="Arial" w:cs="Arial"/>
                <w:sz w:val="20"/>
                <w:szCs w:val="20"/>
              </w:rPr>
              <w:t xml:space="preserve">of results </w:t>
            </w:r>
            <w:r w:rsidRPr="006B65C6">
              <w:rPr>
                <w:rFonts w:ascii="Arial" w:hAnsi="Arial" w:cs="Arial"/>
                <w:sz w:val="20"/>
                <w:szCs w:val="20"/>
              </w:rPr>
              <w:t>affect</w:t>
            </w:r>
            <w:r>
              <w:rPr>
                <w:rFonts w:ascii="Arial" w:hAnsi="Arial" w:cs="Arial"/>
                <w:sz w:val="20"/>
                <w:szCs w:val="20"/>
              </w:rPr>
              <w:t>ing</w:t>
            </w:r>
            <w:r w:rsidRPr="006B65C6">
              <w:rPr>
                <w:rFonts w:ascii="Arial" w:hAnsi="Arial" w:cs="Arial"/>
                <w:sz w:val="20"/>
                <w:szCs w:val="20"/>
              </w:rPr>
              <w:t xml:space="preserve"> future sample analysis.</w:t>
            </w:r>
          </w:p>
          <w:p w14:paraId="1F5F7BAE" w14:textId="77777777" w:rsidR="009B1D25" w:rsidRPr="006B65C6" w:rsidRDefault="009B1D25" w:rsidP="006B65C6">
            <w:pPr>
              <w:pStyle w:val="ListParagraph"/>
              <w:numPr>
                <w:ilvl w:val="0"/>
                <w:numId w:val="45"/>
              </w:numPr>
              <w:contextualSpacing/>
              <w:rPr>
                <w:rFonts w:ascii="Arial" w:hAnsi="Arial" w:cs="Arial"/>
                <w:sz w:val="20"/>
                <w:szCs w:val="20"/>
              </w:rPr>
            </w:pPr>
            <w:r>
              <w:rPr>
                <w:rFonts w:ascii="Arial" w:hAnsi="Arial" w:cs="Arial"/>
                <w:sz w:val="20"/>
                <w:szCs w:val="20"/>
              </w:rPr>
              <w:t xml:space="preserve">Section 7.3 – clarification – DLT assessments </w:t>
            </w:r>
            <w:r w:rsidR="00820297">
              <w:rPr>
                <w:rFonts w:ascii="Arial" w:hAnsi="Arial" w:cs="Arial"/>
                <w:sz w:val="20"/>
                <w:szCs w:val="20"/>
              </w:rPr>
              <w:t xml:space="preserve">for the </w:t>
            </w:r>
            <w:r>
              <w:rPr>
                <w:rFonts w:ascii="Arial" w:hAnsi="Arial" w:cs="Arial"/>
                <w:sz w:val="20"/>
                <w:szCs w:val="20"/>
              </w:rPr>
              <w:t>carboplatin arm will be made after 1 cycle</w:t>
            </w:r>
          </w:p>
          <w:p w14:paraId="2D1888DF" w14:textId="77777777" w:rsidR="006B65C6" w:rsidRPr="006B65C6" w:rsidRDefault="006B65C6" w:rsidP="006B65C6">
            <w:pPr>
              <w:pStyle w:val="ListParagraph"/>
              <w:numPr>
                <w:ilvl w:val="0"/>
                <w:numId w:val="45"/>
              </w:numPr>
              <w:contextualSpacing/>
              <w:rPr>
                <w:rFonts w:ascii="Arial" w:hAnsi="Arial" w:cs="Arial"/>
                <w:sz w:val="20"/>
                <w:szCs w:val="20"/>
              </w:rPr>
            </w:pPr>
            <w:r w:rsidRPr="006B65C6">
              <w:rPr>
                <w:rFonts w:ascii="Arial" w:hAnsi="Arial" w:cs="Arial"/>
                <w:sz w:val="20"/>
                <w:szCs w:val="20"/>
              </w:rPr>
              <w:t xml:space="preserve">Section 7.3.1 – Update </w:t>
            </w:r>
            <w:r>
              <w:rPr>
                <w:rFonts w:ascii="Arial" w:hAnsi="Arial" w:cs="Arial"/>
                <w:sz w:val="20"/>
                <w:szCs w:val="20"/>
              </w:rPr>
              <w:t>and additional information</w:t>
            </w:r>
            <w:r w:rsidRPr="006B65C6">
              <w:rPr>
                <w:rFonts w:ascii="Arial" w:hAnsi="Arial" w:cs="Arial"/>
                <w:sz w:val="20"/>
                <w:szCs w:val="20"/>
              </w:rPr>
              <w:t xml:space="preserve"> </w:t>
            </w:r>
            <w:r w:rsidR="004949FC">
              <w:rPr>
                <w:rFonts w:ascii="Arial" w:hAnsi="Arial" w:cs="Arial"/>
                <w:sz w:val="20"/>
                <w:szCs w:val="20"/>
              </w:rPr>
              <w:t xml:space="preserve">for ocular, liver and gastrointestinal perforation toxicities </w:t>
            </w:r>
          </w:p>
          <w:p w14:paraId="21479181" w14:textId="77777777" w:rsidR="006B65C6" w:rsidRPr="006B65C6" w:rsidRDefault="006B65C6" w:rsidP="006B65C6">
            <w:pPr>
              <w:pStyle w:val="ListParagraph"/>
              <w:numPr>
                <w:ilvl w:val="0"/>
                <w:numId w:val="45"/>
              </w:numPr>
              <w:contextualSpacing/>
              <w:rPr>
                <w:rFonts w:ascii="Arial" w:hAnsi="Arial" w:cs="Arial"/>
                <w:sz w:val="20"/>
                <w:szCs w:val="20"/>
              </w:rPr>
            </w:pPr>
            <w:r>
              <w:rPr>
                <w:rFonts w:ascii="Arial" w:hAnsi="Arial" w:cs="Arial"/>
                <w:sz w:val="20"/>
                <w:szCs w:val="20"/>
              </w:rPr>
              <w:t>Section 7.7 – S</w:t>
            </w:r>
            <w:r w:rsidRPr="006B65C6">
              <w:rPr>
                <w:rFonts w:ascii="Arial" w:hAnsi="Arial" w:cs="Arial"/>
                <w:sz w:val="20"/>
                <w:szCs w:val="20"/>
              </w:rPr>
              <w:t>ymptom review for cisplatin</w:t>
            </w:r>
            <w:r w:rsidR="00913F3D">
              <w:rPr>
                <w:rFonts w:ascii="Arial" w:hAnsi="Arial" w:cs="Arial"/>
                <w:sz w:val="20"/>
                <w:szCs w:val="20"/>
              </w:rPr>
              <w:t xml:space="preserve"> added</w:t>
            </w:r>
            <w:r w:rsidRPr="006B65C6">
              <w:rPr>
                <w:rFonts w:ascii="Arial" w:hAnsi="Arial" w:cs="Arial"/>
                <w:sz w:val="20"/>
                <w:szCs w:val="20"/>
              </w:rPr>
              <w:t xml:space="preserve"> prior to treatment</w:t>
            </w:r>
          </w:p>
          <w:p w14:paraId="51A5C812" w14:textId="77777777" w:rsidR="006B65C6" w:rsidRPr="006B65C6" w:rsidRDefault="00B169F7" w:rsidP="006B65C6">
            <w:pPr>
              <w:pStyle w:val="ListParagraph"/>
              <w:numPr>
                <w:ilvl w:val="0"/>
                <w:numId w:val="45"/>
              </w:numPr>
              <w:contextualSpacing/>
              <w:rPr>
                <w:rFonts w:ascii="Arial" w:hAnsi="Arial" w:cs="Arial"/>
                <w:sz w:val="20"/>
                <w:szCs w:val="20"/>
              </w:rPr>
            </w:pPr>
            <w:r>
              <w:rPr>
                <w:rFonts w:ascii="Arial" w:hAnsi="Arial" w:cs="Arial"/>
                <w:sz w:val="20"/>
                <w:szCs w:val="20"/>
              </w:rPr>
              <w:t>Section</w:t>
            </w:r>
            <w:r w:rsidRPr="006B65C6">
              <w:rPr>
                <w:rFonts w:ascii="Arial" w:hAnsi="Arial" w:cs="Arial"/>
                <w:sz w:val="20"/>
                <w:szCs w:val="20"/>
              </w:rPr>
              <w:t xml:space="preserve"> </w:t>
            </w:r>
            <w:r w:rsidR="006B65C6" w:rsidRPr="006B65C6">
              <w:rPr>
                <w:rFonts w:ascii="Arial" w:hAnsi="Arial" w:cs="Arial"/>
                <w:sz w:val="20"/>
                <w:szCs w:val="20"/>
              </w:rPr>
              <w:t xml:space="preserve">7.12.3.7 – </w:t>
            </w:r>
            <w:r w:rsidR="006B65C6">
              <w:rPr>
                <w:rFonts w:ascii="Arial" w:hAnsi="Arial" w:cs="Arial"/>
                <w:sz w:val="20"/>
                <w:szCs w:val="20"/>
              </w:rPr>
              <w:t>I</w:t>
            </w:r>
            <w:r w:rsidR="006B65C6" w:rsidRPr="006B65C6">
              <w:rPr>
                <w:rFonts w:ascii="Arial" w:hAnsi="Arial" w:cs="Arial"/>
                <w:sz w:val="20"/>
                <w:szCs w:val="20"/>
              </w:rPr>
              <w:t>nformation on use of local guidelines for dose reduction of carboplatin</w:t>
            </w:r>
          </w:p>
          <w:p w14:paraId="5FF93BF2" w14:textId="77777777" w:rsidR="006B65C6" w:rsidRPr="006B65C6" w:rsidRDefault="00B169F7" w:rsidP="006B65C6">
            <w:pPr>
              <w:pStyle w:val="ListParagraph"/>
              <w:numPr>
                <w:ilvl w:val="0"/>
                <w:numId w:val="45"/>
              </w:numPr>
              <w:contextualSpacing/>
              <w:rPr>
                <w:rFonts w:ascii="Arial" w:hAnsi="Arial" w:cs="Arial"/>
                <w:sz w:val="20"/>
                <w:szCs w:val="20"/>
              </w:rPr>
            </w:pPr>
            <w:r>
              <w:rPr>
                <w:rFonts w:ascii="Arial" w:hAnsi="Arial" w:cs="Arial"/>
                <w:sz w:val="20"/>
                <w:szCs w:val="20"/>
              </w:rPr>
              <w:t>Section</w:t>
            </w:r>
            <w:r w:rsidRPr="006B65C6">
              <w:rPr>
                <w:rFonts w:ascii="Arial" w:hAnsi="Arial" w:cs="Arial"/>
                <w:sz w:val="20"/>
                <w:szCs w:val="20"/>
              </w:rPr>
              <w:t xml:space="preserve"> </w:t>
            </w:r>
            <w:r w:rsidR="006B65C6" w:rsidRPr="006B65C6">
              <w:rPr>
                <w:rFonts w:ascii="Arial" w:hAnsi="Arial" w:cs="Arial"/>
                <w:sz w:val="20"/>
                <w:szCs w:val="20"/>
              </w:rPr>
              <w:t>7.13.1 – Instructions on availability of equipment for anaphylaxis</w:t>
            </w:r>
          </w:p>
          <w:p w14:paraId="777D91D8" w14:textId="77777777" w:rsidR="006B65C6" w:rsidRPr="006B65C6" w:rsidRDefault="00B169F7" w:rsidP="006B65C6">
            <w:pPr>
              <w:pStyle w:val="ListParagraph"/>
              <w:numPr>
                <w:ilvl w:val="0"/>
                <w:numId w:val="45"/>
              </w:numPr>
              <w:contextualSpacing/>
              <w:rPr>
                <w:rFonts w:ascii="Arial" w:hAnsi="Arial" w:cs="Arial"/>
                <w:sz w:val="20"/>
                <w:szCs w:val="20"/>
              </w:rPr>
            </w:pPr>
            <w:r>
              <w:rPr>
                <w:rFonts w:ascii="Arial" w:hAnsi="Arial" w:cs="Arial"/>
                <w:sz w:val="20"/>
                <w:szCs w:val="20"/>
              </w:rPr>
              <w:t xml:space="preserve">Section </w:t>
            </w:r>
            <w:r w:rsidR="006B65C6">
              <w:rPr>
                <w:rFonts w:ascii="Arial" w:hAnsi="Arial" w:cs="Arial"/>
                <w:sz w:val="20"/>
                <w:szCs w:val="20"/>
              </w:rPr>
              <w:t>7.15.1 – New</w:t>
            </w:r>
            <w:r w:rsidR="006B65C6" w:rsidRPr="006B65C6">
              <w:rPr>
                <w:rFonts w:ascii="Arial" w:hAnsi="Arial" w:cs="Arial"/>
                <w:sz w:val="20"/>
                <w:szCs w:val="20"/>
              </w:rPr>
              <w:t xml:space="preserve"> information for prophylactic use of Loperamide</w:t>
            </w:r>
          </w:p>
          <w:p w14:paraId="275110FE" w14:textId="77777777" w:rsidR="006B65C6" w:rsidRPr="006B65C6" w:rsidRDefault="00B169F7" w:rsidP="006B65C6">
            <w:pPr>
              <w:pStyle w:val="ListParagraph"/>
              <w:numPr>
                <w:ilvl w:val="0"/>
                <w:numId w:val="45"/>
              </w:numPr>
              <w:contextualSpacing/>
              <w:rPr>
                <w:rFonts w:ascii="Arial" w:hAnsi="Arial" w:cs="Arial"/>
                <w:sz w:val="20"/>
                <w:szCs w:val="20"/>
              </w:rPr>
            </w:pPr>
            <w:r>
              <w:rPr>
                <w:rFonts w:ascii="Arial" w:hAnsi="Arial" w:cs="Arial"/>
                <w:sz w:val="20"/>
                <w:szCs w:val="20"/>
              </w:rPr>
              <w:t>Section</w:t>
            </w:r>
            <w:r w:rsidRPr="006B65C6">
              <w:rPr>
                <w:rFonts w:ascii="Arial" w:hAnsi="Arial" w:cs="Arial"/>
                <w:sz w:val="20"/>
                <w:szCs w:val="20"/>
              </w:rPr>
              <w:t xml:space="preserve"> </w:t>
            </w:r>
            <w:r w:rsidR="006B65C6" w:rsidRPr="006B65C6">
              <w:rPr>
                <w:rFonts w:ascii="Arial" w:hAnsi="Arial" w:cs="Arial"/>
                <w:sz w:val="20"/>
                <w:szCs w:val="20"/>
              </w:rPr>
              <w:t>7.15.4 – addition of information for premedication regimen</w:t>
            </w:r>
          </w:p>
          <w:p w14:paraId="6C05AE1F" w14:textId="77777777" w:rsidR="006B65C6" w:rsidRDefault="00B169F7" w:rsidP="006B65C6">
            <w:pPr>
              <w:pStyle w:val="ListParagraph"/>
              <w:numPr>
                <w:ilvl w:val="0"/>
                <w:numId w:val="45"/>
              </w:numPr>
              <w:contextualSpacing/>
              <w:rPr>
                <w:rFonts w:ascii="Arial" w:hAnsi="Arial" w:cs="Arial"/>
                <w:sz w:val="20"/>
                <w:szCs w:val="20"/>
              </w:rPr>
            </w:pPr>
            <w:r>
              <w:rPr>
                <w:rFonts w:ascii="Arial" w:hAnsi="Arial" w:cs="Arial"/>
                <w:sz w:val="20"/>
                <w:szCs w:val="20"/>
              </w:rPr>
              <w:t>Section</w:t>
            </w:r>
            <w:r w:rsidRPr="006B65C6">
              <w:rPr>
                <w:rFonts w:ascii="Arial" w:hAnsi="Arial" w:cs="Arial"/>
                <w:sz w:val="20"/>
                <w:szCs w:val="20"/>
              </w:rPr>
              <w:t xml:space="preserve"> </w:t>
            </w:r>
            <w:r w:rsidR="006B65C6" w:rsidRPr="006B65C6">
              <w:rPr>
                <w:rFonts w:ascii="Arial" w:hAnsi="Arial" w:cs="Arial"/>
                <w:sz w:val="20"/>
                <w:szCs w:val="20"/>
              </w:rPr>
              <w:t xml:space="preserve">8.2 – change to required ANC value at Day 1 assessment and additional information explaining requirement to take Day 15 bloods. </w:t>
            </w:r>
          </w:p>
          <w:p w14:paraId="30F5D0E7" w14:textId="77777777" w:rsidR="006D3F09" w:rsidRPr="006B65C6" w:rsidRDefault="006D3F09" w:rsidP="006B65C6">
            <w:pPr>
              <w:pStyle w:val="ListParagraph"/>
              <w:numPr>
                <w:ilvl w:val="0"/>
                <w:numId w:val="45"/>
              </w:numPr>
              <w:contextualSpacing/>
              <w:rPr>
                <w:rFonts w:ascii="Arial" w:hAnsi="Arial" w:cs="Arial"/>
                <w:sz w:val="20"/>
                <w:szCs w:val="20"/>
              </w:rPr>
            </w:pPr>
            <w:r>
              <w:rPr>
                <w:rFonts w:ascii="Arial" w:hAnsi="Arial" w:cs="Arial"/>
                <w:sz w:val="20"/>
                <w:szCs w:val="20"/>
              </w:rPr>
              <w:t>Section 10.1 – Updated to reflect use of RSI in defining SUSARs</w:t>
            </w:r>
          </w:p>
          <w:p w14:paraId="615BE849" w14:textId="77777777" w:rsidR="006B65C6" w:rsidRPr="006B65C6" w:rsidRDefault="00B169F7" w:rsidP="006B65C6">
            <w:pPr>
              <w:pStyle w:val="ListParagraph"/>
              <w:numPr>
                <w:ilvl w:val="0"/>
                <w:numId w:val="45"/>
              </w:numPr>
              <w:contextualSpacing/>
              <w:rPr>
                <w:rFonts w:ascii="Arial" w:hAnsi="Arial" w:cs="Arial"/>
                <w:sz w:val="20"/>
                <w:szCs w:val="20"/>
              </w:rPr>
            </w:pPr>
            <w:r>
              <w:rPr>
                <w:rFonts w:ascii="Arial" w:hAnsi="Arial" w:cs="Arial"/>
                <w:sz w:val="20"/>
                <w:szCs w:val="20"/>
              </w:rPr>
              <w:t>Section</w:t>
            </w:r>
            <w:r w:rsidRPr="006B65C6">
              <w:rPr>
                <w:rFonts w:ascii="Arial" w:hAnsi="Arial" w:cs="Arial"/>
                <w:sz w:val="20"/>
                <w:szCs w:val="20"/>
              </w:rPr>
              <w:t xml:space="preserve"> </w:t>
            </w:r>
            <w:r w:rsidR="006B65C6" w:rsidRPr="006B65C6">
              <w:rPr>
                <w:rFonts w:ascii="Arial" w:hAnsi="Arial" w:cs="Arial"/>
                <w:sz w:val="20"/>
                <w:szCs w:val="20"/>
              </w:rPr>
              <w:t xml:space="preserve">15.4.2 – Additional information relating to interim analysis and timing of IDMC. </w:t>
            </w:r>
          </w:p>
          <w:p w14:paraId="1DEB2578" w14:textId="77777777" w:rsidR="006B65C6" w:rsidRPr="006B65C6" w:rsidRDefault="006B65C6" w:rsidP="006B65C6">
            <w:pPr>
              <w:pStyle w:val="ListParagraph"/>
              <w:numPr>
                <w:ilvl w:val="0"/>
                <w:numId w:val="45"/>
              </w:numPr>
              <w:contextualSpacing/>
              <w:rPr>
                <w:rFonts w:ascii="Arial" w:hAnsi="Arial" w:cs="Arial"/>
                <w:sz w:val="20"/>
                <w:szCs w:val="20"/>
              </w:rPr>
            </w:pPr>
            <w:r w:rsidRPr="006B65C6">
              <w:rPr>
                <w:rFonts w:ascii="Arial" w:hAnsi="Arial" w:cs="Arial"/>
                <w:sz w:val="20"/>
                <w:szCs w:val="20"/>
              </w:rPr>
              <w:t xml:space="preserve">Appendix 5 – information relating to </w:t>
            </w:r>
            <w:proofErr w:type="spellStart"/>
            <w:r w:rsidRPr="006B65C6">
              <w:rPr>
                <w:rFonts w:ascii="Arial" w:hAnsi="Arial" w:cs="Arial"/>
                <w:sz w:val="20"/>
                <w:szCs w:val="20"/>
              </w:rPr>
              <w:t>Torsades</w:t>
            </w:r>
            <w:proofErr w:type="spellEnd"/>
            <w:r w:rsidRPr="006B65C6">
              <w:rPr>
                <w:rFonts w:ascii="Arial" w:hAnsi="Arial" w:cs="Arial"/>
                <w:sz w:val="20"/>
                <w:szCs w:val="20"/>
              </w:rPr>
              <w:t xml:space="preserve"> de pointes updated to reflect new data since last update</w:t>
            </w:r>
          </w:p>
          <w:p w14:paraId="6109241D" w14:textId="77777777" w:rsidR="006B65C6" w:rsidRPr="00DF2DDA" w:rsidRDefault="006B65C6" w:rsidP="006B65C6">
            <w:pPr>
              <w:pStyle w:val="ListParagraph"/>
              <w:numPr>
                <w:ilvl w:val="0"/>
                <w:numId w:val="45"/>
              </w:numPr>
              <w:contextualSpacing/>
              <w:rPr>
                <w:rFonts w:ascii="Arial" w:hAnsi="Arial" w:cs="Arial"/>
                <w:sz w:val="20"/>
                <w:szCs w:val="20"/>
              </w:rPr>
            </w:pPr>
            <w:r w:rsidRPr="006B65C6">
              <w:rPr>
                <w:rFonts w:ascii="Arial" w:hAnsi="Arial" w:cs="Arial"/>
                <w:sz w:val="20"/>
                <w:szCs w:val="20"/>
              </w:rPr>
              <w:t xml:space="preserve">Appendix 6 – Additional appendix added to protocol outlining meso-modified criteria and what is required when reporting trial CT scans. </w:t>
            </w:r>
          </w:p>
        </w:tc>
      </w:tr>
      <w:tr w:rsidR="00486353" w14:paraId="6B25A5C2" w14:textId="77777777" w:rsidTr="00351B1D">
        <w:trPr>
          <w:trHeight w:val="2043"/>
        </w:trPr>
        <w:tc>
          <w:tcPr>
            <w:tcW w:w="1134" w:type="dxa"/>
            <w:tcBorders>
              <w:top w:val="single" w:sz="4" w:space="0" w:color="auto"/>
              <w:left w:val="single" w:sz="4" w:space="0" w:color="auto"/>
              <w:bottom w:val="single" w:sz="4" w:space="0" w:color="auto"/>
              <w:right w:val="single" w:sz="4" w:space="0" w:color="auto"/>
            </w:tcBorders>
          </w:tcPr>
          <w:p w14:paraId="4CF45B1A" w14:textId="77777777" w:rsidR="00486353" w:rsidRDefault="00486353" w:rsidP="005A7C04">
            <w:pPr>
              <w:jc w:val="both"/>
              <w:rPr>
                <w:rFonts w:ascii="Arial" w:hAnsi="Arial" w:cs="Arial"/>
                <w:sz w:val="20"/>
                <w:szCs w:val="20"/>
              </w:rPr>
            </w:pPr>
            <w:r>
              <w:rPr>
                <w:rFonts w:ascii="Arial" w:hAnsi="Arial" w:cs="Arial"/>
                <w:sz w:val="20"/>
                <w:szCs w:val="20"/>
              </w:rPr>
              <w:t>6.0</w:t>
            </w:r>
          </w:p>
        </w:tc>
        <w:tc>
          <w:tcPr>
            <w:tcW w:w="1206" w:type="dxa"/>
            <w:tcBorders>
              <w:top w:val="single" w:sz="4" w:space="0" w:color="auto"/>
              <w:left w:val="single" w:sz="4" w:space="0" w:color="auto"/>
              <w:bottom w:val="single" w:sz="4" w:space="0" w:color="auto"/>
              <w:right w:val="single" w:sz="4" w:space="0" w:color="auto"/>
            </w:tcBorders>
          </w:tcPr>
          <w:p w14:paraId="5557D6E6" w14:textId="46D900F3" w:rsidR="00486353" w:rsidRDefault="00FF241C" w:rsidP="005A7C04">
            <w:pPr>
              <w:ind w:right="-36"/>
              <w:jc w:val="both"/>
              <w:rPr>
                <w:rFonts w:ascii="Arial" w:hAnsi="Arial" w:cs="Arial"/>
                <w:sz w:val="20"/>
                <w:szCs w:val="20"/>
              </w:rPr>
            </w:pPr>
            <w:r>
              <w:rPr>
                <w:rFonts w:ascii="Arial" w:hAnsi="Arial" w:cs="Arial"/>
                <w:sz w:val="20"/>
                <w:szCs w:val="20"/>
              </w:rPr>
              <w:t>09Jan2017</w:t>
            </w:r>
          </w:p>
        </w:tc>
        <w:tc>
          <w:tcPr>
            <w:tcW w:w="1771" w:type="dxa"/>
            <w:tcBorders>
              <w:top w:val="single" w:sz="4" w:space="0" w:color="auto"/>
              <w:left w:val="single" w:sz="4" w:space="0" w:color="auto"/>
              <w:bottom w:val="single" w:sz="4" w:space="0" w:color="auto"/>
              <w:right w:val="single" w:sz="4" w:space="0" w:color="auto"/>
            </w:tcBorders>
          </w:tcPr>
          <w:p w14:paraId="25DC2952" w14:textId="77777777" w:rsidR="00486353" w:rsidRDefault="00486353" w:rsidP="005A7C04">
            <w:pPr>
              <w:jc w:val="both"/>
              <w:rPr>
                <w:rFonts w:ascii="Arial" w:hAnsi="Arial" w:cs="Arial"/>
                <w:sz w:val="20"/>
                <w:szCs w:val="20"/>
              </w:rPr>
            </w:pPr>
            <w:r>
              <w:rPr>
                <w:rFonts w:ascii="Arial" w:hAnsi="Arial" w:cs="Arial"/>
                <w:sz w:val="20"/>
                <w:szCs w:val="20"/>
              </w:rPr>
              <w:t>6.0</w:t>
            </w:r>
          </w:p>
        </w:tc>
        <w:tc>
          <w:tcPr>
            <w:tcW w:w="5789" w:type="dxa"/>
            <w:tcBorders>
              <w:top w:val="single" w:sz="4" w:space="0" w:color="auto"/>
              <w:left w:val="single" w:sz="4" w:space="0" w:color="auto"/>
              <w:bottom w:val="single" w:sz="4" w:space="0" w:color="auto"/>
              <w:right w:val="single" w:sz="4" w:space="0" w:color="auto"/>
            </w:tcBorders>
          </w:tcPr>
          <w:p w14:paraId="1B4108F4" w14:textId="74EB76F0" w:rsidR="00D60435" w:rsidRDefault="00D60435" w:rsidP="008544DF">
            <w:pPr>
              <w:pStyle w:val="ListParagraph"/>
              <w:numPr>
                <w:ilvl w:val="0"/>
                <w:numId w:val="45"/>
              </w:numPr>
              <w:contextualSpacing/>
              <w:rPr>
                <w:rFonts w:ascii="Arial" w:hAnsi="Arial" w:cs="Arial"/>
                <w:sz w:val="20"/>
                <w:szCs w:val="20"/>
              </w:rPr>
            </w:pPr>
            <w:r>
              <w:rPr>
                <w:rFonts w:ascii="Arial" w:hAnsi="Arial" w:cs="Arial"/>
                <w:sz w:val="20"/>
                <w:szCs w:val="20"/>
              </w:rPr>
              <w:t>Change in trial statistician</w:t>
            </w:r>
          </w:p>
          <w:p w14:paraId="083EC296" w14:textId="3D4719D5" w:rsidR="00D60435" w:rsidRDefault="00D60435" w:rsidP="008544DF">
            <w:pPr>
              <w:pStyle w:val="ListParagraph"/>
              <w:numPr>
                <w:ilvl w:val="0"/>
                <w:numId w:val="45"/>
              </w:numPr>
              <w:contextualSpacing/>
              <w:rPr>
                <w:rFonts w:ascii="Arial" w:hAnsi="Arial" w:cs="Arial"/>
                <w:sz w:val="20"/>
                <w:szCs w:val="20"/>
              </w:rPr>
            </w:pPr>
            <w:r>
              <w:rPr>
                <w:rFonts w:ascii="Arial" w:hAnsi="Arial" w:cs="Arial"/>
                <w:sz w:val="20"/>
                <w:szCs w:val="20"/>
              </w:rPr>
              <w:t>Change in trial oversight</w:t>
            </w:r>
          </w:p>
          <w:p w14:paraId="0A29FA9F" w14:textId="2DB60438" w:rsidR="008544DF" w:rsidRDefault="008544DF" w:rsidP="008544DF">
            <w:pPr>
              <w:pStyle w:val="ListParagraph"/>
              <w:numPr>
                <w:ilvl w:val="0"/>
                <w:numId w:val="45"/>
              </w:numPr>
              <w:contextualSpacing/>
              <w:rPr>
                <w:rFonts w:ascii="Arial" w:hAnsi="Arial" w:cs="Arial"/>
                <w:sz w:val="20"/>
                <w:szCs w:val="20"/>
              </w:rPr>
            </w:pPr>
            <w:r w:rsidRPr="008544DF">
              <w:rPr>
                <w:rFonts w:ascii="Arial" w:hAnsi="Arial" w:cs="Arial"/>
                <w:sz w:val="20"/>
                <w:szCs w:val="20"/>
              </w:rPr>
              <w:t>Change in t</w:t>
            </w:r>
            <w:r w:rsidR="00486353" w:rsidRPr="008544DF">
              <w:rPr>
                <w:rFonts w:ascii="Arial" w:hAnsi="Arial" w:cs="Arial"/>
                <w:sz w:val="20"/>
                <w:szCs w:val="20"/>
              </w:rPr>
              <w:t xml:space="preserve">rial coordinator </w:t>
            </w:r>
          </w:p>
          <w:p w14:paraId="7DA25F53" w14:textId="54088337" w:rsidR="00930EE1" w:rsidRDefault="00930EE1" w:rsidP="008544DF">
            <w:pPr>
              <w:pStyle w:val="ListParagraph"/>
              <w:numPr>
                <w:ilvl w:val="0"/>
                <w:numId w:val="45"/>
              </w:numPr>
              <w:contextualSpacing/>
              <w:rPr>
                <w:rFonts w:ascii="Arial" w:hAnsi="Arial" w:cs="Arial"/>
                <w:sz w:val="20"/>
                <w:szCs w:val="20"/>
              </w:rPr>
            </w:pPr>
            <w:r>
              <w:rPr>
                <w:rFonts w:ascii="Arial" w:hAnsi="Arial" w:cs="Arial"/>
                <w:sz w:val="20"/>
                <w:szCs w:val="20"/>
              </w:rPr>
              <w:t>Change in drug company name</w:t>
            </w:r>
            <w:r w:rsidR="00450CE3">
              <w:rPr>
                <w:rFonts w:ascii="Arial" w:hAnsi="Arial" w:cs="Arial"/>
                <w:sz w:val="20"/>
                <w:szCs w:val="20"/>
              </w:rPr>
              <w:t xml:space="preserve"> from </w:t>
            </w:r>
            <w:proofErr w:type="spellStart"/>
            <w:r w:rsidR="00450CE3">
              <w:rPr>
                <w:rFonts w:ascii="Arial" w:hAnsi="Arial" w:cs="Arial"/>
                <w:sz w:val="20"/>
                <w:szCs w:val="20"/>
              </w:rPr>
              <w:t>Synta</w:t>
            </w:r>
            <w:proofErr w:type="spellEnd"/>
            <w:r w:rsidR="00450CE3">
              <w:rPr>
                <w:rFonts w:ascii="Arial" w:hAnsi="Arial" w:cs="Arial"/>
                <w:sz w:val="20"/>
                <w:szCs w:val="20"/>
              </w:rPr>
              <w:t xml:space="preserve"> Pharmaceuticals Corp to Madrigal Pharmaceuticals Inc. following reverse merger </w:t>
            </w:r>
          </w:p>
          <w:p w14:paraId="07805259" w14:textId="50B54F8F" w:rsidR="00525B83" w:rsidRPr="008544DF" w:rsidRDefault="008544DF" w:rsidP="008544DF">
            <w:pPr>
              <w:pStyle w:val="ListParagraph"/>
              <w:numPr>
                <w:ilvl w:val="0"/>
                <w:numId w:val="45"/>
              </w:numPr>
              <w:contextualSpacing/>
              <w:rPr>
                <w:rFonts w:ascii="Arial" w:hAnsi="Arial" w:cs="Arial"/>
                <w:sz w:val="20"/>
                <w:szCs w:val="20"/>
              </w:rPr>
            </w:pPr>
            <w:r>
              <w:rPr>
                <w:rFonts w:ascii="Arial" w:hAnsi="Arial" w:cs="Arial"/>
                <w:sz w:val="20"/>
                <w:szCs w:val="20"/>
              </w:rPr>
              <w:t xml:space="preserve">Decision </w:t>
            </w:r>
            <w:proofErr w:type="gramStart"/>
            <w:r>
              <w:rPr>
                <w:rFonts w:ascii="Arial" w:hAnsi="Arial" w:cs="Arial"/>
                <w:sz w:val="20"/>
                <w:szCs w:val="20"/>
              </w:rPr>
              <w:t>by</w:t>
            </w:r>
            <w:r w:rsidR="00525B83" w:rsidRPr="008544DF">
              <w:rPr>
                <w:rFonts w:ascii="Arial" w:hAnsi="Arial" w:cs="Arial"/>
                <w:sz w:val="20"/>
                <w:szCs w:val="20"/>
              </w:rPr>
              <w:t xml:space="preserve">  not</w:t>
            </w:r>
            <w:proofErr w:type="gramEnd"/>
            <w:r w:rsidR="00525B83" w:rsidRPr="008544DF">
              <w:rPr>
                <w:rFonts w:ascii="Arial" w:hAnsi="Arial" w:cs="Arial"/>
                <w:sz w:val="20"/>
                <w:szCs w:val="20"/>
              </w:rPr>
              <w:t xml:space="preserve"> to proceed </w:t>
            </w:r>
            <w:r w:rsidR="0086146A">
              <w:rPr>
                <w:rFonts w:ascii="Arial" w:hAnsi="Arial" w:cs="Arial"/>
                <w:sz w:val="20"/>
                <w:szCs w:val="20"/>
              </w:rPr>
              <w:t xml:space="preserve">with </w:t>
            </w:r>
            <w:r w:rsidR="0022430B">
              <w:rPr>
                <w:rFonts w:ascii="Arial" w:hAnsi="Arial" w:cs="Arial"/>
                <w:sz w:val="20"/>
                <w:szCs w:val="20"/>
              </w:rPr>
              <w:t xml:space="preserve">continuing the </w:t>
            </w:r>
            <w:r w:rsidR="00525B83" w:rsidRPr="008544DF">
              <w:rPr>
                <w:rFonts w:ascii="Arial" w:hAnsi="Arial" w:cs="Arial"/>
                <w:sz w:val="20"/>
                <w:szCs w:val="20"/>
              </w:rPr>
              <w:t>phase II of the trial included in relevant sections of protocol</w:t>
            </w:r>
            <w:r w:rsidR="0086146A">
              <w:rPr>
                <w:rFonts w:ascii="Arial" w:hAnsi="Arial" w:cs="Arial"/>
                <w:sz w:val="20"/>
                <w:szCs w:val="20"/>
              </w:rPr>
              <w:t xml:space="preserve"> </w:t>
            </w:r>
            <w:r w:rsidR="0086146A">
              <w:rPr>
                <w:rFonts w:ascii="Arial" w:hAnsi="Arial" w:cs="Arial"/>
                <w:sz w:val="20"/>
                <w:szCs w:val="20"/>
                <w:lang w:val="en-US"/>
              </w:rPr>
              <w:t xml:space="preserve">as follows: 1.1 Summary of trial design; 1.2. Trial Schema; 2.2 Trial Design; 6.2 Randomisation to the phase II trial; 15.3 Safety Monitoring during the phase II trial; and 15.4.2 </w:t>
            </w:r>
            <w:proofErr w:type="spellStart"/>
            <w:r w:rsidR="0086146A">
              <w:rPr>
                <w:rFonts w:ascii="Arial" w:hAnsi="Arial" w:cs="Arial"/>
                <w:sz w:val="20"/>
                <w:szCs w:val="20"/>
                <w:lang w:val="en-US"/>
              </w:rPr>
              <w:t>Randomised</w:t>
            </w:r>
            <w:proofErr w:type="spellEnd"/>
            <w:r w:rsidR="0086146A">
              <w:rPr>
                <w:rFonts w:ascii="Arial" w:hAnsi="Arial" w:cs="Arial"/>
                <w:sz w:val="20"/>
                <w:szCs w:val="20"/>
                <w:lang w:val="en-US"/>
              </w:rPr>
              <w:t xml:space="preserve"> phase II trial</w:t>
            </w:r>
          </w:p>
          <w:p w14:paraId="60E3D6BA" w14:textId="77777777" w:rsidR="00486353" w:rsidRDefault="00486353" w:rsidP="00351B1D">
            <w:pPr>
              <w:pStyle w:val="ListParagraph"/>
              <w:numPr>
                <w:ilvl w:val="0"/>
                <w:numId w:val="45"/>
              </w:numPr>
              <w:contextualSpacing/>
              <w:rPr>
                <w:rFonts w:ascii="Arial" w:hAnsi="Arial" w:cs="Arial"/>
                <w:sz w:val="20"/>
                <w:szCs w:val="20"/>
              </w:rPr>
            </w:pPr>
            <w:r>
              <w:rPr>
                <w:rFonts w:ascii="Arial" w:hAnsi="Arial" w:cs="Arial"/>
                <w:sz w:val="20"/>
                <w:szCs w:val="20"/>
              </w:rPr>
              <w:t>Section 2.1 – number of patients exposed to ganetespib updated in line with IB version 11</w:t>
            </w:r>
            <w:r w:rsidR="00766325">
              <w:rPr>
                <w:rFonts w:ascii="Arial" w:hAnsi="Arial" w:cs="Arial"/>
                <w:sz w:val="20"/>
                <w:szCs w:val="20"/>
              </w:rPr>
              <w:t>, 13Nov2015</w:t>
            </w:r>
          </w:p>
          <w:p w14:paraId="1FB198D4" w14:textId="77777777" w:rsidR="00052BB6" w:rsidRDefault="00052BB6" w:rsidP="00351B1D">
            <w:pPr>
              <w:pStyle w:val="ListParagraph"/>
              <w:numPr>
                <w:ilvl w:val="0"/>
                <w:numId w:val="45"/>
              </w:numPr>
              <w:contextualSpacing/>
              <w:rPr>
                <w:rFonts w:ascii="Arial" w:hAnsi="Arial" w:cs="Arial"/>
                <w:sz w:val="20"/>
                <w:szCs w:val="20"/>
              </w:rPr>
            </w:pPr>
            <w:r>
              <w:rPr>
                <w:rFonts w:ascii="Arial" w:hAnsi="Arial" w:cs="Arial"/>
                <w:sz w:val="20"/>
                <w:szCs w:val="20"/>
              </w:rPr>
              <w:t>Section 7.16 Out-of-hours drug advice contact numbers for ganetespib updated</w:t>
            </w:r>
          </w:p>
          <w:p w14:paraId="7B40CF22" w14:textId="77777777" w:rsidR="00486353" w:rsidRDefault="00486353" w:rsidP="00351B1D">
            <w:pPr>
              <w:pStyle w:val="ListParagraph"/>
              <w:numPr>
                <w:ilvl w:val="0"/>
                <w:numId w:val="45"/>
              </w:numPr>
              <w:contextualSpacing/>
              <w:rPr>
                <w:rFonts w:ascii="Arial" w:hAnsi="Arial" w:cs="Arial"/>
                <w:sz w:val="20"/>
                <w:szCs w:val="20"/>
              </w:rPr>
            </w:pPr>
            <w:r>
              <w:rPr>
                <w:rFonts w:ascii="Arial" w:hAnsi="Arial" w:cs="Arial"/>
                <w:sz w:val="20"/>
                <w:szCs w:val="20"/>
              </w:rPr>
              <w:t>Section 7.3 – loperamide guidance in line with IB v11 – to allow treatment to continue for up to 24 hours</w:t>
            </w:r>
          </w:p>
          <w:p w14:paraId="00574E8E" w14:textId="59B4488E" w:rsidR="00486353" w:rsidRDefault="00486353" w:rsidP="00351B1D">
            <w:pPr>
              <w:pStyle w:val="ListParagraph"/>
              <w:numPr>
                <w:ilvl w:val="0"/>
                <w:numId w:val="45"/>
              </w:numPr>
              <w:contextualSpacing/>
              <w:rPr>
                <w:rFonts w:ascii="Arial" w:hAnsi="Arial" w:cs="Arial"/>
                <w:sz w:val="20"/>
                <w:szCs w:val="20"/>
              </w:rPr>
            </w:pPr>
            <w:r>
              <w:rPr>
                <w:rFonts w:ascii="Arial" w:hAnsi="Arial" w:cs="Arial"/>
                <w:sz w:val="20"/>
                <w:szCs w:val="20"/>
              </w:rPr>
              <w:lastRenderedPageBreak/>
              <w:t xml:space="preserve">Section 7.3  and 7.12.1 – </w:t>
            </w:r>
            <w:r w:rsidR="007506CE">
              <w:rPr>
                <w:rFonts w:ascii="Arial" w:hAnsi="Arial" w:cs="Arial"/>
                <w:sz w:val="20"/>
                <w:szCs w:val="20"/>
              </w:rPr>
              <w:t>D</w:t>
            </w:r>
            <w:r>
              <w:rPr>
                <w:rFonts w:ascii="Arial" w:hAnsi="Arial" w:cs="Arial"/>
                <w:sz w:val="20"/>
                <w:szCs w:val="20"/>
              </w:rPr>
              <w:t>ose modif</w:t>
            </w:r>
            <w:r w:rsidR="00766325">
              <w:rPr>
                <w:rFonts w:ascii="Arial" w:hAnsi="Arial" w:cs="Arial"/>
                <w:sz w:val="20"/>
                <w:szCs w:val="20"/>
              </w:rPr>
              <w:t>i</w:t>
            </w:r>
            <w:r>
              <w:rPr>
                <w:rFonts w:ascii="Arial" w:hAnsi="Arial" w:cs="Arial"/>
                <w:sz w:val="20"/>
                <w:szCs w:val="20"/>
              </w:rPr>
              <w:t xml:space="preserve">cations </w:t>
            </w:r>
            <w:r w:rsidR="007506CE">
              <w:rPr>
                <w:rFonts w:ascii="Arial" w:hAnsi="Arial" w:cs="Arial"/>
                <w:sz w:val="20"/>
                <w:szCs w:val="20"/>
              </w:rPr>
              <w:t xml:space="preserve">and frequency of ECG recordings relating to QTc prolongation  </w:t>
            </w:r>
            <w:r>
              <w:rPr>
                <w:rFonts w:ascii="Arial" w:hAnsi="Arial" w:cs="Arial"/>
                <w:sz w:val="20"/>
                <w:szCs w:val="20"/>
              </w:rPr>
              <w:t>updated</w:t>
            </w:r>
            <w:r w:rsidR="007506CE">
              <w:rPr>
                <w:rFonts w:ascii="Arial" w:hAnsi="Arial" w:cs="Arial"/>
                <w:sz w:val="20"/>
                <w:szCs w:val="20"/>
              </w:rPr>
              <w:t xml:space="preserve"> </w:t>
            </w:r>
            <w:r>
              <w:rPr>
                <w:rFonts w:ascii="Arial" w:hAnsi="Arial" w:cs="Arial"/>
                <w:sz w:val="20"/>
                <w:szCs w:val="20"/>
              </w:rPr>
              <w:t>in line with I</w:t>
            </w:r>
            <w:r w:rsidR="004E307F">
              <w:rPr>
                <w:rFonts w:ascii="Arial" w:hAnsi="Arial" w:cs="Arial"/>
                <w:sz w:val="20"/>
                <w:szCs w:val="20"/>
              </w:rPr>
              <w:t>B</w:t>
            </w:r>
            <w:r>
              <w:rPr>
                <w:rFonts w:ascii="Arial" w:hAnsi="Arial" w:cs="Arial"/>
                <w:sz w:val="20"/>
                <w:szCs w:val="20"/>
              </w:rPr>
              <w:t xml:space="preserve"> v11</w:t>
            </w:r>
          </w:p>
          <w:p w14:paraId="48098FCB" w14:textId="77777777" w:rsidR="0086146A" w:rsidRDefault="00052BB6" w:rsidP="00351B1D">
            <w:pPr>
              <w:pStyle w:val="ListParagraph"/>
              <w:numPr>
                <w:ilvl w:val="0"/>
                <w:numId w:val="45"/>
              </w:numPr>
              <w:contextualSpacing/>
              <w:rPr>
                <w:rFonts w:ascii="Arial" w:hAnsi="Arial" w:cs="Arial"/>
                <w:sz w:val="20"/>
                <w:szCs w:val="20"/>
              </w:rPr>
            </w:pPr>
            <w:r>
              <w:rPr>
                <w:rFonts w:ascii="Arial" w:hAnsi="Arial" w:cs="Arial"/>
                <w:sz w:val="20"/>
                <w:szCs w:val="20"/>
              </w:rPr>
              <w:t>Appendix 2 –</w:t>
            </w:r>
            <w:r w:rsidR="00525B83">
              <w:rPr>
                <w:rFonts w:ascii="Arial" w:hAnsi="Arial" w:cs="Arial"/>
                <w:sz w:val="20"/>
                <w:szCs w:val="20"/>
              </w:rPr>
              <w:t xml:space="preserve"> Scheduling of CT assessments reworded to reflect that outlined in section 8.2</w:t>
            </w:r>
          </w:p>
          <w:p w14:paraId="3413F0D7" w14:textId="77777777" w:rsidR="0086146A" w:rsidRDefault="0086146A" w:rsidP="0086146A">
            <w:pPr>
              <w:pStyle w:val="ListParagraph"/>
              <w:numPr>
                <w:ilvl w:val="0"/>
                <w:numId w:val="45"/>
              </w:numPr>
              <w:contextualSpacing/>
              <w:rPr>
                <w:rFonts w:ascii="Arial" w:hAnsi="Arial" w:cs="Arial"/>
                <w:sz w:val="20"/>
                <w:szCs w:val="20"/>
              </w:rPr>
            </w:pPr>
            <w:r>
              <w:rPr>
                <w:rFonts w:ascii="Arial" w:hAnsi="Arial" w:cs="Arial"/>
                <w:sz w:val="20"/>
                <w:szCs w:val="20"/>
              </w:rPr>
              <w:t>Appendix 2 – Additional wording regarding the frequency of ECG assessments in case of QTc prolongation</w:t>
            </w:r>
          </w:p>
          <w:p w14:paraId="6D1C20DD" w14:textId="28434321" w:rsidR="0086146A" w:rsidRPr="00B774F5" w:rsidRDefault="00351B1D" w:rsidP="00D60435">
            <w:pPr>
              <w:pStyle w:val="ListParagraph"/>
              <w:numPr>
                <w:ilvl w:val="0"/>
                <w:numId w:val="45"/>
              </w:numPr>
              <w:contextualSpacing/>
              <w:rPr>
                <w:rFonts w:ascii="Arial" w:hAnsi="Arial" w:cs="Arial"/>
                <w:sz w:val="20"/>
                <w:szCs w:val="20"/>
              </w:rPr>
            </w:pPr>
            <w:r w:rsidRPr="0086146A">
              <w:rPr>
                <w:rFonts w:ascii="Arial" w:hAnsi="Arial" w:cs="Arial"/>
                <w:sz w:val="20"/>
                <w:szCs w:val="20"/>
              </w:rPr>
              <w:t>Appendix 5 – updated in line with IB v11</w:t>
            </w:r>
          </w:p>
        </w:tc>
      </w:tr>
      <w:tr w:rsidR="00FF241C" w14:paraId="714C7F28" w14:textId="77777777" w:rsidTr="00351B1D">
        <w:trPr>
          <w:trHeight w:val="2043"/>
        </w:trPr>
        <w:tc>
          <w:tcPr>
            <w:tcW w:w="1134" w:type="dxa"/>
            <w:tcBorders>
              <w:top w:val="single" w:sz="4" w:space="0" w:color="auto"/>
              <w:left w:val="single" w:sz="4" w:space="0" w:color="auto"/>
              <w:bottom w:val="single" w:sz="4" w:space="0" w:color="auto"/>
              <w:right w:val="single" w:sz="4" w:space="0" w:color="auto"/>
            </w:tcBorders>
          </w:tcPr>
          <w:p w14:paraId="4EACF670" w14:textId="12C12C9A" w:rsidR="00FF241C" w:rsidRDefault="00FF241C" w:rsidP="005A7C04">
            <w:pPr>
              <w:jc w:val="both"/>
              <w:rPr>
                <w:rFonts w:ascii="Arial" w:hAnsi="Arial" w:cs="Arial"/>
                <w:sz w:val="20"/>
                <w:szCs w:val="20"/>
              </w:rPr>
            </w:pPr>
            <w:r>
              <w:rPr>
                <w:rFonts w:ascii="Arial" w:hAnsi="Arial" w:cs="Arial"/>
                <w:sz w:val="20"/>
                <w:szCs w:val="20"/>
              </w:rPr>
              <w:lastRenderedPageBreak/>
              <w:t>7.0</w:t>
            </w:r>
          </w:p>
        </w:tc>
        <w:tc>
          <w:tcPr>
            <w:tcW w:w="1206" w:type="dxa"/>
            <w:tcBorders>
              <w:top w:val="single" w:sz="4" w:space="0" w:color="auto"/>
              <w:left w:val="single" w:sz="4" w:space="0" w:color="auto"/>
              <w:bottom w:val="single" w:sz="4" w:space="0" w:color="auto"/>
              <w:right w:val="single" w:sz="4" w:space="0" w:color="auto"/>
            </w:tcBorders>
          </w:tcPr>
          <w:p w14:paraId="5C7703D2" w14:textId="67A5CDA0" w:rsidR="00FF241C" w:rsidRDefault="00DD7E1E" w:rsidP="005A7C04">
            <w:pPr>
              <w:ind w:right="-36"/>
              <w:jc w:val="both"/>
              <w:rPr>
                <w:rFonts w:ascii="Arial" w:hAnsi="Arial" w:cs="Arial"/>
                <w:sz w:val="20"/>
                <w:szCs w:val="20"/>
              </w:rPr>
            </w:pPr>
            <w:r>
              <w:rPr>
                <w:rFonts w:ascii="Arial" w:hAnsi="Arial" w:cs="Arial"/>
                <w:sz w:val="20"/>
                <w:szCs w:val="20"/>
              </w:rPr>
              <w:t>26</w:t>
            </w:r>
            <w:r w:rsidR="00E85B13">
              <w:rPr>
                <w:rFonts w:ascii="Arial" w:hAnsi="Arial" w:cs="Arial"/>
                <w:sz w:val="20"/>
                <w:szCs w:val="20"/>
              </w:rPr>
              <w:t>Oct2018</w:t>
            </w:r>
          </w:p>
        </w:tc>
        <w:tc>
          <w:tcPr>
            <w:tcW w:w="1771" w:type="dxa"/>
            <w:tcBorders>
              <w:top w:val="single" w:sz="4" w:space="0" w:color="auto"/>
              <w:left w:val="single" w:sz="4" w:space="0" w:color="auto"/>
              <w:bottom w:val="single" w:sz="4" w:space="0" w:color="auto"/>
              <w:right w:val="single" w:sz="4" w:space="0" w:color="auto"/>
            </w:tcBorders>
          </w:tcPr>
          <w:p w14:paraId="5CDA8706" w14:textId="1789B7D7" w:rsidR="00FF241C" w:rsidRDefault="00FF241C" w:rsidP="005A7C04">
            <w:pPr>
              <w:jc w:val="both"/>
              <w:rPr>
                <w:rFonts w:ascii="Arial" w:hAnsi="Arial" w:cs="Arial"/>
                <w:sz w:val="20"/>
                <w:szCs w:val="20"/>
              </w:rPr>
            </w:pPr>
            <w:r>
              <w:rPr>
                <w:rFonts w:ascii="Arial" w:hAnsi="Arial" w:cs="Arial"/>
                <w:sz w:val="20"/>
                <w:szCs w:val="20"/>
              </w:rPr>
              <w:t>7.0</w:t>
            </w:r>
          </w:p>
        </w:tc>
        <w:tc>
          <w:tcPr>
            <w:tcW w:w="5789" w:type="dxa"/>
            <w:tcBorders>
              <w:top w:val="single" w:sz="4" w:space="0" w:color="auto"/>
              <w:left w:val="single" w:sz="4" w:space="0" w:color="auto"/>
              <w:bottom w:val="single" w:sz="4" w:space="0" w:color="auto"/>
              <w:right w:val="single" w:sz="4" w:space="0" w:color="auto"/>
            </w:tcBorders>
          </w:tcPr>
          <w:p w14:paraId="00CBCEF7" w14:textId="3CFC9F56" w:rsidR="00FF241C" w:rsidRDefault="007A381E" w:rsidP="00FF241C">
            <w:pPr>
              <w:pStyle w:val="ListParagraph"/>
              <w:numPr>
                <w:ilvl w:val="0"/>
                <w:numId w:val="45"/>
              </w:numPr>
              <w:contextualSpacing/>
              <w:rPr>
                <w:rFonts w:ascii="Arial" w:hAnsi="Arial" w:cs="Arial"/>
                <w:sz w:val="20"/>
                <w:szCs w:val="20"/>
              </w:rPr>
            </w:pPr>
            <w:r>
              <w:rPr>
                <w:rFonts w:ascii="Arial" w:hAnsi="Arial" w:cs="Arial"/>
                <w:sz w:val="20"/>
                <w:szCs w:val="20"/>
              </w:rPr>
              <w:t xml:space="preserve">Section 7.5 </w:t>
            </w:r>
            <w:r w:rsidR="00FF241C">
              <w:rPr>
                <w:rFonts w:ascii="Arial" w:hAnsi="Arial" w:cs="Arial"/>
                <w:sz w:val="20"/>
                <w:szCs w:val="20"/>
              </w:rPr>
              <w:t>Drug company information updated</w:t>
            </w:r>
            <w:r>
              <w:rPr>
                <w:rFonts w:ascii="Arial" w:hAnsi="Arial" w:cs="Arial"/>
                <w:sz w:val="20"/>
                <w:szCs w:val="20"/>
              </w:rPr>
              <w:t xml:space="preserve"> </w:t>
            </w:r>
            <w:r w:rsidR="00490E32">
              <w:rPr>
                <w:rFonts w:ascii="Arial" w:hAnsi="Arial" w:cs="Arial"/>
                <w:sz w:val="20"/>
                <w:szCs w:val="20"/>
              </w:rPr>
              <w:t xml:space="preserve">to reflect change in IMP sourcing information </w:t>
            </w:r>
            <w:r>
              <w:rPr>
                <w:rFonts w:ascii="Arial" w:hAnsi="Arial" w:cs="Arial"/>
                <w:sz w:val="20"/>
                <w:szCs w:val="20"/>
              </w:rPr>
              <w:t xml:space="preserve">for </w:t>
            </w:r>
            <w:proofErr w:type="spellStart"/>
            <w:r>
              <w:rPr>
                <w:rFonts w:ascii="Arial" w:hAnsi="Arial" w:cs="Arial"/>
                <w:sz w:val="20"/>
                <w:szCs w:val="20"/>
              </w:rPr>
              <w:t>gantespib</w:t>
            </w:r>
            <w:proofErr w:type="spellEnd"/>
          </w:p>
          <w:p w14:paraId="3961485C" w14:textId="7487EA2A" w:rsidR="00FF241C" w:rsidRDefault="00FF241C" w:rsidP="00490E32">
            <w:pPr>
              <w:pStyle w:val="ListParagraph"/>
              <w:numPr>
                <w:ilvl w:val="0"/>
                <w:numId w:val="45"/>
              </w:numPr>
              <w:contextualSpacing/>
              <w:rPr>
                <w:rFonts w:ascii="Arial" w:hAnsi="Arial" w:cs="Arial"/>
                <w:sz w:val="20"/>
                <w:szCs w:val="20"/>
              </w:rPr>
            </w:pPr>
            <w:r>
              <w:rPr>
                <w:rFonts w:ascii="Arial" w:hAnsi="Arial" w:cs="Arial"/>
                <w:sz w:val="20"/>
                <w:szCs w:val="20"/>
              </w:rPr>
              <w:t>Sections 8.1</w:t>
            </w:r>
            <w:r w:rsidR="00490E32">
              <w:rPr>
                <w:rFonts w:ascii="Arial" w:hAnsi="Arial" w:cs="Arial"/>
                <w:sz w:val="20"/>
                <w:szCs w:val="20"/>
              </w:rPr>
              <w:t xml:space="preserve">, </w:t>
            </w:r>
            <w:r>
              <w:rPr>
                <w:rFonts w:ascii="Arial" w:hAnsi="Arial" w:cs="Arial"/>
                <w:sz w:val="20"/>
                <w:szCs w:val="20"/>
              </w:rPr>
              <w:t xml:space="preserve">8.2 </w:t>
            </w:r>
            <w:r w:rsidR="00490E32">
              <w:rPr>
                <w:rFonts w:ascii="Arial" w:hAnsi="Arial" w:cs="Arial"/>
                <w:sz w:val="20"/>
                <w:szCs w:val="20"/>
              </w:rPr>
              <w:t xml:space="preserve">and 8.4 </w:t>
            </w:r>
            <w:r>
              <w:rPr>
                <w:rFonts w:ascii="Arial" w:hAnsi="Arial" w:cs="Arial"/>
                <w:sz w:val="20"/>
                <w:szCs w:val="20"/>
              </w:rPr>
              <w:t xml:space="preserve">– </w:t>
            </w:r>
            <w:r w:rsidR="00490E32">
              <w:rPr>
                <w:rFonts w:ascii="Arial" w:hAnsi="Arial" w:cs="Arial"/>
                <w:sz w:val="20"/>
                <w:szCs w:val="20"/>
              </w:rPr>
              <w:t>additional information regarding the sharing of pseudo</w:t>
            </w:r>
            <w:r>
              <w:rPr>
                <w:rFonts w:ascii="Arial" w:hAnsi="Arial" w:cs="Arial"/>
                <w:sz w:val="20"/>
                <w:szCs w:val="20"/>
              </w:rPr>
              <w:t>-anonymis</w:t>
            </w:r>
            <w:r w:rsidR="007A381E">
              <w:rPr>
                <w:rFonts w:ascii="Arial" w:hAnsi="Arial" w:cs="Arial"/>
                <w:sz w:val="20"/>
                <w:szCs w:val="20"/>
              </w:rPr>
              <w:t xml:space="preserve">ed CT scan images </w:t>
            </w:r>
            <w:r w:rsidR="00490E32">
              <w:rPr>
                <w:rFonts w:ascii="Arial" w:hAnsi="Arial" w:cs="Arial"/>
                <w:sz w:val="20"/>
                <w:szCs w:val="20"/>
              </w:rPr>
              <w:t>f</w:t>
            </w:r>
            <w:r>
              <w:rPr>
                <w:rFonts w:ascii="Arial" w:hAnsi="Arial" w:cs="Arial"/>
                <w:sz w:val="20"/>
                <w:szCs w:val="20"/>
              </w:rPr>
              <w:t xml:space="preserve">or selected trial participants </w:t>
            </w:r>
          </w:p>
          <w:p w14:paraId="51BA50B6" w14:textId="5062B08E" w:rsidR="00490E32" w:rsidRDefault="00490E32" w:rsidP="00490E32">
            <w:pPr>
              <w:pStyle w:val="ListParagraph"/>
              <w:numPr>
                <w:ilvl w:val="0"/>
                <w:numId w:val="45"/>
              </w:numPr>
              <w:contextualSpacing/>
              <w:rPr>
                <w:rFonts w:ascii="Arial" w:hAnsi="Arial" w:cs="Arial"/>
                <w:sz w:val="20"/>
                <w:szCs w:val="20"/>
              </w:rPr>
            </w:pPr>
            <w:r>
              <w:rPr>
                <w:rFonts w:ascii="Arial" w:hAnsi="Arial" w:cs="Arial"/>
                <w:sz w:val="20"/>
                <w:szCs w:val="20"/>
              </w:rPr>
              <w:t>Section 9.2 – new section on Imaging</w:t>
            </w:r>
          </w:p>
          <w:p w14:paraId="2D4507E0" w14:textId="77777777" w:rsidR="00490E32" w:rsidRDefault="00490E32" w:rsidP="00490E32">
            <w:pPr>
              <w:pStyle w:val="ListParagraph"/>
              <w:numPr>
                <w:ilvl w:val="0"/>
                <w:numId w:val="45"/>
              </w:numPr>
              <w:contextualSpacing/>
              <w:rPr>
                <w:rFonts w:ascii="Arial" w:hAnsi="Arial" w:cs="Arial"/>
                <w:sz w:val="20"/>
                <w:szCs w:val="20"/>
              </w:rPr>
            </w:pPr>
            <w:r>
              <w:rPr>
                <w:rFonts w:ascii="Arial" w:hAnsi="Arial" w:cs="Arial"/>
                <w:sz w:val="20"/>
                <w:szCs w:val="20"/>
              </w:rPr>
              <w:t>Section 16 – updated in line with General Data Protection Regulation (GDPR) 2018 and Data Protection Legislation 2018</w:t>
            </w:r>
          </w:p>
          <w:p w14:paraId="722482AC" w14:textId="77777777" w:rsidR="00E85B13" w:rsidRDefault="009575F9" w:rsidP="009575F9">
            <w:pPr>
              <w:pStyle w:val="ListParagraph"/>
              <w:numPr>
                <w:ilvl w:val="0"/>
                <w:numId w:val="45"/>
              </w:numPr>
              <w:contextualSpacing/>
              <w:rPr>
                <w:rFonts w:ascii="Arial" w:hAnsi="Arial" w:cs="Arial"/>
                <w:sz w:val="20"/>
                <w:szCs w:val="20"/>
              </w:rPr>
            </w:pPr>
            <w:r>
              <w:rPr>
                <w:rFonts w:ascii="Arial" w:hAnsi="Arial" w:cs="Arial"/>
                <w:sz w:val="20"/>
                <w:szCs w:val="20"/>
              </w:rPr>
              <w:t xml:space="preserve">Sections 1.1 and 14.1 - </w:t>
            </w:r>
            <w:r w:rsidR="00E85B13">
              <w:rPr>
                <w:rFonts w:ascii="Arial" w:hAnsi="Arial" w:cs="Arial"/>
                <w:sz w:val="20"/>
                <w:szCs w:val="20"/>
              </w:rPr>
              <w:t>End of trial definition updated</w:t>
            </w:r>
          </w:p>
          <w:p w14:paraId="467AD50F" w14:textId="4B5C636E" w:rsidR="00A001C3" w:rsidRDefault="00A001C3" w:rsidP="00A001C3">
            <w:pPr>
              <w:pStyle w:val="ListParagraph"/>
              <w:numPr>
                <w:ilvl w:val="0"/>
                <w:numId w:val="45"/>
              </w:numPr>
              <w:contextualSpacing/>
              <w:rPr>
                <w:rFonts w:ascii="Arial" w:hAnsi="Arial" w:cs="Arial"/>
                <w:sz w:val="20"/>
                <w:szCs w:val="20"/>
              </w:rPr>
            </w:pPr>
            <w:r>
              <w:rPr>
                <w:rFonts w:ascii="Arial" w:hAnsi="Arial" w:cs="Arial"/>
                <w:sz w:val="20"/>
                <w:szCs w:val="20"/>
              </w:rPr>
              <w:t>New reference added for</w:t>
            </w:r>
            <w:r w:rsidRPr="00A001C3">
              <w:rPr>
                <w:rFonts w:ascii="Arial" w:hAnsi="Arial" w:cs="Arial"/>
                <w:sz w:val="20"/>
                <w:szCs w:val="20"/>
              </w:rPr>
              <w:t xml:space="preserve"> modified RECIST 1.1</w:t>
            </w:r>
          </w:p>
        </w:tc>
      </w:tr>
    </w:tbl>
    <w:p w14:paraId="1E54FDD6" w14:textId="6ABBAF75" w:rsidR="005A7C04" w:rsidRPr="009D76BA" w:rsidRDefault="005A7C04" w:rsidP="00A256E8">
      <w:pPr>
        <w:pStyle w:val="Header"/>
        <w:tabs>
          <w:tab w:val="clear" w:pos="4153"/>
          <w:tab w:val="clear" w:pos="8306"/>
        </w:tabs>
        <w:jc w:val="both"/>
        <w:rPr>
          <w:rFonts w:ascii="Arial" w:hAnsi="Arial" w:cs="Arial"/>
          <w:lang w:val="en-GB"/>
        </w:rPr>
      </w:pPr>
    </w:p>
    <w:sectPr w:rsidR="005A7C04" w:rsidRPr="009D76BA" w:rsidSect="003D1FE5">
      <w:footerReference w:type="default" r:id="rId181"/>
      <w:footerReference w:type="first" r:id="rId182"/>
      <w:pgSz w:w="11906" w:h="16838" w:code="9"/>
      <w:pgMar w:top="1134" w:right="1134" w:bottom="1134" w:left="1134" w:header="141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4F417" w14:textId="77777777" w:rsidR="00764FAA" w:rsidRDefault="00764FAA">
      <w:r>
        <w:separator/>
      </w:r>
    </w:p>
  </w:endnote>
  <w:endnote w:type="continuationSeparator" w:id="0">
    <w:p w14:paraId="153D0BCB" w14:textId="77777777" w:rsidR="00764FAA" w:rsidRDefault="00764FAA">
      <w:r>
        <w:continuationSeparator/>
      </w:r>
    </w:p>
  </w:endnote>
  <w:endnote w:type="continuationNotice" w:id="1">
    <w:p w14:paraId="555A6BE0" w14:textId="77777777" w:rsidR="00764FAA" w:rsidRDefault="00764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PMincho">
    <w:panose1 w:val="02020600040205080304"/>
    <w:charset w:val="80"/>
    <w:family w:val="roman"/>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A8A35" w14:textId="77777777" w:rsidR="00764FAA" w:rsidRPr="00DA67E8" w:rsidRDefault="00764FAA" w:rsidP="009D3188">
    <w:pPr>
      <w:pStyle w:val="Footer"/>
      <w:pBdr>
        <w:top w:val="single" w:sz="4" w:space="1" w:color="auto"/>
      </w:pBdr>
      <w:tabs>
        <w:tab w:val="clear" w:pos="4153"/>
        <w:tab w:val="clear" w:pos="8306"/>
      </w:tabs>
      <w:rPr>
        <w:rFonts w:ascii="Arial" w:hAnsi="Arial" w:cs="Arial"/>
        <w:i/>
        <w:iCs/>
        <w:sz w:val="20"/>
        <w:lang w:val="pt-BR"/>
      </w:rPr>
    </w:pPr>
    <w:r w:rsidRPr="006B540A">
      <w:rPr>
        <w:rFonts w:ascii="Arial" w:hAnsi="Arial" w:cs="Arial"/>
        <w:i/>
        <w:iCs/>
        <w:sz w:val="20"/>
        <w:lang w:val="pt-BR"/>
      </w:rPr>
      <w:t>MESO-02 protocol v</w:t>
    </w:r>
    <w:r w:rsidRPr="006B540A">
      <w:rPr>
        <w:rFonts w:ascii="Arial" w:hAnsi="Arial" w:cs="Arial"/>
        <w:i/>
        <w:iCs/>
        <w:color w:val="FF0000"/>
        <w:sz w:val="20"/>
        <w:highlight w:val="yellow"/>
        <w:lang w:val="pt-BR"/>
      </w:rPr>
      <w:t>[no.] [date]</w:t>
    </w:r>
  </w:p>
  <w:p w14:paraId="42F4CE26" w14:textId="77777777" w:rsidR="00764FAA" w:rsidRPr="0005490B" w:rsidRDefault="00764FAA" w:rsidP="009D3188">
    <w:pPr>
      <w:pStyle w:val="Footer"/>
      <w:pBdr>
        <w:top w:val="single" w:sz="4" w:space="1" w:color="auto"/>
      </w:pBdr>
      <w:tabs>
        <w:tab w:val="clear" w:pos="4153"/>
        <w:tab w:val="clear" w:pos="8306"/>
      </w:tabs>
      <w:rPr>
        <w:rFonts w:ascii="Arial" w:hAnsi="Arial" w:cs="Arial"/>
        <w:sz w:val="14"/>
        <w:szCs w:val="14"/>
      </w:rPr>
    </w:pPr>
    <w:r w:rsidRPr="0005490B">
      <w:rPr>
        <w:rFonts w:ascii="Arial" w:hAnsi="Arial" w:cs="Arial"/>
        <w:sz w:val="14"/>
        <w:szCs w:val="14"/>
      </w:rPr>
      <w:t>Protocol Template version 3.1 14Sep11</w:t>
    </w:r>
  </w:p>
  <w:p w14:paraId="449558CD" w14:textId="77777777" w:rsidR="00764FAA" w:rsidRPr="0005490B" w:rsidRDefault="00764FAA" w:rsidP="00643CB2">
    <w:pPr>
      <w:pStyle w:val="Footer"/>
      <w:pBdr>
        <w:top w:val="single" w:sz="4" w:space="1" w:color="auto"/>
      </w:pBdr>
      <w:tabs>
        <w:tab w:val="clear" w:pos="4153"/>
        <w:tab w:val="clear" w:pos="8306"/>
      </w:tabs>
      <w:jc w:val="center"/>
      <w:rPr>
        <w:rFonts w:ascii="Arial" w:hAnsi="Arial" w:cs="Arial"/>
        <w:iCs/>
        <w:color w:val="FF0000"/>
        <w:sz w:val="20"/>
        <w:szCs w:val="20"/>
      </w:rPr>
    </w:pPr>
    <w:r w:rsidRPr="0005490B">
      <w:rPr>
        <w:rFonts w:ascii="Arial" w:hAnsi="Arial" w:cs="Arial"/>
        <w:bCs/>
        <w:iCs/>
        <w:color w:val="FF0000"/>
        <w:sz w:val="20"/>
      </w:rPr>
      <w:t xml:space="preserve">[page </w:t>
    </w:r>
    <w:r>
      <w:rPr>
        <w:rFonts w:ascii="Arial" w:hAnsi="Arial" w:cs="Arial"/>
        <w:bCs/>
        <w:iCs/>
        <w:color w:val="FF0000"/>
        <w:sz w:val="20"/>
      </w:rPr>
      <w:t>x</w:t>
    </w:r>
    <w:r w:rsidRPr="0005490B">
      <w:rPr>
        <w:rFonts w:ascii="Arial" w:hAnsi="Arial" w:cs="Arial"/>
        <w:bCs/>
        <w:iCs/>
        <w:color w:val="FF0000"/>
        <w:sz w:val="20"/>
      </w:rPr>
      <w:t xml:space="preserve"> of 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F23DD" w14:textId="3FC86A2D" w:rsidR="00764FAA" w:rsidRPr="00854D53" w:rsidRDefault="00764FAA" w:rsidP="003329C0">
    <w:pPr>
      <w:pStyle w:val="Footer"/>
      <w:tabs>
        <w:tab w:val="clear" w:pos="8306"/>
        <w:tab w:val="right" w:pos="8931"/>
      </w:tabs>
      <w:rPr>
        <w:sz w:val="20"/>
        <w:szCs w:val="20"/>
      </w:rPr>
    </w:pPr>
    <w:r w:rsidRPr="0082247E">
      <w:rPr>
        <w:sz w:val="20"/>
        <w:szCs w:val="20"/>
        <w:lang w:val="it-IT"/>
      </w:rPr>
      <w:t xml:space="preserve">Page </w:t>
    </w:r>
    <w:r w:rsidRPr="003D1FE5">
      <w:rPr>
        <w:sz w:val="20"/>
        <w:szCs w:val="20"/>
      </w:rPr>
      <w:fldChar w:fldCharType="begin"/>
    </w:r>
    <w:r w:rsidRPr="003D1FE5">
      <w:rPr>
        <w:sz w:val="20"/>
        <w:szCs w:val="20"/>
      </w:rPr>
      <w:instrText xml:space="preserve"> PAGE   \* MERGEFORMAT </w:instrText>
    </w:r>
    <w:r w:rsidRPr="003D1FE5">
      <w:rPr>
        <w:sz w:val="20"/>
        <w:szCs w:val="20"/>
      </w:rPr>
      <w:fldChar w:fldCharType="separate"/>
    </w:r>
    <w:r w:rsidR="005646DE">
      <w:rPr>
        <w:noProof/>
        <w:sz w:val="20"/>
        <w:szCs w:val="20"/>
      </w:rPr>
      <w:t>17</w:t>
    </w:r>
    <w:r w:rsidRPr="003D1FE5">
      <w:rPr>
        <w:sz w:val="20"/>
        <w:szCs w:val="20"/>
      </w:rPr>
      <w:fldChar w:fldCharType="end"/>
    </w:r>
    <w:r w:rsidRPr="0082247E">
      <w:rPr>
        <w:sz w:val="20"/>
        <w:szCs w:val="20"/>
        <w:lang w:val="it-IT"/>
      </w:rPr>
      <w:t xml:space="preserve"> </w:t>
    </w:r>
    <w:r w:rsidRPr="0082247E">
      <w:rPr>
        <w:sz w:val="20"/>
        <w:szCs w:val="20"/>
        <w:lang w:val="it-IT"/>
      </w:rPr>
      <w:tab/>
    </w:r>
    <w:r>
      <w:rPr>
        <w:sz w:val="20"/>
        <w:szCs w:val="20"/>
        <w:lang w:val="it-IT"/>
      </w:rPr>
      <w:tab/>
    </w:r>
    <w:r w:rsidRPr="00396567">
      <w:rPr>
        <w:sz w:val="20"/>
        <w:szCs w:val="20"/>
      </w:rPr>
      <w:t>MESO-02 Protocol v</w:t>
    </w:r>
    <w:r>
      <w:rPr>
        <w:sz w:val="20"/>
        <w:szCs w:val="20"/>
        <w:lang w:val="it-IT"/>
      </w:rPr>
      <w:t>7</w:t>
    </w:r>
    <w:r w:rsidRPr="00396567">
      <w:rPr>
        <w:sz w:val="20"/>
        <w:szCs w:val="20"/>
      </w:rPr>
      <w:t>.</w:t>
    </w:r>
    <w:r w:rsidRPr="0082247E">
      <w:rPr>
        <w:sz w:val="20"/>
        <w:szCs w:val="20"/>
        <w:lang w:val="it-IT"/>
      </w:rPr>
      <w:t>0</w:t>
    </w:r>
    <w:r w:rsidRPr="00396567">
      <w:rPr>
        <w:sz w:val="20"/>
        <w:szCs w:val="20"/>
      </w:rPr>
      <w:t xml:space="preserve">, </w:t>
    </w:r>
    <w:r>
      <w:rPr>
        <w:sz w:val="20"/>
        <w:szCs w:val="20"/>
        <w:lang w:val="it-IT"/>
      </w:rPr>
      <w:t>26Oct2018</w:t>
    </w:r>
  </w:p>
  <w:p w14:paraId="39996617" w14:textId="0EFED1E4" w:rsidR="00764FAA" w:rsidRPr="00C77822" w:rsidRDefault="00764FAA" w:rsidP="00C77822">
    <w:pPr>
      <w:pStyle w:val="Footer"/>
      <w:tabs>
        <w:tab w:val="clear" w:pos="8306"/>
        <w:tab w:val="right" w:pos="8931"/>
      </w:tabs>
      <w:ind w:left="-567"/>
      <w:rPr>
        <w:sz w:val="14"/>
        <w:szCs w:val="16"/>
      </w:rPr>
    </w:pPr>
    <w:r w:rsidRPr="0082247E">
      <w:rPr>
        <w:sz w:val="14"/>
        <w:szCs w:val="16"/>
        <w:lang w:val="it-IT"/>
      </w:rPr>
      <w:tab/>
    </w:r>
    <w:r w:rsidRPr="0082247E">
      <w:rPr>
        <w:sz w:val="14"/>
        <w:szCs w:val="16"/>
        <w:lang w:val="it-IT"/>
      </w:rPr>
      <w:tab/>
    </w:r>
    <w:r w:rsidRPr="00396567">
      <w:rPr>
        <w:sz w:val="14"/>
        <w:szCs w:val="16"/>
      </w:rPr>
      <w:t xml:space="preserve">Protocol Template version </w:t>
    </w:r>
    <w:r w:rsidRPr="0082247E">
      <w:rPr>
        <w:sz w:val="14"/>
        <w:szCs w:val="16"/>
        <w:lang w:val="it-IT"/>
      </w:rPr>
      <w:t>4.1</w:t>
    </w:r>
    <w:r w:rsidRPr="00396567">
      <w:rPr>
        <w:sz w:val="14"/>
        <w:szCs w:val="16"/>
      </w:rPr>
      <w:t xml:space="preserve">, </w:t>
    </w:r>
    <w:r w:rsidRPr="0082247E">
      <w:rPr>
        <w:sz w:val="14"/>
        <w:szCs w:val="16"/>
        <w:lang w:val="it-IT"/>
      </w:rPr>
      <w:t>23Apr13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BB22" w14:textId="77777777" w:rsidR="00764FAA" w:rsidRPr="00854D53" w:rsidRDefault="00764FAA" w:rsidP="00AF2631">
    <w:pPr>
      <w:pStyle w:val="Footer"/>
      <w:tabs>
        <w:tab w:val="clear" w:pos="8306"/>
        <w:tab w:val="right" w:pos="8931"/>
        <w:tab w:val="left" w:pos="9561"/>
      </w:tabs>
      <w:ind w:left="-567"/>
      <w:rPr>
        <w:sz w:val="20"/>
        <w:szCs w:val="20"/>
      </w:rPr>
    </w:pPr>
    <w:r>
      <w:fldChar w:fldCharType="begin"/>
    </w:r>
    <w:r>
      <w:instrText xml:space="preserve"> PAGE   \* MERGEFORMAT </w:instrText>
    </w:r>
    <w:r>
      <w:fldChar w:fldCharType="separate"/>
    </w:r>
    <w:r>
      <w:rPr>
        <w:noProof/>
      </w:rPr>
      <w:t>75</w:t>
    </w:r>
    <w:r>
      <w:fldChar w:fldCharType="end"/>
    </w:r>
    <w:r w:rsidRPr="001231A5">
      <w:rPr>
        <w:sz w:val="20"/>
        <w:szCs w:val="20"/>
      </w:rPr>
      <w:t xml:space="preserve"> </w:t>
    </w:r>
    <w:r>
      <w:rPr>
        <w:sz w:val="20"/>
        <w:szCs w:val="20"/>
      </w:rPr>
      <w:tab/>
    </w:r>
    <w:r>
      <w:rPr>
        <w:sz w:val="20"/>
        <w:szCs w:val="20"/>
      </w:rPr>
      <w:tab/>
    </w:r>
    <w:r w:rsidRPr="00396567">
      <w:rPr>
        <w:sz w:val="20"/>
        <w:szCs w:val="20"/>
      </w:rPr>
      <w:t>MESO-02 Protocol v1.0, 10</w:t>
    </w:r>
    <w:r w:rsidRPr="00396567">
      <w:rPr>
        <w:sz w:val="20"/>
        <w:szCs w:val="20"/>
        <w:vertAlign w:val="superscript"/>
      </w:rPr>
      <w:t>th</w:t>
    </w:r>
    <w:r w:rsidRPr="00396567">
      <w:rPr>
        <w:sz w:val="20"/>
        <w:szCs w:val="20"/>
      </w:rPr>
      <w:t xml:space="preserve"> May 2012</w:t>
    </w:r>
    <w:r>
      <w:rPr>
        <w:sz w:val="20"/>
        <w:szCs w:val="20"/>
      </w:rPr>
      <w:tab/>
    </w:r>
  </w:p>
  <w:p w14:paraId="73C7C23E" w14:textId="77777777" w:rsidR="00764FAA" w:rsidRPr="00396567" w:rsidRDefault="00764FAA" w:rsidP="00AC0122">
    <w:pPr>
      <w:pStyle w:val="Footer"/>
      <w:tabs>
        <w:tab w:val="clear" w:pos="8306"/>
        <w:tab w:val="right" w:pos="8931"/>
      </w:tabs>
      <w:ind w:left="-567"/>
      <w:rPr>
        <w:sz w:val="14"/>
        <w:szCs w:val="16"/>
      </w:rPr>
    </w:pPr>
    <w:r>
      <w:rPr>
        <w:sz w:val="14"/>
        <w:szCs w:val="16"/>
      </w:rPr>
      <w:tab/>
    </w:r>
    <w:r>
      <w:rPr>
        <w:sz w:val="14"/>
        <w:szCs w:val="16"/>
      </w:rPr>
      <w:tab/>
    </w:r>
    <w:r w:rsidRPr="00396567">
      <w:rPr>
        <w:sz w:val="14"/>
        <w:szCs w:val="16"/>
      </w:rPr>
      <w:t xml:space="preserve">Protocol Template version 3.1, 14Sep11 </w:t>
    </w:r>
  </w:p>
  <w:p w14:paraId="5173BBE2" w14:textId="77777777" w:rsidR="00764FAA" w:rsidRPr="00396567" w:rsidRDefault="00764FAA" w:rsidP="00854D53">
    <w:pPr>
      <w:pStyle w:val="Footer"/>
      <w:tabs>
        <w:tab w:val="clear" w:pos="8306"/>
        <w:tab w:val="right" w:pos="8931"/>
      </w:tabs>
      <w:ind w:left="-567"/>
      <w:rPr>
        <w:sz w:val="14"/>
        <w:szCs w:val="16"/>
      </w:rPr>
    </w:pPr>
    <w:r w:rsidRPr="00396567">
      <w:rPr>
        <w:sz w:val="14"/>
        <w:szCs w:val="16"/>
      </w:rPr>
      <w:t xml:space="preserve"> </w:t>
    </w:r>
  </w:p>
  <w:p w14:paraId="5FFBB493" w14:textId="77777777" w:rsidR="00764FAA" w:rsidRDefault="00764FAA" w:rsidP="001231A5">
    <w:pPr>
      <w:pStyle w:val="Footer"/>
    </w:pPr>
  </w:p>
  <w:p w14:paraId="564B65AF" w14:textId="77777777" w:rsidR="00764FAA" w:rsidRDefault="00764F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7CB37" w14:textId="5E9BAB89" w:rsidR="00764FAA" w:rsidRPr="00854D53" w:rsidRDefault="00764FAA" w:rsidP="005A7C04">
    <w:pPr>
      <w:pStyle w:val="Footer"/>
      <w:tabs>
        <w:tab w:val="clear" w:pos="8306"/>
        <w:tab w:val="right" w:pos="8931"/>
      </w:tabs>
      <w:rPr>
        <w:sz w:val="20"/>
        <w:szCs w:val="20"/>
      </w:rPr>
    </w:pPr>
    <w:r w:rsidRPr="00693590">
      <w:rPr>
        <w:sz w:val="20"/>
        <w:szCs w:val="20"/>
        <w:lang w:val="it-IT"/>
      </w:rPr>
      <w:t xml:space="preserve">Page </w:t>
    </w:r>
    <w:r w:rsidRPr="003D1FE5">
      <w:rPr>
        <w:sz w:val="20"/>
        <w:szCs w:val="20"/>
      </w:rPr>
      <w:fldChar w:fldCharType="begin"/>
    </w:r>
    <w:r w:rsidRPr="003D1FE5">
      <w:rPr>
        <w:sz w:val="20"/>
        <w:szCs w:val="20"/>
      </w:rPr>
      <w:instrText xml:space="preserve"> PAGE   \* MERGEFORMAT </w:instrText>
    </w:r>
    <w:r w:rsidRPr="003D1FE5">
      <w:rPr>
        <w:sz w:val="20"/>
        <w:szCs w:val="20"/>
      </w:rPr>
      <w:fldChar w:fldCharType="separate"/>
    </w:r>
    <w:r w:rsidR="005646DE">
      <w:rPr>
        <w:noProof/>
        <w:sz w:val="20"/>
        <w:szCs w:val="20"/>
      </w:rPr>
      <w:t>38</w:t>
    </w:r>
    <w:r w:rsidRPr="003D1FE5">
      <w:rPr>
        <w:sz w:val="20"/>
        <w:szCs w:val="20"/>
      </w:rPr>
      <w:fldChar w:fldCharType="end"/>
    </w:r>
    <w:r w:rsidRPr="00693590">
      <w:rPr>
        <w:sz w:val="20"/>
        <w:szCs w:val="20"/>
        <w:lang w:val="it-IT"/>
      </w:rPr>
      <w:t xml:space="preserve"> </w:t>
    </w:r>
    <w:r w:rsidRPr="00693590">
      <w:rPr>
        <w:sz w:val="20"/>
        <w:szCs w:val="20"/>
        <w:lang w:val="it-IT"/>
      </w:rPr>
      <w:tab/>
    </w:r>
    <w:r w:rsidRPr="00693590">
      <w:rPr>
        <w:sz w:val="20"/>
        <w:szCs w:val="20"/>
        <w:lang w:val="it-IT"/>
      </w:rPr>
      <w:tab/>
    </w:r>
    <w:r w:rsidRPr="00693590">
      <w:rPr>
        <w:sz w:val="20"/>
        <w:szCs w:val="20"/>
        <w:lang w:val="it-IT"/>
      </w:rPr>
      <w:tab/>
    </w:r>
    <w:r w:rsidRPr="00693590">
      <w:rPr>
        <w:sz w:val="20"/>
        <w:szCs w:val="20"/>
        <w:lang w:val="it-IT"/>
      </w:rPr>
      <w:tab/>
    </w:r>
    <w:r w:rsidRPr="00693590">
      <w:rPr>
        <w:sz w:val="20"/>
        <w:szCs w:val="20"/>
        <w:lang w:val="it-IT"/>
      </w:rPr>
      <w:tab/>
    </w:r>
    <w:r w:rsidRPr="00396567">
      <w:rPr>
        <w:sz w:val="20"/>
        <w:szCs w:val="20"/>
      </w:rPr>
      <w:t xml:space="preserve">MESO-02 Protocol </w:t>
    </w:r>
    <w:r w:rsidRPr="00693590">
      <w:rPr>
        <w:sz w:val="20"/>
        <w:szCs w:val="20"/>
        <w:lang w:val="it-IT"/>
      </w:rPr>
      <w:t>v</w:t>
    </w:r>
    <w:r>
      <w:rPr>
        <w:sz w:val="20"/>
        <w:szCs w:val="20"/>
        <w:lang w:val="it-IT"/>
      </w:rPr>
      <w:t>7</w:t>
    </w:r>
    <w:r w:rsidRPr="00693590">
      <w:rPr>
        <w:sz w:val="20"/>
        <w:szCs w:val="20"/>
        <w:lang w:val="it-IT"/>
      </w:rPr>
      <w:t>.0</w:t>
    </w:r>
    <w:r w:rsidRPr="00396567">
      <w:rPr>
        <w:sz w:val="20"/>
        <w:szCs w:val="20"/>
      </w:rPr>
      <w:t xml:space="preserve">, </w:t>
    </w:r>
    <w:r>
      <w:rPr>
        <w:sz w:val="20"/>
        <w:szCs w:val="20"/>
        <w:lang w:val="it-IT"/>
      </w:rPr>
      <w:t>26Oct2018</w:t>
    </w:r>
  </w:p>
  <w:p w14:paraId="61EBAD9B" w14:textId="77777777" w:rsidR="00764FAA" w:rsidRPr="00854D53" w:rsidRDefault="00764FAA" w:rsidP="00854D53">
    <w:pPr>
      <w:pStyle w:val="Footer"/>
      <w:tabs>
        <w:tab w:val="clear" w:pos="8306"/>
        <w:tab w:val="right" w:pos="8931"/>
      </w:tabs>
      <w:ind w:left="-567"/>
      <w:rPr>
        <w:sz w:val="20"/>
        <w:szCs w:val="20"/>
      </w:rPr>
    </w:pPr>
  </w:p>
  <w:p w14:paraId="29700F18" w14:textId="77777777" w:rsidR="00764FAA" w:rsidRPr="00396567" w:rsidRDefault="00764FAA" w:rsidP="00854D53">
    <w:pPr>
      <w:pStyle w:val="Footer"/>
      <w:tabs>
        <w:tab w:val="clear" w:pos="8306"/>
        <w:tab w:val="right" w:pos="8931"/>
      </w:tabs>
      <w:ind w:left="-567"/>
      <w:rPr>
        <w:sz w:val="14"/>
        <w:szCs w:val="16"/>
      </w:rPr>
    </w:pPr>
    <w:r w:rsidRPr="00693590">
      <w:rPr>
        <w:sz w:val="14"/>
        <w:szCs w:val="16"/>
        <w:lang w:val="it-IT"/>
      </w:rPr>
      <w:tab/>
    </w:r>
    <w:r w:rsidRPr="00693590">
      <w:rPr>
        <w:sz w:val="14"/>
        <w:szCs w:val="16"/>
        <w:lang w:val="it-IT"/>
      </w:rPr>
      <w:tab/>
    </w:r>
    <w:r w:rsidRPr="00693590">
      <w:rPr>
        <w:sz w:val="14"/>
        <w:szCs w:val="16"/>
        <w:lang w:val="it-IT"/>
      </w:rPr>
      <w:tab/>
    </w:r>
    <w:r w:rsidRPr="00693590">
      <w:rPr>
        <w:sz w:val="14"/>
        <w:szCs w:val="16"/>
        <w:lang w:val="it-IT"/>
      </w:rPr>
      <w:tab/>
    </w:r>
    <w:r w:rsidRPr="00693590">
      <w:rPr>
        <w:sz w:val="14"/>
        <w:szCs w:val="16"/>
        <w:lang w:val="it-IT"/>
      </w:rPr>
      <w:tab/>
    </w:r>
    <w:r w:rsidRPr="00693590">
      <w:rPr>
        <w:sz w:val="14"/>
        <w:szCs w:val="16"/>
        <w:lang w:val="it-IT"/>
      </w:rPr>
      <w:tab/>
    </w:r>
    <w:r w:rsidRPr="00396567">
      <w:rPr>
        <w:sz w:val="14"/>
        <w:szCs w:val="16"/>
      </w:rPr>
      <w:t xml:space="preserve">Protocol Template version </w:t>
    </w:r>
    <w:r w:rsidRPr="00693590">
      <w:rPr>
        <w:sz w:val="14"/>
        <w:szCs w:val="16"/>
        <w:lang w:val="it-IT"/>
      </w:rPr>
      <w:t>4.1</w:t>
    </w:r>
    <w:r w:rsidRPr="00396567">
      <w:rPr>
        <w:sz w:val="14"/>
        <w:szCs w:val="16"/>
      </w:rPr>
      <w:t xml:space="preserve">, </w:t>
    </w:r>
    <w:r w:rsidRPr="00693590">
      <w:rPr>
        <w:sz w:val="14"/>
        <w:szCs w:val="16"/>
        <w:lang w:val="it-IT"/>
      </w:rPr>
      <w:t>23Apr13</w:t>
    </w:r>
  </w:p>
  <w:p w14:paraId="4AFFC1E4" w14:textId="77777777" w:rsidR="00764FAA" w:rsidRDefault="00764FAA" w:rsidP="00854D53">
    <w:pPr>
      <w:pStyle w:val="Footer"/>
    </w:pPr>
  </w:p>
  <w:p w14:paraId="50BE2E2E" w14:textId="77777777" w:rsidR="00764FAA" w:rsidRPr="00693590" w:rsidRDefault="00764FAA">
    <w:pPr>
      <w:rPr>
        <w:lang w:val="it-IT"/>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4EDF" w14:textId="37BEFC6B" w:rsidR="00764FAA" w:rsidRPr="00854D53" w:rsidRDefault="00764FAA" w:rsidP="005A7C04">
    <w:pPr>
      <w:pStyle w:val="Footer"/>
      <w:tabs>
        <w:tab w:val="clear" w:pos="8306"/>
        <w:tab w:val="right" w:pos="8931"/>
      </w:tabs>
      <w:rPr>
        <w:sz w:val="20"/>
        <w:szCs w:val="20"/>
      </w:rPr>
    </w:pPr>
    <w:r w:rsidRPr="001810D2">
      <w:rPr>
        <w:sz w:val="20"/>
        <w:szCs w:val="20"/>
        <w:lang w:val="it-IT"/>
      </w:rPr>
      <w:t xml:space="preserve">Page </w:t>
    </w:r>
    <w:r w:rsidRPr="003D1FE5">
      <w:rPr>
        <w:sz w:val="20"/>
        <w:szCs w:val="20"/>
      </w:rPr>
      <w:fldChar w:fldCharType="begin"/>
    </w:r>
    <w:r w:rsidRPr="003D1FE5">
      <w:rPr>
        <w:sz w:val="20"/>
        <w:szCs w:val="20"/>
      </w:rPr>
      <w:instrText xml:space="preserve"> PAGE   \* MERGEFORMAT </w:instrText>
    </w:r>
    <w:r w:rsidRPr="003D1FE5">
      <w:rPr>
        <w:sz w:val="20"/>
        <w:szCs w:val="20"/>
      </w:rPr>
      <w:fldChar w:fldCharType="separate"/>
    </w:r>
    <w:r w:rsidR="005646DE">
      <w:rPr>
        <w:noProof/>
        <w:sz w:val="20"/>
        <w:szCs w:val="20"/>
      </w:rPr>
      <w:t>78</w:t>
    </w:r>
    <w:r w:rsidRPr="003D1FE5">
      <w:rPr>
        <w:sz w:val="20"/>
        <w:szCs w:val="20"/>
      </w:rPr>
      <w:fldChar w:fldCharType="end"/>
    </w:r>
    <w:r w:rsidRPr="001810D2">
      <w:rPr>
        <w:sz w:val="20"/>
        <w:szCs w:val="20"/>
        <w:lang w:val="it-IT"/>
      </w:rPr>
      <w:t xml:space="preserve"> </w:t>
    </w:r>
    <w:r w:rsidRPr="001810D2">
      <w:rPr>
        <w:sz w:val="20"/>
        <w:szCs w:val="20"/>
        <w:lang w:val="it-IT"/>
      </w:rPr>
      <w:tab/>
    </w:r>
    <w:r w:rsidRPr="001810D2">
      <w:rPr>
        <w:sz w:val="20"/>
        <w:szCs w:val="20"/>
        <w:lang w:val="it-IT"/>
      </w:rPr>
      <w:tab/>
    </w:r>
    <w:r w:rsidRPr="00396567">
      <w:rPr>
        <w:sz w:val="20"/>
        <w:szCs w:val="20"/>
      </w:rPr>
      <w:t>MESO-02 Protocol v</w:t>
    </w:r>
    <w:r>
      <w:rPr>
        <w:sz w:val="20"/>
        <w:szCs w:val="20"/>
        <w:lang w:val="it-IT"/>
      </w:rPr>
      <w:t>7</w:t>
    </w:r>
    <w:r w:rsidRPr="001810D2">
      <w:rPr>
        <w:sz w:val="20"/>
        <w:szCs w:val="20"/>
        <w:lang w:val="it-IT"/>
      </w:rPr>
      <w:t>.0</w:t>
    </w:r>
    <w:r w:rsidRPr="00396567">
      <w:rPr>
        <w:sz w:val="20"/>
        <w:szCs w:val="20"/>
      </w:rPr>
      <w:t xml:space="preserve">, </w:t>
    </w:r>
    <w:r>
      <w:rPr>
        <w:sz w:val="20"/>
        <w:szCs w:val="20"/>
        <w:lang w:val="it-IT"/>
      </w:rPr>
      <w:t>26Oct2018</w:t>
    </w:r>
  </w:p>
  <w:p w14:paraId="5EEACDCD" w14:textId="77777777" w:rsidR="00764FAA" w:rsidRPr="00854D53" w:rsidRDefault="00764FAA" w:rsidP="00854D53">
    <w:pPr>
      <w:pStyle w:val="Footer"/>
      <w:tabs>
        <w:tab w:val="clear" w:pos="8306"/>
        <w:tab w:val="right" w:pos="8931"/>
      </w:tabs>
      <w:ind w:left="-567"/>
      <w:rPr>
        <w:sz w:val="20"/>
        <w:szCs w:val="20"/>
      </w:rPr>
    </w:pPr>
  </w:p>
  <w:p w14:paraId="70E616FF" w14:textId="77777777" w:rsidR="00764FAA" w:rsidRPr="00396567" w:rsidRDefault="00764FAA" w:rsidP="00854D53">
    <w:pPr>
      <w:pStyle w:val="Footer"/>
      <w:tabs>
        <w:tab w:val="clear" w:pos="8306"/>
        <w:tab w:val="right" w:pos="8931"/>
      </w:tabs>
      <w:ind w:left="-567"/>
      <w:rPr>
        <w:sz w:val="14"/>
        <w:szCs w:val="16"/>
      </w:rPr>
    </w:pPr>
    <w:r w:rsidRPr="001810D2">
      <w:rPr>
        <w:sz w:val="14"/>
        <w:szCs w:val="16"/>
        <w:lang w:val="it-IT"/>
      </w:rPr>
      <w:tab/>
    </w:r>
    <w:r w:rsidRPr="001810D2">
      <w:rPr>
        <w:sz w:val="14"/>
        <w:szCs w:val="16"/>
        <w:lang w:val="it-IT"/>
      </w:rPr>
      <w:tab/>
    </w:r>
    <w:r w:rsidRPr="00396567">
      <w:rPr>
        <w:sz w:val="14"/>
        <w:szCs w:val="16"/>
      </w:rPr>
      <w:t xml:space="preserve">Protocol Template version </w:t>
    </w:r>
    <w:r w:rsidRPr="001810D2">
      <w:rPr>
        <w:sz w:val="14"/>
        <w:szCs w:val="16"/>
        <w:lang w:val="it-IT"/>
      </w:rPr>
      <w:t>4</w:t>
    </w:r>
    <w:r w:rsidRPr="00396567">
      <w:rPr>
        <w:sz w:val="14"/>
        <w:szCs w:val="16"/>
      </w:rPr>
      <w:t>.</w:t>
    </w:r>
    <w:r w:rsidRPr="001810D2">
      <w:rPr>
        <w:sz w:val="14"/>
        <w:szCs w:val="16"/>
        <w:lang w:val="it-IT"/>
      </w:rPr>
      <w:t>1</w:t>
    </w:r>
    <w:r w:rsidRPr="00396567">
      <w:rPr>
        <w:sz w:val="14"/>
        <w:szCs w:val="16"/>
      </w:rPr>
      <w:t xml:space="preserve">, </w:t>
    </w:r>
    <w:r w:rsidRPr="001810D2">
      <w:rPr>
        <w:sz w:val="14"/>
        <w:szCs w:val="16"/>
        <w:lang w:val="it-IT"/>
      </w:rPr>
      <w:t>23Apr13</w:t>
    </w:r>
    <w:r w:rsidRPr="00396567">
      <w:rPr>
        <w:sz w:val="14"/>
        <w:szCs w:val="16"/>
      </w:rPr>
      <w:t xml:space="preserve"> </w:t>
    </w:r>
  </w:p>
  <w:p w14:paraId="460D398F" w14:textId="77777777" w:rsidR="00764FAA" w:rsidRDefault="00764FAA" w:rsidP="00854D53">
    <w:pPr>
      <w:pStyle w:val="Footer"/>
    </w:pPr>
  </w:p>
  <w:p w14:paraId="046605C9" w14:textId="77777777" w:rsidR="00764FAA" w:rsidRPr="001810D2" w:rsidRDefault="00764FAA">
    <w:pPr>
      <w:rPr>
        <w:lang w:val="it-IT"/>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CC5B" w14:textId="7B686E68" w:rsidR="00764FAA" w:rsidRPr="003B0B87" w:rsidRDefault="00764FAA" w:rsidP="007D084A">
    <w:pPr>
      <w:pStyle w:val="Footer"/>
      <w:tabs>
        <w:tab w:val="clear" w:pos="8306"/>
        <w:tab w:val="right" w:pos="8931"/>
      </w:tabs>
      <w:rPr>
        <w:sz w:val="20"/>
        <w:szCs w:val="20"/>
        <w:lang w:val="it-IT"/>
      </w:rPr>
    </w:pPr>
    <w:r w:rsidRPr="003B0B87">
      <w:rPr>
        <w:sz w:val="20"/>
        <w:szCs w:val="20"/>
        <w:lang w:val="it-IT"/>
      </w:rPr>
      <w:t xml:space="preserve">Page </w:t>
    </w:r>
    <w:r w:rsidRPr="003D1FE5">
      <w:rPr>
        <w:sz w:val="20"/>
        <w:szCs w:val="20"/>
      </w:rPr>
      <w:fldChar w:fldCharType="begin"/>
    </w:r>
    <w:r w:rsidRPr="003D1FE5">
      <w:rPr>
        <w:sz w:val="20"/>
        <w:szCs w:val="20"/>
      </w:rPr>
      <w:instrText xml:space="preserve"> PAGE   \* MERGEFORMAT </w:instrText>
    </w:r>
    <w:r w:rsidRPr="003D1FE5">
      <w:rPr>
        <w:sz w:val="20"/>
        <w:szCs w:val="20"/>
      </w:rPr>
      <w:fldChar w:fldCharType="separate"/>
    </w:r>
    <w:r w:rsidR="005646DE">
      <w:rPr>
        <w:noProof/>
        <w:sz w:val="20"/>
        <w:szCs w:val="20"/>
      </w:rPr>
      <w:t>80</w:t>
    </w:r>
    <w:r w:rsidRPr="003D1FE5">
      <w:rPr>
        <w:sz w:val="20"/>
        <w:szCs w:val="20"/>
      </w:rPr>
      <w:fldChar w:fldCharType="end"/>
    </w:r>
    <w:r w:rsidRPr="003B0B87">
      <w:rPr>
        <w:sz w:val="20"/>
        <w:szCs w:val="20"/>
        <w:lang w:val="it-IT"/>
      </w:rPr>
      <w:t xml:space="preserve"> </w:t>
    </w:r>
    <w:r w:rsidRPr="003B0B87">
      <w:rPr>
        <w:sz w:val="20"/>
        <w:szCs w:val="20"/>
        <w:lang w:val="it-IT"/>
      </w:rPr>
      <w:tab/>
    </w:r>
    <w:r w:rsidRPr="003B0B87">
      <w:rPr>
        <w:sz w:val="20"/>
        <w:szCs w:val="20"/>
        <w:lang w:val="it-IT"/>
      </w:rPr>
      <w:tab/>
    </w:r>
    <w:r w:rsidRPr="003B0B87">
      <w:rPr>
        <w:sz w:val="20"/>
        <w:szCs w:val="20"/>
        <w:lang w:val="it-IT"/>
      </w:rPr>
      <w:tab/>
    </w:r>
    <w:r w:rsidRPr="003B0B87">
      <w:rPr>
        <w:sz w:val="20"/>
        <w:szCs w:val="20"/>
        <w:lang w:val="it-IT"/>
      </w:rPr>
      <w:tab/>
    </w:r>
    <w:r w:rsidRPr="003B0B87">
      <w:rPr>
        <w:sz w:val="20"/>
        <w:szCs w:val="20"/>
        <w:lang w:val="it-IT"/>
      </w:rPr>
      <w:tab/>
    </w:r>
    <w:r w:rsidRPr="00396567">
      <w:rPr>
        <w:sz w:val="20"/>
        <w:szCs w:val="20"/>
      </w:rPr>
      <w:t>MESO-02 Protocol v</w:t>
    </w:r>
    <w:r>
      <w:rPr>
        <w:sz w:val="20"/>
        <w:szCs w:val="20"/>
        <w:lang w:val="it-IT"/>
      </w:rPr>
      <w:t>7</w:t>
    </w:r>
    <w:r w:rsidRPr="003B0B87">
      <w:rPr>
        <w:sz w:val="20"/>
        <w:szCs w:val="20"/>
        <w:lang w:val="it-IT"/>
      </w:rPr>
      <w:t>.0</w:t>
    </w:r>
    <w:r w:rsidRPr="00396567">
      <w:rPr>
        <w:sz w:val="20"/>
        <w:szCs w:val="20"/>
      </w:rPr>
      <w:t>,</w:t>
    </w:r>
    <w:r>
      <w:rPr>
        <w:sz w:val="20"/>
        <w:szCs w:val="20"/>
        <w:lang w:val="it-IT"/>
      </w:rPr>
      <w:t xml:space="preserve"> 26Oct2018</w:t>
    </w:r>
  </w:p>
  <w:p w14:paraId="77EC93E0" w14:textId="77777777" w:rsidR="00764FAA" w:rsidRPr="003B0B87" w:rsidRDefault="00764FAA" w:rsidP="007D084A">
    <w:pPr>
      <w:pStyle w:val="Footer"/>
      <w:tabs>
        <w:tab w:val="clear" w:pos="8306"/>
        <w:tab w:val="right" w:pos="8931"/>
      </w:tabs>
      <w:rPr>
        <w:sz w:val="20"/>
        <w:szCs w:val="20"/>
        <w:lang w:val="it-IT"/>
      </w:rPr>
    </w:pPr>
  </w:p>
  <w:p w14:paraId="49F1E9E4" w14:textId="77777777" w:rsidR="00764FAA" w:rsidRPr="00396567" w:rsidRDefault="00764FAA" w:rsidP="00854D53">
    <w:pPr>
      <w:pStyle w:val="Footer"/>
      <w:tabs>
        <w:tab w:val="clear" w:pos="8306"/>
        <w:tab w:val="right" w:pos="8931"/>
      </w:tabs>
      <w:ind w:left="-567"/>
      <w:rPr>
        <w:sz w:val="14"/>
        <w:szCs w:val="16"/>
      </w:rPr>
    </w:pPr>
    <w:r w:rsidRPr="003B0B87">
      <w:rPr>
        <w:sz w:val="14"/>
        <w:szCs w:val="16"/>
        <w:lang w:val="it-IT"/>
      </w:rPr>
      <w:tab/>
    </w:r>
    <w:r w:rsidRPr="003B0B87">
      <w:rPr>
        <w:sz w:val="14"/>
        <w:szCs w:val="16"/>
        <w:lang w:val="it-IT"/>
      </w:rPr>
      <w:tab/>
    </w:r>
    <w:r w:rsidRPr="003B0B87">
      <w:rPr>
        <w:sz w:val="14"/>
        <w:szCs w:val="16"/>
        <w:lang w:val="it-IT"/>
      </w:rPr>
      <w:tab/>
    </w:r>
    <w:r w:rsidRPr="003B0B87">
      <w:rPr>
        <w:sz w:val="14"/>
        <w:szCs w:val="16"/>
        <w:lang w:val="it-IT"/>
      </w:rPr>
      <w:tab/>
    </w:r>
    <w:r w:rsidRPr="003B0B87">
      <w:rPr>
        <w:sz w:val="14"/>
        <w:szCs w:val="16"/>
        <w:lang w:val="it-IT"/>
      </w:rPr>
      <w:tab/>
    </w:r>
    <w:r w:rsidRPr="003B0B87">
      <w:rPr>
        <w:sz w:val="14"/>
        <w:szCs w:val="16"/>
        <w:lang w:val="it-IT"/>
      </w:rPr>
      <w:tab/>
    </w:r>
    <w:r w:rsidRPr="00396567">
      <w:rPr>
        <w:sz w:val="14"/>
        <w:szCs w:val="16"/>
      </w:rPr>
      <w:t xml:space="preserve">Protocol Template version </w:t>
    </w:r>
    <w:r w:rsidRPr="003B0B87">
      <w:rPr>
        <w:sz w:val="14"/>
        <w:szCs w:val="16"/>
        <w:lang w:val="it-IT"/>
      </w:rPr>
      <w:t>4.1</w:t>
    </w:r>
    <w:r w:rsidRPr="00396567">
      <w:rPr>
        <w:sz w:val="14"/>
        <w:szCs w:val="16"/>
      </w:rPr>
      <w:t xml:space="preserve">, </w:t>
    </w:r>
    <w:r w:rsidRPr="003B0B87">
      <w:rPr>
        <w:sz w:val="14"/>
        <w:szCs w:val="16"/>
        <w:lang w:val="it-IT"/>
      </w:rPr>
      <w:t>23Apr13</w:t>
    </w:r>
    <w:r w:rsidRPr="00396567">
      <w:rPr>
        <w:sz w:val="14"/>
        <w:szCs w:val="16"/>
      </w:rPr>
      <w:t xml:space="preserve"> </w:t>
    </w:r>
  </w:p>
  <w:p w14:paraId="60A6B0DC" w14:textId="77777777" w:rsidR="00764FAA" w:rsidRDefault="00764FAA" w:rsidP="00854D53">
    <w:pPr>
      <w:pStyle w:val="Footer"/>
    </w:pPr>
  </w:p>
  <w:p w14:paraId="75DBCA60" w14:textId="77777777" w:rsidR="00764FAA" w:rsidRPr="003B0B87" w:rsidRDefault="00764FAA">
    <w:pPr>
      <w:rPr>
        <w:lang w:val="it-IT"/>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B377C" w14:textId="485474D5" w:rsidR="00764FAA" w:rsidRPr="00854D53" w:rsidRDefault="00764FAA" w:rsidP="005A7C04">
    <w:pPr>
      <w:pStyle w:val="Footer"/>
      <w:tabs>
        <w:tab w:val="clear" w:pos="8306"/>
        <w:tab w:val="right" w:pos="8931"/>
      </w:tabs>
      <w:rPr>
        <w:sz w:val="20"/>
        <w:szCs w:val="20"/>
      </w:rPr>
    </w:pPr>
    <w:r w:rsidRPr="001129DC">
      <w:rPr>
        <w:sz w:val="20"/>
        <w:szCs w:val="20"/>
        <w:lang w:val="it-IT"/>
      </w:rPr>
      <w:t xml:space="preserve">Page </w:t>
    </w:r>
    <w:r w:rsidRPr="003D1FE5">
      <w:rPr>
        <w:sz w:val="20"/>
        <w:szCs w:val="20"/>
      </w:rPr>
      <w:fldChar w:fldCharType="begin"/>
    </w:r>
    <w:r w:rsidRPr="003D1FE5">
      <w:rPr>
        <w:sz w:val="20"/>
        <w:szCs w:val="20"/>
      </w:rPr>
      <w:instrText xml:space="preserve"> PAGE   \* MERGEFORMAT </w:instrText>
    </w:r>
    <w:r w:rsidRPr="003D1FE5">
      <w:rPr>
        <w:sz w:val="20"/>
        <w:szCs w:val="20"/>
      </w:rPr>
      <w:fldChar w:fldCharType="separate"/>
    </w:r>
    <w:r w:rsidR="005646DE">
      <w:rPr>
        <w:noProof/>
        <w:sz w:val="20"/>
        <w:szCs w:val="20"/>
      </w:rPr>
      <w:t>79</w:t>
    </w:r>
    <w:r w:rsidRPr="003D1FE5">
      <w:rPr>
        <w:sz w:val="20"/>
        <w:szCs w:val="20"/>
      </w:rPr>
      <w:fldChar w:fldCharType="end"/>
    </w:r>
    <w:r w:rsidRPr="001129DC">
      <w:rPr>
        <w:sz w:val="20"/>
        <w:szCs w:val="20"/>
        <w:lang w:val="it-IT"/>
      </w:rPr>
      <w:t xml:space="preserve"> </w:t>
    </w:r>
    <w:r w:rsidRPr="001129DC">
      <w:rPr>
        <w:sz w:val="20"/>
        <w:szCs w:val="20"/>
        <w:lang w:val="it-IT"/>
      </w:rPr>
      <w:tab/>
    </w:r>
    <w:r w:rsidRPr="001129DC">
      <w:rPr>
        <w:sz w:val="20"/>
        <w:szCs w:val="20"/>
        <w:lang w:val="it-IT"/>
      </w:rPr>
      <w:tab/>
    </w:r>
    <w:r w:rsidRPr="001129DC">
      <w:rPr>
        <w:sz w:val="20"/>
        <w:szCs w:val="20"/>
        <w:lang w:val="it-IT"/>
      </w:rPr>
      <w:tab/>
    </w:r>
    <w:r w:rsidRPr="001129DC">
      <w:rPr>
        <w:sz w:val="20"/>
        <w:szCs w:val="20"/>
        <w:lang w:val="it-IT"/>
      </w:rPr>
      <w:tab/>
    </w:r>
    <w:r w:rsidRPr="001129DC">
      <w:rPr>
        <w:sz w:val="20"/>
        <w:szCs w:val="20"/>
        <w:lang w:val="it-IT"/>
      </w:rPr>
      <w:tab/>
    </w:r>
    <w:r w:rsidRPr="00396567">
      <w:rPr>
        <w:sz w:val="20"/>
        <w:szCs w:val="20"/>
      </w:rPr>
      <w:t>MESO-02 Protocol v</w:t>
    </w:r>
    <w:r>
      <w:rPr>
        <w:sz w:val="20"/>
        <w:szCs w:val="20"/>
        <w:lang w:val="it-IT"/>
      </w:rPr>
      <w:t>7</w:t>
    </w:r>
    <w:r w:rsidRPr="001129DC">
      <w:rPr>
        <w:sz w:val="20"/>
        <w:szCs w:val="20"/>
        <w:lang w:val="it-IT"/>
      </w:rPr>
      <w:t>.0</w:t>
    </w:r>
    <w:r w:rsidRPr="00396567">
      <w:rPr>
        <w:sz w:val="20"/>
        <w:szCs w:val="20"/>
      </w:rPr>
      <w:t xml:space="preserve">, </w:t>
    </w:r>
    <w:r>
      <w:rPr>
        <w:sz w:val="20"/>
        <w:szCs w:val="20"/>
        <w:lang w:val="it-IT"/>
      </w:rPr>
      <w:t>26Oct2018</w:t>
    </w:r>
  </w:p>
  <w:p w14:paraId="25DC4399" w14:textId="77777777" w:rsidR="00764FAA" w:rsidRPr="00854D53" w:rsidRDefault="00764FAA" w:rsidP="007D084A">
    <w:pPr>
      <w:pStyle w:val="Footer"/>
      <w:tabs>
        <w:tab w:val="clear" w:pos="8306"/>
        <w:tab w:val="right" w:pos="8931"/>
      </w:tabs>
      <w:rPr>
        <w:sz w:val="20"/>
        <w:szCs w:val="20"/>
      </w:rPr>
    </w:pPr>
  </w:p>
  <w:p w14:paraId="0E1A1D3A" w14:textId="77777777" w:rsidR="00764FAA" w:rsidRPr="00396567" w:rsidRDefault="00764FAA" w:rsidP="00AC0122">
    <w:pPr>
      <w:pStyle w:val="Footer"/>
      <w:tabs>
        <w:tab w:val="clear" w:pos="8306"/>
        <w:tab w:val="right" w:pos="8931"/>
      </w:tabs>
      <w:ind w:left="-567"/>
      <w:rPr>
        <w:sz w:val="14"/>
        <w:szCs w:val="16"/>
      </w:rPr>
    </w:pPr>
    <w:r>
      <w:rPr>
        <w:sz w:val="14"/>
        <w:szCs w:val="16"/>
      </w:rPr>
      <w:tab/>
    </w:r>
    <w:r>
      <w:rPr>
        <w:sz w:val="14"/>
        <w:szCs w:val="16"/>
      </w:rPr>
      <w:tab/>
    </w:r>
    <w:r w:rsidRPr="001129DC">
      <w:rPr>
        <w:sz w:val="14"/>
        <w:szCs w:val="16"/>
        <w:lang w:val="it-IT"/>
      </w:rPr>
      <w:tab/>
    </w:r>
    <w:r w:rsidRPr="001129DC">
      <w:rPr>
        <w:sz w:val="14"/>
        <w:szCs w:val="16"/>
        <w:lang w:val="it-IT"/>
      </w:rPr>
      <w:tab/>
    </w:r>
    <w:r w:rsidRPr="001129DC">
      <w:rPr>
        <w:sz w:val="14"/>
        <w:szCs w:val="16"/>
        <w:lang w:val="it-IT"/>
      </w:rPr>
      <w:tab/>
    </w:r>
    <w:r w:rsidRPr="001129DC">
      <w:rPr>
        <w:sz w:val="14"/>
        <w:szCs w:val="16"/>
        <w:lang w:val="it-IT"/>
      </w:rPr>
      <w:tab/>
    </w:r>
    <w:r w:rsidRPr="00396567">
      <w:rPr>
        <w:sz w:val="14"/>
        <w:szCs w:val="16"/>
      </w:rPr>
      <w:t xml:space="preserve">Protocol Template version </w:t>
    </w:r>
    <w:r w:rsidRPr="001129DC">
      <w:rPr>
        <w:sz w:val="14"/>
        <w:szCs w:val="16"/>
        <w:lang w:val="it-IT"/>
      </w:rPr>
      <w:t>4.1</w:t>
    </w:r>
    <w:r w:rsidRPr="00396567">
      <w:rPr>
        <w:sz w:val="14"/>
        <w:szCs w:val="16"/>
      </w:rPr>
      <w:t xml:space="preserve">, </w:t>
    </w:r>
    <w:r w:rsidRPr="001129DC">
      <w:rPr>
        <w:sz w:val="14"/>
        <w:szCs w:val="16"/>
        <w:lang w:val="it-IT"/>
      </w:rPr>
      <w:t>23Apr13</w:t>
    </w:r>
    <w:r w:rsidRPr="00396567">
      <w:rPr>
        <w:sz w:val="14"/>
        <w:szCs w:val="16"/>
      </w:rPr>
      <w:t xml:space="preserve"> </w:t>
    </w:r>
  </w:p>
  <w:p w14:paraId="1ADFE8FA" w14:textId="77777777" w:rsidR="00764FAA" w:rsidRPr="00396567" w:rsidRDefault="00764FAA" w:rsidP="00854D53">
    <w:pPr>
      <w:pStyle w:val="Footer"/>
      <w:tabs>
        <w:tab w:val="clear" w:pos="8306"/>
        <w:tab w:val="right" w:pos="8931"/>
      </w:tabs>
      <w:ind w:left="-567"/>
      <w:rPr>
        <w:sz w:val="14"/>
        <w:szCs w:val="16"/>
      </w:rPr>
    </w:pPr>
    <w:r w:rsidRPr="00396567">
      <w:rPr>
        <w:sz w:val="14"/>
        <w:szCs w:val="16"/>
      </w:rPr>
      <w:t xml:space="preserve"> </w:t>
    </w:r>
  </w:p>
  <w:p w14:paraId="1AF98D6C" w14:textId="77777777" w:rsidR="00764FAA" w:rsidRDefault="00764FAA" w:rsidP="001231A5">
    <w:pPr>
      <w:pStyle w:val="Footer"/>
    </w:pPr>
  </w:p>
  <w:p w14:paraId="72B33076" w14:textId="77777777" w:rsidR="00764FAA" w:rsidRPr="001129DC" w:rsidRDefault="00764FAA">
    <w:pPr>
      <w:rPr>
        <w:lang w:val="it-IT"/>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54090" w14:textId="2422334B" w:rsidR="00764FAA" w:rsidRPr="00854D53" w:rsidRDefault="00764FAA" w:rsidP="005A7C04">
    <w:pPr>
      <w:pStyle w:val="Footer"/>
      <w:tabs>
        <w:tab w:val="clear" w:pos="8306"/>
        <w:tab w:val="right" w:pos="8931"/>
      </w:tabs>
      <w:rPr>
        <w:sz w:val="20"/>
        <w:szCs w:val="20"/>
      </w:rPr>
    </w:pPr>
    <w:r w:rsidRPr="000E4527">
      <w:rPr>
        <w:sz w:val="20"/>
        <w:szCs w:val="20"/>
        <w:lang w:val="it-IT"/>
      </w:rPr>
      <w:t xml:space="preserve">Page </w:t>
    </w:r>
    <w:r w:rsidRPr="003D1FE5">
      <w:rPr>
        <w:sz w:val="20"/>
        <w:szCs w:val="20"/>
      </w:rPr>
      <w:fldChar w:fldCharType="begin"/>
    </w:r>
    <w:r w:rsidRPr="003D1FE5">
      <w:rPr>
        <w:sz w:val="20"/>
        <w:szCs w:val="20"/>
      </w:rPr>
      <w:instrText xml:space="preserve"> PAGE   \* MERGEFORMAT </w:instrText>
    </w:r>
    <w:r w:rsidRPr="003D1FE5">
      <w:rPr>
        <w:sz w:val="20"/>
        <w:szCs w:val="20"/>
      </w:rPr>
      <w:fldChar w:fldCharType="separate"/>
    </w:r>
    <w:r w:rsidR="005646DE">
      <w:rPr>
        <w:noProof/>
        <w:sz w:val="20"/>
        <w:szCs w:val="20"/>
      </w:rPr>
      <w:t>90</w:t>
    </w:r>
    <w:r w:rsidRPr="003D1FE5">
      <w:rPr>
        <w:sz w:val="20"/>
        <w:szCs w:val="20"/>
      </w:rPr>
      <w:fldChar w:fldCharType="end"/>
    </w:r>
    <w:r w:rsidRPr="000E4527">
      <w:rPr>
        <w:sz w:val="20"/>
        <w:szCs w:val="20"/>
        <w:lang w:val="it-IT"/>
      </w:rPr>
      <w:t xml:space="preserve"> </w:t>
    </w:r>
    <w:r w:rsidRPr="000E4527">
      <w:rPr>
        <w:sz w:val="20"/>
        <w:szCs w:val="20"/>
        <w:lang w:val="it-IT"/>
      </w:rPr>
      <w:tab/>
    </w:r>
    <w:r w:rsidRPr="000E4527">
      <w:rPr>
        <w:sz w:val="20"/>
        <w:szCs w:val="20"/>
        <w:lang w:val="it-IT"/>
      </w:rPr>
      <w:tab/>
    </w:r>
    <w:r w:rsidRPr="00396567">
      <w:rPr>
        <w:sz w:val="20"/>
        <w:szCs w:val="20"/>
      </w:rPr>
      <w:t>MESO-02 Protocol v</w:t>
    </w:r>
    <w:r>
      <w:rPr>
        <w:sz w:val="20"/>
        <w:szCs w:val="20"/>
        <w:lang w:val="it-IT"/>
      </w:rPr>
      <w:t>7</w:t>
    </w:r>
    <w:r w:rsidRPr="000E4527">
      <w:rPr>
        <w:sz w:val="20"/>
        <w:szCs w:val="20"/>
        <w:lang w:val="it-IT"/>
      </w:rPr>
      <w:t>.0</w:t>
    </w:r>
    <w:r w:rsidRPr="00396567">
      <w:rPr>
        <w:sz w:val="20"/>
        <w:szCs w:val="20"/>
      </w:rPr>
      <w:t xml:space="preserve">, </w:t>
    </w:r>
    <w:r>
      <w:rPr>
        <w:sz w:val="20"/>
        <w:szCs w:val="20"/>
        <w:lang w:val="en-GB"/>
      </w:rPr>
      <w:t>26Oct2018</w:t>
    </w:r>
  </w:p>
  <w:p w14:paraId="71EA9E30" w14:textId="77777777" w:rsidR="00764FAA" w:rsidRPr="00854D53" w:rsidRDefault="00764FAA" w:rsidP="007D084A">
    <w:pPr>
      <w:pStyle w:val="Footer"/>
      <w:tabs>
        <w:tab w:val="clear" w:pos="8306"/>
        <w:tab w:val="right" w:pos="8931"/>
      </w:tabs>
      <w:rPr>
        <w:sz w:val="20"/>
        <w:szCs w:val="20"/>
      </w:rPr>
    </w:pPr>
  </w:p>
  <w:p w14:paraId="50C39B63" w14:textId="77777777" w:rsidR="00764FAA" w:rsidRPr="00396567" w:rsidRDefault="00764FAA" w:rsidP="00854D53">
    <w:pPr>
      <w:pStyle w:val="Footer"/>
      <w:tabs>
        <w:tab w:val="clear" w:pos="8306"/>
        <w:tab w:val="right" w:pos="8931"/>
      </w:tabs>
      <w:ind w:left="-567"/>
      <w:rPr>
        <w:sz w:val="14"/>
        <w:szCs w:val="16"/>
      </w:rPr>
    </w:pPr>
    <w:r w:rsidRPr="000E4527">
      <w:rPr>
        <w:sz w:val="14"/>
        <w:szCs w:val="16"/>
        <w:lang w:val="it-IT"/>
      </w:rPr>
      <w:tab/>
    </w:r>
    <w:r w:rsidRPr="000E4527">
      <w:rPr>
        <w:sz w:val="14"/>
        <w:szCs w:val="16"/>
        <w:lang w:val="it-IT"/>
      </w:rPr>
      <w:tab/>
    </w:r>
    <w:r w:rsidRPr="00396567">
      <w:rPr>
        <w:sz w:val="14"/>
        <w:szCs w:val="16"/>
      </w:rPr>
      <w:t xml:space="preserve">Protocol Template version </w:t>
    </w:r>
    <w:r w:rsidRPr="000E4527">
      <w:rPr>
        <w:sz w:val="14"/>
        <w:szCs w:val="16"/>
        <w:lang w:val="it-IT"/>
      </w:rPr>
      <w:t>4.1</w:t>
    </w:r>
    <w:r w:rsidRPr="00396567">
      <w:rPr>
        <w:sz w:val="14"/>
        <w:szCs w:val="16"/>
      </w:rPr>
      <w:t xml:space="preserve">, </w:t>
    </w:r>
    <w:r w:rsidRPr="000E4527">
      <w:rPr>
        <w:sz w:val="14"/>
        <w:szCs w:val="16"/>
        <w:lang w:val="it-IT"/>
      </w:rPr>
      <w:t>23Apr13</w:t>
    </w:r>
    <w:r w:rsidRPr="00396567">
      <w:rPr>
        <w:sz w:val="14"/>
        <w:szCs w:val="16"/>
      </w:rPr>
      <w:t xml:space="preserve"> </w:t>
    </w:r>
  </w:p>
  <w:p w14:paraId="7B2CF9DB" w14:textId="77777777" w:rsidR="00764FAA" w:rsidRPr="000E4527" w:rsidRDefault="00764FAA" w:rsidP="00854D53">
    <w:pPr>
      <w:pStyle w:val="Footer"/>
      <w:rPr>
        <w:lang w:val="it-IT"/>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165D4" w14:textId="08A8F3AD" w:rsidR="00764FAA" w:rsidRPr="00854D53" w:rsidRDefault="00764FAA" w:rsidP="005A7C04">
    <w:pPr>
      <w:pStyle w:val="Footer"/>
      <w:tabs>
        <w:tab w:val="clear" w:pos="8306"/>
        <w:tab w:val="right" w:pos="8931"/>
      </w:tabs>
      <w:rPr>
        <w:sz w:val="20"/>
        <w:szCs w:val="20"/>
      </w:rPr>
    </w:pPr>
    <w:r w:rsidRPr="00B774F5">
      <w:rPr>
        <w:sz w:val="20"/>
        <w:szCs w:val="20"/>
        <w:lang w:val="it-IT"/>
      </w:rPr>
      <w:t xml:space="preserve">Page </w:t>
    </w:r>
    <w:r w:rsidRPr="003D1FE5">
      <w:rPr>
        <w:sz w:val="20"/>
        <w:szCs w:val="20"/>
      </w:rPr>
      <w:fldChar w:fldCharType="begin"/>
    </w:r>
    <w:r w:rsidRPr="003D1FE5">
      <w:rPr>
        <w:sz w:val="20"/>
        <w:szCs w:val="20"/>
      </w:rPr>
      <w:instrText xml:space="preserve"> PAGE   \* MERGEFORMAT </w:instrText>
    </w:r>
    <w:r w:rsidRPr="003D1FE5">
      <w:rPr>
        <w:sz w:val="20"/>
        <w:szCs w:val="20"/>
      </w:rPr>
      <w:fldChar w:fldCharType="separate"/>
    </w:r>
    <w:r w:rsidR="005646DE">
      <w:rPr>
        <w:noProof/>
        <w:sz w:val="20"/>
        <w:szCs w:val="20"/>
      </w:rPr>
      <w:t>81</w:t>
    </w:r>
    <w:r w:rsidRPr="003D1FE5">
      <w:rPr>
        <w:sz w:val="20"/>
        <w:szCs w:val="20"/>
      </w:rPr>
      <w:fldChar w:fldCharType="end"/>
    </w:r>
    <w:r w:rsidRPr="00B774F5">
      <w:rPr>
        <w:sz w:val="20"/>
        <w:szCs w:val="20"/>
        <w:lang w:val="it-IT"/>
      </w:rPr>
      <w:t xml:space="preserve"> </w:t>
    </w:r>
    <w:r w:rsidRPr="00B774F5">
      <w:rPr>
        <w:sz w:val="20"/>
        <w:szCs w:val="20"/>
        <w:lang w:val="it-IT"/>
      </w:rPr>
      <w:tab/>
    </w:r>
    <w:r w:rsidRPr="00B774F5">
      <w:rPr>
        <w:sz w:val="20"/>
        <w:szCs w:val="20"/>
        <w:lang w:val="it-IT"/>
      </w:rPr>
      <w:tab/>
    </w:r>
    <w:r w:rsidRPr="00396567">
      <w:rPr>
        <w:sz w:val="20"/>
        <w:szCs w:val="20"/>
      </w:rPr>
      <w:t>MESO-02 Protocol v</w:t>
    </w:r>
    <w:r>
      <w:rPr>
        <w:sz w:val="20"/>
        <w:szCs w:val="20"/>
        <w:lang w:val="it-IT"/>
      </w:rPr>
      <w:t>7</w:t>
    </w:r>
    <w:r w:rsidRPr="00B774F5">
      <w:rPr>
        <w:sz w:val="20"/>
        <w:szCs w:val="20"/>
        <w:lang w:val="it-IT"/>
      </w:rPr>
      <w:t>.0</w:t>
    </w:r>
    <w:r w:rsidRPr="00396567">
      <w:rPr>
        <w:sz w:val="20"/>
        <w:szCs w:val="20"/>
      </w:rPr>
      <w:t xml:space="preserve">, </w:t>
    </w:r>
    <w:r>
      <w:rPr>
        <w:sz w:val="20"/>
        <w:szCs w:val="20"/>
        <w:lang w:val="it-IT"/>
      </w:rPr>
      <w:t>26Oct2018</w:t>
    </w:r>
  </w:p>
  <w:p w14:paraId="373C783E" w14:textId="77777777" w:rsidR="00764FAA" w:rsidRPr="00854D53" w:rsidRDefault="00764FAA" w:rsidP="007D084A">
    <w:pPr>
      <w:pStyle w:val="Footer"/>
      <w:tabs>
        <w:tab w:val="clear" w:pos="8306"/>
        <w:tab w:val="right" w:pos="8931"/>
      </w:tabs>
      <w:rPr>
        <w:sz w:val="20"/>
        <w:szCs w:val="20"/>
      </w:rPr>
    </w:pPr>
  </w:p>
  <w:p w14:paraId="25DDB0AD" w14:textId="77777777" w:rsidR="00764FAA" w:rsidRPr="00396567" w:rsidRDefault="00764FAA" w:rsidP="007D084A">
    <w:pPr>
      <w:pStyle w:val="Footer"/>
      <w:tabs>
        <w:tab w:val="clear" w:pos="8306"/>
        <w:tab w:val="right" w:pos="8931"/>
        <w:tab w:val="left" w:pos="9561"/>
      </w:tabs>
      <w:ind w:left="-567"/>
      <w:rPr>
        <w:sz w:val="14"/>
        <w:szCs w:val="16"/>
      </w:rPr>
    </w:pPr>
    <w:r w:rsidRPr="00B774F5">
      <w:rPr>
        <w:sz w:val="14"/>
        <w:szCs w:val="16"/>
        <w:lang w:val="it-IT"/>
      </w:rPr>
      <w:tab/>
    </w:r>
    <w:r w:rsidRPr="00B774F5">
      <w:rPr>
        <w:sz w:val="14"/>
        <w:szCs w:val="16"/>
        <w:lang w:val="it-IT"/>
      </w:rPr>
      <w:tab/>
    </w:r>
    <w:r w:rsidRPr="00396567">
      <w:rPr>
        <w:sz w:val="14"/>
        <w:szCs w:val="16"/>
      </w:rPr>
      <w:t xml:space="preserve">Protocol Template version </w:t>
    </w:r>
    <w:r w:rsidRPr="00B774F5">
      <w:rPr>
        <w:sz w:val="14"/>
        <w:szCs w:val="16"/>
        <w:lang w:val="it-IT"/>
      </w:rPr>
      <w:t>4.1</w:t>
    </w:r>
    <w:r w:rsidRPr="00396567">
      <w:rPr>
        <w:sz w:val="14"/>
        <w:szCs w:val="16"/>
      </w:rPr>
      <w:t xml:space="preserve">, </w:t>
    </w:r>
    <w:r w:rsidRPr="00B774F5">
      <w:rPr>
        <w:sz w:val="14"/>
        <w:szCs w:val="16"/>
        <w:lang w:val="it-IT"/>
      </w:rPr>
      <w:t>23Apr13</w:t>
    </w:r>
    <w:r w:rsidRPr="00396567">
      <w:rPr>
        <w:sz w:val="14"/>
        <w:szCs w:val="16"/>
      </w:rPr>
      <w:t xml:space="preserve"> </w:t>
    </w:r>
  </w:p>
  <w:p w14:paraId="44CFA1A2" w14:textId="77777777" w:rsidR="00764FAA" w:rsidRPr="00396567" w:rsidRDefault="00764FAA" w:rsidP="00854D53">
    <w:pPr>
      <w:pStyle w:val="Footer"/>
      <w:tabs>
        <w:tab w:val="clear" w:pos="8306"/>
        <w:tab w:val="right" w:pos="8931"/>
      </w:tabs>
      <w:ind w:left="-567"/>
      <w:rPr>
        <w:sz w:val="14"/>
        <w:szCs w:val="16"/>
      </w:rPr>
    </w:pPr>
    <w:r w:rsidRPr="00396567">
      <w:rPr>
        <w:sz w:val="14"/>
        <w:szCs w:val="16"/>
      </w:rPr>
      <w:t xml:space="preserve"> </w:t>
    </w:r>
  </w:p>
  <w:p w14:paraId="6C7893F3" w14:textId="77777777" w:rsidR="00764FAA" w:rsidRDefault="00764FAA" w:rsidP="001231A5">
    <w:pPr>
      <w:pStyle w:val="Footer"/>
    </w:pPr>
  </w:p>
  <w:p w14:paraId="68D0B1C8" w14:textId="77777777" w:rsidR="00764FAA" w:rsidRPr="00B774F5" w:rsidRDefault="00764FAA">
    <w:pP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919A5" w14:textId="77777777" w:rsidR="00764FAA" w:rsidRDefault="00764FAA">
      <w:r>
        <w:separator/>
      </w:r>
    </w:p>
  </w:footnote>
  <w:footnote w:type="continuationSeparator" w:id="0">
    <w:p w14:paraId="3CF74440" w14:textId="77777777" w:rsidR="00764FAA" w:rsidRDefault="00764FAA">
      <w:r>
        <w:continuationSeparator/>
      </w:r>
    </w:p>
  </w:footnote>
  <w:footnote w:type="continuationNotice" w:id="1">
    <w:p w14:paraId="6B30D93C" w14:textId="77777777" w:rsidR="00764FAA" w:rsidRDefault="00764F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D4B20" w14:textId="77777777" w:rsidR="00764FAA" w:rsidRPr="009B40CD" w:rsidRDefault="00764FAA" w:rsidP="00A63B17">
    <w:pPr>
      <w:pStyle w:val="Header"/>
      <w:pBdr>
        <w:bottom w:val="single" w:sz="4" w:space="1" w:color="auto"/>
      </w:pBdr>
      <w:tabs>
        <w:tab w:val="clear" w:pos="4153"/>
        <w:tab w:val="clear" w:pos="8306"/>
      </w:tabs>
      <w:ind w:right="-58"/>
    </w:pPr>
    <w:r>
      <w:t>MESO-02</w:t>
    </w:r>
  </w:p>
  <w:p w14:paraId="0C980BBB" w14:textId="77777777" w:rsidR="00764FAA" w:rsidRDefault="00764FAA" w:rsidP="009B40CD">
    <w:pPr>
      <w:pStyle w:val="Header"/>
      <w:ind w:right="-4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C8803" w14:textId="77777777" w:rsidR="00764FAA" w:rsidRPr="009B40CD" w:rsidRDefault="00764FAA" w:rsidP="00A63B17">
    <w:pPr>
      <w:pStyle w:val="Header"/>
      <w:pBdr>
        <w:bottom w:val="single" w:sz="4" w:space="1" w:color="auto"/>
      </w:pBdr>
      <w:tabs>
        <w:tab w:val="clear" w:pos="4153"/>
        <w:tab w:val="clear" w:pos="8306"/>
      </w:tabs>
      <w:jc w:val="right"/>
    </w:pPr>
    <w:r>
      <w:t>MESO-02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62408" w14:textId="77777777" w:rsidR="00764FAA" w:rsidRPr="00A63B17" w:rsidRDefault="00764FAA" w:rsidP="00A63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18B"/>
    <w:multiLevelType w:val="hybridMultilevel"/>
    <w:tmpl w:val="1F02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A6E0D"/>
    <w:multiLevelType w:val="hybridMultilevel"/>
    <w:tmpl w:val="6C0A390A"/>
    <w:lvl w:ilvl="0" w:tplc="2D5A5952">
      <w:start w:val="1"/>
      <w:numFmt w:val="decimal"/>
      <w:lvlText w:val="%1."/>
      <w:lvlJc w:val="left"/>
      <w:pPr>
        <w:ind w:left="360" w:hanging="360"/>
      </w:pPr>
      <w:rPr>
        <w:rFonts w:cs="Times New Roman"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402D5"/>
    <w:multiLevelType w:val="hybridMultilevel"/>
    <w:tmpl w:val="2652708C"/>
    <w:lvl w:ilvl="0" w:tplc="B0788EA2">
      <w:start w:val="1"/>
      <w:numFmt w:val="bullet"/>
      <w:lvlText w:val=""/>
      <w:lvlJc w:val="left"/>
      <w:pPr>
        <w:tabs>
          <w:tab w:val="num" w:pos="720"/>
        </w:tabs>
        <w:ind w:left="720" w:hanging="360"/>
      </w:pPr>
      <w:rPr>
        <w:rFonts w:ascii="Symbol" w:hAnsi="Symbol" w:hint="default"/>
        <w:sz w:val="24"/>
      </w:rPr>
    </w:lvl>
    <w:lvl w:ilvl="1" w:tplc="0AF84A4C">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F76B1B"/>
    <w:multiLevelType w:val="multilevel"/>
    <w:tmpl w:val="82881BF2"/>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505A19"/>
    <w:multiLevelType w:val="hybridMultilevel"/>
    <w:tmpl w:val="9032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F1C09"/>
    <w:multiLevelType w:val="hybridMultilevel"/>
    <w:tmpl w:val="8304A7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6E555A"/>
    <w:multiLevelType w:val="hybridMultilevel"/>
    <w:tmpl w:val="0F92D8E8"/>
    <w:lvl w:ilvl="0" w:tplc="2D5A5952">
      <w:start w:val="1"/>
      <w:numFmt w:val="decimal"/>
      <w:lvlText w:val="%1."/>
      <w:lvlJc w:val="left"/>
      <w:pPr>
        <w:ind w:left="360" w:hanging="360"/>
      </w:pPr>
      <w:rPr>
        <w:rFonts w:cs="Times New Roman" w:hint="default"/>
        <w:b w:val="0"/>
      </w:rPr>
    </w:lvl>
    <w:lvl w:ilvl="1" w:tplc="08090001">
      <w:start w:val="1"/>
      <w:numFmt w:val="bullet"/>
      <w:lvlText w:val=""/>
      <w:lvlJc w:val="left"/>
      <w:pPr>
        <w:ind w:left="1440" w:hanging="360"/>
      </w:pPr>
      <w:rPr>
        <w:rFonts w:ascii="Symbol" w:hAnsi="Symbol" w:hint="default"/>
      </w:rPr>
    </w:lvl>
    <w:lvl w:ilvl="2" w:tplc="F1304CCC">
      <w:start w:val="7"/>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DE5AB0"/>
    <w:multiLevelType w:val="hybridMultilevel"/>
    <w:tmpl w:val="D874538E"/>
    <w:lvl w:ilvl="0" w:tplc="AE8263EC">
      <w:start w:val="1"/>
      <w:numFmt w:val="decimal"/>
      <w:pStyle w:val="ORCAHead1"/>
      <w:lvlText w:val="1%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C23161B"/>
    <w:multiLevelType w:val="multilevel"/>
    <w:tmpl w:val="74463C92"/>
    <w:lvl w:ilvl="0">
      <w:start w:val="1"/>
      <w:numFmt w:val="decimal"/>
      <w:lvlText w:val="%1"/>
      <w:lvlJc w:val="left"/>
      <w:pPr>
        <w:ind w:left="405" w:hanging="405"/>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9" w15:restartNumberingAfterBreak="0">
    <w:nsid w:val="220D73CF"/>
    <w:multiLevelType w:val="hybridMultilevel"/>
    <w:tmpl w:val="57640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A96453"/>
    <w:multiLevelType w:val="hybridMultilevel"/>
    <w:tmpl w:val="39C803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467F5B"/>
    <w:multiLevelType w:val="hybridMultilevel"/>
    <w:tmpl w:val="BE4E51F0"/>
    <w:lvl w:ilvl="0" w:tplc="E35AB830">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7A76F24"/>
    <w:multiLevelType w:val="hybridMultilevel"/>
    <w:tmpl w:val="2F289924"/>
    <w:lvl w:ilvl="0" w:tplc="08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284B0AC8"/>
    <w:multiLevelType w:val="hybridMultilevel"/>
    <w:tmpl w:val="B0DA0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A0991"/>
    <w:multiLevelType w:val="hybridMultilevel"/>
    <w:tmpl w:val="2C5A0832"/>
    <w:lvl w:ilvl="0" w:tplc="DEA8806A">
      <w:start w:val="1"/>
      <w:numFmt w:val="bullet"/>
      <w:pStyle w:val="Protocolbulletlist12ptsp3ind63"/>
      <w:lvlText w:val="•"/>
      <w:lvlJc w:val="left"/>
      <w:pPr>
        <w:ind w:left="720" w:hanging="360"/>
      </w:pPr>
      <w:rPr>
        <w:rFonts w:hAnsi="Tahoma" w:hint="default"/>
        <w:sz w:val="24"/>
      </w:rPr>
    </w:lvl>
    <w:lvl w:ilvl="1" w:tplc="AB06B5BC">
      <w:start w:val="1"/>
      <w:numFmt w:val="bullet"/>
      <w:pStyle w:val="Protocolbulletlist12ptsp3ind126"/>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0CC"/>
    <w:multiLevelType w:val="hybridMultilevel"/>
    <w:tmpl w:val="47AA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6338A2"/>
    <w:multiLevelType w:val="hybridMultilevel"/>
    <w:tmpl w:val="6116F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D7709"/>
    <w:multiLevelType w:val="multilevel"/>
    <w:tmpl w:val="0D84E28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839" w:hanging="72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2004"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8" w15:restartNumberingAfterBreak="0">
    <w:nsid w:val="30C6537C"/>
    <w:multiLevelType w:val="hybridMultilevel"/>
    <w:tmpl w:val="18EEABA8"/>
    <w:lvl w:ilvl="0" w:tplc="5E72C578">
      <w:start w:val="1"/>
      <w:numFmt w:val="bullet"/>
      <w:lvlText w:val=""/>
      <w:lvlJc w:val="left"/>
      <w:pPr>
        <w:ind w:left="720" w:hanging="360"/>
      </w:pPr>
      <w:rPr>
        <w:rFonts w:ascii="Symbol" w:hAnsi="Symbol" w:hint="default"/>
      </w:rPr>
    </w:lvl>
    <w:lvl w:ilvl="1" w:tplc="1C148276" w:tentative="1">
      <w:start w:val="1"/>
      <w:numFmt w:val="bullet"/>
      <w:lvlText w:val="o"/>
      <w:lvlJc w:val="left"/>
      <w:pPr>
        <w:ind w:left="1440" w:hanging="360"/>
      </w:pPr>
      <w:rPr>
        <w:rFonts w:ascii="Courier New" w:hAnsi="Courier New" w:hint="default"/>
      </w:rPr>
    </w:lvl>
    <w:lvl w:ilvl="2" w:tplc="7F50B664" w:tentative="1">
      <w:start w:val="1"/>
      <w:numFmt w:val="bullet"/>
      <w:lvlText w:val=""/>
      <w:lvlJc w:val="left"/>
      <w:pPr>
        <w:ind w:left="2160" w:hanging="360"/>
      </w:pPr>
      <w:rPr>
        <w:rFonts w:ascii="Wingdings" w:hAnsi="Wingdings" w:hint="default"/>
      </w:rPr>
    </w:lvl>
    <w:lvl w:ilvl="3" w:tplc="87F67704" w:tentative="1">
      <w:start w:val="1"/>
      <w:numFmt w:val="bullet"/>
      <w:lvlText w:val=""/>
      <w:lvlJc w:val="left"/>
      <w:pPr>
        <w:ind w:left="2880" w:hanging="360"/>
      </w:pPr>
      <w:rPr>
        <w:rFonts w:ascii="Symbol" w:hAnsi="Symbol" w:hint="default"/>
      </w:rPr>
    </w:lvl>
    <w:lvl w:ilvl="4" w:tplc="6A28E8FA" w:tentative="1">
      <w:start w:val="1"/>
      <w:numFmt w:val="bullet"/>
      <w:lvlText w:val="o"/>
      <w:lvlJc w:val="left"/>
      <w:pPr>
        <w:ind w:left="3600" w:hanging="360"/>
      </w:pPr>
      <w:rPr>
        <w:rFonts w:ascii="Courier New" w:hAnsi="Courier New" w:hint="default"/>
      </w:rPr>
    </w:lvl>
    <w:lvl w:ilvl="5" w:tplc="52F26EE4" w:tentative="1">
      <w:start w:val="1"/>
      <w:numFmt w:val="bullet"/>
      <w:lvlText w:val=""/>
      <w:lvlJc w:val="left"/>
      <w:pPr>
        <w:ind w:left="4320" w:hanging="360"/>
      </w:pPr>
      <w:rPr>
        <w:rFonts w:ascii="Wingdings" w:hAnsi="Wingdings" w:hint="default"/>
      </w:rPr>
    </w:lvl>
    <w:lvl w:ilvl="6" w:tplc="93EAF92E" w:tentative="1">
      <w:start w:val="1"/>
      <w:numFmt w:val="bullet"/>
      <w:lvlText w:val=""/>
      <w:lvlJc w:val="left"/>
      <w:pPr>
        <w:ind w:left="5040" w:hanging="360"/>
      </w:pPr>
      <w:rPr>
        <w:rFonts w:ascii="Symbol" w:hAnsi="Symbol" w:hint="default"/>
      </w:rPr>
    </w:lvl>
    <w:lvl w:ilvl="7" w:tplc="FD7AF208" w:tentative="1">
      <w:start w:val="1"/>
      <w:numFmt w:val="bullet"/>
      <w:lvlText w:val="o"/>
      <w:lvlJc w:val="left"/>
      <w:pPr>
        <w:ind w:left="5760" w:hanging="360"/>
      </w:pPr>
      <w:rPr>
        <w:rFonts w:ascii="Courier New" w:hAnsi="Courier New" w:hint="default"/>
      </w:rPr>
    </w:lvl>
    <w:lvl w:ilvl="8" w:tplc="A55C2284" w:tentative="1">
      <w:start w:val="1"/>
      <w:numFmt w:val="bullet"/>
      <w:lvlText w:val=""/>
      <w:lvlJc w:val="left"/>
      <w:pPr>
        <w:ind w:left="6480" w:hanging="360"/>
      </w:pPr>
      <w:rPr>
        <w:rFonts w:ascii="Wingdings" w:hAnsi="Wingdings" w:hint="default"/>
      </w:rPr>
    </w:lvl>
  </w:abstractNum>
  <w:abstractNum w:abstractNumId="19" w15:restartNumberingAfterBreak="0">
    <w:nsid w:val="346A05D3"/>
    <w:multiLevelType w:val="hybridMultilevel"/>
    <w:tmpl w:val="1F38F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4E4D5E"/>
    <w:multiLevelType w:val="hybridMultilevel"/>
    <w:tmpl w:val="B030A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64284"/>
    <w:multiLevelType w:val="hybridMultilevel"/>
    <w:tmpl w:val="1AA813CC"/>
    <w:lvl w:ilvl="0" w:tplc="E35AB830">
      <w:start w:val="1"/>
      <w:numFmt w:val="decimal"/>
      <w:lvlText w:val="%1."/>
      <w:lvlJc w:val="left"/>
      <w:pPr>
        <w:ind w:left="720" w:hanging="360"/>
      </w:pPr>
      <w:rPr>
        <w:rFonts w:cs="Times New Roman"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77193E"/>
    <w:multiLevelType w:val="hybridMultilevel"/>
    <w:tmpl w:val="3E1C401E"/>
    <w:lvl w:ilvl="0" w:tplc="F000C0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7641A9"/>
    <w:multiLevelType w:val="multilevel"/>
    <w:tmpl w:val="571A0EDE"/>
    <w:lvl w:ilvl="0">
      <w:start w:val="1"/>
      <w:numFmt w:val="decimal"/>
      <w:pStyle w:val="C-Heading1"/>
      <w:lvlText w:val="%1"/>
      <w:lvlJc w:val="left"/>
      <w:pPr>
        <w:tabs>
          <w:tab w:val="num" w:pos="1080"/>
        </w:tabs>
        <w:ind w:left="1080" w:hanging="1080"/>
      </w:pPr>
      <w:rPr>
        <w:rFonts w:cs="Times New Roman" w:hint="default"/>
      </w:rPr>
    </w:lvl>
    <w:lvl w:ilvl="1">
      <w:start w:val="1"/>
      <w:numFmt w:val="decimal"/>
      <w:pStyle w:val="C-Heading2"/>
      <w:lvlText w:val="%1.%2"/>
      <w:lvlJc w:val="left"/>
      <w:pPr>
        <w:tabs>
          <w:tab w:val="num" w:pos="1080"/>
        </w:tabs>
        <w:ind w:left="1080" w:hanging="1080"/>
      </w:pPr>
      <w:rPr>
        <w:rFonts w:cs="Times New Roman" w:hint="default"/>
      </w:rPr>
    </w:lvl>
    <w:lvl w:ilvl="2">
      <w:start w:val="1"/>
      <w:numFmt w:val="decimal"/>
      <w:pStyle w:val="C-Heading3"/>
      <w:lvlText w:val="%1.%2.%3"/>
      <w:lvlJc w:val="left"/>
      <w:pPr>
        <w:tabs>
          <w:tab w:val="num" w:pos="1080"/>
        </w:tabs>
        <w:ind w:left="1080" w:hanging="1080"/>
      </w:pPr>
      <w:rPr>
        <w:rFonts w:cs="Times New Roman" w:hint="default"/>
      </w:rPr>
    </w:lvl>
    <w:lvl w:ilvl="3">
      <w:start w:val="1"/>
      <w:numFmt w:val="decimal"/>
      <w:pStyle w:val="C-Heading4"/>
      <w:lvlText w:val="%1.%2.%3.%4"/>
      <w:lvlJc w:val="left"/>
      <w:pPr>
        <w:tabs>
          <w:tab w:val="num" w:pos="1080"/>
        </w:tabs>
        <w:ind w:left="1080" w:hanging="1080"/>
      </w:pPr>
      <w:rPr>
        <w:rFonts w:cs="Times New Roman" w:hint="default"/>
      </w:rPr>
    </w:lvl>
    <w:lvl w:ilvl="4">
      <w:start w:val="1"/>
      <w:numFmt w:val="decimal"/>
      <w:pStyle w:val="C-Heading5"/>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24" w15:restartNumberingAfterBreak="0">
    <w:nsid w:val="40942525"/>
    <w:multiLevelType w:val="hybridMultilevel"/>
    <w:tmpl w:val="797E4084"/>
    <w:lvl w:ilvl="0" w:tplc="08090001">
      <w:start w:val="1"/>
      <w:numFmt w:val="bullet"/>
      <w:lvlText w:val=""/>
      <w:lvlJc w:val="left"/>
      <w:pPr>
        <w:ind w:left="720" w:hanging="360"/>
      </w:pPr>
      <w:rPr>
        <w:rFonts w:ascii="Symbol" w:hAnsi="Symbol" w:hint="default"/>
      </w:rPr>
    </w:lvl>
    <w:lvl w:ilvl="1" w:tplc="0AF84A4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356F68"/>
    <w:multiLevelType w:val="hybridMultilevel"/>
    <w:tmpl w:val="9280C0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773414"/>
    <w:multiLevelType w:val="hybridMultilevel"/>
    <w:tmpl w:val="38F0D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0D4EB8"/>
    <w:multiLevelType w:val="hybridMultilevel"/>
    <w:tmpl w:val="75862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693594"/>
    <w:multiLevelType w:val="hybridMultilevel"/>
    <w:tmpl w:val="47A04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F46B16"/>
    <w:multiLevelType w:val="multilevel"/>
    <w:tmpl w:val="4790C754"/>
    <w:lvl w:ilvl="0">
      <w:start w:val="7"/>
      <w:numFmt w:val="decimal"/>
      <w:lvlText w:val="%1"/>
      <w:lvlJc w:val="left"/>
      <w:pPr>
        <w:ind w:left="525" w:hanging="525"/>
      </w:pPr>
      <w:rPr>
        <w:rFonts w:hint="default"/>
      </w:rPr>
    </w:lvl>
    <w:lvl w:ilvl="1">
      <w:start w:val="13"/>
      <w:numFmt w:val="decimal"/>
      <w:lvlText w:val="%1.%2"/>
      <w:lvlJc w:val="left"/>
      <w:pPr>
        <w:ind w:left="525" w:hanging="525"/>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55005F"/>
    <w:multiLevelType w:val="hybridMultilevel"/>
    <w:tmpl w:val="B30A01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2247FB9"/>
    <w:multiLevelType w:val="hybridMultilevel"/>
    <w:tmpl w:val="4964F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9045CF"/>
    <w:multiLevelType w:val="hybridMultilevel"/>
    <w:tmpl w:val="43825FC2"/>
    <w:lvl w:ilvl="0" w:tplc="FFFFFFFF">
      <w:numFmt w:val="bullet"/>
      <w:lvlText w:val="-"/>
      <w:lvlJc w:val="left"/>
      <w:pPr>
        <w:tabs>
          <w:tab w:val="num" w:pos="360"/>
        </w:tabs>
        <w:ind w:left="360" w:hanging="360"/>
      </w:pPr>
      <w:rPr>
        <w:rFonts w:ascii="Times New Roman" w:eastAsia="Times New Roman" w:hAnsi="Times New Roman" w:hint="default"/>
      </w:rPr>
    </w:lvl>
    <w:lvl w:ilvl="1" w:tplc="6DC22D0A">
      <w:start w:val="1"/>
      <w:numFmt w:val="bullet"/>
      <w:pStyle w:val="C-Bullet"/>
      <w:lvlText w:val="·"/>
      <w:lvlJc w:val="left"/>
      <w:pPr>
        <w:tabs>
          <w:tab w:val="num" w:pos="1080"/>
        </w:tabs>
        <w:ind w:left="1080" w:hanging="360"/>
      </w:pPr>
      <w:rPr>
        <w:rFonts w:ascii="Symbol" w:hAnsi="Symbol" w:hint="default"/>
        <w:b w:val="0"/>
        <w:i w:val="0"/>
        <w:caps w:val="0"/>
        <w:strike w:val="0"/>
        <w:dstrike w:val="0"/>
        <w:vanish w:val="0"/>
        <w:sz w:val="24"/>
        <w:u w:val="none"/>
        <w:vertAlign w:val="baseline"/>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61B16D5"/>
    <w:multiLevelType w:val="hybridMultilevel"/>
    <w:tmpl w:val="5024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BA592E"/>
    <w:multiLevelType w:val="hybridMultilevel"/>
    <w:tmpl w:val="ECE6E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A639B2"/>
    <w:multiLevelType w:val="hybridMultilevel"/>
    <w:tmpl w:val="24D2E388"/>
    <w:lvl w:ilvl="0" w:tplc="333AA65E">
      <w:start w:val="1"/>
      <w:numFmt w:val="bullet"/>
      <w:lvlText w:val=""/>
      <w:lvlJc w:val="left"/>
      <w:pPr>
        <w:ind w:left="720" w:hanging="360"/>
      </w:pPr>
      <w:rPr>
        <w:rFonts w:ascii="Symbol" w:hAnsi="Symbol" w:hint="default"/>
      </w:rPr>
    </w:lvl>
    <w:lvl w:ilvl="1" w:tplc="E58CBEC2" w:tentative="1">
      <w:start w:val="1"/>
      <w:numFmt w:val="bullet"/>
      <w:lvlText w:val="o"/>
      <w:lvlJc w:val="left"/>
      <w:pPr>
        <w:ind w:left="1440" w:hanging="360"/>
      </w:pPr>
      <w:rPr>
        <w:rFonts w:ascii="Courier New" w:hAnsi="Courier New" w:hint="default"/>
      </w:rPr>
    </w:lvl>
    <w:lvl w:ilvl="2" w:tplc="9246FE36" w:tentative="1">
      <w:start w:val="1"/>
      <w:numFmt w:val="bullet"/>
      <w:lvlText w:val=""/>
      <w:lvlJc w:val="left"/>
      <w:pPr>
        <w:ind w:left="2160" w:hanging="360"/>
      </w:pPr>
      <w:rPr>
        <w:rFonts w:ascii="Wingdings" w:hAnsi="Wingdings" w:hint="default"/>
      </w:rPr>
    </w:lvl>
    <w:lvl w:ilvl="3" w:tplc="FFC24EB6" w:tentative="1">
      <w:start w:val="1"/>
      <w:numFmt w:val="bullet"/>
      <w:lvlText w:val=""/>
      <w:lvlJc w:val="left"/>
      <w:pPr>
        <w:ind w:left="2880" w:hanging="360"/>
      </w:pPr>
      <w:rPr>
        <w:rFonts w:ascii="Symbol" w:hAnsi="Symbol" w:hint="default"/>
      </w:rPr>
    </w:lvl>
    <w:lvl w:ilvl="4" w:tplc="EC980EE0" w:tentative="1">
      <w:start w:val="1"/>
      <w:numFmt w:val="bullet"/>
      <w:lvlText w:val="o"/>
      <w:lvlJc w:val="left"/>
      <w:pPr>
        <w:ind w:left="3600" w:hanging="360"/>
      </w:pPr>
      <w:rPr>
        <w:rFonts w:ascii="Courier New" w:hAnsi="Courier New" w:hint="default"/>
      </w:rPr>
    </w:lvl>
    <w:lvl w:ilvl="5" w:tplc="0226DE5E" w:tentative="1">
      <w:start w:val="1"/>
      <w:numFmt w:val="bullet"/>
      <w:lvlText w:val=""/>
      <w:lvlJc w:val="left"/>
      <w:pPr>
        <w:ind w:left="4320" w:hanging="360"/>
      </w:pPr>
      <w:rPr>
        <w:rFonts w:ascii="Wingdings" w:hAnsi="Wingdings" w:hint="default"/>
      </w:rPr>
    </w:lvl>
    <w:lvl w:ilvl="6" w:tplc="39A6FD90" w:tentative="1">
      <w:start w:val="1"/>
      <w:numFmt w:val="bullet"/>
      <w:lvlText w:val=""/>
      <w:lvlJc w:val="left"/>
      <w:pPr>
        <w:ind w:left="5040" w:hanging="360"/>
      </w:pPr>
      <w:rPr>
        <w:rFonts w:ascii="Symbol" w:hAnsi="Symbol" w:hint="default"/>
      </w:rPr>
    </w:lvl>
    <w:lvl w:ilvl="7" w:tplc="45D6A01C" w:tentative="1">
      <w:start w:val="1"/>
      <w:numFmt w:val="bullet"/>
      <w:lvlText w:val="o"/>
      <w:lvlJc w:val="left"/>
      <w:pPr>
        <w:ind w:left="5760" w:hanging="360"/>
      </w:pPr>
      <w:rPr>
        <w:rFonts w:ascii="Courier New" w:hAnsi="Courier New" w:hint="default"/>
      </w:rPr>
    </w:lvl>
    <w:lvl w:ilvl="8" w:tplc="FDB82088" w:tentative="1">
      <w:start w:val="1"/>
      <w:numFmt w:val="bullet"/>
      <w:lvlText w:val=""/>
      <w:lvlJc w:val="left"/>
      <w:pPr>
        <w:ind w:left="6480" w:hanging="360"/>
      </w:pPr>
      <w:rPr>
        <w:rFonts w:ascii="Wingdings" w:hAnsi="Wingdings" w:hint="default"/>
      </w:rPr>
    </w:lvl>
  </w:abstractNum>
  <w:abstractNum w:abstractNumId="36" w15:restartNumberingAfterBreak="0">
    <w:nsid w:val="5AED0EE8"/>
    <w:multiLevelType w:val="hybridMultilevel"/>
    <w:tmpl w:val="02D4D844"/>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7" w15:restartNumberingAfterBreak="0">
    <w:nsid w:val="5B495001"/>
    <w:multiLevelType w:val="singleLevel"/>
    <w:tmpl w:val="EB023A36"/>
    <w:lvl w:ilvl="0">
      <w:start w:val="1"/>
      <w:numFmt w:val="lowerLetter"/>
      <w:pStyle w:val="letterindent"/>
      <w:lvlText w:val="%1."/>
      <w:legacy w:legacy="1" w:legacySpace="0" w:legacyIndent="360"/>
      <w:lvlJc w:val="left"/>
      <w:pPr>
        <w:ind w:left="2520" w:hanging="360"/>
      </w:pPr>
      <w:rPr>
        <w:rFonts w:cs="Times New Roman"/>
      </w:rPr>
    </w:lvl>
  </w:abstractNum>
  <w:abstractNum w:abstractNumId="38" w15:restartNumberingAfterBreak="0">
    <w:nsid w:val="5C336088"/>
    <w:multiLevelType w:val="hybridMultilevel"/>
    <w:tmpl w:val="FED2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F27F9B"/>
    <w:multiLevelType w:val="hybridMultilevel"/>
    <w:tmpl w:val="819CD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934508"/>
    <w:multiLevelType w:val="hybridMultilevel"/>
    <w:tmpl w:val="1B5E6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070014"/>
    <w:multiLevelType w:val="hybridMultilevel"/>
    <w:tmpl w:val="4ACE246E"/>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B0F68"/>
    <w:multiLevelType w:val="hybridMultilevel"/>
    <w:tmpl w:val="8DB85588"/>
    <w:lvl w:ilvl="0" w:tplc="2294D512">
      <w:start w:val="1"/>
      <w:numFmt w:val="bullet"/>
      <w:lvlText w:val="•"/>
      <w:lvlJc w:val="left"/>
      <w:pPr>
        <w:tabs>
          <w:tab w:val="num" w:pos="720"/>
        </w:tabs>
        <w:ind w:left="720" w:hanging="360"/>
      </w:pPr>
      <w:rPr>
        <w:rFonts w:ascii="Tahoma" w:hAnsi="Tahoma" w:hint="default"/>
        <w:sz w:val="24"/>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DB138F"/>
    <w:multiLevelType w:val="hybridMultilevel"/>
    <w:tmpl w:val="40AEB454"/>
    <w:lvl w:ilvl="0" w:tplc="C6147D30">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4" w15:restartNumberingAfterBreak="0">
    <w:nsid w:val="6B3E78CE"/>
    <w:multiLevelType w:val="hybridMultilevel"/>
    <w:tmpl w:val="9026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AA273B"/>
    <w:multiLevelType w:val="hybridMultilevel"/>
    <w:tmpl w:val="91086684"/>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CA120A2"/>
    <w:multiLevelType w:val="hybridMultilevel"/>
    <w:tmpl w:val="3BA0E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D50648"/>
    <w:multiLevelType w:val="hybridMultilevel"/>
    <w:tmpl w:val="4814B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334E17"/>
    <w:multiLevelType w:val="hybridMultilevel"/>
    <w:tmpl w:val="0F12A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601702"/>
    <w:multiLevelType w:val="multilevel"/>
    <w:tmpl w:val="755822E2"/>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pStyle w:val="List"/>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0" w15:restartNumberingAfterBreak="0">
    <w:nsid w:val="78A21E59"/>
    <w:multiLevelType w:val="multilevel"/>
    <w:tmpl w:val="40F0A5FC"/>
    <w:lvl w:ilvl="0">
      <w:start w:val="1"/>
      <w:numFmt w:val="decimal"/>
      <w:lvlText w:val="%1."/>
      <w:lvlJc w:val="left"/>
      <w:pPr>
        <w:ind w:left="405" w:hanging="405"/>
      </w:pPr>
      <w:rPr>
        <w:rFonts w:hint="default"/>
        <w:b w:val="0"/>
      </w:rPr>
    </w:lvl>
    <w:lvl w:ilvl="1">
      <w:start w:val="1"/>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540" w:hanging="144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51" w15:restartNumberingAfterBreak="0">
    <w:nsid w:val="79A50A4E"/>
    <w:multiLevelType w:val="hybridMultilevel"/>
    <w:tmpl w:val="A5DED2FC"/>
    <w:lvl w:ilvl="0" w:tplc="2294D512">
      <w:start w:val="1"/>
      <w:numFmt w:val="bullet"/>
      <w:lvlText w:val="•"/>
      <w:lvlJc w:val="left"/>
      <w:pPr>
        <w:tabs>
          <w:tab w:val="num" w:pos="720"/>
        </w:tabs>
        <w:ind w:left="720" w:hanging="360"/>
      </w:pPr>
      <w:rPr>
        <w:rFonts w:ascii="Tahoma" w:hAnsi="Tahoma"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D41012"/>
    <w:multiLevelType w:val="hybridMultilevel"/>
    <w:tmpl w:val="673858F2"/>
    <w:lvl w:ilvl="0" w:tplc="0809000F">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3" w15:restartNumberingAfterBreak="0">
    <w:nsid w:val="7E211946"/>
    <w:multiLevelType w:val="hybridMultilevel"/>
    <w:tmpl w:val="B052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51"/>
  </w:num>
  <w:num w:numId="3">
    <w:abstractNumId w:val="2"/>
  </w:num>
  <w:num w:numId="4">
    <w:abstractNumId w:val="26"/>
  </w:num>
  <w:num w:numId="5">
    <w:abstractNumId w:val="7"/>
  </w:num>
  <w:num w:numId="6">
    <w:abstractNumId w:val="17"/>
  </w:num>
  <w:num w:numId="7">
    <w:abstractNumId w:val="31"/>
  </w:num>
  <w:num w:numId="8">
    <w:abstractNumId w:val="24"/>
  </w:num>
  <w:num w:numId="9">
    <w:abstractNumId w:val="42"/>
  </w:num>
  <w:num w:numId="10">
    <w:abstractNumId w:val="34"/>
  </w:num>
  <w:num w:numId="11">
    <w:abstractNumId w:val="13"/>
  </w:num>
  <w:num w:numId="12">
    <w:abstractNumId w:val="18"/>
  </w:num>
  <w:num w:numId="13">
    <w:abstractNumId w:val="48"/>
  </w:num>
  <w:num w:numId="14">
    <w:abstractNumId w:val="19"/>
  </w:num>
  <w:num w:numId="15">
    <w:abstractNumId w:val="47"/>
  </w:num>
  <w:num w:numId="16">
    <w:abstractNumId w:val="4"/>
  </w:num>
  <w:num w:numId="17">
    <w:abstractNumId w:val="25"/>
  </w:num>
  <w:num w:numId="18">
    <w:abstractNumId w:val="41"/>
  </w:num>
  <w:num w:numId="19">
    <w:abstractNumId w:val="9"/>
  </w:num>
  <w:num w:numId="20">
    <w:abstractNumId w:val="36"/>
  </w:num>
  <w:num w:numId="21">
    <w:abstractNumId w:val="40"/>
  </w:num>
  <w:num w:numId="22">
    <w:abstractNumId w:val="39"/>
  </w:num>
  <w:num w:numId="23">
    <w:abstractNumId w:val="12"/>
  </w:num>
  <w:num w:numId="24">
    <w:abstractNumId w:val="52"/>
  </w:num>
  <w:num w:numId="25">
    <w:abstractNumId w:val="35"/>
  </w:num>
  <w:num w:numId="26">
    <w:abstractNumId w:val="27"/>
  </w:num>
  <w:num w:numId="27">
    <w:abstractNumId w:val="0"/>
  </w:num>
  <w:num w:numId="28">
    <w:abstractNumId w:val="38"/>
  </w:num>
  <w:num w:numId="29">
    <w:abstractNumId w:val="46"/>
  </w:num>
  <w:num w:numId="30">
    <w:abstractNumId w:val="23"/>
  </w:num>
  <w:num w:numId="31">
    <w:abstractNumId w:val="32"/>
  </w:num>
  <w:num w:numId="32">
    <w:abstractNumId w:val="10"/>
  </w:num>
  <w:num w:numId="33">
    <w:abstractNumId w:val="21"/>
  </w:num>
  <w:num w:numId="34">
    <w:abstractNumId w:val="45"/>
  </w:num>
  <w:num w:numId="35">
    <w:abstractNumId w:val="30"/>
  </w:num>
  <w:num w:numId="36">
    <w:abstractNumId w:val="49"/>
  </w:num>
  <w:num w:numId="37">
    <w:abstractNumId w:val="44"/>
  </w:num>
  <w:num w:numId="38">
    <w:abstractNumId w:val="8"/>
  </w:num>
  <w:num w:numId="39">
    <w:abstractNumId w:val="3"/>
  </w:num>
  <w:num w:numId="40">
    <w:abstractNumId w:val="5"/>
  </w:num>
  <w:num w:numId="41">
    <w:abstractNumId w:val="50"/>
  </w:num>
  <w:num w:numId="42">
    <w:abstractNumId w:val="1"/>
  </w:num>
  <w:num w:numId="43">
    <w:abstractNumId w:val="6"/>
  </w:num>
  <w:num w:numId="44">
    <w:abstractNumId w:val="11"/>
  </w:num>
  <w:num w:numId="45">
    <w:abstractNumId w:val="43"/>
  </w:num>
  <w:num w:numId="46">
    <w:abstractNumId w:val="14"/>
  </w:num>
  <w:num w:numId="47">
    <w:abstractNumId w:val="28"/>
  </w:num>
  <w:num w:numId="48">
    <w:abstractNumId w:val="29"/>
  </w:num>
  <w:num w:numId="49">
    <w:abstractNumId w:val="16"/>
  </w:num>
  <w:num w:numId="50">
    <w:abstractNumId w:val="53"/>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20"/>
  </w:num>
  <w:num w:numId="54">
    <w:abstractNumId w:val="15"/>
  </w:num>
  <w:num w:numId="5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mirrorMargins/>
  <w:proofState w:spelling="clean" w:grammar="clean"/>
  <w:stylePaneSortMethod w:val="0000"/>
  <w:documentProtection w:edit="readOnly" w:enforcement="0"/>
  <w:defaultTabStop w:val="720"/>
  <w:drawingGridHorizontalSpacing w:val="120"/>
  <w:displayHorizontalDrawingGridEvery w:val="2"/>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A3"/>
    <w:rsid w:val="0000233E"/>
    <w:rsid w:val="00002CFA"/>
    <w:rsid w:val="00005419"/>
    <w:rsid w:val="00006896"/>
    <w:rsid w:val="0000721A"/>
    <w:rsid w:val="00007F11"/>
    <w:rsid w:val="000105FB"/>
    <w:rsid w:val="0001168C"/>
    <w:rsid w:val="00011F74"/>
    <w:rsid w:val="000121EB"/>
    <w:rsid w:val="00012266"/>
    <w:rsid w:val="00012B4F"/>
    <w:rsid w:val="00013F98"/>
    <w:rsid w:val="0001401C"/>
    <w:rsid w:val="0001415E"/>
    <w:rsid w:val="00014ADB"/>
    <w:rsid w:val="000156A9"/>
    <w:rsid w:val="00015CC5"/>
    <w:rsid w:val="000167ED"/>
    <w:rsid w:val="00017C42"/>
    <w:rsid w:val="00022352"/>
    <w:rsid w:val="00023049"/>
    <w:rsid w:val="000235B2"/>
    <w:rsid w:val="00023694"/>
    <w:rsid w:val="000247B7"/>
    <w:rsid w:val="00024B19"/>
    <w:rsid w:val="000256E9"/>
    <w:rsid w:val="00025AB6"/>
    <w:rsid w:val="00025E88"/>
    <w:rsid w:val="000266A5"/>
    <w:rsid w:val="00026B41"/>
    <w:rsid w:val="000276C6"/>
    <w:rsid w:val="00027ACC"/>
    <w:rsid w:val="00027E35"/>
    <w:rsid w:val="00030128"/>
    <w:rsid w:val="00030838"/>
    <w:rsid w:val="000316FA"/>
    <w:rsid w:val="00033414"/>
    <w:rsid w:val="00033477"/>
    <w:rsid w:val="00033F39"/>
    <w:rsid w:val="000341B7"/>
    <w:rsid w:val="000353B1"/>
    <w:rsid w:val="0003558A"/>
    <w:rsid w:val="00035DF3"/>
    <w:rsid w:val="00036719"/>
    <w:rsid w:val="00040136"/>
    <w:rsid w:val="000428AA"/>
    <w:rsid w:val="0004349E"/>
    <w:rsid w:val="0004389D"/>
    <w:rsid w:val="00043BB2"/>
    <w:rsid w:val="00043BBA"/>
    <w:rsid w:val="00044004"/>
    <w:rsid w:val="000445AB"/>
    <w:rsid w:val="00045E61"/>
    <w:rsid w:val="000463FD"/>
    <w:rsid w:val="00050320"/>
    <w:rsid w:val="000509C6"/>
    <w:rsid w:val="00050FA1"/>
    <w:rsid w:val="00051284"/>
    <w:rsid w:val="00052053"/>
    <w:rsid w:val="00052180"/>
    <w:rsid w:val="00052BB6"/>
    <w:rsid w:val="00052D7B"/>
    <w:rsid w:val="0005482E"/>
    <w:rsid w:val="0005490B"/>
    <w:rsid w:val="00054EBC"/>
    <w:rsid w:val="00056579"/>
    <w:rsid w:val="000603BC"/>
    <w:rsid w:val="00060F19"/>
    <w:rsid w:val="00061112"/>
    <w:rsid w:val="00062079"/>
    <w:rsid w:val="000622CF"/>
    <w:rsid w:val="0006275D"/>
    <w:rsid w:val="00062A40"/>
    <w:rsid w:val="00063086"/>
    <w:rsid w:val="00063506"/>
    <w:rsid w:val="00064715"/>
    <w:rsid w:val="00064F0A"/>
    <w:rsid w:val="0006539C"/>
    <w:rsid w:val="000657A7"/>
    <w:rsid w:val="0006667E"/>
    <w:rsid w:val="00066C74"/>
    <w:rsid w:val="00066F5C"/>
    <w:rsid w:val="00067014"/>
    <w:rsid w:val="00071D58"/>
    <w:rsid w:val="00071FF9"/>
    <w:rsid w:val="0007240C"/>
    <w:rsid w:val="00072B14"/>
    <w:rsid w:val="00072CB2"/>
    <w:rsid w:val="000746C5"/>
    <w:rsid w:val="00076C3D"/>
    <w:rsid w:val="00077FF9"/>
    <w:rsid w:val="000800A7"/>
    <w:rsid w:val="000801D6"/>
    <w:rsid w:val="000807CD"/>
    <w:rsid w:val="00081384"/>
    <w:rsid w:val="00082236"/>
    <w:rsid w:val="00082EBC"/>
    <w:rsid w:val="000834B4"/>
    <w:rsid w:val="00083D68"/>
    <w:rsid w:val="00084CCD"/>
    <w:rsid w:val="00085012"/>
    <w:rsid w:val="0008573D"/>
    <w:rsid w:val="00085837"/>
    <w:rsid w:val="0008603E"/>
    <w:rsid w:val="00086261"/>
    <w:rsid w:val="00087194"/>
    <w:rsid w:val="000873D8"/>
    <w:rsid w:val="0009007D"/>
    <w:rsid w:val="00090AD2"/>
    <w:rsid w:val="00091A2D"/>
    <w:rsid w:val="00092CA9"/>
    <w:rsid w:val="00092DC1"/>
    <w:rsid w:val="000930E2"/>
    <w:rsid w:val="00093ACF"/>
    <w:rsid w:val="00093EEF"/>
    <w:rsid w:val="00094A6B"/>
    <w:rsid w:val="000950BB"/>
    <w:rsid w:val="00095C11"/>
    <w:rsid w:val="00096BAD"/>
    <w:rsid w:val="00097793"/>
    <w:rsid w:val="000A0EBA"/>
    <w:rsid w:val="000A1EA0"/>
    <w:rsid w:val="000A2D83"/>
    <w:rsid w:val="000A3DBA"/>
    <w:rsid w:val="000A40AB"/>
    <w:rsid w:val="000A4BA2"/>
    <w:rsid w:val="000A513A"/>
    <w:rsid w:val="000A51AE"/>
    <w:rsid w:val="000A5419"/>
    <w:rsid w:val="000A5659"/>
    <w:rsid w:val="000A5A93"/>
    <w:rsid w:val="000A73BC"/>
    <w:rsid w:val="000B09D7"/>
    <w:rsid w:val="000B2346"/>
    <w:rsid w:val="000B2B8A"/>
    <w:rsid w:val="000B2EF0"/>
    <w:rsid w:val="000B3D6F"/>
    <w:rsid w:val="000B5ADA"/>
    <w:rsid w:val="000B6142"/>
    <w:rsid w:val="000B63C2"/>
    <w:rsid w:val="000B7167"/>
    <w:rsid w:val="000C0F84"/>
    <w:rsid w:val="000C1CF5"/>
    <w:rsid w:val="000C1EB7"/>
    <w:rsid w:val="000C2851"/>
    <w:rsid w:val="000C2A29"/>
    <w:rsid w:val="000C2D70"/>
    <w:rsid w:val="000C3CC2"/>
    <w:rsid w:val="000C575D"/>
    <w:rsid w:val="000C5C07"/>
    <w:rsid w:val="000C667B"/>
    <w:rsid w:val="000C7461"/>
    <w:rsid w:val="000C7707"/>
    <w:rsid w:val="000D0326"/>
    <w:rsid w:val="000D0BB9"/>
    <w:rsid w:val="000D2A8B"/>
    <w:rsid w:val="000D34D8"/>
    <w:rsid w:val="000D36BC"/>
    <w:rsid w:val="000D3C73"/>
    <w:rsid w:val="000D3F9B"/>
    <w:rsid w:val="000D441B"/>
    <w:rsid w:val="000D4EA9"/>
    <w:rsid w:val="000D5C4F"/>
    <w:rsid w:val="000D6576"/>
    <w:rsid w:val="000D6781"/>
    <w:rsid w:val="000D72B9"/>
    <w:rsid w:val="000D7325"/>
    <w:rsid w:val="000D7C1D"/>
    <w:rsid w:val="000D7D7D"/>
    <w:rsid w:val="000E041F"/>
    <w:rsid w:val="000E2DFC"/>
    <w:rsid w:val="000E3773"/>
    <w:rsid w:val="000E416C"/>
    <w:rsid w:val="000E4527"/>
    <w:rsid w:val="000E62C7"/>
    <w:rsid w:val="000E735B"/>
    <w:rsid w:val="000F0240"/>
    <w:rsid w:val="000F04CF"/>
    <w:rsid w:val="000F0A3C"/>
    <w:rsid w:val="000F1025"/>
    <w:rsid w:val="000F1F7D"/>
    <w:rsid w:val="000F4751"/>
    <w:rsid w:val="000F57A3"/>
    <w:rsid w:val="000F5883"/>
    <w:rsid w:val="000F5BE8"/>
    <w:rsid w:val="000F5D17"/>
    <w:rsid w:val="000F6B9B"/>
    <w:rsid w:val="000F6C6F"/>
    <w:rsid w:val="000F6E22"/>
    <w:rsid w:val="001000BF"/>
    <w:rsid w:val="001005F3"/>
    <w:rsid w:val="00100622"/>
    <w:rsid w:val="001010A7"/>
    <w:rsid w:val="00101378"/>
    <w:rsid w:val="001013F7"/>
    <w:rsid w:val="001017CD"/>
    <w:rsid w:val="00101966"/>
    <w:rsid w:val="00101AB6"/>
    <w:rsid w:val="00103C47"/>
    <w:rsid w:val="00104108"/>
    <w:rsid w:val="00105038"/>
    <w:rsid w:val="00105268"/>
    <w:rsid w:val="0010528B"/>
    <w:rsid w:val="0010579D"/>
    <w:rsid w:val="00105AC1"/>
    <w:rsid w:val="00105F75"/>
    <w:rsid w:val="0010603B"/>
    <w:rsid w:val="00106656"/>
    <w:rsid w:val="00106E7F"/>
    <w:rsid w:val="0010717E"/>
    <w:rsid w:val="00107850"/>
    <w:rsid w:val="001102FD"/>
    <w:rsid w:val="001129DC"/>
    <w:rsid w:val="00112B14"/>
    <w:rsid w:val="00114DD8"/>
    <w:rsid w:val="00115720"/>
    <w:rsid w:val="00115F43"/>
    <w:rsid w:val="00116BCB"/>
    <w:rsid w:val="001172CD"/>
    <w:rsid w:val="00117523"/>
    <w:rsid w:val="00117C36"/>
    <w:rsid w:val="00117D2C"/>
    <w:rsid w:val="00117DAF"/>
    <w:rsid w:val="0012044F"/>
    <w:rsid w:val="00120645"/>
    <w:rsid w:val="00121E80"/>
    <w:rsid w:val="00122499"/>
    <w:rsid w:val="00122C07"/>
    <w:rsid w:val="00122EC3"/>
    <w:rsid w:val="001231A5"/>
    <w:rsid w:val="0012452C"/>
    <w:rsid w:val="00125DEE"/>
    <w:rsid w:val="00127EEC"/>
    <w:rsid w:val="00130CB8"/>
    <w:rsid w:val="00131AA6"/>
    <w:rsid w:val="001327CC"/>
    <w:rsid w:val="001328D0"/>
    <w:rsid w:val="001333A9"/>
    <w:rsid w:val="00133C41"/>
    <w:rsid w:val="00134756"/>
    <w:rsid w:val="0013496E"/>
    <w:rsid w:val="00134C28"/>
    <w:rsid w:val="00134E5A"/>
    <w:rsid w:val="00135111"/>
    <w:rsid w:val="00135B58"/>
    <w:rsid w:val="001362A8"/>
    <w:rsid w:val="001366A0"/>
    <w:rsid w:val="00137830"/>
    <w:rsid w:val="0013794C"/>
    <w:rsid w:val="001403CD"/>
    <w:rsid w:val="0014051A"/>
    <w:rsid w:val="00142124"/>
    <w:rsid w:val="001422C9"/>
    <w:rsid w:val="001424E4"/>
    <w:rsid w:val="001450E7"/>
    <w:rsid w:val="0014601C"/>
    <w:rsid w:val="00146232"/>
    <w:rsid w:val="0014639E"/>
    <w:rsid w:val="0014680A"/>
    <w:rsid w:val="0014707E"/>
    <w:rsid w:val="00147779"/>
    <w:rsid w:val="00147983"/>
    <w:rsid w:val="00147DBE"/>
    <w:rsid w:val="00151686"/>
    <w:rsid w:val="00152291"/>
    <w:rsid w:val="00152E85"/>
    <w:rsid w:val="001536FD"/>
    <w:rsid w:val="00155216"/>
    <w:rsid w:val="00155F58"/>
    <w:rsid w:val="001562D8"/>
    <w:rsid w:val="00156EB6"/>
    <w:rsid w:val="00157105"/>
    <w:rsid w:val="00157610"/>
    <w:rsid w:val="00161622"/>
    <w:rsid w:val="00161867"/>
    <w:rsid w:val="00161962"/>
    <w:rsid w:val="001623CE"/>
    <w:rsid w:val="00162E68"/>
    <w:rsid w:val="001635B0"/>
    <w:rsid w:val="00167A98"/>
    <w:rsid w:val="00170FE0"/>
    <w:rsid w:val="00171C99"/>
    <w:rsid w:val="001723C1"/>
    <w:rsid w:val="00172404"/>
    <w:rsid w:val="00172507"/>
    <w:rsid w:val="001728E1"/>
    <w:rsid w:val="00173DD1"/>
    <w:rsid w:val="00173E92"/>
    <w:rsid w:val="00174EA7"/>
    <w:rsid w:val="00175204"/>
    <w:rsid w:val="001755A8"/>
    <w:rsid w:val="001764A8"/>
    <w:rsid w:val="001773A1"/>
    <w:rsid w:val="00177946"/>
    <w:rsid w:val="00177B36"/>
    <w:rsid w:val="00180CDC"/>
    <w:rsid w:val="001810D2"/>
    <w:rsid w:val="00181626"/>
    <w:rsid w:val="00181B6F"/>
    <w:rsid w:val="00182662"/>
    <w:rsid w:val="001827DD"/>
    <w:rsid w:val="0018358E"/>
    <w:rsid w:val="00183DF0"/>
    <w:rsid w:val="00184D2E"/>
    <w:rsid w:val="00186074"/>
    <w:rsid w:val="00190AC9"/>
    <w:rsid w:val="00190DFB"/>
    <w:rsid w:val="00192A1D"/>
    <w:rsid w:val="001931D2"/>
    <w:rsid w:val="00193309"/>
    <w:rsid w:val="001935D9"/>
    <w:rsid w:val="001936E5"/>
    <w:rsid w:val="00193F4B"/>
    <w:rsid w:val="00194B7F"/>
    <w:rsid w:val="00196623"/>
    <w:rsid w:val="0019750F"/>
    <w:rsid w:val="00197B2E"/>
    <w:rsid w:val="00197E46"/>
    <w:rsid w:val="00197E4B"/>
    <w:rsid w:val="001A051C"/>
    <w:rsid w:val="001A18B5"/>
    <w:rsid w:val="001A1DC3"/>
    <w:rsid w:val="001A1F2A"/>
    <w:rsid w:val="001A2027"/>
    <w:rsid w:val="001A21A3"/>
    <w:rsid w:val="001A29C4"/>
    <w:rsid w:val="001A2C53"/>
    <w:rsid w:val="001A2D9F"/>
    <w:rsid w:val="001A432C"/>
    <w:rsid w:val="001A519A"/>
    <w:rsid w:val="001A6BE7"/>
    <w:rsid w:val="001A6C47"/>
    <w:rsid w:val="001B0614"/>
    <w:rsid w:val="001B07B5"/>
    <w:rsid w:val="001B0AB4"/>
    <w:rsid w:val="001B0F8B"/>
    <w:rsid w:val="001B17B8"/>
    <w:rsid w:val="001B17E8"/>
    <w:rsid w:val="001B1C5F"/>
    <w:rsid w:val="001B1E1D"/>
    <w:rsid w:val="001B228B"/>
    <w:rsid w:val="001B24AE"/>
    <w:rsid w:val="001B5470"/>
    <w:rsid w:val="001B5888"/>
    <w:rsid w:val="001B6180"/>
    <w:rsid w:val="001B6DB4"/>
    <w:rsid w:val="001B74AE"/>
    <w:rsid w:val="001C10E8"/>
    <w:rsid w:val="001C2D17"/>
    <w:rsid w:val="001C50CA"/>
    <w:rsid w:val="001C545A"/>
    <w:rsid w:val="001C59D9"/>
    <w:rsid w:val="001C6770"/>
    <w:rsid w:val="001C6A1B"/>
    <w:rsid w:val="001C79AE"/>
    <w:rsid w:val="001C7E00"/>
    <w:rsid w:val="001D004D"/>
    <w:rsid w:val="001D0E1E"/>
    <w:rsid w:val="001D0F89"/>
    <w:rsid w:val="001D12ED"/>
    <w:rsid w:val="001D13FA"/>
    <w:rsid w:val="001D297F"/>
    <w:rsid w:val="001D3CE5"/>
    <w:rsid w:val="001D61D2"/>
    <w:rsid w:val="001D66AF"/>
    <w:rsid w:val="001D6BE1"/>
    <w:rsid w:val="001D789B"/>
    <w:rsid w:val="001E1CDD"/>
    <w:rsid w:val="001E1EE5"/>
    <w:rsid w:val="001E2AD7"/>
    <w:rsid w:val="001E30B4"/>
    <w:rsid w:val="001E40A9"/>
    <w:rsid w:val="001E4475"/>
    <w:rsid w:val="001E6B20"/>
    <w:rsid w:val="001E6BDA"/>
    <w:rsid w:val="001E74B5"/>
    <w:rsid w:val="001E7559"/>
    <w:rsid w:val="001E7AE3"/>
    <w:rsid w:val="001F1FEA"/>
    <w:rsid w:val="001F207D"/>
    <w:rsid w:val="001F23A8"/>
    <w:rsid w:val="001F2ECA"/>
    <w:rsid w:val="001F3F72"/>
    <w:rsid w:val="001F47DC"/>
    <w:rsid w:val="001F4EF7"/>
    <w:rsid w:val="001F563D"/>
    <w:rsid w:val="001F681B"/>
    <w:rsid w:val="001F719F"/>
    <w:rsid w:val="001F750A"/>
    <w:rsid w:val="00201D7A"/>
    <w:rsid w:val="002025D0"/>
    <w:rsid w:val="00202C02"/>
    <w:rsid w:val="00203855"/>
    <w:rsid w:val="00203A2B"/>
    <w:rsid w:val="002040CB"/>
    <w:rsid w:val="00204291"/>
    <w:rsid w:val="002046D8"/>
    <w:rsid w:val="00204856"/>
    <w:rsid w:val="002057ED"/>
    <w:rsid w:val="00205C8A"/>
    <w:rsid w:val="002067C5"/>
    <w:rsid w:val="002071BA"/>
    <w:rsid w:val="00210F35"/>
    <w:rsid w:val="00211147"/>
    <w:rsid w:val="00211CEA"/>
    <w:rsid w:val="0021265B"/>
    <w:rsid w:val="00212BE1"/>
    <w:rsid w:val="00212E1D"/>
    <w:rsid w:val="00213320"/>
    <w:rsid w:val="0021509C"/>
    <w:rsid w:val="00217B1D"/>
    <w:rsid w:val="00217FA9"/>
    <w:rsid w:val="0022131D"/>
    <w:rsid w:val="002213CC"/>
    <w:rsid w:val="002214DF"/>
    <w:rsid w:val="00222226"/>
    <w:rsid w:val="00222721"/>
    <w:rsid w:val="00223188"/>
    <w:rsid w:val="00223D31"/>
    <w:rsid w:val="00223D4F"/>
    <w:rsid w:val="00224150"/>
    <w:rsid w:val="0022430B"/>
    <w:rsid w:val="00225044"/>
    <w:rsid w:val="002252D6"/>
    <w:rsid w:val="00225666"/>
    <w:rsid w:val="002263C4"/>
    <w:rsid w:val="00230504"/>
    <w:rsid w:val="002312E9"/>
    <w:rsid w:val="00231BF7"/>
    <w:rsid w:val="00232F6E"/>
    <w:rsid w:val="002347B2"/>
    <w:rsid w:val="0023500D"/>
    <w:rsid w:val="002355F1"/>
    <w:rsid w:val="00240C3C"/>
    <w:rsid w:val="0024137C"/>
    <w:rsid w:val="002418EE"/>
    <w:rsid w:val="002424F8"/>
    <w:rsid w:val="002427EA"/>
    <w:rsid w:val="00242EC8"/>
    <w:rsid w:val="00244990"/>
    <w:rsid w:val="00244D28"/>
    <w:rsid w:val="00245226"/>
    <w:rsid w:val="00245E3D"/>
    <w:rsid w:val="0024662B"/>
    <w:rsid w:val="002501A8"/>
    <w:rsid w:val="002501E6"/>
    <w:rsid w:val="0025103D"/>
    <w:rsid w:val="00251A44"/>
    <w:rsid w:val="00252D93"/>
    <w:rsid w:val="00253C99"/>
    <w:rsid w:val="00254658"/>
    <w:rsid w:val="00254AA0"/>
    <w:rsid w:val="00254B81"/>
    <w:rsid w:val="0025504B"/>
    <w:rsid w:val="00255818"/>
    <w:rsid w:val="00256178"/>
    <w:rsid w:val="00257BFE"/>
    <w:rsid w:val="002624AC"/>
    <w:rsid w:val="00262DB4"/>
    <w:rsid w:val="0026382E"/>
    <w:rsid w:val="00263A3E"/>
    <w:rsid w:val="00264448"/>
    <w:rsid w:val="002671DF"/>
    <w:rsid w:val="002677C1"/>
    <w:rsid w:val="002703B0"/>
    <w:rsid w:val="002709F9"/>
    <w:rsid w:val="00270A43"/>
    <w:rsid w:val="00271D14"/>
    <w:rsid w:val="00272CE4"/>
    <w:rsid w:val="002756CF"/>
    <w:rsid w:val="00275E90"/>
    <w:rsid w:val="0027708E"/>
    <w:rsid w:val="00277882"/>
    <w:rsid w:val="00277B5C"/>
    <w:rsid w:val="00277F0C"/>
    <w:rsid w:val="00281798"/>
    <w:rsid w:val="002817CB"/>
    <w:rsid w:val="00282316"/>
    <w:rsid w:val="00282662"/>
    <w:rsid w:val="0028377A"/>
    <w:rsid w:val="00283B0F"/>
    <w:rsid w:val="00284440"/>
    <w:rsid w:val="00285D74"/>
    <w:rsid w:val="002866DA"/>
    <w:rsid w:val="0028688B"/>
    <w:rsid w:val="0028757D"/>
    <w:rsid w:val="002878CE"/>
    <w:rsid w:val="00287B30"/>
    <w:rsid w:val="00291279"/>
    <w:rsid w:val="002918FF"/>
    <w:rsid w:val="00292765"/>
    <w:rsid w:val="00293BB7"/>
    <w:rsid w:val="00294433"/>
    <w:rsid w:val="00294D0B"/>
    <w:rsid w:val="0029636A"/>
    <w:rsid w:val="002966EC"/>
    <w:rsid w:val="002970BF"/>
    <w:rsid w:val="002A016E"/>
    <w:rsid w:val="002A06F8"/>
    <w:rsid w:val="002A0D61"/>
    <w:rsid w:val="002A18F7"/>
    <w:rsid w:val="002A1DC5"/>
    <w:rsid w:val="002A1DCC"/>
    <w:rsid w:val="002A1FFF"/>
    <w:rsid w:val="002A6729"/>
    <w:rsid w:val="002A72DB"/>
    <w:rsid w:val="002A7D82"/>
    <w:rsid w:val="002B02EC"/>
    <w:rsid w:val="002B0D56"/>
    <w:rsid w:val="002B111D"/>
    <w:rsid w:val="002B201D"/>
    <w:rsid w:val="002B262F"/>
    <w:rsid w:val="002B2A92"/>
    <w:rsid w:val="002B2A9A"/>
    <w:rsid w:val="002B4DC7"/>
    <w:rsid w:val="002B50E8"/>
    <w:rsid w:val="002B5FE7"/>
    <w:rsid w:val="002B6690"/>
    <w:rsid w:val="002B6C4F"/>
    <w:rsid w:val="002B7C04"/>
    <w:rsid w:val="002C0270"/>
    <w:rsid w:val="002C027D"/>
    <w:rsid w:val="002C0C06"/>
    <w:rsid w:val="002C110A"/>
    <w:rsid w:val="002C1160"/>
    <w:rsid w:val="002C1DE2"/>
    <w:rsid w:val="002C2F0A"/>
    <w:rsid w:val="002C3214"/>
    <w:rsid w:val="002C3D99"/>
    <w:rsid w:val="002C496A"/>
    <w:rsid w:val="002C4AAD"/>
    <w:rsid w:val="002C4F5C"/>
    <w:rsid w:val="002C5F24"/>
    <w:rsid w:val="002C772E"/>
    <w:rsid w:val="002C788A"/>
    <w:rsid w:val="002D01FD"/>
    <w:rsid w:val="002D27C4"/>
    <w:rsid w:val="002D383F"/>
    <w:rsid w:val="002D39CF"/>
    <w:rsid w:val="002D3A81"/>
    <w:rsid w:val="002D4C07"/>
    <w:rsid w:val="002D5CB5"/>
    <w:rsid w:val="002D6B57"/>
    <w:rsid w:val="002D6C1A"/>
    <w:rsid w:val="002D7E1B"/>
    <w:rsid w:val="002E01EE"/>
    <w:rsid w:val="002E1F2B"/>
    <w:rsid w:val="002E24A3"/>
    <w:rsid w:val="002E29A9"/>
    <w:rsid w:val="002E2CB5"/>
    <w:rsid w:val="002E38BA"/>
    <w:rsid w:val="002E5766"/>
    <w:rsid w:val="002E58DB"/>
    <w:rsid w:val="002E6597"/>
    <w:rsid w:val="002E6913"/>
    <w:rsid w:val="002E7FA2"/>
    <w:rsid w:val="002F023E"/>
    <w:rsid w:val="002F0A57"/>
    <w:rsid w:val="002F0F9B"/>
    <w:rsid w:val="002F113D"/>
    <w:rsid w:val="002F1DD7"/>
    <w:rsid w:val="002F3E81"/>
    <w:rsid w:val="002F4FFA"/>
    <w:rsid w:val="002F5F51"/>
    <w:rsid w:val="002F600D"/>
    <w:rsid w:val="002F64DF"/>
    <w:rsid w:val="002F6818"/>
    <w:rsid w:val="002F683E"/>
    <w:rsid w:val="002F6BE8"/>
    <w:rsid w:val="002F7B18"/>
    <w:rsid w:val="0030015C"/>
    <w:rsid w:val="0030018A"/>
    <w:rsid w:val="00301013"/>
    <w:rsid w:val="0030152E"/>
    <w:rsid w:val="00301C43"/>
    <w:rsid w:val="003026DA"/>
    <w:rsid w:val="003028D9"/>
    <w:rsid w:val="003028FF"/>
    <w:rsid w:val="003064BD"/>
    <w:rsid w:val="00306A18"/>
    <w:rsid w:val="0030702F"/>
    <w:rsid w:val="00307768"/>
    <w:rsid w:val="00310170"/>
    <w:rsid w:val="0031181E"/>
    <w:rsid w:val="00311A6E"/>
    <w:rsid w:val="0031243E"/>
    <w:rsid w:val="00314759"/>
    <w:rsid w:val="00314B63"/>
    <w:rsid w:val="003150BC"/>
    <w:rsid w:val="003153A6"/>
    <w:rsid w:val="00315F04"/>
    <w:rsid w:val="00316A35"/>
    <w:rsid w:val="00316BAD"/>
    <w:rsid w:val="00316EBE"/>
    <w:rsid w:val="00317194"/>
    <w:rsid w:val="00317B4F"/>
    <w:rsid w:val="003203FC"/>
    <w:rsid w:val="003213BF"/>
    <w:rsid w:val="00321A53"/>
    <w:rsid w:val="003220D2"/>
    <w:rsid w:val="0032406A"/>
    <w:rsid w:val="003243FF"/>
    <w:rsid w:val="00324E96"/>
    <w:rsid w:val="003257B9"/>
    <w:rsid w:val="00325A9B"/>
    <w:rsid w:val="003269DF"/>
    <w:rsid w:val="0032773C"/>
    <w:rsid w:val="00330CC3"/>
    <w:rsid w:val="00331A1A"/>
    <w:rsid w:val="00331E0A"/>
    <w:rsid w:val="003329C0"/>
    <w:rsid w:val="00332A1C"/>
    <w:rsid w:val="00333DEF"/>
    <w:rsid w:val="0033520B"/>
    <w:rsid w:val="00337D0E"/>
    <w:rsid w:val="00337DB5"/>
    <w:rsid w:val="0034098F"/>
    <w:rsid w:val="00340E25"/>
    <w:rsid w:val="00342776"/>
    <w:rsid w:val="00343130"/>
    <w:rsid w:val="003431D4"/>
    <w:rsid w:val="003442F0"/>
    <w:rsid w:val="00344451"/>
    <w:rsid w:val="003446B0"/>
    <w:rsid w:val="00345194"/>
    <w:rsid w:val="00345779"/>
    <w:rsid w:val="0034630C"/>
    <w:rsid w:val="00347A20"/>
    <w:rsid w:val="0035008C"/>
    <w:rsid w:val="00350E39"/>
    <w:rsid w:val="00350EB6"/>
    <w:rsid w:val="00351405"/>
    <w:rsid w:val="00351B1D"/>
    <w:rsid w:val="00351E70"/>
    <w:rsid w:val="0035247F"/>
    <w:rsid w:val="003530A0"/>
    <w:rsid w:val="003532BB"/>
    <w:rsid w:val="00354205"/>
    <w:rsid w:val="00355562"/>
    <w:rsid w:val="003555F3"/>
    <w:rsid w:val="003560B2"/>
    <w:rsid w:val="00357025"/>
    <w:rsid w:val="00357049"/>
    <w:rsid w:val="0035727C"/>
    <w:rsid w:val="00357BC7"/>
    <w:rsid w:val="00361471"/>
    <w:rsid w:val="0036381C"/>
    <w:rsid w:val="00363D79"/>
    <w:rsid w:val="00363DC1"/>
    <w:rsid w:val="0036450D"/>
    <w:rsid w:val="0036495B"/>
    <w:rsid w:val="0036556E"/>
    <w:rsid w:val="003657A2"/>
    <w:rsid w:val="00365FE6"/>
    <w:rsid w:val="0036625F"/>
    <w:rsid w:val="00366EEB"/>
    <w:rsid w:val="00367547"/>
    <w:rsid w:val="003721BA"/>
    <w:rsid w:val="0037254E"/>
    <w:rsid w:val="00372C26"/>
    <w:rsid w:val="00372F7D"/>
    <w:rsid w:val="003732D0"/>
    <w:rsid w:val="0037374D"/>
    <w:rsid w:val="00373F85"/>
    <w:rsid w:val="00374020"/>
    <w:rsid w:val="0037578B"/>
    <w:rsid w:val="003770D4"/>
    <w:rsid w:val="003810BE"/>
    <w:rsid w:val="00381AF2"/>
    <w:rsid w:val="00382B65"/>
    <w:rsid w:val="00382EFF"/>
    <w:rsid w:val="00383775"/>
    <w:rsid w:val="0038395E"/>
    <w:rsid w:val="00383DF3"/>
    <w:rsid w:val="00384578"/>
    <w:rsid w:val="00384A02"/>
    <w:rsid w:val="003852C1"/>
    <w:rsid w:val="00386080"/>
    <w:rsid w:val="00390828"/>
    <w:rsid w:val="00390D49"/>
    <w:rsid w:val="00390DE4"/>
    <w:rsid w:val="00393590"/>
    <w:rsid w:val="00393F30"/>
    <w:rsid w:val="0039444C"/>
    <w:rsid w:val="003947BF"/>
    <w:rsid w:val="00394C91"/>
    <w:rsid w:val="00394E9E"/>
    <w:rsid w:val="00395D74"/>
    <w:rsid w:val="00396567"/>
    <w:rsid w:val="00397973"/>
    <w:rsid w:val="003A0357"/>
    <w:rsid w:val="003A0E35"/>
    <w:rsid w:val="003A193F"/>
    <w:rsid w:val="003A1984"/>
    <w:rsid w:val="003A2277"/>
    <w:rsid w:val="003A36D9"/>
    <w:rsid w:val="003A4249"/>
    <w:rsid w:val="003A5322"/>
    <w:rsid w:val="003A5FC7"/>
    <w:rsid w:val="003A63F2"/>
    <w:rsid w:val="003A6780"/>
    <w:rsid w:val="003A6B7E"/>
    <w:rsid w:val="003A7641"/>
    <w:rsid w:val="003A771E"/>
    <w:rsid w:val="003A7E33"/>
    <w:rsid w:val="003A7F8F"/>
    <w:rsid w:val="003B0B87"/>
    <w:rsid w:val="003B0C0B"/>
    <w:rsid w:val="003B12CD"/>
    <w:rsid w:val="003B1770"/>
    <w:rsid w:val="003B294D"/>
    <w:rsid w:val="003B2AA7"/>
    <w:rsid w:val="003B3461"/>
    <w:rsid w:val="003B3891"/>
    <w:rsid w:val="003B4CAD"/>
    <w:rsid w:val="003B5BA3"/>
    <w:rsid w:val="003B7188"/>
    <w:rsid w:val="003B72C7"/>
    <w:rsid w:val="003C01FB"/>
    <w:rsid w:val="003C0605"/>
    <w:rsid w:val="003C0D27"/>
    <w:rsid w:val="003C1B1D"/>
    <w:rsid w:val="003C1F2B"/>
    <w:rsid w:val="003C21F6"/>
    <w:rsid w:val="003C44DB"/>
    <w:rsid w:val="003C44ED"/>
    <w:rsid w:val="003C51D2"/>
    <w:rsid w:val="003C58D7"/>
    <w:rsid w:val="003C5980"/>
    <w:rsid w:val="003C5E15"/>
    <w:rsid w:val="003C6073"/>
    <w:rsid w:val="003C6782"/>
    <w:rsid w:val="003C7162"/>
    <w:rsid w:val="003D08A9"/>
    <w:rsid w:val="003D1FE5"/>
    <w:rsid w:val="003D2A37"/>
    <w:rsid w:val="003D2C7D"/>
    <w:rsid w:val="003D3EA9"/>
    <w:rsid w:val="003D4435"/>
    <w:rsid w:val="003D47F0"/>
    <w:rsid w:val="003D585A"/>
    <w:rsid w:val="003D6CA9"/>
    <w:rsid w:val="003E00E6"/>
    <w:rsid w:val="003E1E14"/>
    <w:rsid w:val="003E2575"/>
    <w:rsid w:val="003E2759"/>
    <w:rsid w:val="003E2FC4"/>
    <w:rsid w:val="003E4F18"/>
    <w:rsid w:val="003E4FF5"/>
    <w:rsid w:val="003E6621"/>
    <w:rsid w:val="003F01CF"/>
    <w:rsid w:val="003F078F"/>
    <w:rsid w:val="003F0F29"/>
    <w:rsid w:val="003F205D"/>
    <w:rsid w:val="003F38A4"/>
    <w:rsid w:val="003F3F8D"/>
    <w:rsid w:val="003F4C4F"/>
    <w:rsid w:val="003F6B75"/>
    <w:rsid w:val="003F6BC0"/>
    <w:rsid w:val="003F6CB6"/>
    <w:rsid w:val="003F71F4"/>
    <w:rsid w:val="003F741E"/>
    <w:rsid w:val="003F7E38"/>
    <w:rsid w:val="0040025B"/>
    <w:rsid w:val="0040035A"/>
    <w:rsid w:val="004008B7"/>
    <w:rsid w:val="00400DC8"/>
    <w:rsid w:val="00401110"/>
    <w:rsid w:val="00401EBF"/>
    <w:rsid w:val="0040225B"/>
    <w:rsid w:val="004028A0"/>
    <w:rsid w:val="00403C84"/>
    <w:rsid w:val="0040416B"/>
    <w:rsid w:val="004041F8"/>
    <w:rsid w:val="0040424A"/>
    <w:rsid w:val="00404FEF"/>
    <w:rsid w:val="00405F02"/>
    <w:rsid w:val="0040639B"/>
    <w:rsid w:val="004066F9"/>
    <w:rsid w:val="00406A51"/>
    <w:rsid w:val="00406A87"/>
    <w:rsid w:val="0040783F"/>
    <w:rsid w:val="00411737"/>
    <w:rsid w:val="00412623"/>
    <w:rsid w:val="00412C81"/>
    <w:rsid w:val="0041335C"/>
    <w:rsid w:val="004139CA"/>
    <w:rsid w:val="004142A3"/>
    <w:rsid w:val="00414598"/>
    <w:rsid w:val="0041497A"/>
    <w:rsid w:val="00414C1A"/>
    <w:rsid w:val="00414EB5"/>
    <w:rsid w:val="004151D3"/>
    <w:rsid w:val="00417E26"/>
    <w:rsid w:val="004205D8"/>
    <w:rsid w:val="0042105D"/>
    <w:rsid w:val="00421088"/>
    <w:rsid w:val="004212AE"/>
    <w:rsid w:val="00421705"/>
    <w:rsid w:val="0042197B"/>
    <w:rsid w:val="00421A0B"/>
    <w:rsid w:val="00421C91"/>
    <w:rsid w:val="00422C2D"/>
    <w:rsid w:val="00423929"/>
    <w:rsid w:val="0042402D"/>
    <w:rsid w:val="0042428F"/>
    <w:rsid w:val="00424CE5"/>
    <w:rsid w:val="00424E58"/>
    <w:rsid w:val="00424E63"/>
    <w:rsid w:val="004258EE"/>
    <w:rsid w:val="00426B2E"/>
    <w:rsid w:val="00427105"/>
    <w:rsid w:val="00427465"/>
    <w:rsid w:val="0042764C"/>
    <w:rsid w:val="00427F7D"/>
    <w:rsid w:val="0043022B"/>
    <w:rsid w:val="004305F4"/>
    <w:rsid w:val="00431BBE"/>
    <w:rsid w:val="00432958"/>
    <w:rsid w:val="00433566"/>
    <w:rsid w:val="004339AC"/>
    <w:rsid w:val="004339E4"/>
    <w:rsid w:val="00433CD3"/>
    <w:rsid w:val="00435576"/>
    <w:rsid w:val="004372B5"/>
    <w:rsid w:val="00437602"/>
    <w:rsid w:val="00437BDD"/>
    <w:rsid w:val="00437EF9"/>
    <w:rsid w:val="004408CB"/>
    <w:rsid w:val="004420EA"/>
    <w:rsid w:val="004427BD"/>
    <w:rsid w:val="00444B86"/>
    <w:rsid w:val="00444F31"/>
    <w:rsid w:val="00445C81"/>
    <w:rsid w:val="004467BA"/>
    <w:rsid w:val="00447184"/>
    <w:rsid w:val="004473CC"/>
    <w:rsid w:val="004479E0"/>
    <w:rsid w:val="00447A95"/>
    <w:rsid w:val="00447E52"/>
    <w:rsid w:val="004506DA"/>
    <w:rsid w:val="00450CE3"/>
    <w:rsid w:val="00450DFD"/>
    <w:rsid w:val="00450E08"/>
    <w:rsid w:val="00450F2B"/>
    <w:rsid w:val="00452D91"/>
    <w:rsid w:val="00453003"/>
    <w:rsid w:val="004531D2"/>
    <w:rsid w:val="00453555"/>
    <w:rsid w:val="004538B9"/>
    <w:rsid w:val="00454E22"/>
    <w:rsid w:val="00456527"/>
    <w:rsid w:val="00457A65"/>
    <w:rsid w:val="004606AA"/>
    <w:rsid w:val="004606C6"/>
    <w:rsid w:val="004609F8"/>
    <w:rsid w:val="004611C5"/>
    <w:rsid w:val="0046193B"/>
    <w:rsid w:val="00461FD2"/>
    <w:rsid w:val="004628EF"/>
    <w:rsid w:val="0046375B"/>
    <w:rsid w:val="004647D0"/>
    <w:rsid w:val="00465BF3"/>
    <w:rsid w:val="0046682F"/>
    <w:rsid w:val="004704DA"/>
    <w:rsid w:val="00470CCE"/>
    <w:rsid w:val="00471A15"/>
    <w:rsid w:val="00472489"/>
    <w:rsid w:val="00472740"/>
    <w:rsid w:val="004746BA"/>
    <w:rsid w:val="0047566D"/>
    <w:rsid w:val="00475834"/>
    <w:rsid w:val="00475D77"/>
    <w:rsid w:val="0047748A"/>
    <w:rsid w:val="00477BE8"/>
    <w:rsid w:val="00480745"/>
    <w:rsid w:val="004819AE"/>
    <w:rsid w:val="00481B18"/>
    <w:rsid w:val="00482652"/>
    <w:rsid w:val="00483400"/>
    <w:rsid w:val="0048378C"/>
    <w:rsid w:val="00483A47"/>
    <w:rsid w:val="004842F4"/>
    <w:rsid w:val="00485524"/>
    <w:rsid w:val="00485687"/>
    <w:rsid w:val="00486353"/>
    <w:rsid w:val="0048750B"/>
    <w:rsid w:val="004908E4"/>
    <w:rsid w:val="00490E32"/>
    <w:rsid w:val="00491341"/>
    <w:rsid w:val="004920D4"/>
    <w:rsid w:val="00492F4D"/>
    <w:rsid w:val="00493114"/>
    <w:rsid w:val="00494840"/>
    <w:rsid w:val="004949FC"/>
    <w:rsid w:val="00494C40"/>
    <w:rsid w:val="0049549D"/>
    <w:rsid w:val="00495549"/>
    <w:rsid w:val="004966DE"/>
    <w:rsid w:val="004969B9"/>
    <w:rsid w:val="004A0191"/>
    <w:rsid w:val="004A05A3"/>
    <w:rsid w:val="004A1003"/>
    <w:rsid w:val="004A1C86"/>
    <w:rsid w:val="004A2B49"/>
    <w:rsid w:val="004A31C2"/>
    <w:rsid w:val="004A38BC"/>
    <w:rsid w:val="004A5228"/>
    <w:rsid w:val="004A6637"/>
    <w:rsid w:val="004A71F4"/>
    <w:rsid w:val="004A7C15"/>
    <w:rsid w:val="004A7E65"/>
    <w:rsid w:val="004B0262"/>
    <w:rsid w:val="004B02F2"/>
    <w:rsid w:val="004B0480"/>
    <w:rsid w:val="004B0705"/>
    <w:rsid w:val="004B11BA"/>
    <w:rsid w:val="004B1D92"/>
    <w:rsid w:val="004B27EB"/>
    <w:rsid w:val="004B3484"/>
    <w:rsid w:val="004B3C4C"/>
    <w:rsid w:val="004B455E"/>
    <w:rsid w:val="004B4EBD"/>
    <w:rsid w:val="004B5E2A"/>
    <w:rsid w:val="004B6333"/>
    <w:rsid w:val="004B6AAF"/>
    <w:rsid w:val="004B7333"/>
    <w:rsid w:val="004B7CD3"/>
    <w:rsid w:val="004C02C9"/>
    <w:rsid w:val="004C15B9"/>
    <w:rsid w:val="004C1835"/>
    <w:rsid w:val="004C1BE4"/>
    <w:rsid w:val="004C1F47"/>
    <w:rsid w:val="004C2037"/>
    <w:rsid w:val="004C29C9"/>
    <w:rsid w:val="004C2BF9"/>
    <w:rsid w:val="004C3B66"/>
    <w:rsid w:val="004C425B"/>
    <w:rsid w:val="004C46B6"/>
    <w:rsid w:val="004C62B2"/>
    <w:rsid w:val="004C730D"/>
    <w:rsid w:val="004D0DFA"/>
    <w:rsid w:val="004D286D"/>
    <w:rsid w:val="004D2CAB"/>
    <w:rsid w:val="004D3229"/>
    <w:rsid w:val="004D63E5"/>
    <w:rsid w:val="004D6869"/>
    <w:rsid w:val="004D6B87"/>
    <w:rsid w:val="004D6BEB"/>
    <w:rsid w:val="004D7C6B"/>
    <w:rsid w:val="004D7E1F"/>
    <w:rsid w:val="004E0053"/>
    <w:rsid w:val="004E01D2"/>
    <w:rsid w:val="004E0899"/>
    <w:rsid w:val="004E1754"/>
    <w:rsid w:val="004E253E"/>
    <w:rsid w:val="004E2598"/>
    <w:rsid w:val="004E3012"/>
    <w:rsid w:val="004E307F"/>
    <w:rsid w:val="004E448D"/>
    <w:rsid w:val="004E47F6"/>
    <w:rsid w:val="004E69CA"/>
    <w:rsid w:val="004E798E"/>
    <w:rsid w:val="004E7E9F"/>
    <w:rsid w:val="004F0C24"/>
    <w:rsid w:val="004F0F28"/>
    <w:rsid w:val="004F177F"/>
    <w:rsid w:val="004F1A96"/>
    <w:rsid w:val="004F2EC4"/>
    <w:rsid w:val="004F33F9"/>
    <w:rsid w:val="004F3839"/>
    <w:rsid w:val="004F4595"/>
    <w:rsid w:val="004F4FE2"/>
    <w:rsid w:val="004F62E0"/>
    <w:rsid w:val="004F6706"/>
    <w:rsid w:val="004F68EA"/>
    <w:rsid w:val="004F735A"/>
    <w:rsid w:val="004F73A2"/>
    <w:rsid w:val="00500534"/>
    <w:rsid w:val="00501CC3"/>
    <w:rsid w:val="005031E4"/>
    <w:rsid w:val="00504494"/>
    <w:rsid w:val="0050450D"/>
    <w:rsid w:val="0050749D"/>
    <w:rsid w:val="00507641"/>
    <w:rsid w:val="005101BD"/>
    <w:rsid w:val="00510782"/>
    <w:rsid w:val="00510DD2"/>
    <w:rsid w:val="00512945"/>
    <w:rsid w:val="00514C65"/>
    <w:rsid w:val="00514F73"/>
    <w:rsid w:val="005154E8"/>
    <w:rsid w:val="00517F16"/>
    <w:rsid w:val="0052033F"/>
    <w:rsid w:val="005206E8"/>
    <w:rsid w:val="00520F38"/>
    <w:rsid w:val="00521521"/>
    <w:rsid w:val="00521555"/>
    <w:rsid w:val="005227E7"/>
    <w:rsid w:val="00522B21"/>
    <w:rsid w:val="0052391C"/>
    <w:rsid w:val="00523CD1"/>
    <w:rsid w:val="00524359"/>
    <w:rsid w:val="00524820"/>
    <w:rsid w:val="005257C2"/>
    <w:rsid w:val="00525B83"/>
    <w:rsid w:val="005263BD"/>
    <w:rsid w:val="0053032E"/>
    <w:rsid w:val="0053228C"/>
    <w:rsid w:val="005322B0"/>
    <w:rsid w:val="0053320B"/>
    <w:rsid w:val="00533573"/>
    <w:rsid w:val="00534355"/>
    <w:rsid w:val="0053447B"/>
    <w:rsid w:val="00535FE7"/>
    <w:rsid w:val="00536316"/>
    <w:rsid w:val="00536FF1"/>
    <w:rsid w:val="00537749"/>
    <w:rsid w:val="00537FCB"/>
    <w:rsid w:val="00540EC9"/>
    <w:rsid w:val="00542DDE"/>
    <w:rsid w:val="00543127"/>
    <w:rsid w:val="005433B7"/>
    <w:rsid w:val="00543431"/>
    <w:rsid w:val="00543856"/>
    <w:rsid w:val="00543C91"/>
    <w:rsid w:val="00543FE9"/>
    <w:rsid w:val="00544978"/>
    <w:rsid w:val="00544B71"/>
    <w:rsid w:val="00544EC2"/>
    <w:rsid w:val="005456F0"/>
    <w:rsid w:val="00545B8B"/>
    <w:rsid w:val="005473FF"/>
    <w:rsid w:val="0055048A"/>
    <w:rsid w:val="005508E0"/>
    <w:rsid w:val="0055244E"/>
    <w:rsid w:val="00552938"/>
    <w:rsid w:val="00552B12"/>
    <w:rsid w:val="00553DA4"/>
    <w:rsid w:val="00554059"/>
    <w:rsid w:val="005542B2"/>
    <w:rsid w:val="00555951"/>
    <w:rsid w:val="00555E04"/>
    <w:rsid w:val="005562DF"/>
    <w:rsid w:val="005567DF"/>
    <w:rsid w:val="00557714"/>
    <w:rsid w:val="00557A07"/>
    <w:rsid w:val="005611C7"/>
    <w:rsid w:val="00561342"/>
    <w:rsid w:val="00561CE4"/>
    <w:rsid w:val="0056206C"/>
    <w:rsid w:val="005625DA"/>
    <w:rsid w:val="00563C93"/>
    <w:rsid w:val="005643E2"/>
    <w:rsid w:val="005646DE"/>
    <w:rsid w:val="00565CC5"/>
    <w:rsid w:val="0056638F"/>
    <w:rsid w:val="0056701E"/>
    <w:rsid w:val="00567414"/>
    <w:rsid w:val="005702FA"/>
    <w:rsid w:val="005703A3"/>
    <w:rsid w:val="00570688"/>
    <w:rsid w:val="00571A74"/>
    <w:rsid w:val="00571A9B"/>
    <w:rsid w:val="005721F8"/>
    <w:rsid w:val="00572E4D"/>
    <w:rsid w:val="005737B7"/>
    <w:rsid w:val="00574048"/>
    <w:rsid w:val="0057424E"/>
    <w:rsid w:val="0057479F"/>
    <w:rsid w:val="0057562C"/>
    <w:rsid w:val="00575D7F"/>
    <w:rsid w:val="005762B2"/>
    <w:rsid w:val="00576549"/>
    <w:rsid w:val="00580222"/>
    <w:rsid w:val="0058048E"/>
    <w:rsid w:val="005804FF"/>
    <w:rsid w:val="00583E7A"/>
    <w:rsid w:val="005841D3"/>
    <w:rsid w:val="00584CDC"/>
    <w:rsid w:val="00586A82"/>
    <w:rsid w:val="00586B51"/>
    <w:rsid w:val="00586F7A"/>
    <w:rsid w:val="005872AD"/>
    <w:rsid w:val="00587A39"/>
    <w:rsid w:val="00587DD6"/>
    <w:rsid w:val="00590FA6"/>
    <w:rsid w:val="005916E6"/>
    <w:rsid w:val="00591D0E"/>
    <w:rsid w:val="005927E2"/>
    <w:rsid w:val="005956A6"/>
    <w:rsid w:val="00596D35"/>
    <w:rsid w:val="005A02F1"/>
    <w:rsid w:val="005A02FB"/>
    <w:rsid w:val="005A23ED"/>
    <w:rsid w:val="005A2C67"/>
    <w:rsid w:val="005A3445"/>
    <w:rsid w:val="005A4231"/>
    <w:rsid w:val="005A473D"/>
    <w:rsid w:val="005A47EA"/>
    <w:rsid w:val="005A5B14"/>
    <w:rsid w:val="005A5EC4"/>
    <w:rsid w:val="005A6367"/>
    <w:rsid w:val="005A7C04"/>
    <w:rsid w:val="005A7E97"/>
    <w:rsid w:val="005B2324"/>
    <w:rsid w:val="005B34EA"/>
    <w:rsid w:val="005B64DF"/>
    <w:rsid w:val="005C146C"/>
    <w:rsid w:val="005C20AC"/>
    <w:rsid w:val="005C21E6"/>
    <w:rsid w:val="005C2AA4"/>
    <w:rsid w:val="005C396E"/>
    <w:rsid w:val="005C4984"/>
    <w:rsid w:val="005C5ED3"/>
    <w:rsid w:val="005C6939"/>
    <w:rsid w:val="005C7A4B"/>
    <w:rsid w:val="005C7B72"/>
    <w:rsid w:val="005D0D4F"/>
    <w:rsid w:val="005D1F30"/>
    <w:rsid w:val="005D20E0"/>
    <w:rsid w:val="005D356D"/>
    <w:rsid w:val="005D3F7A"/>
    <w:rsid w:val="005D512F"/>
    <w:rsid w:val="005D6912"/>
    <w:rsid w:val="005D7599"/>
    <w:rsid w:val="005E0088"/>
    <w:rsid w:val="005E0859"/>
    <w:rsid w:val="005E0E6F"/>
    <w:rsid w:val="005E1469"/>
    <w:rsid w:val="005E20CC"/>
    <w:rsid w:val="005E2A8C"/>
    <w:rsid w:val="005E2C67"/>
    <w:rsid w:val="005E2C7F"/>
    <w:rsid w:val="005E34B1"/>
    <w:rsid w:val="005E3F5B"/>
    <w:rsid w:val="005E4227"/>
    <w:rsid w:val="005E465D"/>
    <w:rsid w:val="005E5A1E"/>
    <w:rsid w:val="005E5A38"/>
    <w:rsid w:val="005E68AC"/>
    <w:rsid w:val="005E6C54"/>
    <w:rsid w:val="005E7655"/>
    <w:rsid w:val="005F0DE3"/>
    <w:rsid w:val="005F130C"/>
    <w:rsid w:val="005F157E"/>
    <w:rsid w:val="005F280D"/>
    <w:rsid w:val="005F367E"/>
    <w:rsid w:val="005F3938"/>
    <w:rsid w:val="005F43FA"/>
    <w:rsid w:val="005F4B9A"/>
    <w:rsid w:val="005F63D6"/>
    <w:rsid w:val="005F6EC9"/>
    <w:rsid w:val="005F6F29"/>
    <w:rsid w:val="005F7311"/>
    <w:rsid w:val="006016C8"/>
    <w:rsid w:val="00601E62"/>
    <w:rsid w:val="00602586"/>
    <w:rsid w:val="00602727"/>
    <w:rsid w:val="00603631"/>
    <w:rsid w:val="00604E65"/>
    <w:rsid w:val="00605248"/>
    <w:rsid w:val="0060612A"/>
    <w:rsid w:val="00607AB9"/>
    <w:rsid w:val="006101BF"/>
    <w:rsid w:val="0061049A"/>
    <w:rsid w:val="00610505"/>
    <w:rsid w:val="006106FC"/>
    <w:rsid w:val="00610E18"/>
    <w:rsid w:val="00611049"/>
    <w:rsid w:val="00612014"/>
    <w:rsid w:val="0061210C"/>
    <w:rsid w:val="006134B2"/>
    <w:rsid w:val="00613AB5"/>
    <w:rsid w:val="00614E06"/>
    <w:rsid w:val="006150DC"/>
    <w:rsid w:val="0061558A"/>
    <w:rsid w:val="00615F91"/>
    <w:rsid w:val="006162CD"/>
    <w:rsid w:val="006169A5"/>
    <w:rsid w:val="00616ACC"/>
    <w:rsid w:val="0061739D"/>
    <w:rsid w:val="0062131C"/>
    <w:rsid w:val="00621ACF"/>
    <w:rsid w:val="00621BD4"/>
    <w:rsid w:val="00621DBE"/>
    <w:rsid w:val="00621DDF"/>
    <w:rsid w:val="006220AA"/>
    <w:rsid w:val="00622239"/>
    <w:rsid w:val="00622575"/>
    <w:rsid w:val="00622649"/>
    <w:rsid w:val="00622988"/>
    <w:rsid w:val="00623FA3"/>
    <w:rsid w:val="00625A7C"/>
    <w:rsid w:val="00625F72"/>
    <w:rsid w:val="00626C86"/>
    <w:rsid w:val="006276D8"/>
    <w:rsid w:val="00627E83"/>
    <w:rsid w:val="00630D15"/>
    <w:rsid w:val="00631256"/>
    <w:rsid w:val="00631FC8"/>
    <w:rsid w:val="00632D24"/>
    <w:rsid w:val="0063421B"/>
    <w:rsid w:val="0063424F"/>
    <w:rsid w:val="00635D7D"/>
    <w:rsid w:val="00635FED"/>
    <w:rsid w:val="006362AB"/>
    <w:rsid w:val="00636C76"/>
    <w:rsid w:val="006379E9"/>
    <w:rsid w:val="00637D25"/>
    <w:rsid w:val="00640521"/>
    <w:rsid w:val="00640572"/>
    <w:rsid w:val="00640EC4"/>
    <w:rsid w:val="00641EFF"/>
    <w:rsid w:val="006420D3"/>
    <w:rsid w:val="006420EB"/>
    <w:rsid w:val="00642903"/>
    <w:rsid w:val="00643CB2"/>
    <w:rsid w:val="006440E1"/>
    <w:rsid w:val="00644842"/>
    <w:rsid w:val="006456BC"/>
    <w:rsid w:val="00646E4F"/>
    <w:rsid w:val="00650616"/>
    <w:rsid w:val="00650781"/>
    <w:rsid w:val="0065133E"/>
    <w:rsid w:val="0065171D"/>
    <w:rsid w:val="00651871"/>
    <w:rsid w:val="00652BD7"/>
    <w:rsid w:val="00654433"/>
    <w:rsid w:val="006548E9"/>
    <w:rsid w:val="00655022"/>
    <w:rsid w:val="00655577"/>
    <w:rsid w:val="00655867"/>
    <w:rsid w:val="0065592B"/>
    <w:rsid w:val="00655D8E"/>
    <w:rsid w:val="0065648E"/>
    <w:rsid w:val="00656871"/>
    <w:rsid w:val="00657228"/>
    <w:rsid w:val="006579B8"/>
    <w:rsid w:val="006616AB"/>
    <w:rsid w:val="006619A9"/>
    <w:rsid w:val="00661F47"/>
    <w:rsid w:val="00661F7A"/>
    <w:rsid w:val="00661FA0"/>
    <w:rsid w:val="00664FD2"/>
    <w:rsid w:val="006655DF"/>
    <w:rsid w:val="00665681"/>
    <w:rsid w:val="0066727E"/>
    <w:rsid w:val="00667980"/>
    <w:rsid w:val="00667CD6"/>
    <w:rsid w:val="00667E6B"/>
    <w:rsid w:val="00670919"/>
    <w:rsid w:val="00670C32"/>
    <w:rsid w:val="00670E28"/>
    <w:rsid w:val="006710A9"/>
    <w:rsid w:val="00671416"/>
    <w:rsid w:val="00671458"/>
    <w:rsid w:val="006717BC"/>
    <w:rsid w:val="00672560"/>
    <w:rsid w:val="00673EFB"/>
    <w:rsid w:val="00673F7D"/>
    <w:rsid w:val="00674203"/>
    <w:rsid w:val="00675119"/>
    <w:rsid w:val="00675C22"/>
    <w:rsid w:val="006775C2"/>
    <w:rsid w:val="00680C97"/>
    <w:rsid w:val="00683D8A"/>
    <w:rsid w:val="00683F8A"/>
    <w:rsid w:val="00684560"/>
    <w:rsid w:val="0068459C"/>
    <w:rsid w:val="0068479F"/>
    <w:rsid w:val="006853DC"/>
    <w:rsid w:val="00686B3F"/>
    <w:rsid w:val="00690109"/>
    <w:rsid w:val="0069315E"/>
    <w:rsid w:val="00693522"/>
    <w:rsid w:val="00693590"/>
    <w:rsid w:val="006945C2"/>
    <w:rsid w:val="006945EC"/>
    <w:rsid w:val="006951D5"/>
    <w:rsid w:val="00695869"/>
    <w:rsid w:val="00695F95"/>
    <w:rsid w:val="00696CD3"/>
    <w:rsid w:val="00696EF9"/>
    <w:rsid w:val="00697067"/>
    <w:rsid w:val="00697BA9"/>
    <w:rsid w:val="006A2201"/>
    <w:rsid w:val="006A334B"/>
    <w:rsid w:val="006A5A01"/>
    <w:rsid w:val="006A5E45"/>
    <w:rsid w:val="006A5F5A"/>
    <w:rsid w:val="006A65A7"/>
    <w:rsid w:val="006A72EB"/>
    <w:rsid w:val="006A735E"/>
    <w:rsid w:val="006A73F7"/>
    <w:rsid w:val="006A77E2"/>
    <w:rsid w:val="006A7857"/>
    <w:rsid w:val="006A7A1C"/>
    <w:rsid w:val="006B1227"/>
    <w:rsid w:val="006B1CCE"/>
    <w:rsid w:val="006B2217"/>
    <w:rsid w:val="006B231C"/>
    <w:rsid w:val="006B2913"/>
    <w:rsid w:val="006B3976"/>
    <w:rsid w:val="006B494B"/>
    <w:rsid w:val="006B540A"/>
    <w:rsid w:val="006B5C71"/>
    <w:rsid w:val="006B65C6"/>
    <w:rsid w:val="006B6711"/>
    <w:rsid w:val="006C0433"/>
    <w:rsid w:val="006C0CA6"/>
    <w:rsid w:val="006C107C"/>
    <w:rsid w:val="006C1356"/>
    <w:rsid w:val="006C1F16"/>
    <w:rsid w:val="006C35B7"/>
    <w:rsid w:val="006C4006"/>
    <w:rsid w:val="006C477C"/>
    <w:rsid w:val="006C490C"/>
    <w:rsid w:val="006C5202"/>
    <w:rsid w:val="006C58E0"/>
    <w:rsid w:val="006C6A7B"/>
    <w:rsid w:val="006C727B"/>
    <w:rsid w:val="006C73B0"/>
    <w:rsid w:val="006D026F"/>
    <w:rsid w:val="006D0723"/>
    <w:rsid w:val="006D0772"/>
    <w:rsid w:val="006D137C"/>
    <w:rsid w:val="006D28A7"/>
    <w:rsid w:val="006D3584"/>
    <w:rsid w:val="006D3F09"/>
    <w:rsid w:val="006D6227"/>
    <w:rsid w:val="006D68DB"/>
    <w:rsid w:val="006D69BE"/>
    <w:rsid w:val="006D7FFC"/>
    <w:rsid w:val="006E04EF"/>
    <w:rsid w:val="006E1905"/>
    <w:rsid w:val="006E3570"/>
    <w:rsid w:val="006E5CFB"/>
    <w:rsid w:val="006E5E44"/>
    <w:rsid w:val="006E7632"/>
    <w:rsid w:val="006E7F8A"/>
    <w:rsid w:val="006F10EA"/>
    <w:rsid w:val="006F147B"/>
    <w:rsid w:val="006F25E0"/>
    <w:rsid w:val="006F4012"/>
    <w:rsid w:val="006F45BB"/>
    <w:rsid w:val="006F46FE"/>
    <w:rsid w:val="006F5A48"/>
    <w:rsid w:val="006F5B3C"/>
    <w:rsid w:val="006F6C3D"/>
    <w:rsid w:val="006F7404"/>
    <w:rsid w:val="006F774A"/>
    <w:rsid w:val="006F78A6"/>
    <w:rsid w:val="007003D6"/>
    <w:rsid w:val="00700ECB"/>
    <w:rsid w:val="00702B58"/>
    <w:rsid w:val="00703F34"/>
    <w:rsid w:val="007041E0"/>
    <w:rsid w:val="007058B7"/>
    <w:rsid w:val="00705A2F"/>
    <w:rsid w:val="007079A3"/>
    <w:rsid w:val="00707A38"/>
    <w:rsid w:val="00707C81"/>
    <w:rsid w:val="00707DD9"/>
    <w:rsid w:val="007106FE"/>
    <w:rsid w:val="007114FE"/>
    <w:rsid w:val="00711A49"/>
    <w:rsid w:val="007122EC"/>
    <w:rsid w:val="0071407C"/>
    <w:rsid w:val="00714A99"/>
    <w:rsid w:val="00715988"/>
    <w:rsid w:val="00715E92"/>
    <w:rsid w:val="007176B8"/>
    <w:rsid w:val="00720D24"/>
    <w:rsid w:val="007215EF"/>
    <w:rsid w:val="007225BB"/>
    <w:rsid w:val="007232ED"/>
    <w:rsid w:val="007233EA"/>
    <w:rsid w:val="007234EE"/>
    <w:rsid w:val="00723A54"/>
    <w:rsid w:val="00724675"/>
    <w:rsid w:val="00725949"/>
    <w:rsid w:val="00725B16"/>
    <w:rsid w:val="00727126"/>
    <w:rsid w:val="00727DEE"/>
    <w:rsid w:val="00727EFD"/>
    <w:rsid w:val="007303C8"/>
    <w:rsid w:val="0073088B"/>
    <w:rsid w:val="00731951"/>
    <w:rsid w:val="00731AD0"/>
    <w:rsid w:val="00731C9E"/>
    <w:rsid w:val="00732F32"/>
    <w:rsid w:val="00733E99"/>
    <w:rsid w:val="00734574"/>
    <w:rsid w:val="00736325"/>
    <w:rsid w:val="00736FFD"/>
    <w:rsid w:val="00740AD8"/>
    <w:rsid w:val="00744A64"/>
    <w:rsid w:val="0074671C"/>
    <w:rsid w:val="00746833"/>
    <w:rsid w:val="007506CE"/>
    <w:rsid w:val="00751BCE"/>
    <w:rsid w:val="00751F36"/>
    <w:rsid w:val="007521E4"/>
    <w:rsid w:val="0075284C"/>
    <w:rsid w:val="00753490"/>
    <w:rsid w:val="007538F5"/>
    <w:rsid w:val="00753EB6"/>
    <w:rsid w:val="00755079"/>
    <w:rsid w:val="0075571A"/>
    <w:rsid w:val="007570A3"/>
    <w:rsid w:val="0075766E"/>
    <w:rsid w:val="00760CC4"/>
    <w:rsid w:val="00760E7B"/>
    <w:rsid w:val="0076182C"/>
    <w:rsid w:val="00761F33"/>
    <w:rsid w:val="007629E4"/>
    <w:rsid w:val="00762F77"/>
    <w:rsid w:val="0076427F"/>
    <w:rsid w:val="007646D3"/>
    <w:rsid w:val="00764FAA"/>
    <w:rsid w:val="00766325"/>
    <w:rsid w:val="007667D4"/>
    <w:rsid w:val="00766B04"/>
    <w:rsid w:val="00766C03"/>
    <w:rsid w:val="0076745E"/>
    <w:rsid w:val="00767C51"/>
    <w:rsid w:val="007707BB"/>
    <w:rsid w:val="007718B2"/>
    <w:rsid w:val="007727A5"/>
    <w:rsid w:val="00772BF4"/>
    <w:rsid w:val="00772ED3"/>
    <w:rsid w:val="0077595E"/>
    <w:rsid w:val="00775B98"/>
    <w:rsid w:val="0077677D"/>
    <w:rsid w:val="007768E4"/>
    <w:rsid w:val="00780BED"/>
    <w:rsid w:val="00781B86"/>
    <w:rsid w:val="00781D7F"/>
    <w:rsid w:val="00781E82"/>
    <w:rsid w:val="00782322"/>
    <w:rsid w:val="00782B5E"/>
    <w:rsid w:val="00783839"/>
    <w:rsid w:val="007838B4"/>
    <w:rsid w:val="00783A29"/>
    <w:rsid w:val="00783E0E"/>
    <w:rsid w:val="00785C97"/>
    <w:rsid w:val="007874FE"/>
    <w:rsid w:val="00790125"/>
    <w:rsid w:val="00790515"/>
    <w:rsid w:val="00790D82"/>
    <w:rsid w:val="00790EB2"/>
    <w:rsid w:val="00791070"/>
    <w:rsid w:val="0079198C"/>
    <w:rsid w:val="00791BD9"/>
    <w:rsid w:val="00791C60"/>
    <w:rsid w:val="00792B31"/>
    <w:rsid w:val="007936E1"/>
    <w:rsid w:val="00794584"/>
    <w:rsid w:val="00794E1B"/>
    <w:rsid w:val="007957D3"/>
    <w:rsid w:val="00795893"/>
    <w:rsid w:val="007958DD"/>
    <w:rsid w:val="00796BCA"/>
    <w:rsid w:val="00796CDF"/>
    <w:rsid w:val="007973F8"/>
    <w:rsid w:val="00797403"/>
    <w:rsid w:val="007A001A"/>
    <w:rsid w:val="007A017D"/>
    <w:rsid w:val="007A0345"/>
    <w:rsid w:val="007A08EB"/>
    <w:rsid w:val="007A10CF"/>
    <w:rsid w:val="007A217B"/>
    <w:rsid w:val="007A381E"/>
    <w:rsid w:val="007A38CF"/>
    <w:rsid w:val="007A39CC"/>
    <w:rsid w:val="007A4374"/>
    <w:rsid w:val="007A44BF"/>
    <w:rsid w:val="007A6391"/>
    <w:rsid w:val="007A6831"/>
    <w:rsid w:val="007A77AC"/>
    <w:rsid w:val="007B0449"/>
    <w:rsid w:val="007B081E"/>
    <w:rsid w:val="007B27DD"/>
    <w:rsid w:val="007B3FA2"/>
    <w:rsid w:val="007B4D03"/>
    <w:rsid w:val="007B533E"/>
    <w:rsid w:val="007B5BAB"/>
    <w:rsid w:val="007B5DF4"/>
    <w:rsid w:val="007C00E8"/>
    <w:rsid w:val="007C14AB"/>
    <w:rsid w:val="007C166C"/>
    <w:rsid w:val="007C25B8"/>
    <w:rsid w:val="007C2A85"/>
    <w:rsid w:val="007C30F1"/>
    <w:rsid w:val="007C3D20"/>
    <w:rsid w:val="007C42F9"/>
    <w:rsid w:val="007C50F1"/>
    <w:rsid w:val="007C703A"/>
    <w:rsid w:val="007C7093"/>
    <w:rsid w:val="007C7431"/>
    <w:rsid w:val="007D084A"/>
    <w:rsid w:val="007D1AA2"/>
    <w:rsid w:val="007D1FE4"/>
    <w:rsid w:val="007D2404"/>
    <w:rsid w:val="007D44A5"/>
    <w:rsid w:val="007D4CE4"/>
    <w:rsid w:val="007D58A5"/>
    <w:rsid w:val="007D6C04"/>
    <w:rsid w:val="007D6DD8"/>
    <w:rsid w:val="007D6EED"/>
    <w:rsid w:val="007D7336"/>
    <w:rsid w:val="007D784E"/>
    <w:rsid w:val="007D7890"/>
    <w:rsid w:val="007E0266"/>
    <w:rsid w:val="007E06C3"/>
    <w:rsid w:val="007E1108"/>
    <w:rsid w:val="007E12B2"/>
    <w:rsid w:val="007E19F0"/>
    <w:rsid w:val="007E27C1"/>
    <w:rsid w:val="007E2B50"/>
    <w:rsid w:val="007E3199"/>
    <w:rsid w:val="007E32BE"/>
    <w:rsid w:val="007E35A1"/>
    <w:rsid w:val="007E5400"/>
    <w:rsid w:val="007E605D"/>
    <w:rsid w:val="007E66C4"/>
    <w:rsid w:val="007E6B38"/>
    <w:rsid w:val="007E6E35"/>
    <w:rsid w:val="007E7752"/>
    <w:rsid w:val="007F1498"/>
    <w:rsid w:val="007F1847"/>
    <w:rsid w:val="007F188F"/>
    <w:rsid w:val="007F1B65"/>
    <w:rsid w:val="007F28C4"/>
    <w:rsid w:val="007F2AB1"/>
    <w:rsid w:val="007F2C47"/>
    <w:rsid w:val="007F37C2"/>
    <w:rsid w:val="007F41AF"/>
    <w:rsid w:val="007F4268"/>
    <w:rsid w:val="007F516B"/>
    <w:rsid w:val="007F51BE"/>
    <w:rsid w:val="007F5CCF"/>
    <w:rsid w:val="007F5E64"/>
    <w:rsid w:val="007F7119"/>
    <w:rsid w:val="007F7679"/>
    <w:rsid w:val="007F7B2E"/>
    <w:rsid w:val="00800556"/>
    <w:rsid w:val="00800E27"/>
    <w:rsid w:val="00801320"/>
    <w:rsid w:val="00801E54"/>
    <w:rsid w:val="00802AA7"/>
    <w:rsid w:val="0080328A"/>
    <w:rsid w:val="008032FE"/>
    <w:rsid w:val="00804A82"/>
    <w:rsid w:val="00804BA9"/>
    <w:rsid w:val="00805A0E"/>
    <w:rsid w:val="00805C73"/>
    <w:rsid w:val="008074F3"/>
    <w:rsid w:val="00811B25"/>
    <w:rsid w:val="00812EE1"/>
    <w:rsid w:val="00813A78"/>
    <w:rsid w:val="00813AE6"/>
    <w:rsid w:val="008141CC"/>
    <w:rsid w:val="00814200"/>
    <w:rsid w:val="00814AB4"/>
    <w:rsid w:val="00815405"/>
    <w:rsid w:val="00815948"/>
    <w:rsid w:val="00816118"/>
    <w:rsid w:val="0081787E"/>
    <w:rsid w:val="00820297"/>
    <w:rsid w:val="0082247E"/>
    <w:rsid w:val="0082398F"/>
    <w:rsid w:val="00823E21"/>
    <w:rsid w:val="0082417C"/>
    <w:rsid w:val="00824EA4"/>
    <w:rsid w:val="00825F5E"/>
    <w:rsid w:val="008261E8"/>
    <w:rsid w:val="00826740"/>
    <w:rsid w:val="0082685F"/>
    <w:rsid w:val="00826E35"/>
    <w:rsid w:val="008273D2"/>
    <w:rsid w:val="0082753E"/>
    <w:rsid w:val="0082768B"/>
    <w:rsid w:val="00827BEC"/>
    <w:rsid w:val="00830BDF"/>
    <w:rsid w:val="00830FDA"/>
    <w:rsid w:val="008314B8"/>
    <w:rsid w:val="0083163B"/>
    <w:rsid w:val="00831810"/>
    <w:rsid w:val="0083224A"/>
    <w:rsid w:val="008343DC"/>
    <w:rsid w:val="008345B7"/>
    <w:rsid w:val="00834D7B"/>
    <w:rsid w:val="00835C59"/>
    <w:rsid w:val="00836117"/>
    <w:rsid w:val="008362D5"/>
    <w:rsid w:val="0083695F"/>
    <w:rsid w:val="00837350"/>
    <w:rsid w:val="008403D1"/>
    <w:rsid w:val="00840996"/>
    <w:rsid w:val="0084154E"/>
    <w:rsid w:val="008419D4"/>
    <w:rsid w:val="00844098"/>
    <w:rsid w:val="00844215"/>
    <w:rsid w:val="0084434E"/>
    <w:rsid w:val="0084603C"/>
    <w:rsid w:val="00847116"/>
    <w:rsid w:val="00847F48"/>
    <w:rsid w:val="00850D11"/>
    <w:rsid w:val="008520FB"/>
    <w:rsid w:val="008522AD"/>
    <w:rsid w:val="00852447"/>
    <w:rsid w:val="00852BDD"/>
    <w:rsid w:val="008533D3"/>
    <w:rsid w:val="008539A2"/>
    <w:rsid w:val="00853AF9"/>
    <w:rsid w:val="00853D63"/>
    <w:rsid w:val="008544DF"/>
    <w:rsid w:val="008548E3"/>
    <w:rsid w:val="00854B9A"/>
    <w:rsid w:val="00854D53"/>
    <w:rsid w:val="00855641"/>
    <w:rsid w:val="00855A86"/>
    <w:rsid w:val="00855BA6"/>
    <w:rsid w:val="00855BD2"/>
    <w:rsid w:val="0085607C"/>
    <w:rsid w:val="008564C3"/>
    <w:rsid w:val="008568DE"/>
    <w:rsid w:val="00856996"/>
    <w:rsid w:val="00856C52"/>
    <w:rsid w:val="00856F3F"/>
    <w:rsid w:val="00857CAA"/>
    <w:rsid w:val="0086146A"/>
    <w:rsid w:val="008617D6"/>
    <w:rsid w:val="00861AEB"/>
    <w:rsid w:val="00861B2C"/>
    <w:rsid w:val="00862E91"/>
    <w:rsid w:val="0086432C"/>
    <w:rsid w:val="00865F01"/>
    <w:rsid w:val="008702AB"/>
    <w:rsid w:val="00871377"/>
    <w:rsid w:val="00871C83"/>
    <w:rsid w:val="00872AC0"/>
    <w:rsid w:val="00872D53"/>
    <w:rsid w:val="00873707"/>
    <w:rsid w:val="00874CA4"/>
    <w:rsid w:val="00876235"/>
    <w:rsid w:val="00876A94"/>
    <w:rsid w:val="00877D7B"/>
    <w:rsid w:val="008809E0"/>
    <w:rsid w:val="00881B14"/>
    <w:rsid w:val="00882321"/>
    <w:rsid w:val="00884A22"/>
    <w:rsid w:val="00884C74"/>
    <w:rsid w:val="00885B0C"/>
    <w:rsid w:val="00887064"/>
    <w:rsid w:val="00887AFF"/>
    <w:rsid w:val="00887FE6"/>
    <w:rsid w:val="00890389"/>
    <w:rsid w:val="00891570"/>
    <w:rsid w:val="008919A0"/>
    <w:rsid w:val="00891EF3"/>
    <w:rsid w:val="00892D92"/>
    <w:rsid w:val="00893091"/>
    <w:rsid w:val="008931A9"/>
    <w:rsid w:val="008947E8"/>
    <w:rsid w:val="008949E8"/>
    <w:rsid w:val="008961FE"/>
    <w:rsid w:val="008966E7"/>
    <w:rsid w:val="00896BF6"/>
    <w:rsid w:val="00896FE8"/>
    <w:rsid w:val="00897A94"/>
    <w:rsid w:val="008A008B"/>
    <w:rsid w:val="008A0953"/>
    <w:rsid w:val="008A1A8C"/>
    <w:rsid w:val="008A26AB"/>
    <w:rsid w:val="008A445E"/>
    <w:rsid w:val="008A4FF9"/>
    <w:rsid w:val="008A515D"/>
    <w:rsid w:val="008A595E"/>
    <w:rsid w:val="008A5A73"/>
    <w:rsid w:val="008A6793"/>
    <w:rsid w:val="008A77D0"/>
    <w:rsid w:val="008A7A46"/>
    <w:rsid w:val="008B0CB4"/>
    <w:rsid w:val="008B0FC5"/>
    <w:rsid w:val="008B10BC"/>
    <w:rsid w:val="008B10C2"/>
    <w:rsid w:val="008B2952"/>
    <w:rsid w:val="008B2A77"/>
    <w:rsid w:val="008B4CBF"/>
    <w:rsid w:val="008B52A7"/>
    <w:rsid w:val="008B62BE"/>
    <w:rsid w:val="008B69D5"/>
    <w:rsid w:val="008B6B2E"/>
    <w:rsid w:val="008B70B1"/>
    <w:rsid w:val="008C07F9"/>
    <w:rsid w:val="008C156D"/>
    <w:rsid w:val="008C1B46"/>
    <w:rsid w:val="008C2440"/>
    <w:rsid w:val="008C2A2D"/>
    <w:rsid w:val="008C3AE1"/>
    <w:rsid w:val="008C3BD2"/>
    <w:rsid w:val="008C597E"/>
    <w:rsid w:val="008C5C85"/>
    <w:rsid w:val="008C5FE4"/>
    <w:rsid w:val="008D0285"/>
    <w:rsid w:val="008D04E9"/>
    <w:rsid w:val="008D2465"/>
    <w:rsid w:val="008D2501"/>
    <w:rsid w:val="008D2C69"/>
    <w:rsid w:val="008D2DB8"/>
    <w:rsid w:val="008D534D"/>
    <w:rsid w:val="008D617C"/>
    <w:rsid w:val="008D641B"/>
    <w:rsid w:val="008D694F"/>
    <w:rsid w:val="008D6EB6"/>
    <w:rsid w:val="008E0096"/>
    <w:rsid w:val="008E0DC3"/>
    <w:rsid w:val="008E1A68"/>
    <w:rsid w:val="008E2A39"/>
    <w:rsid w:val="008E3032"/>
    <w:rsid w:val="008E3B41"/>
    <w:rsid w:val="008E3E03"/>
    <w:rsid w:val="008E4358"/>
    <w:rsid w:val="008E4448"/>
    <w:rsid w:val="008E49A8"/>
    <w:rsid w:val="008E58C2"/>
    <w:rsid w:val="008E63B5"/>
    <w:rsid w:val="008E66B5"/>
    <w:rsid w:val="008E670A"/>
    <w:rsid w:val="008E754D"/>
    <w:rsid w:val="008E7634"/>
    <w:rsid w:val="008F1BCA"/>
    <w:rsid w:val="008F39E2"/>
    <w:rsid w:val="008F4B8B"/>
    <w:rsid w:val="008F55CA"/>
    <w:rsid w:val="00900158"/>
    <w:rsid w:val="00900458"/>
    <w:rsid w:val="00900F0A"/>
    <w:rsid w:val="009012B1"/>
    <w:rsid w:val="00902E56"/>
    <w:rsid w:val="00903075"/>
    <w:rsid w:val="009032D9"/>
    <w:rsid w:val="00903790"/>
    <w:rsid w:val="0090394D"/>
    <w:rsid w:val="0090462A"/>
    <w:rsid w:val="009065DF"/>
    <w:rsid w:val="00907807"/>
    <w:rsid w:val="00910540"/>
    <w:rsid w:val="0091222E"/>
    <w:rsid w:val="00912946"/>
    <w:rsid w:val="0091357F"/>
    <w:rsid w:val="00913F3D"/>
    <w:rsid w:val="009149CE"/>
    <w:rsid w:val="00914D63"/>
    <w:rsid w:val="00914F37"/>
    <w:rsid w:val="00915F36"/>
    <w:rsid w:val="009177FF"/>
    <w:rsid w:val="00923389"/>
    <w:rsid w:val="009237DE"/>
    <w:rsid w:val="00924721"/>
    <w:rsid w:val="00925007"/>
    <w:rsid w:val="00925747"/>
    <w:rsid w:val="0092585E"/>
    <w:rsid w:val="009258BA"/>
    <w:rsid w:val="0092721F"/>
    <w:rsid w:val="0092766B"/>
    <w:rsid w:val="009307F6"/>
    <w:rsid w:val="0093095B"/>
    <w:rsid w:val="00930B7C"/>
    <w:rsid w:val="00930EE1"/>
    <w:rsid w:val="00931075"/>
    <w:rsid w:val="0093129A"/>
    <w:rsid w:val="00931A1B"/>
    <w:rsid w:val="00931E5C"/>
    <w:rsid w:val="00932BD3"/>
    <w:rsid w:val="009335C3"/>
    <w:rsid w:val="009339A0"/>
    <w:rsid w:val="009349AF"/>
    <w:rsid w:val="0093549D"/>
    <w:rsid w:val="009359BA"/>
    <w:rsid w:val="00935ECB"/>
    <w:rsid w:val="0093631F"/>
    <w:rsid w:val="009400C8"/>
    <w:rsid w:val="009402C4"/>
    <w:rsid w:val="00940AC8"/>
    <w:rsid w:val="0094107A"/>
    <w:rsid w:val="00942D36"/>
    <w:rsid w:val="009430BA"/>
    <w:rsid w:val="009467E9"/>
    <w:rsid w:val="00947B45"/>
    <w:rsid w:val="00947DEB"/>
    <w:rsid w:val="0095058F"/>
    <w:rsid w:val="00951FB5"/>
    <w:rsid w:val="00952AD0"/>
    <w:rsid w:val="00953EB5"/>
    <w:rsid w:val="009553CD"/>
    <w:rsid w:val="0095643D"/>
    <w:rsid w:val="009564FF"/>
    <w:rsid w:val="00956B0B"/>
    <w:rsid w:val="00956D04"/>
    <w:rsid w:val="009575F9"/>
    <w:rsid w:val="00961548"/>
    <w:rsid w:val="009623DC"/>
    <w:rsid w:val="00962B1D"/>
    <w:rsid w:val="009650A4"/>
    <w:rsid w:val="00965673"/>
    <w:rsid w:val="009656C4"/>
    <w:rsid w:val="0096680A"/>
    <w:rsid w:val="00966D42"/>
    <w:rsid w:val="0097006B"/>
    <w:rsid w:val="0097031B"/>
    <w:rsid w:val="009707AC"/>
    <w:rsid w:val="00970CA8"/>
    <w:rsid w:val="0097157B"/>
    <w:rsid w:val="00971731"/>
    <w:rsid w:val="00974746"/>
    <w:rsid w:val="00974B81"/>
    <w:rsid w:val="00976BD1"/>
    <w:rsid w:val="00976C18"/>
    <w:rsid w:val="009770EB"/>
    <w:rsid w:val="00977D3C"/>
    <w:rsid w:val="009803A4"/>
    <w:rsid w:val="00981F9B"/>
    <w:rsid w:val="009829C0"/>
    <w:rsid w:val="00983832"/>
    <w:rsid w:val="0098674D"/>
    <w:rsid w:val="0099001D"/>
    <w:rsid w:val="009907D0"/>
    <w:rsid w:val="009918E5"/>
    <w:rsid w:val="00992425"/>
    <w:rsid w:val="009959E3"/>
    <w:rsid w:val="009965A8"/>
    <w:rsid w:val="0099729D"/>
    <w:rsid w:val="009A0143"/>
    <w:rsid w:val="009A0B4B"/>
    <w:rsid w:val="009A12D3"/>
    <w:rsid w:val="009A26F4"/>
    <w:rsid w:val="009A4DB2"/>
    <w:rsid w:val="009A5046"/>
    <w:rsid w:val="009A742A"/>
    <w:rsid w:val="009A77C0"/>
    <w:rsid w:val="009A7CC3"/>
    <w:rsid w:val="009B0417"/>
    <w:rsid w:val="009B0630"/>
    <w:rsid w:val="009B0D31"/>
    <w:rsid w:val="009B19F4"/>
    <w:rsid w:val="009B1BB6"/>
    <w:rsid w:val="009B1D25"/>
    <w:rsid w:val="009B35DE"/>
    <w:rsid w:val="009B37D1"/>
    <w:rsid w:val="009B40CD"/>
    <w:rsid w:val="009B5A04"/>
    <w:rsid w:val="009B62DA"/>
    <w:rsid w:val="009B6657"/>
    <w:rsid w:val="009B6E1C"/>
    <w:rsid w:val="009B7297"/>
    <w:rsid w:val="009C01A1"/>
    <w:rsid w:val="009C01C3"/>
    <w:rsid w:val="009C0D6E"/>
    <w:rsid w:val="009C136C"/>
    <w:rsid w:val="009C2101"/>
    <w:rsid w:val="009C2A53"/>
    <w:rsid w:val="009C341B"/>
    <w:rsid w:val="009C3A58"/>
    <w:rsid w:val="009C3B61"/>
    <w:rsid w:val="009C46F0"/>
    <w:rsid w:val="009C4878"/>
    <w:rsid w:val="009C6455"/>
    <w:rsid w:val="009D15A4"/>
    <w:rsid w:val="009D2ACC"/>
    <w:rsid w:val="009D3188"/>
    <w:rsid w:val="009D3847"/>
    <w:rsid w:val="009D4004"/>
    <w:rsid w:val="009D4433"/>
    <w:rsid w:val="009D4948"/>
    <w:rsid w:val="009D5739"/>
    <w:rsid w:val="009D7379"/>
    <w:rsid w:val="009D76BA"/>
    <w:rsid w:val="009D7CA1"/>
    <w:rsid w:val="009E06A5"/>
    <w:rsid w:val="009E0767"/>
    <w:rsid w:val="009E1886"/>
    <w:rsid w:val="009E286F"/>
    <w:rsid w:val="009E2D08"/>
    <w:rsid w:val="009E30C4"/>
    <w:rsid w:val="009E3CB9"/>
    <w:rsid w:val="009E3CFE"/>
    <w:rsid w:val="009E46DA"/>
    <w:rsid w:val="009E4AA5"/>
    <w:rsid w:val="009E5D16"/>
    <w:rsid w:val="009E7C36"/>
    <w:rsid w:val="009F0277"/>
    <w:rsid w:val="009F1984"/>
    <w:rsid w:val="009F2E0B"/>
    <w:rsid w:val="009F37D0"/>
    <w:rsid w:val="009F4F69"/>
    <w:rsid w:val="00A001BE"/>
    <w:rsid w:val="00A001C3"/>
    <w:rsid w:val="00A004E5"/>
    <w:rsid w:val="00A01450"/>
    <w:rsid w:val="00A01559"/>
    <w:rsid w:val="00A020CC"/>
    <w:rsid w:val="00A024AE"/>
    <w:rsid w:val="00A02963"/>
    <w:rsid w:val="00A02CA3"/>
    <w:rsid w:val="00A03B73"/>
    <w:rsid w:val="00A04B39"/>
    <w:rsid w:val="00A04D4C"/>
    <w:rsid w:val="00A056C5"/>
    <w:rsid w:val="00A05D92"/>
    <w:rsid w:val="00A07B2E"/>
    <w:rsid w:val="00A104FE"/>
    <w:rsid w:val="00A10740"/>
    <w:rsid w:val="00A11009"/>
    <w:rsid w:val="00A11A84"/>
    <w:rsid w:val="00A11FA8"/>
    <w:rsid w:val="00A1295E"/>
    <w:rsid w:val="00A134A3"/>
    <w:rsid w:val="00A13F34"/>
    <w:rsid w:val="00A14CBC"/>
    <w:rsid w:val="00A1508F"/>
    <w:rsid w:val="00A154FB"/>
    <w:rsid w:val="00A173A8"/>
    <w:rsid w:val="00A173B4"/>
    <w:rsid w:val="00A17D15"/>
    <w:rsid w:val="00A2021B"/>
    <w:rsid w:val="00A2093E"/>
    <w:rsid w:val="00A211ED"/>
    <w:rsid w:val="00A21228"/>
    <w:rsid w:val="00A21CF0"/>
    <w:rsid w:val="00A22148"/>
    <w:rsid w:val="00A22E2D"/>
    <w:rsid w:val="00A23D8C"/>
    <w:rsid w:val="00A256E8"/>
    <w:rsid w:val="00A26346"/>
    <w:rsid w:val="00A2666F"/>
    <w:rsid w:val="00A26679"/>
    <w:rsid w:val="00A2711A"/>
    <w:rsid w:val="00A30D92"/>
    <w:rsid w:val="00A32123"/>
    <w:rsid w:val="00A3346D"/>
    <w:rsid w:val="00A33864"/>
    <w:rsid w:val="00A34132"/>
    <w:rsid w:val="00A35164"/>
    <w:rsid w:val="00A36BD3"/>
    <w:rsid w:val="00A36D13"/>
    <w:rsid w:val="00A36E4F"/>
    <w:rsid w:val="00A40022"/>
    <w:rsid w:val="00A4253E"/>
    <w:rsid w:val="00A42862"/>
    <w:rsid w:val="00A43F1C"/>
    <w:rsid w:val="00A448FE"/>
    <w:rsid w:val="00A45BF7"/>
    <w:rsid w:val="00A466CB"/>
    <w:rsid w:val="00A5048C"/>
    <w:rsid w:val="00A523A4"/>
    <w:rsid w:val="00A52693"/>
    <w:rsid w:val="00A527D9"/>
    <w:rsid w:val="00A53C30"/>
    <w:rsid w:val="00A53D1C"/>
    <w:rsid w:val="00A54066"/>
    <w:rsid w:val="00A54323"/>
    <w:rsid w:val="00A54FF3"/>
    <w:rsid w:val="00A55895"/>
    <w:rsid w:val="00A568DB"/>
    <w:rsid w:val="00A56FA4"/>
    <w:rsid w:val="00A57895"/>
    <w:rsid w:val="00A601A1"/>
    <w:rsid w:val="00A6151E"/>
    <w:rsid w:val="00A617BA"/>
    <w:rsid w:val="00A61853"/>
    <w:rsid w:val="00A61A34"/>
    <w:rsid w:val="00A626C6"/>
    <w:rsid w:val="00A63B17"/>
    <w:rsid w:val="00A643C3"/>
    <w:rsid w:val="00A65627"/>
    <w:rsid w:val="00A65DDB"/>
    <w:rsid w:val="00A65E2A"/>
    <w:rsid w:val="00A664AB"/>
    <w:rsid w:val="00A672B2"/>
    <w:rsid w:val="00A67813"/>
    <w:rsid w:val="00A702B2"/>
    <w:rsid w:val="00A737D2"/>
    <w:rsid w:val="00A7445D"/>
    <w:rsid w:val="00A74914"/>
    <w:rsid w:val="00A75FB3"/>
    <w:rsid w:val="00A76231"/>
    <w:rsid w:val="00A76D3D"/>
    <w:rsid w:val="00A7712E"/>
    <w:rsid w:val="00A77F17"/>
    <w:rsid w:val="00A8068A"/>
    <w:rsid w:val="00A80D7F"/>
    <w:rsid w:val="00A81922"/>
    <w:rsid w:val="00A81CAA"/>
    <w:rsid w:val="00A81F01"/>
    <w:rsid w:val="00A84529"/>
    <w:rsid w:val="00A856F7"/>
    <w:rsid w:val="00A85776"/>
    <w:rsid w:val="00A8594B"/>
    <w:rsid w:val="00A86971"/>
    <w:rsid w:val="00A86EB1"/>
    <w:rsid w:val="00A91CC4"/>
    <w:rsid w:val="00A95F71"/>
    <w:rsid w:val="00A9633E"/>
    <w:rsid w:val="00A9647A"/>
    <w:rsid w:val="00A964BA"/>
    <w:rsid w:val="00A96935"/>
    <w:rsid w:val="00A97A65"/>
    <w:rsid w:val="00AA006F"/>
    <w:rsid w:val="00AA02B4"/>
    <w:rsid w:val="00AA1855"/>
    <w:rsid w:val="00AA1FE4"/>
    <w:rsid w:val="00AA380A"/>
    <w:rsid w:val="00AA4DEF"/>
    <w:rsid w:val="00AA4EBE"/>
    <w:rsid w:val="00AA51A9"/>
    <w:rsid w:val="00AA5DCA"/>
    <w:rsid w:val="00AA72CE"/>
    <w:rsid w:val="00AA7D78"/>
    <w:rsid w:val="00AB00A9"/>
    <w:rsid w:val="00AB0A7F"/>
    <w:rsid w:val="00AB0DC8"/>
    <w:rsid w:val="00AB0F49"/>
    <w:rsid w:val="00AB1015"/>
    <w:rsid w:val="00AB1ED7"/>
    <w:rsid w:val="00AB2D69"/>
    <w:rsid w:val="00AB46D8"/>
    <w:rsid w:val="00AB51FC"/>
    <w:rsid w:val="00AB557A"/>
    <w:rsid w:val="00AB672A"/>
    <w:rsid w:val="00AB6C1E"/>
    <w:rsid w:val="00AB7638"/>
    <w:rsid w:val="00AC0122"/>
    <w:rsid w:val="00AC0802"/>
    <w:rsid w:val="00AC0E41"/>
    <w:rsid w:val="00AC16D0"/>
    <w:rsid w:val="00AC1DDE"/>
    <w:rsid w:val="00AC214E"/>
    <w:rsid w:val="00AC24B0"/>
    <w:rsid w:val="00AC2DEB"/>
    <w:rsid w:val="00AC34AE"/>
    <w:rsid w:val="00AC64AC"/>
    <w:rsid w:val="00AC684D"/>
    <w:rsid w:val="00AC7BD0"/>
    <w:rsid w:val="00AC7C14"/>
    <w:rsid w:val="00AD0C1B"/>
    <w:rsid w:val="00AD0CD1"/>
    <w:rsid w:val="00AD0F5B"/>
    <w:rsid w:val="00AD1018"/>
    <w:rsid w:val="00AD1106"/>
    <w:rsid w:val="00AD35CC"/>
    <w:rsid w:val="00AD4955"/>
    <w:rsid w:val="00AD4E6F"/>
    <w:rsid w:val="00AD5452"/>
    <w:rsid w:val="00AD6335"/>
    <w:rsid w:val="00AD6A84"/>
    <w:rsid w:val="00AE0D84"/>
    <w:rsid w:val="00AE12EC"/>
    <w:rsid w:val="00AE1684"/>
    <w:rsid w:val="00AE16C9"/>
    <w:rsid w:val="00AE1703"/>
    <w:rsid w:val="00AE20A7"/>
    <w:rsid w:val="00AE2188"/>
    <w:rsid w:val="00AE2E60"/>
    <w:rsid w:val="00AE41D2"/>
    <w:rsid w:val="00AE6275"/>
    <w:rsid w:val="00AE64BA"/>
    <w:rsid w:val="00AE74B7"/>
    <w:rsid w:val="00AF0EDD"/>
    <w:rsid w:val="00AF2631"/>
    <w:rsid w:val="00AF2A67"/>
    <w:rsid w:val="00AF2D86"/>
    <w:rsid w:val="00AF3698"/>
    <w:rsid w:val="00AF48AD"/>
    <w:rsid w:val="00AF685D"/>
    <w:rsid w:val="00B01494"/>
    <w:rsid w:val="00B0333B"/>
    <w:rsid w:val="00B03DEA"/>
    <w:rsid w:val="00B042D2"/>
    <w:rsid w:val="00B04417"/>
    <w:rsid w:val="00B04777"/>
    <w:rsid w:val="00B056EF"/>
    <w:rsid w:val="00B05B87"/>
    <w:rsid w:val="00B05C0D"/>
    <w:rsid w:val="00B05E9C"/>
    <w:rsid w:val="00B06021"/>
    <w:rsid w:val="00B0631A"/>
    <w:rsid w:val="00B06349"/>
    <w:rsid w:val="00B07464"/>
    <w:rsid w:val="00B07BC6"/>
    <w:rsid w:val="00B07F85"/>
    <w:rsid w:val="00B10B0C"/>
    <w:rsid w:val="00B1111C"/>
    <w:rsid w:val="00B13E1B"/>
    <w:rsid w:val="00B142D7"/>
    <w:rsid w:val="00B14452"/>
    <w:rsid w:val="00B14677"/>
    <w:rsid w:val="00B147E5"/>
    <w:rsid w:val="00B168D9"/>
    <w:rsid w:val="00B169F7"/>
    <w:rsid w:val="00B16B88"/>
    <w:rsid w:val="00B16E83"/>
    <w:rsid w:val="00B1751D"/>
    <w:rsid w:val="00B17F7D"/>
    <w:rsid w:val="00B20559"/>
    <w:rsid w:val="00B219D2"/>
    <w:rsid w:val="00B22AD6"/>
    <w:rsid w:val="00B24C66"/>
    <w:rsid w:val="00B25352"/>
    <w:rsid w:val="00B25954"/>
    <w:rsid w:val="00B268C2"/>
    <w:rsid w:val="00B27028"/>
    <w:rsid w:val="00B271E2"/>
    <w:rsid w:val="00B31C3C"/>
    <w:rsid w:val="00B32330"/>
    <w:rsid w:val="00B329B3"/>
    <w:rsid w:val="00B34147"/>
    <w:rsid w:val="00B34688"/>
    <w:rsid w:val="00B3497E"/>
    <w:rsid w:val="00B35494"/>
    <w:rsid w:val="00B36B9D"/>
    <w:rsid w:val="00B37225"/>
    <w:rsid w:val="00B37535"/>
    <w:rsid w:val="00B40631"/>
    <w:rsid w:val="00B411A3"/>
    <w:rsid w:val="00B4190B"/>
    <w:rsid w:val="00B4232D"/>
    <w:rsid w:val="00B42845"/>
    <w:rsid w:val="00B433C2"/>
    <w:rsid w:val="00B45CC0"/>
    <w:rsid w:val="00B4669A"/>
    <w:rsid w:val="00B4680E"/>
    <w:rsid w:val="00B47733"/>
    <w:rsid w:val="00B51730"/>
    <w:rsid w:val="00B53421"/>
    <w:rsid w:val="00B53721"/>
    <w:rsid w:val="00B53B51"/>
    <w:rsid w:val="00B56051"/>
    <w:rsid w:val="00B56ED4"/>
    <w:rsid w:val="00B60AC6"/>
    <w:rsid w:val="00B62A7A"/>
    <w:rsid w:val="00B62CE6"/>
    <w:rsid w:val="00B6334F"/>
    <w:rsid w:val="00B637A8"/>
    <w:rsid w:val="00B6598D"/>
    <w:rsid w:val="00B65B06"/>
    <w:rsid w:val="00B660D6"/>
    <w:rsid w:val="00B6657B"/>
    <w:rsid w:val="00B66623"/>
    <w:rsid w:val="00B702B0"/>
    <w:rsid w:val="00B70D01"/>
    <w:rsid w:val="00B723A6"/>
    <w:rsid w:val="00B73496"/>
    <w:rsid w:val="00B73669"/>
    <w:rsid w:val="00B742F8"/>
    <w:rsid w:val="00B74D16"/>
    <w:rsid w:val="00B75C1E"/>
    <w:rsid w:val="00B76DB6"/>
    <w:rsid w:val="00B774F5"/>
    <w:rsid w:val="00B77BCD"/>
    <w:rsid w:val="00B77D65"/>
    <w:rsid w:val="00B8088A"/>
    <w:rsid w:val="00B80D79"/>
    <w:rsid w:val="00B81026"/>
    <w:rsid w:val="00B81D65"/>
    <w:rsid w:val="00B8235A"/>
    <w:rsid w:val="00B82E88"/>
    <w:rsid w:val="00B83756"/>
    <w:rsid w:val="00B847B0"/>
    <w:rsid w:val="00B8535A"/>
    <w:rsid w:val="00B8544F"/>
    <w:rsid w:val="00B854D6"/>
    <w:rsid w:val="00B85C39"/>
    <w:rsid w:val="00B862D6"/>
    <w:rsid w:val="00B86623"/>
    <w:rsid w:val="00B868E9"/>
    <w:rsid w:val="00B87578"/>
    <w:rsid w:val="00B87602"/>
    <w:rsid w:val="00B90009"/>
    <w:rsid w:val="00B908D5"/>
    <w:rsid w:val="00B90AE1"/>
    <w:rsid w:val="00B90E80"/>
    <w:rsid w:val="00B91432"/>
    <w:rsid w:val="00B9170D"/>
    <w:rsid w:val="00B92AB1"/>
    <w:rsid w:val="00B92D26"/>
    <w:rsid w:val="00B93037"/>
    <w:rsid w:val="00B93347"/>
    <w:rsid w:val="00B93E1E"/>
    <w:rsid w:val="00B9493F"/>
    <w:rsid w:val="00B952D3"/>
    <w:rsid w:val="00B95793"/>
    <w:rsid w:val="00B95A3B"/>
    <w:rsid w:val="00B96773"/>
    <w:rsid w:val="00B96E85"/>
    <w:rsid w:val="00B97FD8"/>
    <w:rsid w:val="00BA0546"/>
    <w:rsid w:val="00BA0D12"/>
    <w:rsid w:val="00BA0D68"/>
    <w:rsid w:val="00BA1E43"/>
    <w:rsid w:val="00BA2B46"/>
    <w:rsid w:val="00BA305D"/>
    <w:rsid w:val="00BA4DF9"/>
    <w:rsid w:val="00BA4E81"/>
    <w:rsid w:val="00BA5098"/>
    <w:rsid w:val="00BA568D"/>
    <w:rsid w:val="00BA5F2D"/>
    <w:rsid w:val="00BA62FB"/>
    <w:rsid w:val="00BA64E6"/>
    <w:rsid w:val="00BA71AB"/>
    <w:rsid w:val="00BA78A2"/>
    <w:rsid w:val="00BA7B48"/>
    <w:rsid w:val="00BB0285"/>
    <w:rsid w:val="00BB097C"/>
    <w:rsid w:val="00BB0D37"/>
    <w:rsid w:val="00BB33C3"/>
    <w:rsid w:val="00BB34F1"/>
    <w:rsid w:val="00BB35A5"/>
    <w:rsid w:val="00BB4796"/>
    <w:rsid w:val="00BB5C1C"/>
    <w:rsid w:val="00BB790C"/>
    <w:rsid w:val="00BB7AE9"/>
    <w:rsid w:val="00BB7BEA"/>
    <w:rsid w:val="00BB7FBA"/>
    <w:rsid w:val="00BC0CCD"/>
    <w:rsid w:val="00BC0CDE"/>
    <w:rsid w:val="00BC0D74"/>
    <w:rsid w:val="00BC0F99"/>
    <w:rsid w:val="00BC10BB"/>
    <w:rsid w:val="00BC1C47"/>
    <w:rsid w:val="00BC3474"/>
    <w:rsid w:val="00BC4684"/>
    <w:rsid w:val="00BC5480"/>
    <w:rsid w:val="00BC5A97"/>
    <w:rsid w:val="00BC5B24"/>
    <w:rsid w:val="00BC609A"/>
    <w:rsid w:val="00BC6264"/>
    <w:rsid w:val="00BC68AD"/>
    <w:rsid w:val="00BC730E"/>
    <w:rsid w:val="00BC74B0"/>
    <w:rsid w:val="00BC79AD"/>
    <w:rsid w:val="00BC7C67"/>
    <w:rsid w:val="00BD0289"/>
    <w:rsid w:val="00BD0BBB"/>
    <w:rsid w:val="00BD10AD"/>
    <w:rsid w:val="00BD21C8"/>
    <w:rsid w:val="00BD2457"/>
    <w:rsid w:val="00BD462B"/>
    <w:rsid w:val="00BD4A3A"/>
    <w:rsid w:val="00BD4BA3"/>
    <w:rsid w:val="00BD543F"/>
    <w:rsid w:val="00BD613D"/>
    <w:rsid w:val="00BD6845"/>
    <w:rsid w:val="00BD68B2"/>
    <w:rsid w:val="00BD6B10"/>
    <w:rsid w:val="00BD7CFB"/>
    <w:rsid w:val="00BE04DC"/>
    <w:rsid w:val="00BE11AD"/>
    <w:rsid w:val="00BE1963"/>
    <w:rsid w:val="00BE2148"/>
    <w:rsid w:val="00BE2621"/>
    <w:rsid w:val="00BE3172"/>
    <w:rsid w:val="00BE49E4"/>
    <w:rsid w:val="00BE4ACC"/>
    <w:rsid w:val="00BE66C5"/>
    <w:rsid w:val="00BE79D7"/>
    <w:rsid w:val="00BE7ADF"/>
    <w:rsid w:val="00BF16F9"/>
    <w:rsid w:val="00BF2157"/>
    <w:rsid w:val="00BF2432"/>
    <w:rsid w:val="00BF2BB1"/>
    <w:rsid w:val="00BF2FA9"/>
    <w:rsid w:val="00BF3FC9"/>
    <w:rsid w:val="00BF46BE"/>
    <w:rsid w:val="00BF4787"/>
    <w:rsid w:val="00BF5137"/>
    <w:rsid w:val="00BF58E6"/>
    <w:rsid w:val="00BF624B"/>
    <w:rsid w:val="00BF6E67"/>
    <w:rsid w:val="00BF7016"/>
    <w:rsid w:val="00C00888"/>
    <w:rsid w:val="00C023E9"/>
    <w:rsid w:val="00C03594"/>
    <w:rsid w:val="00C03F1F"/>
    <w:rsid w:val="00C0414B"/>
    <w:rsid w:val="00C05E4C"/>
    <w:rsid w:val="00C07F66"/>
    <w:rsid w:val="00C1060D"/>
    <w:rsid w:val="00C10660"/>
    <w:rsid w:val="00C1292A"/>
    <w:rsid w:val="00C13598"/>
    <w:rsid w:val="00C1385E"/>
    <w:rsid w:val="00C13BF4"/>
    <w:rsid w:val="00C145DA"/>
    <w:rsid w:val="00C14C4A"/>
    <w:rsid w:val="00C15DE8"/>
    <w:rsid w:val="00C164C0"/>
    <w:rsid w:val="00C17504"/>
    <w:rsid w:val="00C17F1B"/>
    <w:rsid w:val="00C20986"/>
    <w:rsid w:val="00C2105E"/>
    <w:rsid w:val="00C22D2D"/>
    <w:rsid w:val="00C245AC"/>
    <w:rsid w:val="00C24BD3"/>
    <w:rsid w:val="00C257AC"/>
    <w:rsid w:val="00C26972"/>
    <w:rsid w:val="00C27388"/>
    <w:rsid w:val="00C301E7"/>
    <w:rsid w:val="00C302C8"/>
    <w:rsid w:val="00C307DA"/>
    <w:rsid w:val="00C314CB"/>
    <w:rsid w:val="00C31D70"/>
    <w:rsid w:val="00C32A36"/>
    <w:rsid w:val="00C34532"/>
    <w:rsid w:val="00C357BE"/>
    <w:rsid w:val="00C35C0E"/>
    <w:rsid w:val="00C36410"/>
    <w:rsid w:val="00C37067"/>
    <w:rsid w:val="00C37661"/>
    <w:rsid w:val="00C40261"/>
    <w:rsid w:val="00C40D29"/>
    <w:rsid w:val="00C40D49"/>
    <w:rsid w:val="00C413DA"/>
    <w:rsid w:val="00C41D2E"/>
    <w:rsid w:val="00C42DA2"/>
    <w:rsid w:val="00C42E58"/>
    <w:rsid w:val="00C43296"/>
    <w:rsid w:val="00C43702"/>
    <w:rsid w:val="00C43CB8"/>
    <w:rsid w:val="00C44F1F"/>
    <w:rsid w:val="00C4544D"/>
    <w:rsid w:val="00C4572A"/>
    <w:rsid w:val="00C4661E"/>
    <w:rsid w:val="00C467AA"/>
    <w:rsid w:val="00C52A16"/>
    <w:rsid w:val="00C539FC"/>
    <w:rsid w:val="00C53C0E"/>
    <w:rsid w:val="00C553CB"/>
    <w:rsid w:val="00C554BC"/>
    <w:rsid w:val="00C55943"/>
    <w:rsid w:val="00C6063B"/>
    <w:rsid w:val="00C62258"/>
    <w:rsid w:val="00C62434"/>
    <w:rsid w:val="00C6271F"/>
    <w:rsid w:val="00C62DF7"/>
    <w:rsid w:val="00C62E4C"/>
    <w:rsid w:val="00C643D4"/>
    <w:rsid w:val="00C64E7E"/>
    <w:rsid w:val="00C65E16"/>
    <w:rsid w:val="00C664AD"/>
    <w:rsid w:val="00C66D5B"/>
    <w:rsid w:val="00C6753F"/>
    <w:rsid w:val="00C67D6F"/>
    <w:rsid w:val="00C703B6"/>
    <w:rsid w:val="00C704DF"/>
    <w:rsid w:val="00C70CDB"/>
    <w:rsid w:val="00C7171C"/>
    <w:rsid w:val="00C718D2"/>
    <w:rsid w:val="00C72302"/>
    <w:rsid w:val="00C72852"/>
    <w:rsid w:val="00C72C07"/>
    <w:rsid w:val="00C74AA9"/>
    <w:rsid w:val="00C75977"/>
    <w:rsid w:val="00C75F40"/>
    <w:rsid w:val="00C7773A"/>
    <w:rsid w:val="00C77822"/>
    <w:rsid w:val="00C811E2"/>
    <w:rsid w:val="00C81351"/>
    <w:rsid w:val="00C837C1"/>
    <w:rsid w:val="00C8494D"/>
    <w:rsid w:val="00C854C9"/>
    <w:rsid w:val="00C85DEC"/>
    <w:rsid w:val="00C862BD"/>
    <w:rsid w:val="00C86756"/>
    <w:rsid w:val="00C867B7"/>
    <w:rsid w:val="00C86B24"/>
    <w:rsid w:val="00C86FF9"/>
    <w:rsid w:val="00C874F5"/>
    <w:rsid w:val="00C906CA"/>
    <w:rsid w:val="00C92611"/>
    <w:rsid w:val="00C92D47"/>
    <w:rsid w:val="00C93FF9"/>
    <w:rsid w:val="00C951EB"/>
    <w:rsid w:val="00C953CD"/>
    <w:rsid w:val="00C95A55"/>
    <w:rsid w:val="00C9775E"/>
    <w:rsid w:val="00CA01D1"/>
    <w:rsid w:val="00CA09FC"/>
    <w:rsid w:val="00CA2428"/>
    <w:rsid w:val="00CA2AAD"/>
    <w:rsid w:val="00CA38F7"/>
    <w:rsid w:val="00CA4ACF"/>
    <w:rsid w:val="00CA5BA2"/>
    <w:rsid w:val="00CA5BEB"/>
    <w:rsid w:val="00CA5D58"/>
    <w:rsid w:val="00CA6A0F"/>
    <w:rsid w:val="00CA7E40"/>
    <w:rsid w:val="00CB0548"/>
    <w:rsid w:val="00CB087C"/>
    <w:rsid w:val="00CB09B5"/>
    <w:rsid w:val="00CB11E4"/>
    <w:rsid w:val="00CB1959"/>
    <w:rsid w:val="00CB1D22"/>
    <w:rsid w:val="00CB2C3B"/>
    <w:rsid w:val="00CB33C8"/>
    <w:rsid w:val="00CB3E65"/>
    <w:rsid w:val="00CB55C4"/>
    <w:rsid w:val="00CB5C6F"/>
    <w:rsid w:val="00CB603B"/>
    <w:rsid w:val="00CB642E"/>
    <w:rsid w:val="00CB7693"/>
    <w:rsid w:val="00CC11AF"/>
    <w:rsid w:val="00CC1E10"/>
    <w:rsid w:val="00CC4A57"/>
    <w:rsid w:val="00CC5D97"/>
    <w:rsid w:val="00CC7953"/>
    <w:rsid w:val="00CC799F"/>
    <w:rsid w:val="00CD0968"/>
    <w:rsid w:val="00CD1155"/>
    <w:rsid w:val="00CD1E9E"/>
    <w:rsid w:val="00CD2F0C"/>
    <w:rsid w:val="00CD4CBC"/>
    <w:rsid w:val="00CD54D5"/>
    <w:rsid w:val="00CD78BB"/>
    <w:rsid w:val="00CD7CE3"/>
    <w:rsid w:val="00CE0269"/>
    <w:rsid w:val="00CE05E9"/>
    <w:rsid w:val="00CE0B0F"/>
    <w:rsid w:val="00CE1B85"/>
    <w:rsid w:val="00CE27A3"/>
    <w:rsid w:val="00CE2CAA"/>
    <w:rsid w:val="00CE3451"/>
    <w:rsid w:val="00CE3943"/>
    <w:rsid w:val="00CE558E"/>
    <w:rsid w:val="00CE55FD"/>
    <w:rsid w:val="00CE60E9"/>
    <w:rsid w:val="00CE625F"/>
    <w:rsid w:val="00CE6807"/>
    <w:rsid w:val="00CE7C01"/>
    <w:rsid w:val="00CE7C46"/>
    <w:rsid w:val="00CF1033"/>
    <w:rsid w:val="00CF1C29"/>
    <w:rsid w:val="00CF228D"/>
    <w:rsid w:val="00CF3683"/>
    <w:rsid w:val="00CF38D0"/>
    <w:rsid w:val="00CF6853"/>
    <w:rsid w:val="00CF74D4"/>
    <w:rsid w:val="00CF7A8C"/>
    <w:rsid w:val="00CF7ED1"/>
    <w:rsid w:val="00D0024C"/>
    <w:rsid w:val="00D00D3D"/>
    <w:rsid w:val="00D024CF"/>
    <w:rsid w:val="00D026C9"/>
    <w:rsid w:val="00D02D13"/>
    <w:rsid w:val="00D03C44"/>
    <w:rsid w:val="00D0527E"/>
    <w:rsid w:val="00D05D9E"/>
    <w:rsid w:val="00D073C3"/>
    <w:rsid w:val="00D07834"/>
    <w:rsid w:val="00D10075"/>
    <w:rsid w:val="00D10242"/>
    <w:rsid w:val="00D104BC"/>
    <w:rsid w:val="00D105B2"/>
    <w:rsid w:val="00D106DC"/>
    <w:rsid w:val="00D11DD8"/>
    <w:rsid w:val="00D11F73"/>
    <w:rsid w:val="00D12053"/>
    <w:rsid w:val="00D12658"/>
    <w:rsid w:val="00D1322F"/>
    <w:rsid w:val="00D134E3"/>
    <w:rsid w:val="00D13C3D"/>
    <w:rsid w:val="00D13DA4"/>
    <w:rsid w:val="00D157FA"/>
    <w:rsid w:val="00D15ED1"/>
    <w:rsid w:val="00D16C0A"/>
    <w:rsid w:val="00D16CB6"/>
    <w:rsid w:val="00D16FF1"/>
    <w:rsid w:val="00D17656"/>
    <w:rsid w:val="00D20A0F"/>
    <w:rsid w:val="00D22C9F"/>
    <w:rsid w:val="00D2315A"/>
    <w:rsid w:val="00D23464"/>
    <w:rsid w:val="00D240C4"/>
    <w:rsid w:val="00D24262"/>
    <w:rsid w:val="00D24524"/>
    <w:rsid w:val="00D24B61"/>
    <w:rsid w:val="00D24C37"/>
    <w:rsid w:val="00D24EF5"/>
    <w:rsid w:val="00D25D47"/>
    <w:rsid w:val="00D272FB"/>
    <w:rsid w:val="00D30141"/>
    <w:rsid w:val="00D30226"/>
    <w:rsid w:val="00D302A2"/>
    <w:rsid w:val="00D30776"/>
    <w:rsid w:val="00D307C1"/>
    <w:rsid w:val="00D309D6"/>
    <w:rsid w:val="00D30DDC"/>
    <w:rsid w:val="00D31879"/>
    <w:rsid w:val="00D33C30"/>
    <w:rsid w:val="00D34D31"/>
    <w:rsid w:val="00D35CA9"/>
    <w:rsid w:val="00D36B68"/>
    <w:rsid w:val="00D36E36"/>
    <w:rsid w:val="00D376BA"/>
    <w:rsid w:val="00D4110E"/>
    <w:rsid w:val="00D41305"/>
    <w:rsid w:val="00D4217B"/>
    <w:rsid w:val="00D42993"/>
    <w:rsid w:val="00D429D6"/>
    <w:rsid w:val="00D42C85"/>
    <w:rsid w:val="00D42FE9"/>
    <w:rsid w:val="00D43283"/>
    <w:rsid w:val="00D44C3E"/>
    <w:rsid w:val="00D44DB4"/>
    <w:rsid w:val="00D45A57"/>
    <w:rsid w:val="00D4630A"/>
    <w:rsid w:val="00D46311"/>
    <w:rsid w:val="00D47715"/>
    <w:rsid w:val="00D540FB"/>
    <w:rsid w:val="00D553C6"/>
    <w:rsid w:val="00D55C9C"/>
    <w:rsid w:val="00D55FFF"/>
    <w:rsid w:val="00D56640"/>
    <w:rsid w:val="00D572DA"/>
    <w:rsid w:val="00D57447"/>
    <w:rsid w:val="00D57E9A"/>
    <w:rsid w:val="00D60435"/>
    <w:rsid w:val="00D60D8D"/>
    <w:rsid w:val="00D616CD"/>
    <w:rsid w:val="00D61BE1"/>
    <w:rsid w:val="00D62368"/>
    <w:rsid w:val="00D63037"/>
    <w:rsid w:val="00D63EFA"/>
    <w:rsid w:val="00D6506C"/>
    <w:rsid w:val="00D65520"/>
    <w:rsid w:val="00D65C3A"/>
    <w:rsid w:val="00D65C51"/>
    <w:rsid w:val="00D65DE2"/>
    <w:rsid w:val="00D66089"/>
    <w:rsid w:val="00D67852"/>
    <w:rsid w:val="00D71752"/>
    <w:rsid w:val="00D71972"/>
    <w:rsid w:val="00D719A6"/>
    <w:rsid w:val="00D7265C"/>
    <w:rsid w:val="00D7308B"/>
    <w:rsid w:val="00D75CA3"/>
    <w:rsid w:val="00D76C2C"/>
    <w:rsid w:val="00D772D0"/>
    <w:rsid w:val="00D777AD"/>
    <w:rsid w:val="00D77A7C"/>
    <w:rsid w:val="00D77F80"/>
    <w:rsid w:val="00D80B5D"/>
    <w:rsid w:val="00D80E2D"/>
    <w:rsid w:val="00D82F30"/>
    <w:rsid w:val="00D830F3"/>
    <w:rsid w:val="00D8313C"/>
    <w:rsid w:val="00D8316D"/>
    <w:rsid w:val="00D8356B"/>
    <w:rsid w:val="00D83A91"/>
    <w:rsid w:val="00D83CF4"/>
    <w:rsid w:val="00D856C1"/>
    <w:rsid w:val="00D860FB"/>
    <w:rsid w:val="00D86DF0"/>
    <w:rsid w:val="00D871F1"/>
    <w:rsid w:val="00D8736C"/>
    <w:rsid w:val="00D9067A"/>
    <w:rsid w:val="00D909E3"/>
    <w:rsid w:val="00D916FA"/>
    <w:rsid w:val="00D92098"/>
    <w:rsid w:val="00D9236C"/>
    <w:rsid w:val="00D92841"/>
    <w:rsid w:val="00D9384A"/>
    <w:rsid w:val="00D94506"/>
    <w:rsid w:val="00D945B9"/>
    <w:rsid w:val="00D958AC"/>
    <w:rsid w:val="00D95DEC"/>
    <w:rsid w:val="00D9710A"/>
    <w:rsid w:val="00D9758B"/>
    <w:rsid w:val="00D978BD"/>
    <w:rsid w:val="00DA0264"/>
    <w:rsid w:val="00DA0436"/>
    <w:rsid w:val="00DA0600"/>
    <w:rsid w:val="00DA08AA"/>
    <w:rsid w:val="00DA131E"/>
    <w:rsid w:val="00DA16C5"/>
    <w:rsid w:val="00DA18E9"/>
    <w:rsid w:val="00DA1DDE"/>
    <w:rsid w:val="00DA1EE0"/>
    <w:rsid w:val="00DA2214"/>
    <w:rsid w:val="00DA2F76"/>
    <w:rsid w:val="00DA43BF"/>
    <w:rsid w:val="00DA5724"/>
    <w:rsid w:val="00DA67E8"/>
    <w:rsid w:val="00DA77B1"/>
    <w:rsid w:val="00DB03B2"/>
    <w:rsid w:val="00DB03D7"/>
    <w:rsid w:val="00DB0477"/>
    <w:rsid w:val="00DB0A7B"/>
    <w:rsid w:val="00DB1388"/>
    <w:rsid w:val="00DB1B4F"/>
    <w:rsid w:val="00DB25D9"/>
    <w:rsid w:val="00DB349B"/>
    <w:rsid w:val="00DB41DF"/>
    <w:rsid w:val="00DB4FA9"/>
    <w:rsid w:val="00DB5A7B"/>
    <w:rsid w:val="00DB5F19"/>
    <w:rsid w:val="00DC009B"/>
    <w:rsid w:val="00DC0AC5"/>
    <w:rsid w:val="00DC0E64"/>
    <w:rsid w:val="00DC16AE"/>
    <w:rsid w:val="00DC21E9"/>
    <w:rsid w:val="00DC2543"/>
    <w:rsid w:val="00DC27FD"/>
    <w:rsid w:val="00DC28BC"/>
    <w:rsid w:val="00DC2D6D"/>
    <w:rsid w:val="00DC36EF"/>
    <w:rsid w:val="00DC3BD4"/>
    <w:rsid w:val="00DC452C"/>
    <w:rsid w:val="00DC477A"/>
    <w:rsid w:val="00DC4845"/>
    <w:rsid w:val="00DC4911"/>
    <w:rsid w:val="00DC4DB5"/>
    <w:rsid w:val="00DC639D"/>
    <w:rsid w:val="00DC6B52"/>
    <w:rsid w:val="00DC6F77"/>
    <w:rsid w:val="00DC75AB"/>
    <w:rsid w:val="00DC7621"/>
    <w:rsid w:val="00DC7810"/>
    <w:rsid w:val="00DC7CBB"/>
    <w:rsid w:val="00DD0721"/>
    <w:rsid w:val="00DD2BA7"/>
    <w:rsid w:val="00DD39BC"/>
    <w:rsid w:val="00DD4033"/>
    <w:rsid w:val="00DD4569"/>
    <w:rsid w:val="00DD4BA1"/>
    <w:rsid w:val="00DD50A7"/>
    <w:rsid w:val="00DD559E"/>
    <w:rsid w:val="00DD5E0D"/>
    <w:rsid w:val="00DD6177"/>
    <w:rsid w:val="00DD7812"/>
    <w:rsid w:val="00DD7E1E"/>
    <w:rsid w:val="00DE001B"/>
    <w:rsid w:val="00DE0ED8"/>
    <w:rsid w:val="00DE16D2"/>
    <w:rsid w:val="00DE184F"/>
    <w:rsid w:val="00DE2F30"/>
    <w:rsid w:val="00DE3B0D"/>
    <w:rsid w:val="00DE41C1"/>
    <w:rsid w:val="00DE43F9"/>
    <w:rsid w:val="00DE54E3"/>
    <w:rsid w:val="00DE5FEC"/>
    <w:rsid w:val="00DE6707"/>
    <w:rsid w:val="00DE6F46"/>
    <w:rsid w:val="00DE77CC"/>
    <w:rsid w:val="00DE7B82"/>
    <w:rsid w:val="00DF13AA"/>
    <w:rsid w:val="00DF1C61"/>
    <w:rsid w:val="00DF2DDA"/>
    <w:rsid w:val="00DF2E2E"/>
    <w:rsid w:val="00DF3AD3"/>
    <w:rsid w:val="00DF4336"/>
    <w:rsid w:val="00DF60C0"/>
    <w:rsid w:val="00DF6C40"/>
    <w:rsid w:val="00DF7E94"/>
    <w:rsid w:val="00E00FEF"/>
    <w:rsid w:val="00E02767"/>
    <w:rsid w:val="00E03242"/>
    <w:rsid w:val="00E034F7"/>
    <w:rsid w:val="00E03F97"/>
    <w:rsid w:val="00E04AF5"/>
    <w:rsid w:val="00E05311"/>
    <w:rsid w:val="00E05ABE"/>
    <w:rsid w:val="00E05AFA"/>
    <w:rsid w:val="00E07044"/>
    <w:rsid w:val="00E115D0"/>
    <w:rsid w:val="00E124DC"/>
    <w:rsid w:val="00E13104"/>
    <w:rsid w:val="00E14939"/>
    <w:rsid w:val="00E14BA9"/>
    <w:rsid w:val="00E15609"/>
    <w:rsid w:val="00E162EF"/>
    <w:rsid w:val="00E16435"/>
    <w:rsid w:val="00E16729"/>
    <w:rsid w:val="00E16F74"/>
    <w:rsid w:val="00E213F7"/>
    <w:rsid w:val="00E2159E"/>
    <w:rsid w:val="00E23505"/>
    <w:rsid w:val="00E25E51"/>
    <w:rsid w:val="00E2662E"/>
    <w:rsid w:val="00E274F0"/>
    <w:rsid w:val="00E30707"/>
    <w:rsid w:val="00E30A36"/>
    <w:rsid w:val="00E30EE5"/>
    <w:rsid w:val="00E3283D"/>
    <w:rsid w:val="00E328B3"/>
    <w:rsid w:val="00E32F8E"/>
    <w:rsid w:val="00E33496"/>
    <w:rsid w:val="00E33588"/>
    <w:rsid w:val="00E3433F"/>
    <w:rsid w:val="00E3553D"/>
    <w:rsid w:val="00E35D21"/>
    <w:rsid w:val="00E36C99"/>
    <w:rsid w:val="00E37F59"/>
    <w:rsid w:val="00E4171B"/>
    <w:rsid w:val="00E4354A"/>
    <w:rsid w:val="00E43FBF"/>
    <w:rsid w:val="00E4408C"/>
    <w:rsid w:val="00E457A2"/>
    <w:rsid w:val="00E45833"/>
    <w:rsid w:val="00E472C7"/>
    <w:rsid w:val="00E47581"/>
    <w:rsid w:val="00E47FB5"/>
    <w:rsid w:val="00E50E1A"/>
    <w:rsid w:val="00E511B1"/>
    <w:rsid w:val="00E512D2"/>
    <w:rsid w:val="00E523AA"/>
    <w:rsid w:val="00E53759"/>
    <w:rsid w:val="00E54698"/>
    <w:rsid w:val="00E55E7B"/>
    <w:rsid w:val="00E56937"/>
    <w:rsid w:val="00E56D16"/>
    <w:rsid w:val="00E611EE"/>
    <w:rsid w:val="00E6231B"/>
    <w:rsid w:val="00E62A7E"/>
    <w:rsid w:val="00E62B29"/>
    <w:rsid w:val="00E63280"/>
    <w:rsid w:val="00E63726"/>
    <w:rsid w:val="00E64C65"/>
    <w:rsid w:val="00E66128"/>
    <w:rsid w:val="00E670D9"/>
    <w:rsid w:val="00E6711B"/>
    <w:rsid w:val="00E67327"/>
    <w:rsid w:val="00E67FDA"/>
    <w:rsid w:val="00E701CB"/>
    <w:rsid w:val="00E71AEB"/>
    <w:rsid w:val="00E71D32"/>
    <w:rsid w:val="00E71F5A"/>
    <w:rsid w:val="00E72FE8"/>
    <w:rsid w:val="00E734B5"/>
    <w:rsid w:val="00E73548"/>
    <w:rsid w:val="00E73659"/>
    <w:rsid w:val="00E73BBC"/>
    <w:rsid w:val="00E73BE7"/>
    <w:rsid w:val="00E740FD"/>
    <w:rsid w:val="00E742BF"/>
    <w:rsid w:val="00E74AF7"/>
    <w:rsid w:val="00E74C58"/>
    <w:rsid w:val="00E757FA"/>
    <w:rsid w:val="00E75CAC"/>
    <w:rsid w:val="00E76F2C"/>
    <w:rsid w:val="00E77356"/>
    <w:rsid w:val="00E77B53"/>
    <w:rsid w:val="00E80560"/>
    <w:rsid w:val="00E80616"/>
    <w:rsid w:val="00E828FE"/>
    <w:rsid w:val="00E83786"/>
    <w:rsid w:val="00E83AE3"/>
    <w:rsid w:val="00E846E4"/>
    <w:rsid w:val="00E84976"/>
    <w:rsid w:val="00E84F48"/>
    <w:rsid w:val="00E85021"/>
    <w:rsid w:val="00E85115"/>
    <w:rsid w:val="00E85B13"/>
    <w:rsid w:val="00E867F4"/>
    <w:rsid w:val="00E86CE6"/>
    <w:rsid w:val="00E8706A"/>
    <w:rsid w:val="00E876A0"/>
    <w:rsid w:val="00E90055"/>
    <w:rsid w:val="00E911D3"/>
    <w:rsid w:val="00E923A6"/>
    <w:rsid w:val="00E92D12"/>
    <w:rsid w:val="00E93334"/>
    <w:rsid w:val="00E94A8E"/>
    <w:rsid w:val="00E97F72"/>
    <w:rsid w:val="00EA00CE"/>
    <w:rsid w:val="00EA2687"/>
    <w:rsid w:val="00EA3031"/>
    <w:rsid w:val="00EA3560"/>
    <w:rsid w:val="00EA38D5"/>
    <w:rsid w:val="00EA48D9"/>
    <w:rsid w:val="00EA4B8E"/>
    <w:rsid w:val="00EA5405"/>
    <w:rsid w:val="00EA6A66"/>
    <w:rsid w:val="00EA7817"/>
    <w:rsid w:val="00EA7DA3"/>
    <w:rsid w:val="00EB0C74"/>
    <w:rsid w:val="00EB0D3A"/>
    <w:rsid w:val="00EB2FA8"/>
    <w:rsid w:val="00EB32A1"/>
    <w:rsid w:val="00EB3D9F"/>
    <w:rsid w:val="00EB41BF"/>
    <w:rsid w:val="00EB4537"/>
    <w:rsid w:val="00EB4B55"/>
    <w:rsid w:val="00EB5EF0"/>
    <w:rsid w:val="00EB6613"/>
    <w:rsid w:val="00EB66FE"/>
    <w:rsid w:val="00EB676F"/>
    <w:rsid w:val="00EB6FDB"/>
    <w:rsid w:val="00EB71D3"/>
    <w:rsid w:val="00EB7443"/>
    <w:rsid w:val="00EC0060"/>
    <w:rsid w:val="00EC00DF"/>
    <w:rsid w:val="00EC0F14"/>
    <w:rsid w:val="00EC1031"/>
    <w:rsid w:val="00EC20E0"/>
    <w:rsid w:val="00EC2637"/>
    <w:rsid w:val="00EC441F"/>
    <w:rsid w:val="00EC5584"/>
    <w:rsid w:val="00EC658C"/>
    <w:rsid w:val="00EC6D60"/>
    <w:rsid w:val="00EC6E79"/>
    <w:rsid w:val="00EC6ED0"/>
    <w:rsid w:val="00EC7261"/>
    <w:rsid w:val="00EC76C8"/>
    <w:rsid w:val="00EC7940"/>
    <w:rsid w:val="00EC7B84"/>
    <w:rsid w:val="00EC7E9C"/>
    <w:rsid w:val="00ED029F"/>
    <w:rsid w:val="00ED0E45"/>
    <w:rsid w:val="00ED1EEC"/>
    <w:rsid w:val="00ED3E98"/>
    <w:rsid w:val="00ED42D7"/>
    <w:rsid w:val="00ED4775"/>
    <w:rsid w:val="00ED5171"/>
    <w:rsid w:val="00ED7115"/>
    <w:rsid w:val="00EE0C13"/>
    <w:rsid w:val="00EE0D84"/>
    <w:rsid w:val="00EE1059"/>
    <w:rsid w:val="00EE1BD7"/>
    <w:rsid w:val="00EE303A"/>
    <w:rsid w:val="00EE31CC"/>
    <w:rsid w:val="00EE41F4"/>
    <w:rsid w:val="00EE4B93"/>
    <w:rsid w:val="00EE58B4"/>
    <w:rsid w:val="00EE5BE3"/>
    <w:rsid w:val="00EE611C"/>
    <w:rsid w:val="00EE66B9"/>
    <w:rsid w:val="00EE6D58"/>
    <w:rsid w:val="00EE713E"/>
    <w:rsid w:val="00EE7AFD"/>
    <w:rsid w:val="00EF0C8C"/>
    <w:rsid w:val="00EF1943"/>
    <w:rsid w:val="00EF19F3"/>
    <w:rsid w:val="00EF251E"/>
    <w:rsid w:val="00EF26FB"/>
    <w:rsid w:val="00EF2813"/>
    <w:rsid w:val="00EF3780"/>
    <w:rsid w:val="00EF43DB"/>
    <w:rsid w:val="00EF5432"/>
    <w:rsid w:val="00EF5D30"/>
    <w:rsid w:val="00EF6188"/>
    <w:rsid w:val="00EF6DF6"/>
    <w:rsid w:val="00EF7B65"/>
    <w:rsid w:val="00F009AE"/>
    <w:rsid w:val="00F00E76"/>
    <w:rsid w:val="00F013BC"/>
    <w:rsid w:val="00F01716"/>
    <w:rsid w:val="00F04E02"/>
    <w:rsid w:val="00F11504"/>
    <w:rsid w:val="00F11BA0"/>
    <w:rsid w:val="00F12705"/>
    <w:rsid w:val="00F12986"/>
    <w:rsid w:val="00F13B21"/>
    <w:rsid w:val="00F13C8B"/>
    <w:rsid w:val="00F13CD5"/>
    <w:rsid w:val="00F1606C"/>
    <w:rsid w:val="00F169BA"/>
    <w:rsid w:val="00F17A43"/>
    <w:rsid w:val="00F17F82"/>
    <w:rsid w:val="00F202A4"/>
    <w:rsid w:val="00F20563"/>
    <w:rsid w:val="00F20E07"/>
    <w:rsid w:val="00F22377"/>
    <w:rsid w:val="00F22870"/>
    <w:rsid w:val="00F24076"/>
    <w:rsid w:val="00F24CAF"/>
    <w:rsid w:val="00F2522F"/>
    <w:rsid w:val="00F25BF8"/>
    <w:rsid w:val="00F27136"/>
    <w:rsid w:val="00F30A00"/>
    <w:rsid w:val="00F314F9"/>
    <w:rsid w:val="00F31D35"/>
    <w:rsid w:val="00F31E01"/>
    <w:rsid w:val="00F32BD4"/>
    <w:rsid w:val="00F32CF1"/>
    <w:rsid w:val="00F333BA"/>
    <w:rsid w:val="00F33E79"/>
    <w:rsid w:val="00F34545"/>
    <w:rsid w:val="00F35A12"/>
    <w:rsid w:val="00F373C9"/>
    <w:rsid w:val="00F40133"/>
    <w:rsid w:val="00F40784"/>
    <w:rsid w:val="00F433C8"/>
    <w:rsid w:val="00F449B5"/>
    <w:rsid w:val="00F453C9"/>
    <w:rsid w:val="00F464E9"/>
    <w:rsid w:val="00F46710"/>
    <w:rsid w:val="00F46A19"/>
    <w:rsid w:val="00F51CC0"/>
    <w:rsid w:val="00F5262B"/>
    <w:rsid w:val="00F52DC3"/>
    <w:rsid w:val="00F534FD"/>
    <w:rsid w:val="00F53F3D"/>
    <w:rsid w:val="00F54B31"/>
    <w:rsid w:val="00F55198"/>
    <w:rsid w:val="00F554AB"/>
    <w:rsid w:val="00F559DC"/>
    <w:rsid w:val="00F55C1B"/>
    <w:rsid w:val="00F56F69"/>
    <w:rsid w:val="00F5753B"/>
    <w:rsid w:val="00F5777E"/>
    <w:rsid w:val="00F60467"/>
    <w:rsid w:val="00F604F2"/>
    <w:rsid w:val="00F607EA"/>
    <w:rsid w:val="00F6191E"/>
    <w:rsid w:val="00F61BD0"/>
    <w:rsid w:val="00F62DC2"/>
    <w:rsid w:val="00F638B8"/>
    <w:rsid w:val="00F63B9B"/>
    <w:rsid w:val="00F63C5B"/>
    <w:rsid w:val="00F662FB"/>
    <w:rsid w:val="00F6677B"/>
    <w:rsid w:val="00F66DCA"/>
    <w:rsid w:val="00F67386"/>
    <w:rsid w:val="00F67586"/>
    <w:rsid w:val="00F709BF"/>
    <w:rsid w:val="00F71E6A"/>
    <w:rsid w:val="00F726AF"/>
    <w:rsid w:val="00F73111"/>
    <w:rsid w:val="00F746BE"/>
    <w:rsid w:val="00F747ED"/>
    <w:rsid w:val="00F74F66"/>
    <w:rsid w:val="00F7526D"/>
    <w:rsid w:val="00F755C0"/>
    <w:rsid w:val="00F75C10"/>
    <w:rsid w:val="00F75FD0"/>
    <w:rsid w:val="00F77D83"/>
    <w:rsid w:val="00F77E43"/>
    <w:rsid w:val="00F80B7B"/>
    <w:rsid w:val="00F81C78"/>
    <w:rsid w:val="00F8261B"/>
    <w:rsid w:val="00F83279"/>
    <w:rsid w:val="00F83FC5"/>
    <w:rsid w:val="00F84152"/>
    <w:rsid w:val="00F85A55"/>
    <w:rsid w:val="00F862CB"/>
    <w:rsid w:val="00F86724"/>
    <w:rsid w:val="00F86B68"/>
    <w:rsid w:val="00F87807"/>
    <w:rsid w:val="00F87EA2"/>
    <w:rsid w:val="00F9136E"/>
    <w:rsid w:val="00F9193B"/>
    <w:rsid w:val="00F91973"/>
    <w:rsid w:val="00F91FB6"/>
    <w:rsid w:val="00F9231D"/>
    <w:rsid w:val="00F93D8B"/>
    <w:rsid w:val="00F956EC"/>
    <w:rsid w:val="00F95FB2"/>
    <w:rsid w:val="00F962E2"/>
    <w:rsid w:val="00F96EBE"/>
    <w:rsid w:val="00F970D5"/>
    <w:rsid w:val="00F974D4"/>
    <w:rsid w:val="00F97AE5"/>
    <w:rsid w:val="00FA03C8"/>
    <w:rsid w:val="00FA1582"/>
    <w:rsid w:val="00FA1EB1"/>
    <w:rsid w:val="00FA2AA7"/>
    <w:rsid w:val="00FA35EE"/>
    <w:rsid w:val="00FA4B64"/>
    <w:rsid w:val="00FA78AE"/>
    <w:rsid w:val="00FA7CEE"/>
    <w:rsid w:val="00FB0B87"/>
    <w:rsid w:val="00FB10AC"/>
    <w:rsid w:val="00FB1A59"/>
    <w:rsid w:val="00FB1E6B"/>
    <w:rsid w:val="00FB262A"/>
    <w:rsid w:val="00FB2C5C"/>
    <w:rsid w:val="00FB330F"/>
    <w:rsid w:val="00FB3429"/>
    <w:rsid w:val="00FB3A53"/>
    <w:rsid w:val="00FB468D"/>
    <w:rsid w:val="00FB59C2"/>
    <w:rsid w:val="00FB606F"/>
    <w:rsid w:val="00FB68A8"/>
    <w:rsid w:val="00FB7637"/>
    <w:rsid w:val="00FB79E9"/>
    <w:rsid w:val="00FB7C19"/>
    <w:rsid w:val="00FB7CB7"/>
    <w:rsid w:val="00FC1102"/>
    <w:rsid w:val="00FC20CF"/>
    <w:rsid w:val="00FC2E9C"/>
    <w:rsid w:val="00FC3430"/>
    <w:rsid w:val="00FC395B"/>
    <w:rsid w:val="00FC53BD"/>
    <w:rsid w:val="00FC66FA"/>
    <w:rsid w:val="00FC7968"/>
    <w:rsid w:val="00FD0174"/>
    <w:rsid w:val="00FD0358"/>
    <w:rsid w:val="00FD0F61"/>
    <w:rsid w:val="00FD109E"/>
    <w:rsid w:val="00FD172E"/>
    <w:rsid w:val="00FD19F9"/>
    <w:rsid w:val="00FD3211"/>
    <w:rsid w:val="00FD3509"/>
    <w:rsid w:val="00FD3AF2"/>
    <w:rsid w:val="00FD3B61"/>
    <w:rsid w:val="00FD3EB1"/>
    <w:rsid w:val="00FD4915"/>
    <w:rsid w:val="00FD58DC"/>
    <w:rsid w:val="00FD5FA2"/>
    <w:rsid w:val="00FD6D6A"/>
    <w:rsid w:val="00FD6F29"/>
    <w:rsid w:val="00FD7366"/>
    <w:rsid w:val="00FE1BBD"/>
    <w:rsid w:val="00FE3233"/>
    <w:rsid w:val="00FE4213"/>
    <w:rsid w:val="00FE468E"/>
    <w:rsid w:val="00FE4A60"/>
    <w:rsid w:val="00FE4B55"/>
    <w:rsid w:val="00FE4CD8"/>
    <w:rsid w:val="00FE51FB"/>
    <w:rsid w:val="00FE568A"/>
    <w:rsid w:val="00FE695A"/>
    <w:rsid w:val="00FE6BA2"/>
    <w:rsid w:val="00FE7535"/>
    <w:rsid w:val="00FF018E"/>
    <w:rsid w:val="00FF0DD7"/>
    <w:rsid w:val="00FF241C"/>
    <w:rsid w:val="00FF2F2A"/>
    <w:rsid w:val="00FF44A2"/>
    <w:rsid w:val="00FF4B02"/>
    <w:rsid w:val="00FF5254"/>
    <w:rsid w:val="00FF54F8"/>
    <w:rsid w:val="00FF606F"/>
    <w:rsid w:val="00FF6810"/>
    <w:rsid w:val="00FF6ECD"/>
    <w:rsid w:val="00FF6FC0"/>
    <w:rsid w:val="00FF7009"/>
    <w:rsid w:val="00FF706D"/>
    <w:rsid w:val="00FF7159"/>
    <w:rsid w:val="00FF7C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9F0D51F"/>
  <w15:docId w15:val="{BBB77BAE-762A-4CF6-8641-6B6CBEEB0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781"/>
    <w:rPr>
      <w:rFonts w:ascii="Tahoma" w:hAnsi="Tahoma"/>
      <w:sz w:val="24"/>
      <w:szCs w:val="24"/>
      <w:lang w:eastAsia="en-US"/>
    </w:rPr>
  </w:style>
  <w:style w:type="paragraph" w:styleId="Heading1">
    <w:name w:val="heading 1"/>
    <w:aliases w:val="Titol 1,Outline1,Title_1"/>
    <w:basedOn w:val="Normal"/>
    <w:next w:val="Normal"/>
    <w:link w:val="Heading1Char"/>
    <w:uiPriority w:val="99"/>
    <w:qFormat/>
    <w:rsid w:val="002D01FD"/>
    <w:pPr>
      <w:keepNext/>
      <w:numPr>
        <w:numId w:val="6"/>
      </w:numPr>
      <w:spacing w:before="240" w:after="240"/>
      <w:outlineLvl w:val="0"/>
    </w:pPr>
    <w:rPr>
      <w:rFonts w:ascii="Arial" w:hAnsi="Arial"/>
      <w:b/>
      <w:bCs/>
      <w:kern w:val="32"/>
      <w:sz w:val="32"/>
      <w:szCs w:val="32"/>
      <w:lang w:val="x-none" w:eastAsia="x-none"/>
    </w:rPr>
  </w:style>
  <w:style w:type="paragraph" w:styleId="Heading2">
    <w:name w:val="heading 2"/>
    <w:aliases w:val="Heading two,Heading 2 Char1 Char,Heading 2 Char Char Char,Heading two Char Char Char,Heading two Char1 Char,titel 2"/>
    <w:basedOn w:val="Normal"/>
    <w:next w:val="Normal"/>
    <w:link w:val="Heading2Char"/>
    <w:uiPriority w:val="99"/>
    <w:qFormat/>
    <w:rsid w:val="00A35164"/>
    <w:pPr>
      <w:keepNext/>
      <w:numPr>
        <w:ilvl w:val="1"/>
        <w:numId w:val="6"/>
      </w:numPr>
      <w:spacing w:before="360" w:after="240"/>
      <w:outlineLvl w:val="1"/>
    </w:pPr>
    <w:rPr>
      <w:rFonts w:ascii="Arial" w:hAnsi="Arial"/>
      <w:b/>
      <w:bCs/>
      <w:iCs/>
      <w:sz w:val="28"/>
      <w:szCs w:val="28"/>
      <w:lang w:val="x-none"/>
    </w:rPr>
  </w:style>
  <w:style w:type="paragraph" w:styleId="Heading3">
    <w:name w:val="heading 3"/>
    <w:aliases w:val="Outline3,OLD Heading 3,titel 3"/>
    <w:basedOn w:val="Normal"/>
    <w:next w:val="Normal"/>
    <w:link w:val="Heading3Char"/>
    <w:uiPriority w:val="99"/>
    <w:qFormat/>
    <w:rsid w:val="00A35164"/>
    <w:pPr>
      <w:keepNext/>
      <w:numPr>
        <w:ilvl w:val="2"/>
        <w:numId w:val="6"/>
      </w:numPr>
      <w:spacing w:before="360" w:after="120"/>
      <w:outlineLvl w:val="2"/>
    </w:pPr>
    <w:rPr>
      <w:rFonts w:ascii="Arial" w:hAnsi="Arial"/>
      <w:b/>
      <w:bCs/>
      <w:szCs w:val="26"/>
      <w:lang w:val="x-none" w:eastAsia="x-none"/>
    </w:rPr>
  </w:style>
  <w:style w:type="paragraph" w:styleId="Heading4">
    <w:name w:val="heading 4"/>
    <w:basedOn w:val="Normal"/>
    <w:next w:val="Normal"/>
    <w:link w:val="Heading4Char"/>
    <w:uiPriority w:val="99"/>
    <w:qFormat/>
    <w:rsid w:val="00B62CE6"/>
    <w:pPr>
      <w:keepNext/>
      <w:numPr>
        <w:ilvl w:val="3"/>
        <w:numId w:val="6"/>
      </w:numPr>
      <w:jc w:val="center"/>
      <w:outlineLvl w:val="3"/>
    </w:pPr>
    <w:rPr>
      <w:rFonts w:ascii="Times New Roman" w:hAnsi="Times New Roman"/>
      <w:b/>
      <w:bCs/>
      <w:sz w:val="28"/>
      <w:szCs w:val="28"/>
      <w:lang w:val="x-none" w:eastAsia="x-none"/>
    </w:rPr>
  </w:style>
  <w:style w:type="paragraph" w:styleId="Heading5">
    <w:name w:val="heading 5"/>
    <w:basedOn w:val="Normal"/>
    <w:next w:val="Normal"/>
    <w:link w:val="Heading5Char"/>
    <w:uiPriority w:val="99"/>
    <w:qFormat/>
    <w:rsid w:val="00B62CE6"/>
    <w:pPr>
      <w:numPr>
        <w:ilvl w:val="4"/>
        <w:numId w:val="6"/>
      </w:numPr>
      <w:spacing w:before="240" w:after="60"/>
      <w:outlineLvl w:val="4"/>
    </w:pPr>
    <w:rPr>
      <w:rFonts w:ascii="Times New Roman" w:hAnsi="Times New Roman"/>
      <w:b/>
      <w:bCs/>
      <w:i/>
      <w:iCs/>
      <w:sz w:val="26"/>
      <w:szCs w:val="26"/>
      <w:lang w:val="x-none" w:eastAsia="x-none"/>
    </w:rPr>
  </w:style>
  <w:style w:type="paragraph" w:styleId="Heading6">
    <w:name w:val="heading 6"/>
    <w:aliases w:val="dontUse,dontUse1,dontUse2,dontUse3,dontUse4,dontUse11,dontUse21,dontUse31,dontUse5,dontUse6,dontUse12,dontUse22,dontUse32,dontUse41,dontUse111,dontUse211,dontUse311,dontUse51,dontUse7,dontUse13,dontUse23,dontUse33,dontUse42,dontUse112"/>
    <w:basedOn w:val="Normal"/>
    <w:next w:val="Normal"/>
    <w:link w:val="Heading6Char"/>
    <w:uiPriority w:val="99"/>
    <w:qFormat/>
    <w:rsid w:val="00B62CE6"/>
    <w:pPr>
      <w:keepNext/>
      <w:numPr>
        <w:ilvl w:val="5"/>
        <w:numId w:val="6"/>
      </w:numPr>
      <w:outlineLvl w:val="5"/>
    </w:pPr>
    <w:rPr>
      <w:rFonts w:ascii="Times New Roman" w:hAnsi="Times New Roman"/>
      <w:sz w:val="18"/>
      <w:szCs w:val="18"/>
      <w:lang w:val="x-none" w:eastAsia="x-none"/>
    </w:rPr>
  </w:style>
  <w:style w:type="paragraph" w:styleId="Heading7">
    <w:name w:val="heading 7"/>
    <w:aliases w:val="DontUse!,DontUse!1,DontUse!2,DontUse!3,DontUse!4,DontUse!5,DontUse!11,DontUse!21,DontUse!31,DontUse!41,DontUse!6,DontUse!7,DontUse!12,DontUse!22,DontUse!32,DontUse!42,DontUse!51,DontUse!111,DontUse!211,DontUse!311,DontUse!411,DontUse!61"/>
    <w:basedOn w:val="Normal"/>
    <w:next w:val="Normal"/>
    <w:link w:val="Heading7Char"/>
    <w:uiPriority w:val="99"/>
    <w:qFormat/>
    <w:rsid w:val="00B62CE6"/>
    <w:pPr>
      <w:numPr>
        <w:ilvl w:val="6"/>
        <w:numId w:val="6"/>
      </w:numPr>
      <w:spacing w:before="240" w:after="60"/>
      <w:outlineLvl w:val="6"/>
    </w:pPr>
    <w:rPr>
      <w:rFonts w:ascii="Times New Roman" w:hAnsi="Times New Roman"/>
      <w:lang w:val="x-none" w:eastAsia="fr-FR"/>
    </w:rPr>
  </w:style>
  <w:style w:type="paragraph" w:styleId="Heading8">
    <w:name w:val="heading 8"/>
    <w:basedOn w:val="Normal"/>
    <w:next w:val="Normal"/>
    <w:link w:val="Heading8Char"/>
    <w:uiPriority w:val="99"/>
    <w:qFormat/>
    <w:rsid w:val="00B62CE6"/>
    <w:pPr>
      <w:keepNext/>
      <w:numPr>
        <w:ilvl w:val="7"/>
        <w:numId w:val="6"/>
      </w:numPr>
      <w:spacing w:before="60"/>
      <w:jc w:val="both"/>
      <w:outlineLvl w:val="7"/>
    </w:pPr>
    <w:rPr>
      <w:rFonts w:ascii="Times New Roman" w:hAnsi="Times New Roman"/>
      <w:b/>
      <w:bCs/>
      <w:lang w:val="x-none" w:eastAsia="x-none"/>
    </w:rPr>
  </w:style>
  <w:style w:type="paragraph" w:styleId="Heading9">
    <w:name w:val="heading 9"/>
    <w:basedOn w:val="Normal"/>
    <w:next w:val="Normal"/>
    <w:link w:val="Heading9Char"/>
    <w:uiPriority w:val="99"/>
    <w:qFormat/>
    <w:rsid w:val="00B62CE6"/>
    <w:pPr>
      <w:keepNext/>
      <w:numPr>
        <w:ilvl w:val="8"/>
        <w:numId w:val="6"/>
      </w:numPr>
      <w:jc w:val="center"/>
      <w:outlineLvl w:val="8"/>
    </w:pPr>
    <w:rPr>
      <w:rFonts w:ascii="Arial" w:hAnsi="Arial"/>
      <w:b/>
      <w:bCs/>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ol 1 Char,Outline1 Char,Title_1 Char"/>
    <w:link w:val="Heading1"/>
    <w:uiPriority w:val="99"/>
    <w:locked/>
    <w:rsid w:val="002D01FD"/>
    <w:rPr>
      <w:rFonts w:ascii="Arial" w:hAnsi="Arial"/>
      <w:b/>
      <w:bCs/>
      <w:kern w:val="32"/>
      <w:sz w:val="32"/>
      <w:szCs w:val="32"/>
      <w:lang w:val="x-none" w:eastAsia="x-none"/>
    </w:rPr>
  </w:style>
  <w:style w:type="character" w:customStyle="1" w:styleId="Heading2Char">
    <w:name w:val="Heading 2 Char"/>
    <w:aliases w:val="Heading two Char,Heading 2 Char1 Char Char,Heading 2 Char Char Char Char,Heading two Char Char Char Char,Heading two Char1 Char Char,titel 2 Char"/>
    <w:link w:val="Heading2"/>
    <w:uiPriority w:val="99"/>
    <w:locked/>
    <w:rsid w:val="004A05A3"/>
    <w:rPr>
      <w:rFonts w:ascii="Arial" w:hAnsi="Arial"/>
      <w:b/>
      <w:bCs/>
      <w:iCs/>
      <w:sz w:val="28"/>
      <w:szCs w:val="28"/>
      <w:lang w:val="x-none" w:eastAsia="en-US"/>
    </w:rPr>
  </w:style>
  <w:style w:type="character" w:customStyle="1" w:styleId="Heading3Char">
    <w:name w:val="Heading 3 Char"/>
    <w:aliases w:val="Outline3 Char,OLD Heading 3 Char,titel 3 Char"/>
    <w:link w:val="Heading3"/>
    <w:uiPriority w:val="99"/>
    <w:locked/>
    <w:rsid w:val="00746833"/>
    <w:rPr>
      <w:rFonts w:ascii="Arial" w:hAnsi="Arial"/>
      <w:b/>
      <w:bCs/>
      <w:sz w:val="24"/>
      <w:szCs w:val="26"/>
      <w:lang w:val="x-none" w:eastAsia="x-none"/>
    </w:rPr>
  </w:style>
  <w:style w:type="character" w:customStyle="1" w:styleId="Heading4Char">
    <w:name w:val="Heading 4 Char"/>
    <w:link w:val="Heading4"/>
    <w:uiPriority w:val="99"/>
    <w:locked/>
    <w:rsid w:val="00746833"/>
    <w:rPr>
      <w:b/>
      <w:bCs/>
      <w:sz w:val="28"/>
      <w:szCs w:val="28"/>
      <w:lang w:val="x-none" w:eastAsia="x-none"/>
    </w:rPr>
  </w:style>
  <w:style w:type="character" w:customStyle="1" w:styleId="Heading5Char">
    <w:name w:val="Heading 5 Char"/>
    <w:link w:val="Heading5"/>
    <w:uiPriority w:val="99"/>
    <w:locked/>
    <w:rsid w:val="00746833"/>
    <w:rPr>
      <w:b/>
      <w:bCs/>
      <w:i/>
      <w:iCs/>
      <w:sz w:val="26"/>
      <w:szCs w:val="26"/>
      <w:lang w:val="x-none" w:eastAsia="x-none"/>
    </w:rPr>
  </w:style>
  <w:style w:type="character" w:customStyle="1" w:styleId="Heading6Char">
    <w:name w:val="Heading 6 Char"/>
    <w:aliases w:val="dontUse Char,dontUse1 Char,dontUse2 Char,dontUse3 Char,dontUse4 Char,dontUse11 Char,dontUse21 Char,dontUse31 Char,dontUse5 Char,dontUse6 Char,dontUse12 Char,dontUse22 Char,dontUse32 Char,dontUse41 Char,dontUse111 Char,dontUse211 Char"/>
    <w:link w:val="Heading6"/>
    <w:uiPriority w:val="99"/>
    <w:locked/>
    <w:rsid w:val="005A02F1"/>
    <w:rPr>
      <w:sz w:val="18"/>
      <w:szCs w:val="18"/>
      <w:lang w:val="x-none" w:eastAsia="x-none"/>
    </w:rPr>
  </w:style>
  <w:style w:type="character" w:customStyle="1" w:styleId="Heading7Char">
    <w:name w:val="Heading 7 Char"/>
    <w:aliases w:val="DontUse! Char,DontUse!1 Char,DontUse!2 Char,DontUse!3 Char,DontUse!4 Char,DontUse!5 Char,DontUse!11 Char,DontUse!21 Char,DontUse!31 Char,DontUse!41 Char,DontUse!6 Char,DontUse!7 Char,DontUse!12 Char,DontUse!22 Char,DontUse!32 Char"/>
    <w:link w:val="Heading7"/>
    <w:uiPriority w:val="99"/>
    <w:locked/>
    <w:rsid w:val="00746833"/>
    <w:rPr>
      <w:sz w:val="24"/>
      <w:szCs w:val="24"/>
      <w:lang w:val="x-none" w:eastAsia="fr-FR"/>
    </w:rPr>
  </w:style>
  <w:style w:type="character" w:customStyle="1" w:styleId="Heading8Char">
    <w:name w:val="Heading 8 Char"/>
    <w:link w:val="Heading8"/>
    <w:uiPriority w:val="99"/>
    <w:locked/>
    <w:rsid w:val="00746833"/>
    <w:rPr>
      <w:b/>
      <w:bCs/>
      <w:sz w:val="24"/>
      <w:szCs w:val="24"/>
      <w:lang w:val="x-none" w:eastAsia="x-none"/>
    </w:rPr>
  </w:style>
  <w:style w:type="character" w:customStyle="1" w:styleId="Heading9Char">
    <w:name w:val="Heading 9 Char"/>
    <w:link w:val="Heading9"/>
    <w:uiPriority w:val="99"/>
    <w:locked/>
    <w:rsid w:val="00A84529"/>
    <w:rPr>
      <w:rFonts w:ascii="Arial" w:hAnsi="Arial"/>
      <w:b/>
      <w:bCs/>
      <w:sz w:val="24"/>
      <w:szCs w:val="24"/>
      <w:u w:val="single"/>
      <w:lang w:val="x-none" w:eastAsia="x-none"/>
    </w:rPr>
  </w:style>
  <w:style w:type="paragraph" w:styleId="TOC4">
    <w:name w:val="toc 4"/>
    <w:basedOn w:val="Caption"/>
    <w:next w:val="Caption"/>
    <w:autoRedefine/>
    <w:uiPriority w:val="39"/>
    <w:rsid w:val="00B62CE6"/>
    <w:pPr>
      <w:pBdr>
        <w:between w:val="double" w:sz="6" w:space="0" w:color="auto"/>
      </w:pBdr>
      <w:ind w:left="480"/>
      <w:jc w:val="center"/>
    </w:pPr>
    <w:rPr>
      <w:rFonts w:ascii="Calibri" w:hAnsi="Calibri"/>
      <w:b w:val="0"/>
      <w:lang w:val="en-GB"/>
    </w:rPr>
  </w:style>
  <w:style w:type="paragraph" w:styleId="Caption">
    <w:name w:val="caption"/>
    <w:aliases w:val="Caption Char Char"/>
    <w:basedOn w:val="Normal"/>
    <w:next w:val="Normal"/>
    <w:link w:val="CaptionChar"/>
    <w:uiPriority w:val="99"/>
    <w:qFormat/>
    <w:rsid w:val="00B62CE6"/>
    <w:pPr>
      <w:spacing w:before="120" w:after="120"/>
    </w:pPr>
    <w:rPr>
      <w:b/>
      <w:sz w:val="20"/>
      <w:szCs w:val="20"/>
      <w:lang w:val="x-none"/>
    </w:rPr>
  </w:style>
  <w:style w:type="paragraph" w:styleId="TOC1">
    <w:name w:val="toc 1"/>
    <w:basedOn w:val="Heading1"/>
    <w:next w:val="Normal"/>
    <w:autoRedefine/>
    <w:uiPriority w:val="39"/>
    <w:qFormat/>
    <w:rsid w:val="00EB71D3"/>
    <w:pPr>
      <w:keepNext w:val="0"/>
      <w:framePr w:hSpace="180" w:wrap="around" w:vAnchor="text" w:hAnchor="margin" w:y="91"/>
      <w:numPr>
        <w:numId w:val="0"/>
      </w:numPr>
      <w:tabs>
        <w:tab w:val="left" w:pos="480"/>
        <w:tab w:val="right" w:leader="dot" w:pos="8920"/>
      </w:tabs>
      <w:spacing w:before="0" w:after="0"/>
      <w:ind w:right="-109"/>
      <w:outlineLvl w:val="9"/>
    </w:pPr>
    <w:rPr>
      <w:rFonts w:ascii="Calibri" w:hAnsi="Calibri"/>
      <w:i/>
      <w:iCs/>
      <w:kern w:val="0"/>
      <w:sz w:val="24"/>
      <w:szCs w:val="24"/>
      <w:lang w:val="en-GB" w:eastAsia="en-US"/>
    </w:rPr>
  </w:style>
  <w:style w:type="paragraph" w:styleId="TOC2">
    <w:name w:val="toc 2"/>
    <w:basedOn w:val="Heading2"/>
    <w:next w:val="Normal"/>
    <w:autoRedefine/>
    <w:uiPriority w:val="39"/>
    <w:qFormat/>
    <w:rsid w:val="002F1DD7"/>
    <w:pPr>
      <w:keepNext w:val="0"/>
      <w:framePr w:hSpace="180" w:wrap="around" w:vAnchor="text" w:hAnchor="margin" w:y="91"/>
      <w:numPr>
        <w:ilvl w:val="0"/>
        <w:numId w:val="0"/>
      </w:numPr>
      <w:tabs>
        <w:tab w:val="left" w:pos="720"/>
        <w:tab w:val="right" w:leader="dot" w:pos="8920"/>
      </w:tabs>
      <w:spacing w:before="120" w:after="120"/>
      <w:jc w:val="center"/>
      <w:outlineLvl w:val="9"/>
    </w:pPr>
    <w:rPr>
      <w:rFonts w:ascii="Calibri" w:hAnsi="Calibri"/>
      <w:b w:val="0"/>
      <w:bCs w:val="0"/>
      <w:i/>
      <w:sz w:val="20"/>
      <w:szCs w:val="20"/>
      <w:lang w:val="en-GB"/>
    </w:rPr>
  </w:style>
  <w:style w:type="paragraph" w:styleId="TOC3">
    <w:name w:val="toc 3"/>
    <w:basedOn w:val="Heading3"/>
    <w:next w:val="Normal"/>
    <w:autoRedefine/>
    <w:uiPriority w:val="39"/>
    <w:qFormat/>
    <w:rsid w:val="00C35C0E"/>
    <w:pPr>
      <w:keepNext w:val="0"/>
      <w:numPr>
        <w:ilvl w:val="0"/>
        <w:numId w:val="0"/>
      </w:numPr>
      <w:tabs>
        <w:tab w:val="left" w:pos="1200"/>
        <w:tab w:val="right" w:leader="dot" w:pos="8920"/>
      </w:tabs>
      <w:spacing w:before="120"/>
      <w:ind w:left="240"/>
      <w:jc w:val="center"/>
      <w:outlineLvl w:val="9"/>
    </w:pPr>
    <w:rPr>
      <w:rFonts w:ascii="Calibri" w:hAnsi="Calibri"/>
      <w:b w:val="0"/>
      <w:bCs w:val="0"/>
      <w:sz w:val="20"/>
      <w:szCs w:val="20"/>
      <w:lang w:val="en-GB" w:eastAsia="en-US"/>
    </w:rPr>
  </w:style>
  <w:style w:type="paragraph" w:styleId="TOC5">
    <w:name w:val="toc 5"/>
    <w:basedOn w:val="Normal"/>
    <w:next w:val="Normal"/>
    <w:autoRedefine/>
    <w:uiPriority w:val="39"/>
    <w:rsid w:val="00B62CE6"/>
    <w:pPr>
      <w:pBdr>
        <w:between w:val="double" w:sz="6" w:space="0" w:color="auto"/>
      </w:pBdr>
      <w:spacing w:before="120" w:after="120"/>
      <w:ind w:left="720"/>
      <w:jc w:val="center"/>
    </w:pPr>
    <w:rPr>
      <w:rFonts w:ascii="Calibri" w:hAnsi="Calibri"/>
      <w:sz w:val="20"/>
      <w:szCs w:val="20"/>
    </w:rPr>
  </w:style>
  <w:style w:type="paragraph" w:styleId="Title">
    <w:name w:val="Title"/>
    <w:basedOn w:val="Normal"/>
    <w:link w:val="TitleChar"/>
    <w:uiPriority w:val="99"/>
    <w:qFormat/>
    <w:rsid w:val="00B62CE6"/>
    <w:pPr>
      <w:spacing w:before="240" w:after="60"/>
      <w:jc w:val="center"/>
      <w:outlineLvl w:val="0"/>
    </w:pPr>
    <w:rPr>
      <w:rFonts w:ascii="Cambria" w:hAnsi="Cambria"/>
      <w:b/>
      <w:bCs/>
      <w:kern w:val="28"/>
      <w:sz w:val="32"/>
      <w:szCs w:val="32"/>
      <w:lang w:eastAsia="x-none"/>
    </w:rPr>
  </w:style>
  <w:style w:type="character" w:customStyle="1" w:styleId="TitleChar">
    <w:name w:val="Title Char"/>
    <w:link w:val="Title"/>
    <w:uiPriority w:val="99"/>
    <w:locked/>
    <w:rsid w:val="00746833"/>
    <w:rPr>
      <w:rFonts w:ascii="Cambria" w:hAnsi="Cambria" w:cs="Times New Roman"/>
      <w:b/>
      <w:bCs/>
      <w:kern w:val="28"/>
      <w:sz w:val="32"/>
      <w:szCs w:val="32"/>
      <w:lang w:val="en-GB"/>
    </w:rPr>
  </w:style>
  <w:style w:type="paragraph" w:styleId="BodyText">
    <w:name w:val="Body Text"/>
    <w:aliases w:val="Body text,BT,Body Text Char1,Body Text Char3 Char,Body Text Char1 Char Char,Body Text Char3 Char Char1 Char,Body Text Char1 Char Char Char Char1,BT Char1 Char Char Char1 Char,bt Char1 Char Char Char1 Char,Body Text Char Char"/>
    <w:basedOn w:val="Normal"/>
    <w:link w:val="BodyTextChar"/>
    <w:uiPriority w:val="99"/>
    <w:semiHidden/>
    <w:rsid w:val="00B62CE6"/>
    <w:pPr>
      <w:autoSpaceDE w:val="0"/>
      <w:autoSpaceDN w:val="0"/>
      <w:adjustRightInd w:val="0"/>
    </w:pPr>
    <w:rPr>
      <w:rFonts w:ascii="Courier New" w:hAnsi="Courier New"/>
      <w:sz w:val="23"/>
      <w:szCs w:val="23"/>
      <w:lang w:val="en-US"/>
    </w:rPr>
  </w:style>
  <w:style w:type="character" w:customStyle="1" w:styleId="BodyTextChar">
    <w:name w:val="Body Text Char"/>
    <w:aliases w:val="Body text Char,BT Char,Body Text Char1 Char,Body Text Char3 Char Char,Body Text Char1 Char Char Char,Body Text Char3 Char Char1 Char Char,Body Text Char1 Char Char Char Char1 Char,BT Char1 Char Char Char1 Char Char"/>
    <w:link w:val="BodyText"/>
    <w:uiPriority w:val="99"/>
    <w:semiHidden/>
    <w:locked/>
    <w:rsid w:val="00A154FB"/>
    <w:rPr>
      <w:rFonts w:ascii="Courier New" w:hAnsi="Courier New" w:cs="Courier New"/>
      <w:sz w:val="23"/>
      <w:szCs w:val="23"/>
      <w:lang w:val="en-US" w:eastAsia="en-US"/>
    </w:rPr>
  </w:style>
  <w:style w:type="paragraph" w:styleId="Header">
    <w:name w:val="header"/>
    <w:basedOn w:val="Normal"/>
    <w:link w:val="HeaderChar"/>
    <w:uiPriority w:val="99"/>
    <w:rsid w:val="00B62CE6"/>
    <w:pPr>
      <w:tabs>
        <w:tab w:val="center" w:pos="4153"/>
        <w:tab w:val="right" w:pos="8306"/>
      </w:tabs>
    </w:pPr>
    <w:rPr>
      <w:lang w:val="x-none"/>
    </w:rPr>
  </w:style>
  <w:style w:type="character" w:customStyle="1" w:styleId="HeaderChar">
    <w:name w:val="Header Char"/>
    <w:link w:val="Header"/>
    <w:uiPriority w:val="99"/>
    <w:locked/>
    <w:rsid w:val="00FF54F8"/>
    <w:rPr>
      <w:rFonts w:ascii="Tahoma" w:hAnsi="Tahoma" w:cs="Times New Roman"/>
      <w:sz w:val="24"/>
      <w:szCs w:val="24"/>
      <w:lang w:eastAsia="en-US"/>
    </w:rPr>
  </w:style>
  <w:style w:type="paragraph" w:styleId="Footer">
    <w:name w:val="footer"/>
    <w:basedOn w:val="Normal"/>
    <w:link w:val="FooterChar"/>
    <w:uiPriority w:val="99"/>
    <w:rsid w:val="00B62CE6"/>
    <w:pPr>
      <w:tabs>
        <w:tab w:val="center" w:pos="4153"/>
        <w:tab w:val="right" w:pos="8306"/>
      </w:tabs>
    </w:pPr>
    <w:rPr>
      <w:lang w:val="x-none"/>
    </w:rPr>
  </w:style>
  <w:style w:type="character" w:customStyle="1" w:styleId="FooterChar">
    <w:name w:val="Footer Char"/>
    <w:link w:val="Footer"/>
    <w:uiPriority w:val="99"/>
    <w:locked/>
    <w:rsid w:val="00697BA9"/>
    <w:rPr>
      <w:rFonts w:ascii="Tahoma" w:hAnsi="Tahoma" w:cs="Times New Roman"/>
      <w:sz w:val="24"/>
      <w:szCs w:val="24"/>
      <w:lang w:eastAsia="en-US"/>
    </w:rPr>
  </w:style>
  <w:style w:type="character" w:styleId="PageNumber">
    <w:name w:val="page number"/>
    <w:uiPriority w:val="99"/>
    <w:semiHidden/>
    <w:rsid w:val="00B62CE6"/>
    <w:rPr>
      <w:rFonts w:ascii="Tahoma" w:hAnsi="Tahoma" w:cs="Times New Roman"/>
      <w:i/>
      <w:color w:val="auto"/>
      <w:sz w:val="16"/>
    </w:rPr>
  </w:style>
  <w:style w:type="paragraph" w:styleId="TOC9">
    <w:name w:val="toc 9"/>
    <w:basedOn w:val="Normal"/>
    <w:next w:val="Normal"/>
    <w:autoRedefine/>
    <w:uiPriority w:val="39"/>
    <w:rsid w:val="00B62CE6"/>
    <w:pPr>
      <w:pBdr>
        <w:between w:val="double" w:sz="6" w:space="0" w:color="auto"/>
      </w:pBdr>
      <w:spacing w:before="120" w:after="120"/>
      <w:ind w:left="1680"/>
      <w:jc w:val="center"/>
    </w:pPr>
    <w:rPr>
      <w:rFonts w:ascii="Calibri" w:hAnsi="Calibri"/>
      <w:sz w:val="20"/>
      <w:szCs w:val="20"/>
    </w:rPr>
  </w:style>
  <w:style w:type="paragraph" w:styleId="BodyText2">
    <w:name w:val="Body Text 2"/>
    <w:aliases w:val="Body Text 2 Char2,Body Text 2 Char1 Char2,Body Text 2 Char2 Char Char,Body Text 2 Char1 Char2 Char Char,Body Text 2 Char2 Char Char Char Char,Body Text 2 Char1 Char2 Char Char Char Char,Body Text 2 Char2 Char Char Char Char Char Char"/>
    <w:basedOn w:val="Normal"/>
    <w:link w:val="BodyText2Char"/>
    <w:uiPriority w:val="99"/>
    <w:semiHidden/>
    <w:rsid w:val="00B62CE6"/>
    <w:pPr>
      <w:autoSpaceDE w:val="0"/>
      <w:autoSpaceDN w:val="0"/>
      <w:adjustRightInd w:val="0"/>
    </w:pPr>
    <w:rPr>
      <w:rFonts w:ascii="Courier New" w:hAnsi="Courier New"/>
      <w:sz w:val="23"/>
      <w:szCs w:val="23"/>
      <w:lang w:val="en-US"/>
    </w:rPr>
  </w:style>
  <w:style w:type="character" w:customStyle="1" w:styleId="BodyText2Char">
    <w:name w:val="Body Text 2 Char"/>
    <w:aliases w:val="Body Text 2 Char2 Char,Body Text 2 Char1 Char2 Char,Body Text 2 Char2 Char Char Char,Body Text 2 Char1 Char2 Char Char Char,Body Text 2 Char2 Char Char Char Char Char,Body Text 2 Char1 Char2 Char Char Char Char Char"/>
    <w:link w:val="BodyText2"/>
    <w:uiPriority w:val="99"/>
    <w:semiHidden/>
    <w:locked/>
    <w:rsid w:val="00E85115"/>
    <w:rPr>
      <w:rFonts w:ascii="Courier New" w:hAnsi="Courier New" w:cs="Courier New"/>
      <w:sz w:val="23"/>
      <w:szCs w:val="23"/>
      <w:lang w:val="en-US" w:eastAsia="en-US"/>
    </w:rPr>
  </w:style>
  <w:style w:type="character" w:styleId="Hyperlink">
    <w:name w:val="Hyperlink"/>
    <w:uiPriority w:val="99"/>
    <w:rsid w:val="00B62CE6"/>
    <w:rPr>
      <w:rFonts w:cs="Times New Roman"/>
      <w:color w:val="0000FF"/>
      <w:u w:val="single"/>
    </w:rPr>
  </w:style>
  <w:style w:type="character" w:styleId="Strong">
    <w:name w:val="Strong"/>
    <w:uiPriority w:val="99"/>
    <w:qFormat/>
    <w:rsid w:val="00B62CE6"/>
    <w:rPr>
      <w:rFonts w:cs="Times New Roman"/>
      <w:b/>
      <w:bCs/>
    </w:rPr>
  </w:style>
  <w:style w:type="paragraph" w:styleId="BodyText3">
    <w:name w:val="Body Text 3"/>
    <w:basedOn w:val="Normal"/>
    <w:link w:val="BodyText3Char"/>
    <w:uiPriority w:val="99"/>
    <w:semiHidden/>
    <w:rsid w:val="00B62CE6"/>
    <w:pPr>
      <w:pBdr>
        <w:top w:val="single" w:sz="4" w:space="1" w:color="auto"/>
        <w:left w:val="single" w:sz="4" w:space="4" w:color="auto"/>
        <w:bottom w:val="single" w:sz="4" w:space="1" w:color="auto"/>
        <w:right w:val="single" w:sz="4" w:space="4" w:color="auto"/>
      </w:pBdr>
      <w:autoSpaceDE w:val="0"/>
      <w:autoSpaceDN w:val="0"/>
      <w:adjustRightInd w:val="0"/>
    </w:pPr>
    <w:rPr>
      <w:sz w:val="16"/>
      <w:szCs w:val="16"/>
      <w:lang w:eastAsia="x-none"/>
    </w:rPr>
  </w:style>
  <w:style w:type="character" w:customStyle="1" w:styleId="BodyText3Char">
    <w:name w:val="Body Text 3 Char"/>
    <w:link w:val="BodyText3"/>
    <w:uiPriority w:val="99"/>
    <w:semiHidden/>
    <w:locked/>
    <w:rsid w:val="00746833"/>
    <w:rPr>
      <w:rFonts w:ascii="Tahoma" w:hAnsi="Tahoma" w:cs="Times New Roman"/>
      <w:sz w:val="16"/>
      <w:szCs w:val="16"/>
      <w:lang w:val="en-GB"/>
    </w:rPr>
  </w:style>
  <w:style w:type="paragraph" w:customStyle="1" w:styleId="Normal1">
    <w:name w:val="Normal1"/>
    <w:basedOn w:val="Normal"/>
    <w:uiPriority w:val="99"/>
    <w:rsid w:val="004408CB"/>
    <w:pPr>
      <w:jc w:val="both"/>
    </w:pPr>
    <w:rPr>
      <w:rFonts w:ascii="Arial" w:hAnsi="Arial"/>
      <w:szCs w:val="20"/>
      <w:lang w:val="en-US"/>
    </w:rPr>
  </w:style>
  <w:style w:type="paragraph" w:styleId="BlockText">
    <w:name w:val="Block Text"/>
    <w:basedOn w:val="Normal"/>
    <w:uiPriority w:val="99"/>
    <w:semiHidden/>
    <w:rsid w:val="00B62CE6"/>
  </w:style>
  <w:style w:type="paragraph" w:customStyle="1" w:styleId="OmniPage5">
    <w:name w:val="OmniPage #5"/>
    <w:basedOn w:val="Normal"/>
    <w:uiPriority w:val="99"/>
    <w:rsid w:val="00B62CE6"/>
    <w:pPr>
      <w:spacing w:line="280" w:lineRule="exact"/>
    </w:pPr>
    <w:rPr>
      <w:rFonts w:ascii="Times New Roman" w:hAnsi="Times New Roman"/>
      <w:sz w:val="20"/>
      <w:szCs w:val="20"/>
      <w:lang w:val="en-US"/>
    </w:rPr>
  </w:style>
  <w:style w:type="paragraph" w:customStyle="1" w:styleId="SIGNCJ">
    <w:name w:val="SIGN CJ"/>
    <w:basedOn w:val="Normal"/>
    <w:next w:val="Normal"/>
    <w:uiPriority w:val="99"/>
    <w:rsid w:val="00B62CE6"/>
    <w:rPr>
      <w:rFonts w:ascii="Times New Roman" w:hAnsi="Times New Roman"/>
      <w:b/>
      <w:szCs w:val="20"/>
    </w:rPr>
  </w:style>
  <w:style w:type="paragraph" w:styleId="BodyTextIndent">
    <w:name w:val="Body Text Indent"/>
    <w:basedOn w:val="Normal"/>
    <w:link w:val="BodyTextIndentChar"/>
    <w:uiPriority w:val="99"/>
    <w:semiHidden/>
    <w:rsid w:val="00B62CE6"/>
    <w:pPr>
      <w:ind w:left="360"/>
      <w:jc w:val="both"/>
    </w:pPr>
    <w:rPr>
      <w:lang w:eastAsia="x-none"/>
    </w:rPr>
  </w:style>
  <w:style w:type="character" w:customStyle="1" w:styleId="BodyTextIndentChar">
    <w:name w:val="Body Text Indent Char"/>
    <w:link w:val="BodyTextIndent"/>
    <w:uiPriority w:val="99"/>
    <w:semiHidden/>
    <w:locked/>
    <w:rsid w:val="00746833"/>
    <w:rPr>
      <w:rFonts w:ascii="Tahoma" w:hAnsi="Tahoma" w:cs="Times New Roman"/>
      <w:sz w:val="24"/>
      <w:szCs w:val="24"/>
      <w:lang w:val="en-GB"/>
    </w:rPr>
  </w:style>
  <w:style w:type="paragraph" w:customStyle="1" w:styleId="letterindent">
    <w:name w:val="letter indent"/>
    <w:basedOn w:val="Normal"/>
    <w:uiPriority w:val="99"/>
    <w:rsid w:val="00B62CE6"/>
    <w:pPr>
      <w:widowControl w:val="0"/>
      <w:numPr>
        <w:numId w:val="1"/>
      </w:numPr>
      <w:tabs>
        <w:tab w:val="num" w:pos="360"/>
      </w:tabs>
      <w:spacing w:before="120"/>
      <w:ind w:left="0" w:firstLine="0"/>
      <w:jc w:val="both"/>
    </w:pPr>
    <w:rPr>
      <w:rFonts w:ascii="Times New Roman" w:hAnsi="Times New Roman"/>
      <w:lang w:val="en-US"/>
    </w:rPr>
  </w:style>
  <w:style w:type="paragraph" w:customStyle="1" w:styleId="Firstpageinfo">
    <w:name w:val="Firstpageinfo"/>
    <w:basedOn w:val="Heading5"/>
    <w:uiPriority w:val="99"/>
    <w:rsid w:val="00B62CE6"/>
    <w:pPr>
      <w:keepNext/>
      <w:keepLines/>
      <w:spacing w:after="0"/>
      <w:outlineLvl w:val="9"/>
    </w:pPr>
    <w:rPr>
      <w:rFonts w:ascii="Arial" w:hAnsi="Arial" w:cs="Arial"/>
      <w:b w:val="0"/>
      <w:bCs w:val="0"/>
      <w:i w:val="0"/>
      <w:iCs w:val="0"/>
      <w:sz w:val="24"/>
      <w:szCs w:val="24"/>
      <w:lang w:val="en-US"/>
    </w:rPr>
  </w:style>
  <w:style w:type="paragraph" w:customStyle="1" w:styleId="BodyText12">
    <w:name w:val="BodyText12"/>
    <w:uiPriority w:val="99"/>
    <w:rsid w:val="00B62CE6"/>
    <w:pPr>
      <w:spacing w:after="200" w:line="300" w:lineRule="auto"/>
      <w:ind w:left="850"/>
      <w:jc w:val="both"/>
    </w:pPr>
    <w:rPr>
      <w:sz w:val="24"/>
      <w:szCs w:val="24"/>
      <w:lang w:val="en-US" w:eastAsia="en-US"/>
    </w:rPr>
  </w:style>
  <w:style w:type="paragraph" w:customStyle="1" w:styleId="Default">
    <w:name w:val="Default"/>
    <w:rsid w:val="00B62CE6"/>
    <w:pPr>
      <w:autoSpaceDE w:val="0"/>
      <w:autoSpaceDN w:val="0"/>
      <w:adjustRightInd w:val="0"/>
    </w:pPr>
    <w:rPr>
      <w:rFonts w:ascii="Garamond" w:hAnsi="Garamond"/>
      <w:color w:val="000000"/>
      <w:sz w:val="24"/>
      <w:szCs w:val="24"/>
      <w:lang w:val="en-US" w:eastAsia="en-US"/>
    </w:rPr>
  </w:style>
  <w:style w:type="paragraph" w:customStyle="1" w:styleId="Paragr1">
    <w:name w:val="Paragr 1"/>
    <w:basedOn w:val="Normal"/>
    <w:uiPriority w:val="99"/>
    <w:rsid w:val="00B62CE6"/>
    <w:pPr>
      <w:spacing w:line="360" w:lineRule="auto"/>
      <w:jc w:val="both"/>
    </w:pPr>
    <w:rPr>
      <w:rFonts w:ascii="Arial" w:hAnsi="Arial" w:cs="Arial"/>
      <w:sz w:val="20"/>
      <w:szCs w:val="20"/>
      <w:lang w:eastAsia="fr-FR"/>
    </w:rPr>
  </w:style>
  <w:style w:type="character" w:styleId="FollowedHyperlink">
    <w:name w:val="FollowedHyperlink"/>
    <w:uiPriority w:val="99"/>
    <w:semiHidden/>
    <w:rsid w:val="00B62CE6"/>
    <w:rPr>
      <w:rFonts w:cs="Times New Roman"/>
      <w:color w:val="800080"/>
      <w:u w:val="single"/>
    </w:rPr>
  </w:style>
  <w:style w:type="character" w:styleId="CommentReference">
    <w:name w:val="annotation reference"/>
    <w:rsid w:val="00B62CE6"/>
    <w:rPr>
      <w:rFonts w:cs="Times New Roman"/>
      <w:sz w:val="16"/>
      <w:szCs w:val="16"/>
    </w:rPr>
  </w:style>
  <w:style w:type="paragraph" w:styleId="CommentText">
    <w:name w:val="annotation text"/>
    <w:basedOn w:val="Normal"/>
    <w:link w:val="CommentTextChar"/>
    <w:uiPriority w:val="99"/>
    <w:rsid w:val="00B62CE6"/>
    <w:rPr>
      <w:rFonts w:ascii="Times New Roman" w:hAnsi="Times New Roman"/>
      <w:sz w:val="20"/>
      <w:szCs w:val="20"/>
      <w:lang w:val="x-none"/>
    </w:rPr>
  </w:style>
  <w:style w:type="character" w:customStyle="1" w:styleId="CommentTextChar">
    <w:name w:val="Comment Text Char"/>
    <w:link w:val="CommentText"/>
    <w:uiPriority w:val="99"/>
    <w:locked/>
    <w:rsid w:val="00AA006F"/>
    <w:rPr>
      <w:rFonts w:cs="Times New Roman"/>
      <w:lang w:eastAsia="en-US"/>
    </w:rPr>
  </w:style>
  <w:style w:type="paragraph" w:styleId="BodyTextIndent2">
    <w:name w:val="Body Text Indent 2"/>
    <w:basedOn w:val="Normal"/>
    <w:link w:val="BodyTextIndent2Char"/>
    <w:uiPriority w:val="99"/>
    <w:semiHidden/>
    <w:rsid w:val="00B62CE6"/>
    <w:pPr>
      <w:ind w:left="720"/>
    </w:pPr>
    <w:rPr>
      <w:lang w:eastAsia="x-none"/>
    </w:rPr>
  </w:style>
  <w:style w:type="character" w:customStyle="1" w:styleId="BodyTextIndent2Char">
    <w:name w:val="Body Text Indent 2 Char"/>
    <w:link w:val="BodyTextIndent2"/>
    <w:uiPriority w:val="99"/>
    <w:semiHidden/>
    <w:locked/>
    <w:rsid w:val="00746833"/>
    <w:rPr>
      <w:rFonts w:ascii="Tahoma" w:hAnsi="Tahoma" w:cs="Times New Roman"/>
      <w:sz w:val="24"/>
      <w:szCs w:val="24"/>
      <w:lang w:val="en-GB"/>
    </w:rPr>
  </w:style>
  <w:style w:type="paragraph" w:customStyle="1" w:styleId="Text">
    <w:name w:val="Text"/>
    <w:basedOn w:val="Normal"/>
    <w:uiPriority w:val="99"/>
    <w:rsid w:val="00B62CE6"/>
    <w:pPr>
      <w:spacing w:before="120"/>
      <w:jc w:val="both"/>
    </w:pPr>
    <w:rPr>
      <w:rFonts w:ascii="Times New Roman" w:eastAsia="MS Mincho" w:hAnsi="Times New Roman"/>
      <w:szCs w:val="20"/>
      <w:lang w:val="en-US"/>
    </w:rPr>
  </w:style>
  <w:style w:type="character" w:customStyle="1" w:styleId="CommentChar">
    <w:name w:val="Comment Char"/>
    <w:uiPriority w:val="99"/>
    <w:rsid w:val="00105AC1"/>
    <w:rPr>
      <w:rFonts w:ascii="Calibri" w:eastAsia="MS Mincho" w:hAnsi="Calibri" w:cs="Times New Roman"/>
      <w:color w:val="auto"/>
      <w:sz w:val="24"/>
      <w:szCs w:val="24"/>
      <w:lang w:val="en-US" w:eastAsia="en-US" w:bidi="ar-SA"/>
    </w:rPr>
  </w:style>
  <w:style w:type="paragraph" w:styleId="Index1">
    <w:name w:val="index 1"/>
    <w:basedOn w:val="Normal"/>
    <w:next w:val="Normal"/>
    <w:uiPriority w:val="99"/>
    <w:semiHidden/>
    <w:rsid w:val="00B62CE6"/>
    <w:pPr>
      <w:spacing w:line="360" w:lineRule="auto"/>
      <w:jc w:val="both"/>
    </w:pPr>
    <w:rPr>
      <w:rFonts w:ascii="Times New Roman" w:hAnsi="Times New Roman"/>
      <w:szCs w:val="20"/>
    </w:rPr>
  </w:style>
  <w:style w:type="paragraph" w:customStyle="1" w:styleId="CR08MainHeading">
    <w:name w:val="CR08 Main Heading"/>
    <w:uiPriority w:val="99"/>
    <w:rsid w:val="00B62CE6"/>
    <w:pPr>
      <w:spacing w:before="120" w:after="240" w:line="300" w:lineRule="auto"/>
    </w:pPr>
    <w:rPr>
      <w:rFonts w:ascii="Arial" w:hAnsi="Arial"/>
      <w:b/>
      <w:noProof/>
      <w:color w:val="000000"/>
      <w:sz w:val="32"/>
      <w:lang w:eastAsia="en-US"/>
    </w:rPr>
  </w:style>
  <w:style w:type="paragraph" w:customStyle="1" w:styleId="Nottoc-headings">
    <w:name w:val="Not toc-headings"/>
    <w:basedOn w:val="Normal"/>
    <w:next w:val="Text"/>
    <w:uiPriority w:val="99"/>
    <w:rsid w:val="00B62CE6"/>
    <w:pPr>
      <w:keepNext/>
      <w:keepLines/>
      <w:spacing w:before="240" w:after="60"/>
      <w:ind w:left="1701" w:hanging="1701"/>
    </w:pPr>
    <w:rPr>
      <w:rFonts w:ascii="Arial" w:hAnsi="Arial"/>
      <w:b/>
      <w:szCs w:val="20"/>
      <w:lang w:val="en-US"/>
    </w:rPr>
  </w:style>
  <w:style w:type="paragraph" w:styleId="NormalWeb">
    <w:name w:val="Normal (Web)"/>
    <w:basedOn w:val="Normal"/>
    <w:uiPriority w:val="99"/>
    <w:semiHidden/>
    <w:rsid w:val="00B62CE6"/>
    <w:pPr>
      <w:spacing w:before="100" w:beforeAutospacing="1" w:after="100" w:afterAutospacing="1"/>
    </w:pPr>
    <w:rPr>
      <w:rFonts w:ascii="Verdana" w:hAnsi="Verdana"/>
      <w:color w:val="211E1C"/>
      <w:sz w:val="20"/>
      <w:szCs w:val="20"/>
    </w:rPr>
  </w:style>
  <w:style w:type="paragraph" w:styleId="IndexHeading">
    <w:name w:val="index heading"/>
    <w:basedOn w:val="Normal"/>
    <w:next w:val="Index1"/>
    <w:uiPriority w:val="99"/>
    <w:semiHidden/>
    <w:rsid w:val="00B62CE6"/>
    <w:rPr>
      <w:rFonts w:ascii="Times New Roman" w:hAnsi="Times New Roman"/>
      <w:sz w:val="20"/>
      <w:szCs w:val="20"/>
      <w:lang w:val="en-US" w:eastAsia="fr-FR"/>
    </w:rPr>
  </w:style>
  <w:style w:type="paragraph" w:styleId="BodyTextIndent3">
    <w:name w:val="Body Text Indent 3"/>
    <w:basedOn w:val="Normal"/>
    <w:link w:val="BodyTextIndent3Char"/>
    <w:uiPriority w:val="99"/>
    <w:semiHidden/>
    <w:rsid w:val="00B62CE6"/>
    <w:pPr>
      <w:autoSpaceDE w:val="0"/>
      <w:autoSpaceDN w:val="0"/>
      <w:adjustRightInd w:val="0"/>
      <w:ind w:left="720"/>
    </w:pPr>
    <w:rPr>
      <w:rFonts w:ascii="Arial" w:hAnsi="Arial"/>
      <w:sz w:val="22"/>
      <w:szCs w:val="20"/>
      <w:lang w:val="en-US"/>
    </w:rPr>
  </w:style>
  <w:style w:type="character" w:customStyle="1" w:styleId="BodyTextIndent3Char">
    <w:name w:val="Body Text Indent 3 Char"/>
    <w:link w:val="BodyTextIndent3"/>
    <w:uiPriority w:val="99"/>
    <w:semiHidden/>
    <w:locked/>
    <w:rsid w:val="00202C02"/>
    <w:rPr>
      <w:rFonts w:ascii="Arial" w:hAnsi="Arial" w:cs="Tahoma"/>
      <w:sz w:val="22"/>
      <w:lang w:val="en-US" w:eastAsia="en-US"/>
    </w:rPr>
  </w:style>
  <w:style w:type="paragraph" w:styleId="CommentSubject">
    <w:name w:val="annotation subject"/>
    <w:basedOn w:val="CommentText"/>
    <w:next w:val="CommentText"/>
    <w:link w:val="CommentSubjectChar"/>
    <w:uiPriority w:val="99"/>
    <w:semiHidden/>
    <w:rsid w:val="00B62CE6"/>
    <w:rPr>
      <w:rFonts w:ascii="Tahoma" w:hAnsi="Tahoma"/>
      <w:b/>
      <w:bCs/>
      <w:lang w:val="en-GB"/>
    </w:rPr>
  </w:style>
  <w:style w:type="character" w:customStyle="1" w:styleId="CommentSubjectChar">
    <w:name w:val="Comment Subject Char"/>
    <w:link w:val="CommentSubject"/>
    <w:uiPriority w:val="99"/>
    <w:semiHidden/>
    <w:locked/>
    <w:rsid w:val="00746833"/>
    <w:rPr>
      <w:rFonts w:ascii="Tahoma" w:hAnsi="Tahoma" w:cs="Times New Roman"/>
      <w:b/>
      <w:bCs/>
      <w:sz w:val="20"/>
      <w:szCs w:val="20"/>
      <w:lang w:val="en-GB" w:eastAsia="en-US"/>
    </w:rPr>
  </w:style>
  <w:style w:type="paragraph" w:styleId="BalloonText">
    <w:name w:val="Balloon Text"/>
    <w:basedOn w:val="Normal"/>
    <w:link w:val="BalloonTextChar"/>
    <w:uiPriority w:val="99"/>
    <w:semiHidden/>
    <w:rsid w:val="00650781"/>
    <w:rPr>
      <w:rFonts w:ascii="Times New Roman" w:hAnsi="Times New Roman"/>
      <w:sz w:val="20"/>
      <w:szCs w:val="20"/>
      <w:lang w:val="x-none" w:eastAsia="x-none"/>
    </w:rPr>
  </w:style>
  <w:style w:type="character" w:customStyle="1" w:styleId="BalloonTextChar">
    <w:name w:val="Balloon Text Char"/>
    <w:link w:val="BalloonText"/>
    <w:uiPriority w:val="99"/>
    <w:semiHidden/>
    <w:locked/>
    <w:rsid w:val="00650781"/>
    <w:rPr>
      <w:lang w:eastAsia="x-none"/>
    </w:rPr>
  </w:style>
  <w:style w:type="paragraph" w:styleId="Revision">
    <w:name w:val="Revision"/>
    <w:hidden/>
    <w:uiPriority w:val="99"/>
    <w:semiHidden/>
    <w:rsid w:val="00576549"/>
    <w:rPr>
      <w:rFonts w:ascii="Tahoma" w:hAnsi="Tahoma"/>
      <w:sz w:val="24"/>
      <w:szCs w:val="24"/>
      <w:lang w:eastAsia="en-US"/>
    </w:rPr>
  </w:style>
  <w:style w:type="paragraph" w:styleId="ListParagraph">
    <w:name w:val="List Paragraph"/>
    <w:basedOn w:val="Normal"/>
    <w:uiPriority w:val="34"/>
    <w:qFormat/>
    <w:rsid w:val="00432958"/>
    <w:pPr>
      <w:ind w:left="720"/>
    </w:pPr>
  </w:style>
  <w:style w:type="character" w:customStyle="1" w:styleId="DeltaViewInsertion">
    <w:name w:val="DeltaView Insertion"/>
    <w:uiPriority w:val="99"/>
    <w:rsid w:val="008C597E"/>
    <w:rPr>
      <w:color w:val="0000FF"/>
      <w:spacing w:val="0"/>
      <w:u w:val="double"/>
    </w:rPr>
  </w:style>
  <w:style w:type="paragraph" w:styleId="PlainText">
    <w:name w:val="Plain Text"/>
    <w:basedOn w:val="Normal"/>
    <w:link w:val="PlainTextChar"/>
    <w:uiPriority w:val="99"/>
    <w:semiHidden/>
    <w:rsid w:val="00CF3683"/>
    <w:rPr>
      <w:sz w:val="21"/>
      <w:szCs w:val="21"/>
      <w:lang w:val="x-none" w:eastAsia="x-none"/>
    </w:rPr>
  </w:style>
  <w:style w:type="character" w:customStyle="1" w:styleId="PlainTextChar">
    <w:name w:val="Plain Text Char"/>
    <w:link w:val="PlainText"/>
    <w:uiPriority w:val="99"/>
    <w:semiHidden/>
    <w:locked/>
    <w:rsid w:val="00CF3683"/>
    <w:rPr>
      <w:rFonts w:ascii="Tahoma" w:hAnsi="Tahoma" w:cs="Times New Roman"/>
      <w:sz w:val="21"/>
      <w:szCs w:val="21"/>
    </w:rPr>
  </w:style>
  <w:style w:type="table" w:styleId="TableGrid">
    <w:name w:val="Table Grid"/>
    <w:basedOn w:val="TableNormal"/>
    <w:uiPriority w:val="99"/>
    <w:rsid w:val="002F0A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tTempHeading1">
    <w:name w:val="ProtTemp Heading 1"/>
    <w:basedOn w:val="Heading1"/>
    <w:next w:val="Normal1"/>
    <w:link w:val="ProtTempHeading1Char"/>
    <w:uiPriority w:val="99"/>
    <w:rsid w:val="008B0FC5"/>
    <w:pPr>
      <w:pageBreakBefore/>
      <w:tabs>
        <w:tab w:val="left" w:pos="624"/>
      </w:tabs>
      <w:ind w:left="624" w:hanging="624"/>
      <w:jc w:val="both"/>
    </w:pPr>
    <w:rPr>
      <w:bCs w:val="0"/>
    </w:rPr>
  </w:style>
  <w:style w:type="paragraph" w:customStyle="1" w:styleId="ProtTempHeading2">
    <w:name w:val="ProtTemp Heading 2"/>
    <w:basedOn w:val="Heading2"/>
    <w:next w:val="Normal1"/>
    <w:uiPriority w:val="99"/>
    <w:rsid w:val="00435576"/>
    <w:pPr>
      <w:tabs>
        <w:tab w:val="left" w:pos="737"/>
      </w:tabs>
      <w:ind w:left="737" w:hanging="737"/>
      <w:jc w:val="both"/>
    </w:pPr>
    <w:rPr>
      <w:bCs w:val="0"/>
    </w:rPr>
  </w:style>
  <w:style w:type="paragraph" w:customStyle="1" w:styleId="ORCAHead1">
    <w:name w:val="ORCA Head 1"/>
    <w:basedOn w:val="Normal"/>
    <w:uiPriority w:val="99"/>
    <w:rsid w:val="00435576"/>
    <w:pPr>
      <w:numPr>
        <w:numId w:val="5"/>
      </w:numPr>
    </w:pPr>
  </w:style>
  <w:style w:type="paragraph" w:customStyle="1" w:styleId="ProtTempHeading3">
    <w:name w:val="ProtTemp Heading 3"/>
    <w:basedOn w:val="Heading3"/>
    <w:next w:val="Normal1"/>
    <w:uiPriority w:val="99"/>
    <w:rsid w:val="00435576"/>
    <w:pPr>
      <w:tabs>
        <w:tab w:val="left" w:pos="794"/>
      </w:tabs>
      <w:ind w:left="794" w:hanging="794"/>
      <w:jc w:val="both"/>
    </w:pPr>
    <w:rPr>
      <w:bCs w:val="0"/>
      <w:szCs w:val="24"/>
    </w:rPr>
  </w:style>
  <w:style w:type="paragraph" w:customStyle="1" w:styleId="ProtTempparagraph">
    <w:name w:val="ProtTemp paragraph"/>
    <w:basedOn w:val="Normal"/>
    <w:qFormat/>
    <w:rsid w:val="00DC3BD4"/>
    <w:pPr>
      <w:spacing w:after="120"/>
      <w:jc w:val="both"/>
    </w:pPr>
    <w:rPr>
      <w:rFonts w:ascii="Arial" w:hAnsi="Arial" w:cs="Arial"/>
    </w:rPr>
  </w:style>
  <w:style w:type="paragraph" w:styleId="TOC6">
    <w:name w:val="toc 6"/>
    <w:basedOn w:val="Normal"/>
    <w:next w:val="Normal"/>
    <w:autoRedefine/>
    <w:uiPriority w:val="39"/>
    <w:rsid w:val="00F5262B"/>
    <w:pPr>
      <w:pBdr>
        <w:between w:val="double" w:sz="6" w:space="0" w:color="auto"/>
      </w:pBdr>
      <w:spacing w:before="120" w:after="120"/>
      <w:ind w:left="960"/>
      <w:jc w:val="center"/>
    </w:pPr>
    <w:rPr>
      <w:rFonts w:ascii="Calibri" w:hAnsi="Calibri"/>
      <w:sz w:val="20"/>
      <w:szCs w:val="20"/>
    </w:rPr>
  </w:style>
  <w:style w:type="paragraph" w:styleId="TOC7">
    <w:name w:val="toc 7"/>
    <w:basedOn w:val="Normal"/>
    <w:next w:val="Normal"/>
    <w:autoRedefine/>
    <w:uiPriority w:val="39"/>
    <w:rsid w:val="00F5262B"/>
    <w:pPr>
      <w:pBdr>
        <w:between w:val="double" w:sz="6" w:space="0" w:color="auto"/>
      </w:pBdr>
      <w:spacing w:before="120" w:after="120"/>
      <w:ind w:left="1200"/>
      <w:jc w:val="center"/>
    </w:pPr>
    <w:rPr>
      <w:rFonts w:ascii="Calibri" w:hAnsi="Calibri"/>
      <w:sz w:val="20"/>
      <w:szCs w:val="20"/>
    </w:rPr>
  </w:style>
  <w:style w:type="paragraph" w:styleId="TOC8">
    <w:name w:val="toc 8"/>
    <w:basedOn w:val="Normal"/>
    <w:next w:val="Normal"/>
    <w:autoRedefine/>
    <w:uiPriority w:val="39"/>
    <w:rsid w:val="00F5262B"/>
    <w:pPr>
      <w:pBdr>
        <w:between w:val="double" w:sz="6" w:space="0" w:color="auto"/>
      </w:pBdr>
      <w:spacing w:before="120" w:after="120"/>
      <w:ind w:left="1440"/>
      <w:jc w:val="center"/>
    </w:pPr>
    <w:rPr>
      <w:rFonts w:ascii="Calibri" w:hAnsi="Calibri"/>
      <w:sz w:val="20"/>
      <w:szCs w:val="20"/>
    </w:rPr>
  </w:style>
  <w:style w:type="paragraph" w:customStyle="1" w:styleId="PVsectionheads">
    <w:name w:val="PV section heads"/>
    <w:basedOn w:val="Normal"/>
    <w:link w:val="PVsectionheadsChar"/>
    <w:uiPriority w:val="99"/>
    <w:rsid w:val="004408CB"/>
    <w:pPr>
      <w:spacing w:before="240" w:after="60"/>
      <w:jc w:val="both"/>
    </w:pPr>
    <w:rPr>
      <w:rFonts w:ascii="Arial" w:hAnsi="Arial"/>
      <w:b/>
      <w:lang w:val="x-none"/>
    </w:rPr>
  </w:style>
  <w:style w:type="character" w:customStyle="1" w:styleId="PVsectionheadsChar">
    <w:name w:val="PV section heads Char"/>
    <w:link w:val="PVsectionheads"/>
    <w:uiPriority w:val="99"/>
    <w:locked/>
    <w:rsid w:val="004408CB"/>
    <w:rPr>
      <w:rFonts w:ascii="Arial" w:hAnsi="Arial" w:cs="Arial"/>
      <w:b/>
      <w:sz w:val="24"/>
      <w:szCs w:val="24"/>
      <w:lang w:eastAsia="en-US"/>
    </w:rPr>
  </w:style>
  <w:style w:type="paragraph" w:customStyle="1" w:styleId="AppendixHead">
    <w:name w:val="Appendix Head"/>
    <w:basedOn w:val="ProtTempHeading1"/>
    <w:link w:val="AppendixHeadChar"/>
    <w:uiPriority w:val="99"/>
    <w:rsid w:val="008E670A"/>
    <w:pPr>
      <w:numPr>
        <w:numId w:val="0"/>
      </w:numPr>
      <w:spacing w:after="480"/>
    </w:pPr>
  </w:style>
  <w:style w:type="paragraph" w:customStyle="1" w:styleId="Non-numberedsectionheads">
    <w:name w:val="Non-numbered section heads"/>
    <w:basedOn w:val="PVsectionheads"/>
    <w:link w:val="Non-numberedsectionheadsChar"/>
    <w:uiPriority w:val="99"/>
    <w:rsid w:val="002D01FD"/>
    <w:pPr>
      <w:spacing w:before="360" w:after="120"/>
    </w:pPr>
  </w:style>
  <w:style w:type="character" w:customStyle="1" w:styleId="ProtTempHeading1Char">
    <w:name w:val="ProtTemp Heading 1 Char"/>
    <w:basedOn w:val="Heading1Char"/>
    <w:link w:val="ProtTempHeading1"/>
    <w:uiPriority w:val="99"/>
    <w:locked/>
    <w:rsid w:val="008E670A"/>
    <w:rPr>
      <w:rFonts w:ascii="Arial" w:hAnsi="Arial"/>
      <w:b/>
      <w:bCs w:val="0"/>
      <w:kern w:val="32"/>
      <w:sz w:val="32"/>
      <w:szCs w:val="32"/>
      <w:lang w:val="x-none" w:eastAsia="x-none"/>
    </w:rPr>
  </w:style>
  <w:style w:type="character" w:customStyle="1" w:styleId="AppendixHeadChar">
    <w:name w:val="Appendix Head Char"/>
    <w:basedOn w:val="ProtTempHeading1Char"/>
    <w:link w:val="AppendixHead"/>
    <w:uiPriority w:val="99"/>
    <w:locked/>
    <w:rsid w:val="008E670A"/>
    <w:rPr>
      <w:rFonts w:ascii="Arial" w:hAnsi="Arial"/>
      <w:b/>
      <w:bCs w:val="0"/>
      <w:kern w:val="32"/>
      <w:sz w:val="32"/>
      <w:szCs w:val="32"/>
      <w:lang w:val="x-none" w:eastAsia="x-none"/>
    </w:rPr>
  </w:style>
  <w:style w:type="character" w:customStyle="1" w:styleId="Non-numberedsectionheadsChar">
    <w:name w:val="Non-numbered section heads Char"/>
    <w:basedOn w:val="PVsectionheadsChar"/>
    <w:link w:val="Non-numberedsectionheads"/>
    <w:uiPriority w:val="99"/>
    <w:locked/>
    <w:rsid w:val="002D01FD"/>
    <w:rPr>
      <w:rFonts w:ascii="Arial" w:hAnsi="Arial" w:cs="Arial"/>
      <w:b/>
      <w:sz w:val="24"/>
      <w:szCs w:val="24"/>
      <w:lang w:eastAsia="en-US"/>
    </w:rPr>
  </w:style>
  <w:style w:type="paragraph" w:customStyle="1" w:styleId="CM81">
    <w:name w:val="CM81"/>
    <w:basedOn w:val="Default"/>
    <w:next w:val="Default"/>
    <w:uiPriority w:val="99"/>
    <w:rsid w:val="00BF3FC9"/>
    <w:pPr>
      <w:widowControl w:val="0"/>
      <w:spacing w:after="243"/>
    </w:pPr>
    <w:rPr>
      <w:rFonts w:ascii="Arial" w:hAnsi="Arial"/>
      <w:color w:val="auto"/>
      <w:lang w:val="en-GB" w:eastAsia="en-GB"/>
    </w:rPr>
  </w:style>
  <w:style w:type="paragraph" w:customStyle="1" w:styleId="NonContentsHeading">
    <w:name w:val="NonContentsHeading"/>
    <w:basedOn w:val="Normal"/>
    <w:link w:val="NonContentsHeadingChar"/>
    <w:uiPriority w:val="99"/>
    <w:rsid w:val="00BF3FC9"/>
    <w:pPr>
      <w:ind w:right="-156"/>
    </w:pPr>
    <w:rPr>
      <w:b/>
      <w:bCs/>
      <w:lang w:val="x-none"/>
    </w:rPr>
  </w:style>
  <w:style w:type="character" w:customStyle="1" w:styleId="NonContentsHeadingChar">
    <w:name w:val="NonContentsHeading Char"/>
    <w:link w:val="NonContentsHeading"/>
    <w:uiPriority w:val="99"/>
    <w:locked/>
    <w:rsid w:val="00BF3FC9"/>
    <w:rPr>
      <w:rFonts w:ascii="Tahoma" w:hAnsi="Tahoma" w:cs="Tahoma"/>
      <w:b/>
      <w:bCs/>
      <w:sz w:val="24"/>
      <w:szCs w:val="24"/>
      <w:lang w:eastAsia="en-US"/>
    </w:rPr>
  </w:style>
  <w:style w:type="character" w:styleId="Emphasis">
    <w:name w:val="Emphasis"/>
    <w:uiPriority w:val="99"/>
    <w:qFormat/>
    <w:rsid w:val="00BF3FC9"/>
    <w:rPr>
      <w:rFonts w:cs="Times New Roman"/>
      <w:b/>
      <w:bCs/>
    </w:rPr>
  </w:style>
  <w:style w:type="paragraph" w:customStyle="1" w:styleId="CS-Text">
    <w:name w:val="CS-Text"/>
    <w:uiPriority w:val="99"/>
    <w:rsid w:val="00E846E4"/>
    <w:pPr>
      <w:spacing w:after="240"/>
    </w:pPr>
    <w:rPr>
      <w:sz w:val="24"/>
      <w:lang w:eastAsia="de-DE"/>
    </w:rPr>
  </w:style>
  <w:style w:type="paragraph" w:customStyle="1" w:styleId="CTR-Text">
    <w:name w:val="CTR-Text"/>
    <w:basedOn w:val="Normal"/>
    <w:uiPriority w:val="99"/>
    <w:rsid w:val="00C357BE"/>
    <w:pPr>
      <w:spacing w:after="240"/>
    </w:pPr>
    <w:rPr>
      <w:rFonts w:ascii="Times New Roman" w:eastAsia="MS Mincho" w:hAnsi="Times New Roman"/>
      <w:szCs w:val="20"/>
      <w:lang w:eastAsia="de-DE"/>
    </w:rPr>
  </w:style>
  <w:style w:type="paragraph" w:customStyle="1" w:styleId="alltext">
    <w:name w:val="alltext"/>
    <w:basedOn w:val="Normal"/>
    <w:uiPriority w:val="99"/>
    <w:rsid w:val="00B53B51"/>
    <w:pPr>
      <w:spacing w:before="100" w:beforeAutospacing="1" w:after="100" w:afterAutospacing="1"/>
    </w:pPr>
    <w:rPr>
      <w:rFonts w:ascii="Times New Roman" w:hAnsi="Times New Roman"/>
      <w:lang w:eastAsia="en-GB"/>
    </w:rPr>
  </w:style>
  <w:style w:type="paragraph" w:customStyle="1" w:styleId="heading4text">
    <w:name w:val="heading4text"/>
    <w:basedOn w:val="Normal"/>
    <w:uiPriority w:val="99"/>
    <w:rsid w:val="00B53B51"/>
    <w:pPr>
      <w:spacing w:before="100" w:beforeAutospacing="1" w:after="100" w:afterAutospacing="1"/>
    </w:pPr>
    <w:rPr>
      <w:rFonts w:ascii="Times New Roman" w:hAnsi="Times New Roman"/>
      <w:lang w:eastAsia="en-GB"/>
    </w:rPr>
  </w:style>
  <w:style w:type="paragraph" w:customStyle="1" w:styleId="Heading10">
    <w:name w:val="Heading1"/>
    <w:basedOn w:val="Normal"/>
    <w:link w:val="Heading1Char0"/>
    <w:uiPriority w:val="99"/>
    <w:rsid w:val="009359BA"/>
    <w:pPr>
      <w:jc w:val="both"/>
    </w:pPr>
    <w:rPr>
      <w:b/>
      <w:bCs/>
      <w:lang w:val="x-none"/>
    </w:rPr>
  </w:style>
  <w:style w:type="character" w:customStyle="1" w:styleId="Heading1Char0">
    <w:name w:val="Heading1 Char"/>
    <w:link w:val="Heading10"/>
    <w:uiPriority w:val="99"/>
    <w:locked/>
    <w:rsid w:val="009359BA"/>
    <w:rPr>
      <w:rFonts w:ascii="Tahoma" w:hAnsi="Tahoma" w:cs="Tahoma"/>
      <w:b/>
      <w:bCs/>
      <w:sz w:val="24"/>
      <w:szCs w:val="24"/>
      <w:lang w:eastAsia="en-US"/>
    </w:rPr>
  </w:style>
  <w:style w:type="paragraph" w:customStyle="1" w:styleId="Heading20">
    <w:name w:val="Heading2"/>
    <w:basedOn w:val="Normal"/>
    <w:link w:val="Heading2Char0"/>
    <w:uiPriority w:val="99"/>
    <w:rsid w:val="00E85115"/>
    <w:pPr>
      <w:ind w:right="-156"/>
    </w:pPr>
    <w:rPr>
      <w:b/>
      <w:bCs/>
      <w:lang w:val="x-none"/>
    </w:rPr>
  </w:style>
  <w:style w:type="character" w:customStyle="1" w:styleId="Heading2Char0">
    <w:name w:val="Heading2 Char"/>
    <w:link w:val="Heading20"/>
    <w:uiPriority w:val="99"/>
    <w:locked/>
    <w:rsid w:val="00E85115"/>
    <w:rPr>
      <w:rFonts w:ascii="Tahoma" w:hAnsi="Tahoma" w:cs="Tahoma"/>
      <w:b/>
      <w:bCs/>
      <w:sz w:val="24"/>
      <w:szCs w:val="24"/>
      <w:lang w:eastAsia="en-US"/>
    </w:rPr>
  </w:style>
  <w:style w:type="paragraph" w:customStyle="1" w:styleId="C-BodyText">
    <w:name w:val="C-Body Text"/>
    <w:link w:val="C-BodyTextChar"/>
    <w:uiPriority w:val="99"/>
    <w:rsid w:val="006C1356"/>
    <w:pPr>
      <w:spacing w:before="120" w:after="120" w:line="280" w:lineRule="atLeast"/>
    </w:pPr>
    <w:rPr>
      <w:sz w:val="22"/>
      <w:szCs w:val="22"/>
      <w:lang w:val="en-US" w:eastAsia="en-US"/>
    </w:rPr>
  </w:style>
  <w:style w:type="character" w:customStyle="1" w:styleId="C-BodyTextChar">
    <w:name w:val="C-Body Text Char"/>
    <w:link w:val="C-BodyText"/>
    <w:uiPriority w:val="99"/>
    <w:locked/>
    <w:rsid w:val="006C1356"/>
    <w:rPr>
      <w:sz w:val="22"/>
      <w:szCs w:val="22"/>
      <w:lang w:val="en-US" w:eastAsia="en-US" w:bidi="ar-SA"/>
    </w:rPr>
  </w:style>
  <w:style w:type="paragraph" w:customStyle="1" w:styleId="C-Heading1">
    <w:name w:val="C-Heading 1"/>
    <w:next w:val="C-BodyText"/>
    <w:uiPriority w:val="99"/>
    <w:rsid w:val="00C37661"/>
    <w:pPr>
      <w:keepNext/>
      <w:pageBreakBefore/>
      <w:numPr>
        <w:numId w:val="30"/>
      </w:numPr>
      <w:spacing w:before="480" w:after="120"/>
      <w:outlineLvl w:val="0"/>
    </w:pPr>
    <w:rPr>
      <w:b/>
      <w:caps/>
      <w:sz w:val="28"/>
      <w:lang w:val="en-US" w:eastAsia="en-US"/>
    </w:rPr>
  </w:style>
  <w:style w:type="paragraph" w:customStyle="1" w:styleId="C-Heading2">
    <w:name w:val="C-Heading 2"/>
    <w:next w:val="C-BodyText"/>
    <w:link w:val="C-Heading2Char"/>
    <w:uiPriority w:val="99"/>
    <w:rsid w:val="00C37661"/>
    <w:pPr>
      <w:keepNext/>
      <w:numPr>
        <w:ilvl w:val="1"/>
        <w:numId w:val="30"/>
      </w:numPr>
      <w:spacing w:before="240"/>
      <w:outlineLvl w:val="1"/>
    </w:pPr>
    <w:rPr>
      <w:b/>
      <w:sz w:val="28"/>
      <w:szCs w:val="22"/>
    </w:rPr>
  </w:style>
  <w:style w:type="paragraph" w:customStyle="1" w:styleId="C-Heading3">
    <w:name w:val="C-Heading 3"/>
    <w:next w:val="C-BodyText"/>
    <w:link w:val="C-Heading3Char"/>
    <w:uiPriority w:val="99"/>
    <w:rsid w:val="00C37661"/>
    <w:pPr>
      <w:keepNext/>
      <w:numPr>
        <w:ilvl w:val="2"/>
        <w:numId w:val="30"/>
      </w:numPr>
      <w:spacing w:before="240"/>
      <w:outlineLvl w:val="2"/>
    </w:pPr>
    <w:rPr>
      <w:b/>
      <w:sz w:val="24"/>
      <w:szCs w:val="22"/>
    </w:rPr>
  </w:style>
  <w:style w:type="paragraph" w:customStyle="1" w:styleId="C-Heading4">
    <w:name w:val="C-Heading 4"/>
    <w:next w:val="C-BodyText"/>
    <w:uiPriority w:val="99"/>
    <w:rsid w:val="00C37661"/>
    <w:pPr>
      <w:keepNext/>
      <w:numPr>
        <w:ilvl w:val="3"/>
        <w:numId w:val="30"/>
      </w:numPr>
      <w:spacing w:before="240"/>
      <w:outlineLvl w:val="3"/>
    </w:pPr>
    <w:rPr>
      <w:b/>
      <w:sz w:val="24"/>
      <w:lang w:val="en-US" w:eastAsia="en-US"/>
    </w:rPr>
  </w:style>
  <w:style w:type="paragraph" w:customStyle="1" w:styleId="C-Heading5">
    <w:name w:val="C-Heading 5"/>
    <w:next w:val="C-BodyText"/>
    <w:uiPriority w:val="99"/>
    <w:rsid w:val="00C37661"/>
    <w:pPr>
      <w:keepNext/>
      <w:numPr>
        <w:ilvl w:val="4"/>
        <w:numId w:val="30"/>
      </w:numPr>
      <w:spacing w:before="240"/>
      <w:outlineLvl w:val="4"/>
    </w:pPr>
    <w:rPr>
      <w:b/>
      <w:sz w:val="24"/>
      <w:lang w:val="en-US" w:eastAsia="en-US"/>
    </w:rPr>
  </w:style>
  <w:style w:type="paragraph" w:customStyle="1" w:styleId="C-Heading6">
    <w:name w:val="C-Heading 6"/>
    <w:next w:val="C-BodyText"/>
    <w:uiPriority w:val="99"/>
    <w:rsid w:val="00C37661"/>
    <w:pPr>
      <w:keepNext/>
      <w:numPr>
        <w:ilvl w:val="5"/>
        <w:numId w:val="30"/>
      </w:numPr>
      <w:spacing w:before="240"/>
      <w:outlineLvl w:val="5"/>
    </w:pPr>
    <w:rPr>
      <w:b/>
      <w:sz w:val="24"/>
      <w:lang w:val="en-US" w:eastAsia="en-US"/>
    </w:rPr>
  </w:style>
  <w:style w:type="character" w:customStyle="1" w:styleId="C-Heading3Char">
    <w:name w:val="C-Heading 3 Char"/>
    <w:link w:val="C-Heading3"/>
    <w:uiPriority w:val="99"/>
    <w:locked/>
    <w:rsid w:val="00C37661"/>
    <w:rPr>
      <w:b/>
      <w:sz w:val="24"/>
      <w:szCs w:val="22"/>
    </w:rPr>
  </w:style>
  <w:style w:type="paragraph" w:customStyle="1" w:styleId="C-Bullet">
    <w:name w:val="C-Bullet"/>
    <w:link w:val="C-BulletChar"/>
    <w:uiPriority w:val="99"/>
    <w:rsid w:val="00DB5A7B"/>
    <w:pPr>
      <w:numPr>
        <w:ilvl w:val="1"/>
        <w:numId w:val="31"/>
      </w:numPr>
      <w:spacing w:before="120" w:after="120" w:line="280" w:lineRule="atLeast"/>
    </w:pPr>
    <w:rPr>
      <w:sz w:val="24"/>
      <w:szCs w:val="22"/>
    </w:rPr>
  </w:style>
  <w:style w:type="paragraph" w:customStyle="1" w:styleId="tabletext">
    <w:name w:val="table:text"/>
    <w:basedOn w:val="Normal"/>
    <w:uiPriority w:val="99"/>
    <w:rsid w:val="00DB5A7B"/>
    <w:pPr>
      <w:spacing w:before="120" w:after="120"/>
    </w:pPr>
    <w:rPr>
      <w:rFonts w:ascii="Arial Narrow" w:hAnsi="Arial Narrow" w:cs="Arial Narrow"/>
    </w:rPr>
  </w:style>
  <w:style w:type="paragraph" w:customStyle="1" w:styleId="tableref">
    <w:name w:val="table:ref"/>
    <w:basedOn w:val="Normal"/>
    <w:link w:val="tablerefChar"/>
    <w:uiPriority w:val="99"/>
    <w:rsid w:val="00DB5A7B"/>
    <w:pPr>
      <w:tabs>
        <w:tab w:val="left" w:pos="360"/>
      </w:tabs>
      <w:ind w:left="360" w:hanging="360"/>
    </w:pPr>
    <w:rPr>
      <w:rFonts w:ascii="Arial Narrow" w:hAnsi="Arial Narrow"/>
      <w:sz w:val="20"/>
      <w:szCs w:val="20"/>
      <w:lang w:val="x-none" w:eastAsia="x-none"/>
    </w:rPr>
  </w:style>
  <w:style w:type="character" w:customStyle="1" w:styleId="tablerefChar">
    <w:name w:val="table:ref Char"/>
    <w:link w:val="tableref"/>
    <w:uiPriority w:val="99"/>
    <w:locked/>
    <w:rsid w:val="00DB5A7B"/>
    <w:rPr>
      <w:rFonts w:ascii="Arial Narrow" w:hAnsi="Arial Narrow"/>
    </w:rPr>
  </w:style>
  <w:style w:type="character" w:customStyle="1" w:styleId="apple-style-span">
    <w:name w:val="apple-style-span"/>
    <w:uiPriority w:val="99"/>
    <w:rsid w:val="00DB5A7B"/>
    <w:rPr>
      <w:rFonts w:cs="Times New Roman"/>
    </w:rPr>
  </w:style>
  <w:style w:type="character" w:customStyle="1" w:styleId="C-BulletChar">
    <w:name w:val="C-Bullet Char"/>
    <w:link w:val="C-Bullet"/>
    <w:uiPriority w:val="99"/>
    <w:locked/>
    <w:rsid w:val="00844215"/>
    <w:rPr>
      <w:sz w:val="24"/>
      <w:szCs w:val="22"/>
    </w:rPr>
  </w:style>
  <w:style w:type="paragraph" w:customStyle="1" w:styleId="C-TableFootnote">
    <w:name w:val="C-Table Footnote"/>
    <w:next w:val="C-BodyText"/>
    <w:link w:val="C-TableFootnoteChar"/>
    <w:uiPriority w:val="99"/>
    <w:rsid w:val="00844215"/>
    <w:pPr>
      <w:tabs>
        <w:tab w:val="left" w:pos="144"/>
      </w:tabs>
      <w:ind w:left="144" w:hanging="144"/>
    </w:pPr>
    <w:rPr>
      <w:sz w:val="22"/>
      <w:szCs w:val="22"/>
      <w:lang w:val="en-US" w:eastAsia="en-US"/>
    </w:rPr>
  </w:style>
  <w:style w:type="paragraph" w:customStyle="1" w:styleId="tabletextNS">
    <w:name w:val="table:textNS"/>
    <w:basedOn w:val="Normal"/>
    <w:link w:val="tabletextNSChar"/>
    <w:uiPriority w:val="99"/>
    <w:rsid w:val="00844215"/>
    <w:rPr>
      <w:rFonts w:ascii="Arial Narrow" w:hAnsi="Arial Narrow"/>
      <w:szCs w:val="20"/>
      <w:lang w:val="x-none" w:eastAsia="x-none"/>
    </w:rPr>
  </w:style>
  <w:style w:type="character" w:customStyle="1" w:styleId="tabletextNSChar">
    <w:name w:val="table:textNS Char"/>
    <w:link w:val="tabletextNS"/>
    <w:uiPriority w:val="99"/>
    <w:locked/>
    <w:rsid w:val="00844215"/>
    <w:rPr>
      <w:rFonts w:ascii="Arial Narrow" w:hAnsi="Arial Narrow"/>
      <w:sz w:val="24"/>
    </w:rPr>
  </w:style>
  <w:style w:type="character" w:customStyle="1" w:styleId="CaptionChar">
    <w:name w:val="Caption Char"/>
    <w:aliases w:val="Caption Char Char Char"/>
    <w:link w:val="Caption"/>
    <w:uiPriority w:val="99"/>
    <w:locked/>
    <w:rsid w:val="00844215"/>
    <w:rPr>
      <w:rFonts w:ascii="Tahoma" w:hAnsi="Tahoma"/>
      <w:b/>
      <w:lang w:eastAsia="en-US"/>
    </w:rPr>
  </w:style>
  <w:style w:type="character" w:customStyle="1" w:styleId="C-TableFootnoteChar">
    <w:name w:val="C-Table Footnote Char"/>
    <w:link w:val="C-TableFootnote"/>
    <w:uiPriority w:val="99"/>
    <w:locked/>
    <w:rsid w:val="00844215"/>
    <w:rPr>
      <w:sz w:val="22"/>
      <w:szCs w:val="22"/>
      <w:lang w:val="en-US" w:eastAsia="en-US" w:bidi="ar-SA"/>
    </w:rPr>
  </w:style>
  <w:style w:type="character" w:customStyle="1" w:styleId="C-Heading2Char">
    <w:name w:val="C-Heading 2 Char"/>
    <w:link w:val="C-Heading2"/>
    <w:uiPriority w:val="99"/>
    <w:locked/>
    <w:rsid w:val="00C20986"/>
    <w:rPr>
      <w:b/>
      <w:sz w:val="28"/>
      <w:szCs w:val="22"/>
    </w:rPr>
  </w:style>
  <w:style w:type="character" w:styleId="EndnoteReference">
    <w:name w:val="endnote reference"/>
    <w:uiPriority w:val="99"/>
    <w:semiHidden/>
    <w:rsid w:val="00C20986"/>
    <w:rPr>
      <w:rFonts w:cs="Times New Roman"/>
      <w:vertAlign w:val="superscript"/>
    </w:rPr>
  </w:style>
  <w:style w:type="character" w:customStyle="1" w:styleId="journalname">
    <w:name w:val="journalname"/>
    <w:uiPriority w:val="99"/>
    <w:rsid w:val="004A05A3"/>
    <w:rPr>
      <w:rFonts w:cs="Times New Roman"/>
    </w:rPr>
  </w:style>
  <w:style w:type="character" w:customStyle="1" w:styleId="src1">
    <w:name w:val="src1"/>
    <w:uiPriority w:val="99"/>
    <w:rsid w:val="004A05A3"/>
    <w:rPr>
      <w:rFonts w:cs="Times New Roman"/>
    </w:rPr>
  </w:style>
  <w:style w:type="character" w:customStyle="1" w:styleId="jrnl">
    <w:name w:val="jrnl"/>
    <w:uiPriority w:val="99"/>
    <w:rsid w:val="004A05A3"/>
    <w:rPr>
      <w:rFonts w:cs="Times New Roman"/>
    </w:rPr>
  </w:style>
  <w:style w:type="paragraph" w:styleId="NoSpacing">
    <w:name w:val="No Spacing"/>
    <w:uiPriority w:val="99"/>
    <w:qFormat/>
    <w:rsid w:val="006A65A7"/>
    <w:rPr>
      <w:rFonts w:ascii="Tahoma" w:hAnsi="Tahoma"/>
      <w:sz w:val="24"/>
      <w:szCs w:val="24"/>
      <w:lang w:eastAsia="en-US"/>
    </w:rPr>
  </w:style>
  <w:style w:type="character" w:customStyle="1" w:styleId="highlight">
    <w:name w:val="highlight"/>
    <w:rsid w:val="00B660D6"/>
    <w:rPr>
      <w:rFonts w:cs="Times New Roman"/>
    </w:rPr>
  </w:style>
  <w:style w:type="character" w:customStyle="1" w:styleId="citation-abbreviation2">
    <w:name w:val="citation-abbreviation2"/>
    <w:uiPriority w:val="99"/>
    <w:rsid w:val="003E4FF5"/>
    <w:rPr>
      <w:rFonts w:cs="Times New Roman"/>
    </w:rPr>
  </w:style>
  <w:style w:type="character" w:customStyle="1" w:styleId="citation-publication-date">
    <w:name w:val="citation-publication-date"/>
    <w:uiPriority w:val="99"/>
    <w:rsid w:val="003E4FF5"/>
    <w:rPr>
      <w:rFonts w:cs="Times New Roman"/>
    </w:rPr>
  </w:style>
  <w:style w:type="character" w:customStyle="1" w:styleId="citation-volume">
    <w:name w:val="citation-volume"/>
    <w:uiPriority w:val="99"/>
    <w:rsid w:val="003E4FF5"/>
    <w:rPr>
      <w:rFonts w:cs="Times New Roman"/>
    </w:rPr>
  </w:style>
  <w:style w:type="character" w:customStyle="1" w:styleId="citation-issue">
    <w:name w:val="citation-issue"/>
    <w:uiPriority w:val="99"/>
    <w:rsid w:val="003E4FF5"/>
    <w:rPr>
      <w:rFonts w:cs="Times New Roman"/>
    </w:rPr>
  </w:style>
  <w:style w:type="character" w:customStyle="1" w:styleId="citation-flpages">
    <w:name w:val="citation-flpages"/>
    <w:uiPriority w:val="99"/>
    <w:rsid w:val="003E4FF5"/>
    <w:rPr>
      <w:rFonts w:cs="Times New Roman"/>
    </w:rPr>
  </w:style>
  <w:style w:type="character" w:customStyle="1" w:styleId="CharChar2">
    <w:name w:val="Char Char2"/>
    <w:uiPriority w:val="99"/>
    <w:semiHidden/>
    <w:rsid w:val="005927E2"/>
    <w:rPr>
      <w:lang w:eastAsia="en-US"/>
    </w:rPr>
  </w:style>
  <w:style w:type="paragraph" w:customStyle="1" w:styleId="Protocolparagraph">
    <w:name w:val="Protocol paragraph"/>
    <w:basedOn w:val="Normal"/>
    <w:qFormat/>
    <w:rsid w:val="00673EFB"/>
    <w:pPr>
      <w:spacing w:before="120" w:after="120" w:line="360" w:lineRule="auto"/>
    </w:pPr>
    <w:rPr>
      <w:rFonts w:ascii="Arial" w:hAnsi="Arial"/>
      <w:sz w:val="22"/>
      <w:szCs w:val="20"/>
      <w:lang w:val="en-US"/>
    </w:rPr>
  </w:style>
  <w:style w:type="paragraph" w:styleId="List">
    <w:name w:val="List"/>
    <w:basedOn w:val="Normal"/>
    <w:uiPriority w:val="99"/>
    <w:locked/>
    <w:rsid w:val="00D856C1"/>
    <w:pPr>
      <w:numPr>
        <w:ilvl w:val="2"/>
        <w:numId w:val="36"/>
      </w:numPr>
      <w:tabs>
        <w:tab w:val="left" w:pos="2520"/>
        <w:tab w:val="left" w:pos="3240"/>
      </w:tabs>
      <w:spacing w:before="180" w:after="180"/>
    </w:pPr>
    <w:rPr>
      <w:rFonts w:ascii="Verdana" w:eastAsia="SimSun" w:hAnsi="Verdana" w:cs="Arial"/>
      <w:color w:val="000000"/>
      <w:sz w:val="22"/>
    </w:rPr>
  </w:style>
  <w:style w:type="paragraph" w:customStyle="1" w:styleId="paragraph">
    <w:name w:val="paragraph"/>
    <w:basedOn w:val="Normal"/>
    <w:uiPriority w:val="99"/>
    <w:rsid w:val="00D856C1"/>
    <w:pPr>
      <w:tabs>
        <w:tab w:val="left" w:pos="2520"/>
        <w:tab w:val="left" w:pos="3240"/>
      </w:tabs>
      <w:spacing w:before="180" w:after="180"/>
    </w:pPr>
    <w:rPr>
      <w:rFonts w:ascii="Verdana" w:eastAsia="SimSun" w:hAnsi="Verdana" w:cs="Arial"/>
      <w:color w:val="000000"/>
      <w:sz w:val="22"/>
    </w:rPr>
  </w:style>
  <w:style w:type="paragraph" w:styleId="TOCHeading">
    <w:name w:val="TOC Heading"/>
    <w:basedOn w:val="Heading1"/>
    <w:next w:val="Normal"/>
    <w:uiPriority w:val="39"/>
    <w:unhideWhenUsed/>
    <w:qFormat/>
    <w:rsid w:val="00151686"/>
    <w:pPr>
      <w:keepLines/>
      <w:numPr>
        <w:numId w:val="0"/>
      </w:numPr>
      <w:spacing w:before="480" w:after="0" w:line="276" w:lineRule="auto"/>
      <w:outlineLvl w:val="9"/>
    </w:pPr>
    <w:rPr>
      <w:rFonts w:ascii="Cambria" w:hAnsi="Cambria"/>
      <w:color w:val="365F91"/>
      <w:kern w:val="0"/>
      <w:sz w:val="28"/>
      <w:szCs w:val="28"/>
      <w:lang w:val="en-US" w:eastAsia="en-US"/>
    </w:rPr>
  </w:style>
  <w:style w:type="character" w:customStyle="1" w:styleId="cit-name-surname">
    <w:name w:val="cit-name-surname"/>
    <w:rsid w:val="002A1DCC"/>
  </w:style>
  <w:style w:type="character" w:customStyle="1" w:styleId="apple-converted-space">
    <w:name w:val="apple-converted-space"/>
    <w:rsid w:val="002A1DCC"/>
  </w:style>
  <w:style w:type="character" w:customStyle="1" w:styleId="cit-name-given-names">
    <w:name w:val="cit-name-given-names"/>
    <w:rsid w:val="002A1DCC"/>
  </w:style>
  <w:style w:type="character" w:customStyle="1" w:styleId="cit-etal">
    <w:name w:val="cit-etal"/>
    <w:rsid w:val="002A1DCC"/>
  </w:style>
  <w:style w:type="character" w:styleId="HTMLCite">
    <w:name w:val="HTML Cite"/>
    <w:uiPriority w:val="99"/>
    <w:semiHidden/>
    <w:unhideWhenUsed/>
    <w:locked/>
    <w:rsid w:val="002A1DCC"/>
    <w:rPr>
      <w:i/>
      <w:iCs/>
    </w:rPr>
  </w:style>
  <w:style w:type="character" w:customStyle="1" w:styleId="cit-article-title">
    <w:name w:val="cit-article-title"/>
    <w:rsid w:val="002A1DCC"/>
  </w:style>
  <w:style w:type="character" w:customStyle="1" w:styleId="cit-pub-date">
    <w:name w:val="cit-pub-date"/>
    <w:rsid w:val="002A1DCC"/>
  </w:style>
  <w:style w:type="character" w:customStyle="1" w:styleId="cit-vol">
    <w:name w:val="cit-vol"/>
    <w:rsid w:val="002A1DCC"/>
  </w:style>
  <w:style w:type="character" w:customStyle="1" w:styleId="cit-fpage">
    <w:name w:val="cit-fpage"/>
    <w:rsid w:val="002A1DCC"/>
  </w:style>
  <w:style w:type="character" w:customStyle="1" w:styleId="cit-lpage">
    <w:name w:val="cit-lpage"/>
    <w:rsid w:val="002A1DCC"/>
  </w:style>
  <w:style w:type="paragraph" w:customStyle="1" w:styleId="addresses">
    <w:name w:val="addresses"/>
    <w:basedOn w:val="Normal"/>
    <w:rsid w:val="007F7B2E"/>
    <w:pPr>
      <w:autoSpaceDE w:val="0"/>
      <w:autoSpaceDN w:val="0"/>
    </w:pPr>
    <w:rPr>
      <w:rFonts w:cs="Tahoma"/>
      <w:sz w:val="20"/>
      <w:szCs w:val="20"/>
      <w:lang w:val="en-US"/>
    </w:rPr>
  </w:style>
  <w:style w:type="paragraph" w:customStyle="1" w:styleId="Protocolpara12ptsp6">
    <w:name w:val="Protocol para 12 pt sp 6"/>
    <w:basedOn w:val="Normal"/>
    <w:uiPriority w:val="99"/>
    <w:qFormat/>
    <w:rsid w:val="00B93E1E"/>
    <w:pPr>
      <w:spacing w:before="120" w:after="120"/>
      <w:jc w:val="both"/>
    </w:pPr>
    <w:rPr>
      <w:rFonts w:ascii="Arial" w:hAnsi="Arial"/>
      <w:szCs w:val="20"/>
      <w:lang w:val="en-US"/>
    </w:rPr>
  </w:style>
  <w:style w:type="paragraph" w:customStyle="1" w:styleId="Protocolbulletlist12ptsp3ind63">
    <w:name w:val="Protocol bullet list 12pt sp3 ind.63"/>
    <w:basedOn w:val="ListParagraph"/>
    <w:link w:val="Protocolbulletlist12ptsp3ind63Char"/>
    <w:qFormat/>
    <w:rsid w:val="00B93E1E"/>
    <w:pPr>
      <w:numPr>
        <w:numId w:val="46"/>
      </w:numPr>
      <w:tabs>
        <w:tab w:val="left" w:pos="709"/>
      </w:tabs>
      <w:autoSpaceDE w:val="0"/>
      <w:autoSpaceDN w:val="0"/>
      <w:adjustRightInd w:val="0"/>
      <w:spacing w:before="60" w:after="60"/>
      <w:ind w:left="714" w:hanging="357"/>
      <w:jc w:val="both"/>
    </w:pPr>
    <w:rPr>
      <w:rFonts w:ascii="Arial" w:hAnsi="Arial" w:cs="Arial"/>
    </w:rPr>
  </w:style>
  <w:style w:type="character" w:customStyle="1" w:styleId="Protocolbulletlist12ptsp3ind63Char">
    <w:name w:val="Protocol bullet list 12pt sp3 ind.63 Char"/>
    <w:link w:val="Protocolbulletlist12ptsp3ind63"/>
    <w:rsid w:val="00B93E1E"/>
    <w:rPr>
      <w:rFonts w:ascii="Arial" w:hAnsi="Arial" w:cs="Arial"/>
      <w:sz w:val="24"/>
      <w:szCs w:val="24"/>
      <w:lang w:eastAsia="en-US"/>
    </w:rPr>
  </w:style>
  <w:style w:type="paragraph" w:customStyle="1" w:styleId="Instructions">
    <w:name w:val="Instructions"/>
    <w:basedOn w:val="Normal"/>
    <w:qFormat/>
    <w:rsid w:val="00B93E1E"/>
    <w:pPr>
      <w:tabs>
        <w:tab w:val="left" w:pos="720"/>
        <w:tab w:val="left" w:pos="3168"/>
        <w:tab w:val="left" w:pos="9060"/>
      </w:tabs>
      <w:spacing w:before="120" w:after="120"/>
      <w:ind w:right="-57"/>
      <w:jc w:val="both"/>
    </w:pPr>
    <w:rPr>
      <w:rFonts w:ascii="Arial" w:hAnsi="Arial" w:cs="Arial"/>
      <w:b/>
      <w:bCs/>
      <w:i/>
      <w:iCs/>
      <w:color w:val="0000FF"/>
    </w:rPr>
  </w:style>
  <w:style w:type="paragraph" w:customStyle="1" w:styleId="Protocolbulletlist12ptsp3ind126">
    <w:name w:val="Protocol bullet list 12pt sp3 ind1.26"/>
    <w:basedOn w:val="Protocolbulletlist12ptsp3ind63"/>
    <w:qFormat/>
    <w:rsid w:val="00B93E1E"/>
    <w:pPr>
      <w:numPr>
        <w:ilvl w:val="1"/>
      </w:numPr>
      <w:ind w:left="1071" w:hanging="357"/>
    </w:pPr>
  </w:style>
  <w:style w:type="paragraph" w:customStyle="1" w:styleId="Headingnotnumbereditalicbold12pt">
    <w:name w:val="Heading not numbered (italic bold 12pt)"/>
    <w:basedOn w:val="Normal"/>
    <w:qFormat/>
    <w:rsid w:val="00B93E1E"/>
    <w:pPr>
      <w:keepNext/>
      <w:spacing w:before="360" w:after="120"/>
      <w:jc w:val="both"/>
    </w:pPr>
    <w:rPr>
      <w:rFonts w:ascii="Arial" w:hAnsi="Arial" w:cs="Arial"/>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76259">
      <w:bodyDiv w:val="1"/>
      <w:marLeft w:val="0"/>
      <w:marRight w:val="0"/>
      <w:marTop w:val="0"/>
      <w:marBottom w:val="0"/>
      <w:divBdr>
        <w:top w:val="none" w:sz="0" w:space="0" w:color="auto"/>
        <w:left w:val="none" w:sz="0" w:space="0" w:color="auto"/>
        <w:bottom w:val="none" w:sz="0" w:space="0" w:color="auto"/>
        <w:right w:val="none" w:sz="0" w:space="0" w:color="auto"/>
      </w:divBdr>
    </w:div>
    <w:div w:id="282273234">
      <w:bodyDiv w:val="1"/>
      <w:marLeft w:val="0"/>
      <w:marRight w:val="0"/>
      <w:marTop w:val="0"/>
      <w:marBottom w:val="0"/>
      <w:divBdr>
        <w:top w:val="none" w:sz="0" w:space="0" w:color="auto"/>
        <w:left w:val="none" w:sz="0" w:space="0" w:color="auto"/>
        <w:bottom w:val="none" w:sz="0" w:space="0" w:color="auto"/>
        <w:right w:val="none" w:sz="0" w:space="0" w:color="auto"/>
      </w:divBdr>
    </w:div>
    <w:div w:id="433482657">
      <w:bodyDiv w:val="1"/>
      <w:marLeft w:val="0"/>
      <w:marRight w:val="0"/>
      <w:marTop w:val="0"/>
      <w:marBottom w:val="0"/>
      <w:divBdr>
        <w:top w:val="none" w:sz="0" w:space="0" w:color="auto"/>
        <w:left w:val="none" w:sz="0" w:space="0" w:color="auto"/>
        <w:bottom w:val="none" w:sz="0" w:space="0" w:color="auto"/>
        <w:right w:val="none" w:sz="0" w:space="0" w:color="auto"/>
      </w:divBdr>
    </w:div>
    <w:div w:id="731733609">
      <w:bodyDiv w:val="1"/>
      <w:marLeft w:val="0"/>
      <w:marRight w:val="0"/>
      <w:marTop w:val="0"/>
      <w:marBottom w:val="0"/>
      <w:divBdr>
        <w:top w:val="none" w:sz="0" w:space="0" w:color="auto"/>
        <w:left w:val="none" w:sz="0" w:space="0" w:color="auto"/>
        <w:bottom w:val="none" w:sz="0" w:space="0" w:color="auto"/>
        <w:right w:val="none" w:sz="0" w:space="0" w:color="auto"/>
      </w:divBdr>
    </w:div>
    <w:div w:id="737750027">
      <w:bodyDiv w:val="1"/>
      <w:marLeft w:val="0"/>
      <w:marRight w:val="0"/>
      <w:marTop w:val="0"/>
      <w:marBottom w:val="0"/>
      <w:divBdr>
        <w:top w:val="none" w:sz="0" w:space="0" w:color="auto"/>
        <w:left w:val="none" w:sz="0" w:space="0" w:color="auto"/>
        <w:bottom w:val="none" w:sz="0" w:space="0" w:color="auto"/>
        <w:right w:val="none" w:sz="0" w:space="0" w:color="auto"/>
      </w:divBdr>
    </w:div>
    <w:div w:id="843590945">
      <w:bodyDiv w:val="1"/>
      <w:marLeft w:val="0"/>
      <w:marRight w:val="0"/>
      <w:marTop w:val="0"/>
      <w:marBottom w:val="0"/>
      <w:divBdr>
        <w:top w:val="none" w:sz="0" w:space="0" w:color="auto"/>
        <w:left w:val="none" w:sz="0" w:space="0" w:color="auto"/>
        <w:bottom w:val="none" w:sz="0" w:space="0" w:color="auto"/>
        <w:right w:val="none" w:sz="0" w:space="0" w:color="auto"/>
      </w:divBdr>
    </w:div>
    <w:div w:id="894395486">
      <w:bodyDiv w:val="1"/>
      <w:marLeft w:val="0"/>
      <w:marRight w:val="0"/>
      <w:marTop w:val="0"/>
      <w:marBottom w:val="0"/>
      <w:divBdr>
        <w:top w:val="none" w:sz="0" w:space="0" w:color="auto"/>
        <w:left w:val="none" w:sz="0" w:space="0" w:color="auto"/>
        <w:bottom w:val="none" w:sz="0" w:space="0" w:color="auto"/>
        <w:right w:val="none" w:sz="0" w:space="0" w:color="auto"/>
      </w:divBdr>
    </w:div>
    <w:div w:id="986471606">
      <w:bodyDiv w:val="1"/>
      <w:marLeft w:val="0"/>
      <w:marRight w:val="0"/>
      <w:marTop w:val="0"/>
      <w:marBottom w:val="0"/>
      <w:divBdr>
        <w:top w:val="none" w:sz="0" w:space="0" w:color="auto"/>
        <w:left w:val="none" w:sz="0" w:space="0" w:color="auto"/>
        <w:bottom w:val="none" w:sz="0" w:space="0" w:color="auto"/>
        <w:right w:val="none" w:sz="0" w:space="0" w:color="auto"/>
      </w:divBdr>
    </w:div>
    <w:div w:id="1061560931">
      <w:bodyDiv w:val="1"/>
      <w:marLeft w:val="0"/>
      <w:marRight w:val="0"/>
      <w:marTop w:val="0"/>
      <w:marBottom w:val="0"/>
      <w:divBdr>
        <w:top w:val="none" w:sz="0" w:space="0" w:color="auto"/>
        <w:left w:val="none" w:sz="0" w:space="0" w:color="auto"/>
        <w:bottom w:val="none" w:sz="0" w:space="0" w:color="auto"/>
        <w:right w:val="none" w:sz="0" w:space="0" w:color="auto"/>
      </w:divBdr>
    </w:div>
    <w:div w:id="1126319266">
      <w:bodyDiv w:val="1"/>
      <w:marLeft w:val="0"/>
      <w:marRight w:val="0"/>
      <w:marTop w:val="0"/>
      <w:marBottom w:val="0"/>
      <w:divBdr>
        <w:top w:val="none" w:sz="0" w:space="0" w:color="auto"/>
        <w:left w:val="none" w:sz="0" w:space="0" w:color="auto"/>
        <w:bottom w:val="none" w:sz="0" w:space="0" w:color="auto"/>
        <w:right w:val="none" w:sz="0" w:space="0" w:color="auto"/>
      </w:divBdr>
    </w:div>
    <w:div w:id="1154181616">
      <w:bodyDiv w:val="1"/>
      <w:marLeft w:val="0"/>
      <w:marRight w:val="0"/>
      <w:marTop w:val="0"/>
      <w:marBottom w:val="0"/>
      <w:divBdr>
        <w:top w:val="none" w:sz="0" w:space="0" w:color="auto"/>
        <w:left w:val="none" w:sz="0" w:space="0" w:color="auto"/>
        <w:bottom w:val="none" w:sz="0" w:space="0" w:color="auto"/>
        <w:right w:val="none" w:sz="0" w:space="0" w:color="auto"/>
      </w:divBdr>
    </w:div>
    <w:div w:id="1409423907">
      <w:bodyDiv w:val="1"/>
      <w:marLeft w:val="0"/>
      <w:marRight w:val="0"/>
      <w:marTop w:val="0"/>
      <w:marBottom w:val="0"/>
      <w:divBdr>
        <w:top w:val="none" w:sz="0" w:space="0" w:color="auto"/>
        <w:left w:val="none" w:sz="0" w:space="0" w:color="auto"/>
        <w:bottom w:val="none" w:sz="0" w:space="0" w:color="auto"/>
        <w:right w:val="none" w:sz="0" w:space="0" w:color="auto"/>
      </w:divBdr>
    </w:div>
    <w:div w:id="1412849614">
      <w:bodyDiv w:val="1"/>
      <w:marLeft w:val="0"/>
      <w:marRight w:val="0"/>
      <w:marTop w:val="0"/>
      <w:marBottom w:val="0"/>
      <w:divBdr>
        <w:top w:val="none" w:sz="0" w:space="0" w:color="auto"/>
        <w:left w:val="none" w:sz="0" w:space="0" w:color="auto"/>
        <w:bottom w:val="none" w:sz="0" w:space="0" w:color="auto"/>
        <w:right w:val="none" w:sz="0" w:space="0" w:color="auto"/>
      </w:divBdr>
    </w:div>
    <w:div w:id="1510560205">
      <w:bodyDiv w:val="1"/>
      <w:marLeft w:val="0"/>
      <w:marRight w:val="0"/>
      <w:marTop w:val="0"/>
      <w:marBottom w:val="0"/>
      <w:divBdr>
        <w:top w:val="none" w:sz="0" w:space="0" w:color="auto"/>
        <w:left w:val="none" w:sz="0" w:space="0" w:color="auto"/>
        <w:bottom w:val="none" w:sz="0" w:space="0" w:color="auto"/>
        <w:right w:val="none" w:sz="0" w:space="0" w:color="auto"/>
      </w:divBdr>
    </w:div>
    <w:div w:id="1648973677">
      <w:bodyDiv w:val="1"/>
      <w:marLeft w:val="0"/>
      <w:marRight w:val="0"/>
      <w:marTop w:val="0"/>
      <w:marBottom w:val="0"/>
      <w:divBdr>
        <w:top w:val="none" w:sz="0" w:space="0" w:color="auto"/>
        <w:left w:val="none" w:sz="0" w:space="0" w:color="auto"/>
        <w:bottom w:val="none" w:sz="0" w:space="0" w:color="auto"/>
        <w:right w:val="none" w:sz="0" w:space="0" w:color="auto"/>
      </w:divBdr>
    </w:div>
    <w:div w:id="1676764271">
      <w:bodyDiv w:val="1"/>
      <w:marLeft w:val="0"/>
      <w:marRight w:val="0"/>
      <w:marTop w:val="0"/>
      <w:marBottom w:val="0"/>
      <w:divBdr>
        <w:top w:val="none" w:sz="0" w:space="0" w:color="auto"/>
        <w:left w:val="none" w:sz="0" w:space="0" w:color="auto"/>
        <w:bottom w:val="none" w:sz="0" w:space="0" w:color="auto"/>
        <w:right w:val="none" w:sz="0" w:space="0" w:color="auto"/>
      </w:divBdr>
    </w:div>
    <w:div w:id="1742948068">
      <w:bodyDiv w:val="1"/>
      <w:marLeft w:val="0"/>
      <w:marRight w:val="0"/>
      <w:marTop w:val="0"/>
      <w:marBottom w:val="0"/>
      <w:divBdr>
        <w:top w:val="none" w:sz="0" w:space="0" w:color="auto"/>
        <w:left w:val="none" w:sz="0" w:space="0" w:color="auto"/>
        <w:bottom w:val="none" w:sz="0" w:space="0" w:color="auto"/>
        <w:right w:val="none" w:sz="0" w:space="0" w:color="auto"/>
      </w:divBdr>
    </w:div>
    <w:div w:id="1859271764">
      <w:bodyDiv w:val="1"/>
      <w:marLeft w:val="0"/>
      <w:marRight w:val="0"/>
      <w:marTop w:val="0"/>
      <w:marBottom w:val="0"/>
      <w:divBdr>
        <w:top w:val="none" w:sz="0" w:space="0" w:color="auto"/>
        <w:left w:val="none" w:sz="0" w:space="0" w:color="auto"/>
        <w:bottom w:val="none" w:sz="0" w:space="0" w:color="auto"/>
        <w:right w:val="none" w:sz="0" w:space="0" w:color="auto"/>
      </w:divBdr>
      <w:divsChild>
        <w:div w:id="1221330987">
          <w:marLeft w:val="0"/>
          <w:marRight w:val="0"/>
          <w:marTop w:val="0"/>
          <w:marBottom w:val="0"/>
          <w:divBdr>
            <w:top w:val="none" w:sz="0" w:space="0" w:color="auto"/>
            <w:left w:val="none" w:sz="0" w:space="0" w:color="auto"/>
            <w:bottom w:val="none" w:sz="0" w:space="0" w:color="auto"/>
            <w:right w:val="none" w:sz="0" w:space="0" w:color="auto"/>
          </w:divBdr>
          <w:divsChild>
            <w:div w:id="348457559">
              <w:marLeft w:val="0"/>
              <w:marRight w:val="0"/>
              <w:marTop w:val="0"/>
              <w:marBottom w:val="0"/>
              <w:divBdr>
                <w:top w:val="none" w:sz="0" w:space="0" w:color="auto"/>
                <w:left w:val="none" w:sz="0" w:space="0" w:color="auto"/>
                <w:bottom w:val="none" w:sz="0" w:space="0" w:color="auto"/>
                <w:right w:val="none" w:sz="0" w:space="0" w:color="auto"/>
              </w:divBdr>
              <w:divsChild>
                <w:div w:id="58600371">
                  <w:marLeft w:val="0"/>
                  <w:marRight w:val="0"/>
                  <w:marTop w:val="0"/>
                  <w:marBottom w:val="0"/>
                  <w:divBdr>
                    <w:top w:val="none" w:sz="0" w:space="0" w:color="auto"/>
                    <w:left w:val="none" w:sz="0" w:space="0" w:color="auto"/>
                    <w:bottom w:val="none" w:sz="0" w:space="0" w:color="auto"/>
                    <w:right w:val="none" w:sz="0" w:space="0" w:color="auto"/>
                  </w:divBdr>
                  <w:divsChild>
                    <w:div w:id="779304728">
                      <w:marLeft w:val="0"/>
                      <w:marRight w:val="0"/>
                      <w:marTop w:val="0"/>
                      <w:marBottom w:val="0"/>
                      <w:divBdr>
                        <w:top w:val="none" w:sz="0" w:space="0" w:color="auto"/>
                        <w:left w:val="none" w:sz="0" w:space="0" w:color="auto"/>
                        <w:bottom w:val="none" w:sz="0" w:space="0" w:color="auto"/>
                        <w:right w:val="none" w:sz="0" w:space="0" w:color="auto"/>
                      </w:divBdr>
                      <w:divsChild>
                        <w:div w:id="1515995041">
                          <w:marLeft w:val="0"/>
                          <w:marRight w:val="0"/>
                          <w:marTop w:val="0"/>
                          <w:marBottom w:val="0"/>
                          <w:divBdr>
                            <w:top w:val="none" w:sz="0" w:space="0" w:color="auto"/>
                            <w:left w:val="none" w:sz="0" w:space="0" w:color="auto"/>
                            <w:bottom w:val="none" w:sz="0" w:space="0" w:color="auto"/>
                            <w:right w:val="none" w:sz="0" w:space="0" w:color="auto"/>
                          </w:divBdr>
                          <w:divsChild>
                            <w:div w:id="700982230">
                              <w:marLeft w:val="0"/>
                              <w:marRight w:val="0"/>
                              <w:marTop w:val="0"/>
                              <w:marBottom w:val="0"/>
                              <w:divBdr>
                                <w:top w:val="none" w:sz="0" w:space="0" w:color="auto"/>
                                <w:left w:val="none" w:sz="0" w:space="0" w:color="auto"/>
                                <w:bottom w:val="none" w:sz="0" w:space="0" w:color="auto"/>
                                <w:right w:val="none" w:sz="0" w:space="0" w:color="auto"/>
                              </w:divBdr>
                              <w:divsChild>
                                <w:div w:id="1482966122">
                                  <w:marLeft w:val="0"/>
                                  <w:marRight w:val="0"/>
                                  <w:marTop w:val="0"/>
                                  <w:marBottom w:val="0"/>
                                  <w:divBdr>
                                    <w:top w:val="none" w:sz="0" w:space="0" w:color="auto"/>
                                    <w:left w:val="none" w:sz="0" w:space="0" w:color="auto"/>
                                    <w:bottom w:val="none" w:sz="0" w:space="0" w:color="auto"/>
                                    <w:right w:val="none" w:sz="0" w:space="0" w:color="auto"/>
                                  </w:divBdr>
                                  <w:divsChild>
                                    <w:div w:id="487357380">
                                      <w:marLeft w:val="0"/>
                                      <w:marRight w:val="0"/>
                                      <w:marTop w:val="0"/>
                                      <w:marBottom w:val="0"/>
                                      <w:divBdr>
                                        <w:top w:val="none" w:sz="0" w:space="0" w:color="auto"/>
                                        <w:left w:val="none" w:sz="0" w:space="0" w:color="auto"/>
                                        <w:bottom w:val="none" w:sz="0" w:space="0" w:color="auto"/>
                                        <w:right w:val="none" w:sz="0" w:space="0" w:color="auto"/>
                                      </w:divBdr>
                                    </w:div>
                                    <w:div w:id="12776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472332">
      <w:bodyDiv w:val="1"/>
      <w:marLeft w:val="0"/>
      <w:marRight w:val="0"/>
      <w:marTop w:val="0"/>
      <w:marBottom w:val="0"/>
      <w:divBdr>
        <w:top w:val="none" w:sz="0" w:space="0" w:color="auto"/>
        <w:left w:val="none" w:sz="0" w:space="0" w:color="auto"/>
        <w:bottom w:val="none" w:sz="0" w:space="0" w:color="auto"/>
        <w:right w:val="none" w:sz="0" w:space="0" w:color="auto"/>
      </w:divBdr>
    </w:div>
    <w:div w:id="2080787706">
      <w:marLeft w:val="0"/>
      <w:marRight w:val="0"/>
      <w:marTop w:val="0"/>
      <w:marBottom w:val="0"/>
      <w:divBdr>
        <w:top w:val="none" w:sz="0" w:space="0" w:color="auto"/>
        <w:left w:val="none" w:sz="0" w:space="0" w:color="auto"/>
        <w:bottom w:val="none" w:sz="0" w:space="0" w:color="auto"/>
        <w:right w:val="none" w:sz="0" w:space="0" w:color="auto"/>
      </w:divBdr>
      <w:divsChild>
        <w:div w:id="2080787820">
          <w:marLeft w:val="0"/>
          <w:marRight w:val="0"/>
          <w:marTop w:val="0"/>
          <w:marBottom w:val="0"/>
          <w:divBdr>
            <w:top w:val="none" w:sz="0" w:space="0" w:color="auto"/>
            <w:left w:val="none" w:sz="0" w:space="0" w:color="auto"/>
            <w:bottom w:val="none" w:sz="0" w:space="0" w:color="auto"/>
            <w:right w:val="none" w:sz="0" w:space="0" w:color="auto"/>
          </w:divBdr>
          <w:divsChild>
            <w:div w:id="2080787821">
              <w:marLeft w:val="0"/>
              <w:marRight w:val="0"/>
              <w:marTop w:val="0"/>
              <w:marBottom w:val="0"/>
              <w:divBdr>
                <w:top w:val="none" w:sz="0" w:space="0" w:color="auto"/>
                <w:left w:val="none" w:sz="0" w:space="0" w:color="auto"/>
                <w:bottom w:val="none" w:sz="0" w:space="0" w:color="auto"/>
                <w:right w:val="none" w:sz="0" w:space="0" w:color="auto"/>
              </w:divBdr>
              <w:divsChild>
                <w:div w:id="2080787701">
                  <w:marLeft w:val="0"/>
                  <w:marRight w:val="0"/>
                  <w:marTop w:val="0"/>
                  <w:marBottom w:val="0"/>
                  <w:divBdr>
                    <w:top w:val="none" w:sz="0" w:space="0" w:color="auto"/>
                    <w:left w:val="none" w:sz="0" w:space="0" w:color="auto"/>
                    <w:bottom w:val="none" w:sz="0" w:space="0" w:color="auto"/>
                    <w:right w:val="none" w:sz="0" w:space="0" w:color="auto"/>
                  </w:divBdr>
                  <w:divsChild>
                    <w:div w:id="2080787713">
                      <w:marLeft w:val="0"/>
                      <w:marRight w:val="0"/>
                      <w:marTop w:val="0"/>
                      <w:marBottom w:val="0"/>
                      <w:divBdr>
                        <w:top w:val="none" w:sz="0" w:space="0" w:color="auto"/>
                        <w:left w:val="none" w:sz="0" w:space="0" w:color="auto"/>
                        <w:bottom w:val="none" w:sz="0" w:space="0" w:color="auto"/>
                        <w:right w:val="none" w:sz="0" w:space="0" w:color="auto"/>
                      </w:divBdr>
                      <w:divsChild>
                        <w:div w:id="2080787758">
                          <w:marLeft w:val="0"/>
                          <w:marRight w:val="0"/>
                          <w:marTop w:val="0"/>
                          <w:marBottom w:val="0"/>
                          <w:divBdr>
                            <w:top w:val="none" w:sz="0" w:space="0" w:color="auto"/>
                            <w:left w:val="none" w:sz="0" w:space="0" w:color="auto"/>
                            <w:bottom w:val="none" w:sz="0" w:space="0" w:color="auto"/>
                            <w:right w:val="none" w:sz="0" w:space="0" w:color="auto"/>
                          </w:divBdr>
                          <w:divsChild>
                            <w:div w:id="2080787771">
                              <w:marLeft w:val="0"/>
                              <w:marRight w:val="0"/>
                              <w:marTop w:val="0"/>
                              <w:marBottom w:val="0"/>
                              <w:divBdr>
                                <w:top w:val="none" w:sz="0" w:space="0" w:color="auto"/>
                                <w:left w:val="none" w:sz="0" w:space="0" w:color="auto"/>
                                <w:bottom w:val="none" w:sz="0" w:space="0" w:color="auto"/>
                                <w:right w:val="none" w:sz="0" w:space="0" w:color="auto"/>
                              </w:divBdr>
                              <w:divsChild>
                                <w:div w:id="2080787791">
                                  <w:marLeft w:val="0"/>
                                  <w:marRight w:val="0"/>
                                  <w:marTop w:val="0"/>
                                  <w:marBottom w:val="0"/>
                                  <w:divBdr>
                                    <w:top w:val="none" w:sz="0" w:space="0" w:color="auto"/>
                                    <w:left w:val="none" w:sz="0" w:space="0" w:color="auto"/>
                                    <w:bottom w:val="none" w:sz="0" w:space="0" w:color="auto"/>
                                    <w:right w:val="none" w:sz="0" w:space="0" w:color="auto"/>
                                  </w:divBdr>
                                  <w:divsChild>
                                    <w:div w:id="20807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10">
      <w:marLeft w:val="0"/>
      <w:marRight w:val="0"/>
      <w:marTop w:val="0"/>
      <w:marBottom w:val="0"/>
      <w:divBdr>
        <w:top w:val="none" w:sz="0" w:space="0" w:color="auto"/>
        <w:left w:val="none" w:sz="0" w:space="0" w:color="auto"/>
        <w:bottom w:val="none" w:sz="0" w:space="0" w:color="auto"/>
        <w:right w:val="none" w:sz="0" w:space="0" w:color="auto"/>
      </w:divBdr>
      <w:divsChild>
        <w:div w:id="2080787767">
          <w:marLeft w:val="0"/>
          <w:marRight w:val="0"/>
          <w:marTop w:val="0"/>
          <w:marBottom w:val="0"/>
          <w:divBdr>
            <w:top w:val="none" w:sz="0" w:space="0" w:color="auto"/>
            <w:left w:val="none" w:sz="0" w:space="0" w:color="auto"/>
            <w:bottom w:val="none" w:sz="0" w:space="0" w:color="auto"/>
            <w:right w:val="none" w:sz="0" w:space="0" w:color="auto"/>
          </w:divBdr>
          <w:divsChild>
            <w:div w:id="2080787764">
              <w:marLeft w:val="0"/>
              <w:marRight w:val="0"/>
              <w:marTop w:val="0"/>
              <w:marBottom w:val="0"/>
              <w:divBdr>
                <w:top w:val="none" w:sz="0" w:space="0" w:color="auto"/>
                <w:left w:val="none" w:sz="0" w:space="0" w:color="auto"/>
                <w:bottom w:val="none" w:sz="0" w:space="0" w:color="auto"/>
                <w:right w:val="none" w:sz="0" w:space="0" w:color="auto"/>
              </w:divBdr>
              <w:divsChild>
                <w:div w:id="2080787695">
                  <w:marLeft w:val="0"/>
                  <w:marRight w:val="0"/>
                  <w:marTop w:val="0"/>
                  <w:marBottom w:val="0"/>
                  <w:divBdr>
                    <w:top w:val="none" w:sz="0" w:space="0" w:color="auto"/>
                    <w:left w:val="none" w:sz="0" w:space="0" w:color="auto"/>
                    <w:bottom w:val="none" w:sz="0" w:space="0" w:color="auto"/>
                    <w:right w:val="none" w:sz="0" w:space="0" w:color="auto"/>
                  </w:divBdr>
                  <w:divsChild>
                    <w:div w:id="2080787703">
                      <w:marLeft w:val="0"/>
                      <w:marRight w:val="0"/>
                      <w:marTop w:val="0"/>
                      <w:marBottom w:val="0"/>
                      <w:divBdr>
                        <w:top w:val="none" w:sz="0" w:space="0" w:color="auto"/>
                        <w:left w:val="none" w:sz="0" w:space="0" w:color="auto"/>
                        <w:bottom w:val="none" w:sz="0" w:space="0" w:color="auto"/>
                        <w:right w:val="none" w:sz="0" w:space="0" w:color="auto"/>
                      </w:divBdr>
                      <w:divsChild>
                        <w:div w:id="2080787737">
                          <w:marLeft w:val="0"/>
                          <w:marRight w:val="0"/>
                          <w:marTop w:val="0"/>
                          <w:marBottom w:val="0"/>
                          <w:divBdr>
                            <w:top w:val="none" w:sz="0" w:space="0" w:color="auto"/>
                            <w:left w:val="none" w:sz="0" w:space="0" w:color="auto"/>
                            <w:bottom w:val="none" w:sz="0" w:space="0" w:color="auto"/>
                            <w:right w:val="none" w:sz="0" w:space="0" w:color="auto"/>
                          </w:divBdr>
                          <w:divsChild>
                            <w:div w:id="2080787708">
                              <w:marLeft w:val="0"/>
                              <w:marRight w:val="0"/>
                              <w:marTop w:val="0"/>
                              <w:marBottom w:val="0"/>
                              <w:divBdr>
                                <w:top w:val="none" w:sz="0" w:space="0" w:color="auto"/>
                                <w:left w:val="none" w:sz="0" w:space="0" w:color="auto"/>
                                <w:bottom w:val="none" w:sz="0" w:space="0" w:color="auto"/>
                                <w:right w:val="none" w:sz="0" w:space="0" w:color="auto"/>
                              </w:divBdr>
                              <w:divsChild>
                                <w:div w:id="2080787815">
                                  <w:marLeft w:val="0"/>
                                  <w:marRight w:val="0"/>
                                  <w:marTop w:val="0"/>
                                  <w:marBottom w:val="0"/>
                                  <w:divBdr>
                                    <w:top w:val="none" w:sz="0" w:space="0" w:color="auto"/>
                                    <w:left w:val="none" w:sz="0" w:space="0" w:color="auto"/>
                                    <w:bottom w:val="none" w:sz="0" w:space="0" w:color="auto"/>
                                    <w:right w:val="none" w:sz="0" w:space="0" w:color="auto"/>
                                  </w:divBdr>
                                  <w:divsChild>
                                    <w:div w:id="20807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11">
      <w:marLeft w:val="0"/>
      <w:marRight w:val="0"/>
      <w:marTop w:val="0"/>
      <w:marBottom w:val="0"/>
      <w:divBdr>
        <w:top w:val="none" w:sz="0" w:space="0" w:color="auto"/>
        <w:left w:val="none" w:sz="0" w:space="0" w:color="auto"/>
        <w:bottom w:val="none" w:sz="0" w:space="0" w:color="auto"/>
        <w:right w:val="none" w:sz="0" w:space="0" w:color="auto"/>
      </w:divBdr>
      <w:divsChild>
        <w:div w:id="2080787700">
          <w:marLeft w:val="0"/>
          <w:marRight w:val="0"/>
          <w:marTop w:val="0"/>
          <w:marBottom w:val="0"/>
          <w:divBdr>
            <w:top w:val="none" w:sz="0" w:space="0" w:color="auto"/>
            <w:left w:val="none" w:sz="0" w:space="0" w:color="auto"/>
            <w:bottom w:val="none" w:sz="0" w:space="0" w:color="auto"/>
            <w:right w:val="none" w:sz="0" w:space="0" w:color="auto"/>
          </w:divBdr>
          <w:divsChild>
            <w:div w:id="2080787752">
              <w:marLeft w:val="0"/>
              <w:marRight w:val="0"/>
              <w:marTop w:val="0"/>
              <w:marBottom w:val="0"/>
              <w:divBdr>
                <w:top w:val="none" w:sz="0" w:space="0" w:color="auto"/>
                <w:left w:val="none" w:sz="0" w:space="0" w:color="auto"/>
                <w:bottom w:val="none" w:sz="0" w:space="0" w:color="auto"/>
                <w:right w:val="none" w:sz="0" w:space="0" w:color="auto"/>
              </w:divBdr>
              <w:divsChild>
                <w:div w:id="2080787772">
                  <w:marLeft w:val="0"/>
                  <w:marRight w:val="0"/>
                  <w:marTop w:val="0"/>
                  <w:marBottom w:val="0"/>
                  <w:divBdr>
                    <w:top w:val="none" w:sz="0" w:space="0" w:color="auto"/>
                    <w:left w:val="none" w:sz="0" w:space="0" w:color="auto"/>
                    <w:bottom w:val="none" w:sz="0" w:space="0" w:color="auto"/>
                    <w:right w:val="none" w:sz="0" w:space="0" w:color="auto"/>
                  </w:divBdr>
                  <w:divsChild>
                    <w:div w:id="2080787766">
                      <w:marLeft w:val="0"/>
                      <w:marRight w:val="0"/>
                      <w:marTop w:val="0"/>
                      <w:marBottom w:val="0"/>
                      <w:divBdr>
                        <w:top w:val="none" w:sz="0" w:space="0" w:color="auto"/>
                        <w:left w:val="none" w:sz="0" w:space="0" w:color="auto"/>
                        <w:bottom w:val="none" w:sz="0" w:space="0" w:color="auto"/>
                        <w:right w:val="none" w:sz="0" w:space="0" w:color="auto"/>
                      </w:divBdr>
                      <w:divsChild>
                        <w:div w:id="2080787787">
                          <w:marLeft w:val="0"/>
                          <w:marRight w:val="0"/>
                          <w:marTop w:val="0"/>
                          <w:marBottom w:val="0"/>
                          <w:divBdr>
                            <w:top w:val="none" w:sz="0" w:space="0" w:color="auto"/>
                            <w:left w:val="none" w:sz="0" w:space="0" w:color="auto"/>
                            <w:bottom w:val="none" w:sz="0" w:space="0" w:color="auto"/>
                            <w:right w:val="none" w:sz="0" w:space="0" w:color="auto"/>
                          </w:divBdr>
                          <w:divsChild>
                            <w:div w:id="2080787739">
                              <w:marLeft w:val="0"/>
                              <w:marRight w:val="0"/>
                              <w:marTop w:val="0"/>
                              <w:marBottom w:val="0"/>
                              <w:divBdr>
                                <w:top w:val="none" w:sz="0" w:space="0" w:color="auto"/>
                                <w:left w:val="none" w:sz="0" w:space="0" w:color="auto"/>
                                <w:bottom w:val="none" w:sz="0" w:space="0" w:color="auto"/>
                                <w:right w:val="none" w:sz="0" w:space="0" w:color="auto"/>
                              </w:divBdr>
                              <w:divsChild>
                                <w:div w:id="2080787732">
                                  <w:marLeft w:val="0"/>
                                  <w:marRight w:val="0"/>
                                  <w:marTop w:val="0"/>
                                  <w:marBottom w:val="0"/>
                                  <w:divBdr>
                                    <w:top w:val="none" w:sz="0" w:space="0" w:color="auto"/>
                                    <w:left w:val="none" w:sz="0" w:space="0" w:color="auto"/>
                                    <w:bottom w:val="none" w:sz="0" w:space="0" w:color="auto"/>
                                    <w:right w:val="none" w:sz="0" w:space="0" w:color="auto"/>
                                  </w:divBdr>
                                  <w:divsChild>
                                    <w:div w:id="20807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16">
      <w:marLeft w:val="0"/>
      <w:marRight w:val="0"/>
      <w:marTop w:val="0"/>
      <w:marBottom w:val="0"/>
      <w:divBdr>
        <w:top w:val="none" w:sz="0" w:space="0" w:color="auto"/>
        <w:left w:val="none" w:sz="0" w:space="0" w:color="auto"/>
        <w:bottom w:val="none" w:sz="0" w:space="0" w:color="auto"/>
        <w:right w:val="none" w:sz="0" w:space="0" w:color="auto"/>
      </w:divBdr>
      <w:divsChild>
        <w:div w:id="2080787717">
          <w:marLeft w:val="0"/>
          <w:marRight w:val="0"/>
          <w:marTop w:val="0"/>
          <w:marBottom w:val="0"/>
          <w:divBdr>
            <w:top w:val="none" w:sz="0" w:space="0" w:color="auto"/>
            <w:left w:val="none" w:sz="0" w:space="0" w:color="auto"/>
            <w:bottom w:val="none" w:sz="0" w:space="0" w:color="auto"/>
            <w:right w:val="none" w:sz="0" w:space="0" w:color="auto"/>
          </w:divBdr>
          <w:divsChild>
            <w:div w:id="2080787794">
              <w:marLeft w:val="0"/>
              <w:marRight w:val="0"/>
              <w:marTop w:val="0"/>
              <w:marBottom w:val="0"/>
              <w:divBdr>
                <w:top w:val="none" w:sz="0" w:space="0" w:color="auto"/>
                <w:left w:val="none" w:sz="0" w:space="0" w:color="auto"/>
                <w:bottom w:val="none" w:sz="0" w:space="0" w:color="auto"/>
                <w:right w:val="none" w:sz="0" w:space="0" w:color="auto"/>
              </w:divBdr>
              <w:divsChild>
                <w:div w:id="2080787719">
                  <w:marLeft w:val="0"/>
                  <w:marRight w:val="0"/>
                  <w:marTop w:val="0"/>
                  <w:marBottom w:val="0"/>
                  <w:divBdr>
                    <w:top w:val="none" w:sz="0" w:space="0" w:color="auto"/>
                    <w:left w:val="none" w:sz="0" w:space="0" w:color="auto"/>
                    <w:bottom w:val="none" w:sz="0" w:space="0" w:color="auto"/>
                    <w:right w:val="none" w:sz="0" w:space="0" w:color="auto"/>
                  </w:divBdr>
                  <w:divsChild>
                    <w:div w:id="2080787714">
                      <w:marLeft w:val="0"/>
                      <w:marRight w:val="0"/>
                      <w:marTop w:val="0"/>
                      <w:marBottom w:val="0"/>
                      <w:divBdr>
                        <w:top w:val="none" w:sz="0" w:space="0" w:color="auto"/>
                        <w:left w:val="none" w:sz="0" w:space="0" w:color="auto"/>
                        <w:bottom w:val="none" w:sz="0" w:space="0" w:color="auto"/>
                        <w:right w:val="none" w:sz="0" w:space="0" w:color="auto"/>
                      </w:divBdr>
                      <w:divsChild>
                        <w:div w:id="2080787818">
                          <w:marLeft w:val="0"/>
                          <w:marRight w:val="0"/>
                          <w:marTop w:val="0"/>
                          <w:marBottom w:val="0"/>
                          <w:divBdr>
                            <w:top w:val="none" w:sz="0" w:space="0" w:color="auto"/>
                            <w:left w:val="none" w:sz="0" w:space="0" w:color="auto"/>
                            <w:bottom w:val="none" w:sz="0" w:space="0" w:color="auto"/>
                            <w:right w:val="none" w:sz="0" w:space="0" w:color="auto"/>
                          </w:divBdr>
                          <w:divsChild>
                            <w:div w:id="2080787743">
                              <w:marLeft w:val="0"/>
                              <w:marRight w:val="0"/>
                              <w:marTop w:val="0"/>
                              <w:marBottom w:val="0"/>
                              <w:divBdr>
                                <w:top w:val="none" w:sz="0" w:space="0" w:color="auto"/>
                                <w:left w:val="none" w:sz="0" w:space="0" w:color="auto"/>
                                <w:bottom w:val="none" w:sz="0" w:space="0" w:color="auto"/>
                                <w:right w:val="none" w:sz="0" w:space="0" w:color="auto"/>
                              </w:divBdr>
                              <w:divsChild>
                                <w:div w:id="2080787728">
                                  <w:marLeft w:val="0"/>
                                  <w:marRight w:val="0"/>
                                  <w:marTop w:val="0"/>
                                  <w:marBottom w:val="0"/>
                                  <w:divBdr>
                                    <w:top w:val="none" w:sz="0" w:space="0" w:color="auto"/>
                                    <w:left w:val="none" w:sz="0" w:space="0" w:color="auto"/>
                                    <w:bottom w:val="none" w:sz="0" w:space="0" w:color="auto"/>
                                    <w:right w:val="none" w:sz="0" w:space="0" w:color="auto"/>
                                  </w:divBdr>
                                  <w:divsChild>
                                    <w:div w:id="208078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26">
      <w:marLeft w:val="0"/>
      <w:marRight w:val="0"/>
      <w:marTop w:val="0"/>
      <w:marBottom w:val="0"/>
      <w:divBdr>
        <w:top w:val="none" w:sz="0" w:space="0" w:color="auto"/>
        <w:left w:val="none" w:sz="0" w:space="0" w:color="auto"/>
        <w:bottom w:val="none" w:sz="0" w:space="0" w:color="auto"/>
        <w:right w:val="none" w:sz="0" w:space="0" w:color="auto"/>
      </w:divBdr>
    </w:div>
    <w:div w:id="2080787727">
      <w:marLeft w:val="0"/>
      <w:marRight w:val="0"/>
      <w:marTop w:val="0"/>
      <w:marBottom w:val="0"/>
      <w:divBdr>
        <w:top w:val="none" w:sz="0" w:space="0" w:color="auto"/>
        <w:left w:val="none" w:sz="0" w:space="0" w:color="auto"/>
        <w:bottom w:val="none" w:sz="0" w:space="0" w:color="auto"/>
        <w:right w:val="none" w:sz="0" w:space="0" w:color="auto"/>
      </w:divBdr>
      <w:divsChild>
        <w:div w:id="2080787811">
          <w:marLeft w:val="0"/>
          <w:marRight w:val="0"/>
          <w:marTop w:val="0"/>
          <w:marBottom w:val="0"/>
          <w:divBdr>
            <w:top w:val="none" w:sz="0" w:space="0" w:color="auto"/>
            <w:left w:val="none" w:sz="0" w:space="0" w:color="auto"/>
            <w:bottom w:val="none" w:sz="0" w:space="0" w:color="auto"/>
            <w:right w:val="none" w:sz="0" w:space="0" w:color="auto"/>
          </w:divBdr>
          <w:divsChild>
            <w:div w:id="2080787736">
              <w:marLeft w:val="0"/>
              <w:marRight w:val="0"/>
              <w:marTop w:val="0"/>
              <w:marBottom w:val="0"/>
              <w:divBdr>
                <w:top w:val="none" w:sz="0" w:space="0" w:color="auto"/>
                <w:left w:val="none" w:sz="0" w:space="0" w:color="auto"/>
                <w:bottom w:val="none" w:sz="0" w:space="0" w:color="auto"/>
                <w:right w:val="none" w:sz="0" w:space="0" w:color="auto"/>
              </w:divBdr>
              <w:divsChild>
                <w:div w:id="2080787707">
                  <w:marLeft w:val="0"/>
                  <w:marRight w:val="0"/>
                  <w:marTop w:val="0"/>
                  <w:marBottom w:val="0"/>
                  <w:divBdr>
                    <w:top w:val="none" w:sz="0" w:space="0" w:color="auto"/>
                    <w:left w:val="none" w:sz="0" w:space="0" w:color="auto"/>
                    <w:bottom w:val="none" w:sz="0" w:space="0" w:color="auto"/>
                    <w:right w:val="none" w:sz="0" w:space="0" w:color="auto"/>
                  </w:divBdr>
                  <w:divsChild>
                    <w:div w:id="2080787761">
                      <w:marLeft w:val="0"/>
                      <w:marRight w:val="0"/>
                      <w:marTop w:val="0"/>
                      <w:marBottom w:val="0"/>
                      <w:divBdr>
                        <w:top w:val="none" w:sz="0" w:space="0" w:color="auto"/>
                        <w:left w:val="none" w:sz="0" w:space="0" w:color="auto"/>
                        <w:bottom w:val="none" w:sz="0" w:space="0" w:color="auto"/>
                        <w:right w:val="none" w:sz="0" w:space="0" w:color="auto"/>
                      </w:divBdr>
                      <w:divsChild>
                        <w:div w:id="2080787824">
                          <w:marLeft w:val="0"/>
                          <w:marRight w:val="0"/>
                          <w:marTop w:val="0"/>
                          <w:marBottom w:val="0"/>
                          <w:divBdr>
                            <w:top w:val="none" w:sz="0" w:space="0" w:color="auto"/>
                            <w:left w:val="none" w:sz="0" w:space="0" w:color="auto"/>
                            <w:bottom w:val="none" w:sz="0" w:space="0" w:color="auto"/>
                            <w:right w:val="none" w:sz="0" w:space="0" w:color="auto"/>
                          </w:divBdr>
                          <w:divsChild>
                            <w:div w:id="2080787715">
                              <w:marLeft w:val="0"/>
                              <w:marRight w:val="0"/>
                              <w:marTop w:val="0"/>
                              <w:marBottom w:val="0"/>
                              <w:divBdr>
                                <w:top w:val="none" w:sz="0" w:space="0" w:color="auto"/>
                                <w:left w:val="none" w:sz="0" w:space="0" w:color="auto"/>
                                <w:bottom w:val="none" w:sz="0" w:space="0" w:color="auto"/>
                                <w:right w:val="none" w:sz="0" w:space="0" w:color="auto"/>
                              </w:divBdr>
                              <w:divsChild>
                                <w:div w:id="2080787757">
                                  <w:marLeft w:val="0"/>
                                  <w:marRight w:val="0"/>
                                  <w:marTop w:val="0"/>
                                  <w:marBottom w:val="0"/>
                                  <w:divBdr>
                                    <w:top w:val="none" w:sz="0" w:space="0" w:color="auto"/>
                                    <w:left w:val="none" w:sz="0" w:space="0" w:color="auto"/>
                                    <w:bottom w:val="none" w:sz="0" w:space="0" w:color="auto"/>
                                    <w:right w:val="none" w:sz="0" w:space="0" w:color="auto"/>
                                  </w:divBdr>
                                  <w:divsChild>
                                    <w:div w:id="20807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46">
      <w:marLeft w:val="0"/>
      <w:marRight w:val="0"/>
      <w:marTop w:val="0"/>
      <w:marBottom w:val="0"/>
      <w:divBdr>
        <w:top w:val="none" w:sz="0" w:space="0" w:color="auto"/>
        <w:left w:val="none" w:sz="0" w:space="0" w:color="auto"/>
        <w:bottom w:val="none" w:sz="0" w:space="0" w:color="auto"/>
        <w:right w:val="none" w:sz="0" w:space="0" w:color="auto"/>
      </w:divBdr>
      <w:divsChild>
        <w:div w:id="2080787813">
          <w:marLeft w:val="0"/>
          <w:marRight w:val="0"/>
          <w:marTop w:val="0"/>
          <w:marBottom w:val="0"/>
          <w:divBdr>
            <w:top w:val="none" w:sz="0" w:space="0" w:color="auto"/>
            <w:left w:val="none" w:sz="0" w:space="0" w:color="auto"/>
            <w:bottom w:val="none" w:sz="0" w:space="0" w:color="auto"/>
            <w:right w:val="none" w:sz="0" w:space="0" w:color="auto"/>
          </w:divBdr>
          <w:divsChild>
            <w:div w:id="2080787809">
              <w:marLeft w:val="0"/>
              <w:marRight w:val="0"/>
              <w:marTop w:val="0"/>
              <w:marBottom w:val="0"/>
              <w:divBdr>
                <w:top w:val="none" w:sz="0" w:space="0" w:color="auto"/>
                <w:left w:val="none" w:sz="0" w:space="0" w:color="auto"/>
                <w:bottom w:val="none" w:sz="0" w:space="0" w:color="auto"/>
                <w:right w:val="none" w:sz="0" w:space="0" w:color="auto"/>
              </w:divBdr>
              <w:divsChild>
                <w:div w:id="2080787825">
                  <w:marLeft w:val="0"/>
                  <w:marRight w:val="0"/>
                  <w:marTop w:val="0"/>
                  <w:marBottom w:val="0"/>
                  <w:divBdr>
                    <w:top w:val="none" w:sz="0" w:space="0" w:color="auto"/>
                    <w:left w:val="none" w:sz="0" w:space="0" w:color="auto"/>
                    <w:bottom w:val="none" w:sz="0" w:space="0" w:color="auto"/>
                    <w:right w:val="none" w:sz="0" w:space="0" w:color="auto"/>
                  </w:divBdr>
                  <w:divsChild>
                    <w:div w:id="2080787816">
                      <w:marLeft w:val="0"/>
                      <w:marRight w:val="0"/>
                      <w:marTop w:val="0"/>
                      <w:marBottom w:val="0"/>
                      <w:divBdr>
                        <w:top w:val="none" w:sz="0" w:space="0" w:color="auto"/>
                        <w:left w:val="none" w:sz="0" w:space="0" w:color="auto"/>
                        <w:bottom w:val="none" w:sz="0" w:space="0" w:color="auto"/>
                        <w:right w:val="none" w:sz="0" w:space="0" w:color="auto"/>
                      </w:divBdr>
                      <w:divsChild>
                        <w:div w:id="2080787734">
                          <w:marLeft w:val="0"/>
                          <w:marRight w:val="0"/>
                          <w:marTop w:val="0"/>
                          <w:marBottom w:val="0"/>
                          <w:divBdr>
                            <w:top w:val="none" w:sz="0" w:space="0" w:color="auto"/>
                            <w:left w:val="none" w:sz="0" w:space="0" w:color="auto"/>
                            <w:bottom w:val="none" w:sz="0" w:space="0" w:color="auto"/>
                            <w:right w:val="none" w:sz="0" w:space="0" w:color="auto"/>
                          </w:divBdr>
                          <w:divsChild>
                            <w:div w:id="2080787823">
                              <w:marLeft w:val="0"/>
                              <w:marRight w:val="0"/>
                              <w:marTop w:val="0"/>
                              <w:marBottom w:val="0"/>
                              <w:divBdr>
                                <w:top w:val="none" w:sz="0" w:space="0" w:color="auto"/>
                                <w:left w:val="none" w:sz="0" w:space="0" w:color="auto"/>
                                <w:bottom w:val="none" w:sz="0" w:space="0" w:color="auto"/>
                                <w:right w:val="none" w:sz="0" w:space="0" w:color="auto"/>
                              </w:divBdr>
                              <w:divsChild>
                                <w:div w:id="2080787698">
                                  <w:marLeft w:val="0"/>
                                  <w:marRight w:val="0"/>
                                  <w:marTop w:val="0"/>
                                  <w:marBottom w:val="0"/>
                                  <w:divBdr>
                                    <w:top w:val="none" w:sz="0" w:space="0" w:color="auto"/>
                                    <w:left w:val="none" w:sz="0" w:space="0" w:color="auto"/>
                                    <w:bottom w:val="none" w:sz="0" w:space="0" w:color="auto"/>
                                    <w:right w:val="none" w:sz="0" w:space="0" w:color="auto"/>
                                  </w:divBdr>
                                  <w:divsChild>
                                    <w:div w:id="20807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50">
      <w:marLeft w:val="0"/>
      <w:marRight w:val="0"/>
      <w:marTop w:val="0"/>
      <w:marBottom w:val="0"/>
      <w:divBdr>
        <w:top w:val="none" w:sz="0" w:space="0" w:color="auto"/>
        <w:left w:val="none" w:sz="0" w:space="0" w:color="auto"/>
        <w:bottom w:val="none" w:sz="0" w:space="0" w:color="auto"/>
        <w:right w:val="none" w:sz="0" w:space="0" w:color="auto"/>
      </w:divBdr>
    </w:div>
    <w:div w:id="2080787756">
      <w:marLeft w:val="0"/>
      <w:marRight w:val="0"/>
      <w:marTop w:val="0"/>
      <w:marBottom w:val="0"/>
      <w:divBdr>
        <w:top w:val="none" w:sz="0" w:space="0" w:color="auto"/>
        <w:left w:val="none" w:sz="0" w:space="0" w:color="auto"/>
        <w:bottom w:val="none" w:sz="0" w:space="0" w:color="auto"/>
        <w:right w:val="none" w:sz="0" w:space="0" w:color="auto"/>
      </w:divBdr>
      <w:divsChild>
        <w:div w:id="2080787768">
          <w:marLeft w:val="0"/>
          <w:marRight w:val="0"/>
          <w:marTop w:val="0"/>
          <w:marBottom w:val="0"/>
          <w:divBdr>
            <w:top w:val="none" w:sz="0" w:space="0" w:color="auto"/>
            <w:left w:val="none" w:sz="0" w:space="0" w:color="auto"/>
            <w:bottom w:val="none" w:sz="0" w:space="0" w:color="auto"/>
            <w:right w:val="none" w:sz="0" w:space="0" w:color="auto"/>
          </w:divBdr>
          <w:divsChild>
            <w:div w:id="2080787793">
              <w:marLeft w:val="0"/>
              <w:marRight w:val="0"/>
              <w:marTop w:val="0"/>
              <w:marBottom w:val="0"/>
              <w:divBdr>
                <w:top w:val="none" w:sz="0" w:space="0" w:color="auto"/>
                <w:left w:val="none" w:sz="0" w:space="0" w:color="auto"/>
                <w:bottom w:val="none" w:sz="0" w:space="0" w:color="auto"/>
                <w:right w:val="none" w:sz="0" w:space="0" w:color="auto"/>
              </w:divBdr>
              <w:divsChild>
                <w:div w:id="2080787802">
                  <w:marLeft w:val="0"/>
                  <w:marRight w:val="0"/>
                  <w:marTop w:val="0"/>
                  <w:marBottom w:val="0"/>
                  <w:divBdr>
                    <w:top w:val="none" w:sz="0" w:space="0" w:color="auto"/>
                    <w:left w:val="none" w:sz="0" w:space="0" w:color="auto"/>
                    <w:bottom w:val="none" w:sz="0" w:space="0" w:color="auto"/>
                    <w:right w:val="none" w:sz="0" w:space="0" w:color="auto"/>
                  </w:divBdr>
                  <w:divsChild>
                    <w:div w:id="2080787755">
                      <w:marLeft w:val="0"/>
                      <w:marRight w:val="0"/>
                      <w:marTop w:val="0"/>
                      <w:marBottom w:val="0"/>
                      <w:divBdr>
                        <w:top w:val="none" w:sz="0" w:space="0" w:color="auto"/>
                        <w:left w:val="none" w:sz="0" w:space="0" w:color="auto"/>
                        <w:bottom w:val="none" w:sz="0" w:space="0" w:color="auto"/>
                        <w:right w:val="none" w:sz="0" w:space="0" w:color="auto"/>
                      </w:divBdr>
                      <w:divsChild>
                        <w:div w:id="2080787792">
                          <w:marLeft w:val="0"/>
                          <w:marRight w:val="0"/>
                          <w:marTop w:val="0"/>
                          <w:marBottom w:val="0"/>
                          <w:divBdr>
                            <w:top w:val="none" w:sz="0" w:space="0" w:color="auto"/>
                            <w:left w:val="none" w:sz="0" w:space="0" w:color="auto"/>
                            <w:bottom w:val="none" w:sz="0" w:space="0" w:color="auto"/>
                            <w:right w:val="none" w:sz="0" w:space="0" w:color="auto"/>
                          </w:divBdr>
                          <w:divsChild>
                            <w:div w:id="2080787817">
                              <w:marLeft w:val="0"/>
                              <w:marRight w:val="0"/>
                              <w:marTop w:val="0"/>
                              <w:marBottom w:val="0"/>
                              <w:divBdr>
                                <w:top w:val="none" w:sz="0" w:space="0" w:color="auto"/>
                                <w:left w:val="none" w:sz="0" w:space="0" w:color="auto"/>
                                <w:bottom w:val="none" w:sz="0" w:space="0" w:color="auto"/>
                                <w:right w:val="none" w:sz="0" w:space="0" w:color="auto"/>
                              </w:divBdr>
                              <w:divsChild>
                                <w:div w:id="2080787751">
                                  <w:marLeft w:val="0"/>
                                  <w:marRight w:val="0"/>
                                  <w:marTop w:val="0"/>
                                  <w:marBottom w:val="0"/>
                                  <w:divBdr>
                                    <w:top w:val="none" w:sz="0" w:space="0" w:color="auto"/>
                                    <w:left w:val="none" w:sz="0" w:space="0" w:color="auto"/>
                                    <w:bottom w:val="none" w:sz="0" w:space="0" w:color="auto"/>
                                    <w:right w:val="none" w:sz="0" w:space="0" w:color="auto"/>
                                  </w:divBdr>
                                  <w:divsChild>
                                    <w:div w:id="20807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59">
      <w:marLeft w:val="0"/>
      <w:marRight w:val="0"/>
      <w:marTop w:val="0"/>
      <w:marBottom w:val="0"/>
      <w:divBdr>
        <w:top w:val="none" w:sz="0" w:space="0" w:color="auto"/>
        <w:left w:val="none" w:sz="0" w:space="0" w:color="auto"/>
        <w:bottom w:val="none" w:sz="0" w:space="0" w:color="auto"/>
        <w:right w:val="none" w:sz="0" w:space="0" w:color="auto"/>
      </w:divBdr>
    </w:div>
    <w:div w:id="2080787760">
      <w:marLeft w:val="0"/>
      <w:marRight w:val="0"/>
      <w:marTop w:val="0"/>
      <w:marBottom w:val="0"/>
      <w:divBdr>
        <w:top w:val="none" w:sz="0" w:space="0" w:color="auto"/>
        <w:left w:val="none" w:sz="0" w:space="0" w:color="auto"/>
        <w:bottom w:val="none" w:sz="0" w:space="0" w:color="auto"/>
        <w:right w:val="none" w:sz="0" w:space="0" w:color="auto"/>
      </w:divBdr>
    </w:div>
    <w:div w:id="2080787762">
      <w:marLeft w:val="0"/>
      <w:marRight w:val="0"/>
      <w:marTop w:val="0"/>
      <w:marBottom w:val="0"/>
      <w:divBdr>
        <w:top w:val="none" w:sz="0" w:space="0" w:color="auto"/>
        <w:left w:val="none" w:sz="0" w:space="0" w:color="auto"/>
        <w:bottom w:val="none" w:sz="0" w:space="0" w:color="auto"/>
        <w:right w:val="none" w:sz="0" w:space="0" w:color="auto"/>
      </w:divBdr>
      <w:divsChild>
        <w:div w:id="2080787744">
          <w:marLeft w:val="0"/>
          <w:marRight w:val="0"/>
          <w:marTop w:val="0"/>
          <w:marBottom w:val="0"/>
          <w:divBdr>
            <w:top w:val="none" w:sz="0" w:space="0" w:color="auto"/>
            <w:left w:val="none" w:sz="0" w:space="0" w:color="auto"/>
            <w:bottom w:val="none" w:sz="0" w:space="0" w:color="auto"/>
            <w:right w:val="none" w:sz="0" w:space="0" w:color="auto"/>
          </w:divBdr>
          <w:divsChild>
            <w:div w:id="2080787705">
              <w:marLeft w:val="0"/>
              <w:marRight w:val="0"/>
              <w:marTop w:val="0"/>
              <w:marBottom w:val="0"/>
              <w:divBdr>
                <w:top w:val="none" w:sz="0" w:space="0" w:color="auto"/>
                <w:left w:val="none" w:sz="0" w:space="0" w:color="auto"/>
                <w:bottom w:val="none" w:sz="0" w:space="0" w:color="auto"/>
                <w:right w:val="none" w:sz="0" w:space="0" w:color="auto"/>
              </w:divBdr>
              <w:divsChild>
                <w:div w:id="2080787807">
                  <w:marLeft w:val="0"/>
                  <w:marRight w:val="0"/>
                  <w:marTop w:val="0"/>
                  <w:marBottom w:val="0"/>
                  <w:divBdr>
                    <w:top w:val="none" w:sz="0" w:space="0" w:color="auto"/>
                    <w:left w:val="none" w:sz="0" w:space="0" w:color="auto"/>
                    <w:bottom w:val="none" w:sz="0" w:space="0" w:color="auto"/>
                    <w:right w:val="none" w:sz="0" w:space="0" w:color="auto"/>
                  </w:divBdr>
                  <w:divsChild>
                    <w:div w:id="2080787741">
                      <w:marLeft w:val="0"/>
                      <w:marRight w:val="0"/>
                      <w:marTop w:val="0"/>
                      <w:marBottom w:val="0"/>
                      <w:divBdr>
                        <w:top w:val="none" w:sz="0" w:space="0" w:color="auto"/>
                        <w:left w:val="none" w:sz="0" w:space="0" w:color="auto"/>
                        <w:bottom w:val="none" w:sz="0" w:space="0" w:color="auto"/>
                        <w:right w:val="none" w:sz="0" w:space="0" w:color="auto"/>
                      </w:divBdr>
                      <w:divsChild>
                        <w:div w:id="2080787738">
                          <w:marLeft w:val="0"/>
                          <w:marRight w:val="0"/>
                          <w:marTop w:val="0"/>
                          <w:marBottom w:val="0"/>
                          <w:divBdr>
                            <w:top w:val="none" w:sz="0" w:space="0" w:color="auto"/>
                            <w:left w:val="none" w:sz="0" w:space="0" w:color="auto"/>
                            <w:bottom w:val="none" w:sz="0" w:space="0" w:color="auto"/>
                            <w:right w:val="none" w:sz="0" w:space="0" w:color="auto"/>
                          </w:divBdr>
                          <w:divsChild>
                            <w:div w:id="2080787822">
                              <w:marLeft w:val="0"/>
                              <w:marRight w:val="0"/>
                              <w:marTop w:val="0"/>
                              <w:marBottom w:val="0"/>
                              <w:divBdr>
                                <w:top w:val="none" w:sz="0" w:space="0" w:color="auto"/>
                                <w:left w:val="none" w:sz="0" w:space="0" w:color="auto"/>
                                <w:bottom w:val="none" w:sz="0" w:space="0" w:color="auto"/>
                                <w:right w:val="none" w:sz="0" w:space="0" w:color="auto"/>
                              </w:divBdr>
                              <w:divsChild>
                                <w:div w:id="2080787810">
                                  <w:marLeft w:val="0"/>
                                  <w:marRight w:val="0"/>
                                  <w:marTop w:val="0"/>
                                  <w:marBottom w:val="0"/>
                                  <w:divBdr>
                                    <w:top w:val="none" w:sz="0" w:space="0" w:color="auto"/>
                                    <w:left w:val="none" w:sz="0" w:space="0" w:color="auto"/>
                                    <w:bottom w:val="none" w:sz="0" w:space="0" w:color="auto"/>
                                    <w:right w:val="none" w:sz="0" w:space="0" w:color="auto"/>
                                  </w:divBdr>
                                  <w:divsChild>
                                    <w:div w:id="208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65">
      <w:marLeft w:val="0"/>
      <w:marRight w:val="0"/>
      <w:marTop w:val="0"/>
      <w:marBottom w:val="0"/>
      <w:divBdr>
        <w:top w:val="none" w:sz="0" w:space="0" w:color="auto"/>
        <w:left w:val="none" w:sz="0" w:space="0" w:color="auto"/>
        <w:bottom w:val="none" w:sz="0" w:space="0" w:color="auto"/>
        <w:right w:val="none" w:sz="0" w:space="0" w:color="auto"/>
      </w:divBdr>
    </w:div>
    <w:div w:id="2080787769">
      <w:marLeft w:val="0"/>
      <w:marRight w:val="0"/>
      <w:marTop w:val="0"/>
      <w:marBottom w:val="0"/>
      <w:divBdr>
        <w:top w:val="none" w:sz="0" w:space="0" w:color="auto"/>
        <w:left w:val="none" w:sz="0" w:space="0" w:color="auto"/>
        <w:bottom w:val="none" w:sz="0" w:space="0" w:color="auto"/>
        <w:right w:val="none" w:sz="0" w:space="0" w:color="auto"/>
      </w:divBdr>
      <w:divsChild>
        <w:div w:id="2080787724">
          <w:marLeft w:val="0"/>
          <w:marRight w:val="0"/>
          <w:marTop w:val="0"/>
          <w:marBottom w:val="0"/>
          <w:divBdr>
            <w:top w:val="none" w:sz="0" w:space="0" w:color="auto"/>
            <w:left w:val="none" w:sz="0" w:space="0" w:color="auto"/>
            <w:bottom w:val="none" w:sz="0" w:space="0" w:color="auto"/>
            <w:right w:val="none" w:sz="0" w:space="0" w:color="auto"/>
          </w:divBdr>
          <w:divsChild>
            <w:div w:id="2080787804">
              <w:marLeft w:val="0"/>
              <w:marRight w:val="0"/>
              <w:marTop w:val="0"/>
              <w:marBottom w:val="0"/>
              <w:divBdr>
                <w:top w:val="none" w:sz="0" w:space="0" w:color="auto"/>
                <w:left w:val="none" w:sz="0" w:space="0" w:color="auto"/>
                <w:bottom w:val="none" w:sz="0" w:space="0" w:color="auto"/>
                <w:right w:val="none" w:sz="0" w:space="0" w:color="auto"/>
              </w:divBdr>
              <w:divsChild>
                <w:div w:id="2080787735">
                  <w:marLeft w:val="0"/>
                  <w:marRight w:val="0"/>
                  <w:marTop w:val="0"/>
                  <w:marBottom w:val="0"/>
                  <w:divBdr>
                    <w:top w:val="none" w:sz="0" w:space="0" w:color="auto"/>
                    <w:left w:val="none" w:sz="0" w:space="0" w:color="auto"/>
                    <w:bottom w:val="none" w:sz="0" w:space="0" w:color="auto"/>
                    <w:right w:val="none" w:sz="0" w:space="0" w:color="auto"/>
                  </w:divBdr>
                  <w:divsChild>
                    <w:div w:id="2080787783">
                      <w:marLeft w:val="0"/>
                      <w:marRight w:val="0"/>
                      <w:marTop w:val="0"/>
                      <w:marBottom w:val="0"/>
                      <w:divBdr>
                        <w:top w:val="none" w:sz="0" w:space="0" w:color="auto"/>
                        <w:left w:val="none" w:sz="0" w:space="0" w:color="auto"/>
                        <w:bottom w:val="none" w:sz="0" w:space="0" w:color="auto"/>
                        <w:right w:val="none" w:sz="0" w:space="0" w:color="auto"/>
                      </w:divBdr>
                      <w:divsChild>
                        <w:div w:id="2080787749">
                          <w:marLeft w:val="0"/>
                          <w:marRight w:val="0"/>
                          <w:marTop w:val="0"/>
                          <w:marBottom w:val="0"/>
                          <w:divBdr>
                            <w:top w:val="none" w:sz="0" w:space="0" w:color="auto"/>
                            <w:left w:val="none" w:sz="0" w:space="0" w:color="auto"/>
                            <w:bottom w:val="none" w:sz="0" w:space="0" w:color="auto"/>
                            <w:right w:val="none" w:sz="0" w:space="0" w:color="auto"/>
                          </w:divBdr>
                          <w:divsChild>
                            <w:div w:id="2080787789">
                              <w:marLeft w:val="0"/>
                              <w:marRight w:val="0"/>
                              <w:marTop w:val="0"/>
                              <w:marBottom w:val="0"/>
                              <w:divBdr>
                                <w:top w:val="none" w:sz="0" w:space="0" w:color="auto"/>
                                <w:left w:val="none" w:sz="0" w:space="0" w:color="auto"/>
                                <w:bottom w:val="none" w:sz="0" w:space="0" w:color="auto"/>
                                <w:right w:val="none" w:sz="0" w:space="0" w:color="auto"/>
                              </w:divBdr>
                              <w:divsChild>
                                <w:div w:id="2080787770">
                                  <w:marLeft w:val="0"/>
                                  <w:marRight w:val="0"/>
                                  <w:marTop w:val="0"/>
                                  <w:marBottom w:val="0"/>
                                  <w:divBdr>
                                    <w:top w:val="none" w:sz="0" w:space="0" w:color="auto"/>
                                    <w:left w:val="none" w:sz="0" w:space="0" w:color="auto"/>
                                    <w:bottom w:val="none" w:sz="0" w:space="0" w:color="auto"/>
                                    <w:right w:val="none" w:sz="0" w:space="0" w:color="auto"/>
                                  </w:divBdr>
                                  <w:divsChild>
                                    <w:div w:id="20807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82">
      <w:marLeft w:val="0"/>
      <w:marRight w:val="0"/>
      <w:marTop w:val="0"/>
      <w:marBottom w:val="0"/>
      <w:divBdr>
        <w:top w:val="none" w:sz="0" w:space="0" w:color="auto"/>
        <w:left w:val="none" w:sz="0" w:space="0" w:color="auto"/>
        <w:bottom w:val="none" w:sz="0" w:space="0" w:color="auto"/>
        <w:right w:val="none" w:sz="0" w:space="0" w:color="auto"/>
      </w:divBdr>
      <w:divsChild>
        <w:div w:id="2080787800">
          <w:marLeft w:val="0"/>
          <w:marRight w:val="0"/>
          <w:marTop w:val="0"/>
          <w:marBottom w:val="0"/>
          <w:divBdr>
            <w:top w:val="none" w:sz="0" w:space="0" w:color="auto"/>
            <w:left w:val="none" w:sz="0" w:space="0" w:color="auto"/>
            <w:bottom w:val="none" w:sz="0" w:space="0" w:color="auto"/>
            <w:right w:val="none" w:sz="0" w:space="0" w:color="auto"/>
          </w:divBdr>
          <w:divsChild>
            <w:div w:id="2080787773">
              <w:marLeft w:val="0"/>
              <w:marRight w:val="0"/>
              <w:marTop w:val="0"/>
              <w:marBottom w:val="0"/>
              <w:divBdr>
                <w:top w:val="none" w:sz="0" w:space="0" w:color="auto"/>
                <w:left w:val="none" w:sz="0" w:space="0" w:color="auto"/>
                <w:bottom w:val="none" w:sz="0" w:space="0" w:color="auto"/>
                <w:right w:val="none" w:sz="0" w:space="0" w:color="auto"/>
              </w:divBdr>
              <w:divsChild>
                <w:div w:id="2080787740">
                  <w:marLeft w:val="0"/>
                  <w:marRight w:val="0"/>
                  <w:marTop w:val="0"/>
                  <w:marBottom w:val="0"/>
                  <w:divBdr>
                    <w:top w:val="none" w:sz="0" w:space="0" w:color="auto"/>
                    <w:left w:val="none" w:sz="0" w:space="0" w:color="auto"/>
                    <w:bottom w:val="none" w:sz="0" w:space="0" w:color="auto"/>
                    <w:right w:val="none" w:sz="0" w:space="0" w:color="auto"/>
                  </w:divBdr>
                  <w:divsChild>
                    <w:div w:id="2080787696">
                      <w:marLeft w:val="0"/>
                      <w:marRight w:val="0"/>
                      <w:marTop w:val="0"/>
                      <w:marBottom w:val="0"/>
                      <w:divBdr>
                        <w:top w:val="none" w:sz="0" w:space="0" w:color="auto"/>
                        <w:left w:val="none" w:sz="0" w:space="0" w:color="auto"/>
                        <w:bottom w:val="none" w:sz="0" w:space="0" w:color="auto"/>
                        <w:right w:val="none" w:sz="0" w:space="0" w:color="auto"/>
                      </w:divBdr>
                      <w:divsChild>
                        <w:div w:id="2080787712">
                          <w:marLeft w:val="0"/>
                          <w:marRight w:val="0"/>
                          <w:marTop w:val="0"/>
                          <w:marBottom w:val="0"/>
                          <w:divBdr>
                            <w:top w:val="none" w:sz="0" w:space="0" w:color="auto"/>
                            <w:left w:val="none" w:sz="0" w:space="0" w:color="auto"/>
                            <w:bottom w:val="none" w:sz="0" w:space="0" w:color="auto"/>
                            <w:right w:val="none" w:sz="0" w:space="0" w:color="auto"/>
                          </w:divBdr>
                          <w:divsChild>
                            <w:div w:id="2080787731">
                              <w:marLeft w:val="0"/>
                              <w:marRight w:val="0"/>
                              <w:marTop w:val="0"/>
                              <w:marBottom w:val="0"/>
                              <w:divBdr>
                                <w:top w:val="none" w:sz="0" w:space="0" w:color="auto"/>
                                <w:left w:val="none" w:sz="0" w:space="0" w:color="auto"/>
                                <w:bottom w:val="none" w:sz="0" w:space="0" w:color="auto"/>
                                <w:right w:val="none" w:sz="0" w:space="0" w:color="auto"/>
                              </w:divBdr>
                              <w:divsChild>
                                <w:div w:id="2080787801">
                                  <w:marLeft w:val="0"/>
                                  <w:marRight w:val="0"/>
                                  <w:marTop w:val="0"/>
                                  <w:marBottom w:val="0"/>
                                  <w:divBdr>
                                    <w:top w:val="none" w:sz="0" w:space="0" w:color="auto"/>
                                    <w:left w:val="none" w:sz="0" w:space="0" w:color="auto"/>
                                    <w:bottom w:val="none" w:sz="0" w:space="0" w:color="auto"/>
                                    <w:right w:val="none" w:sz="0" w:space="0" w:color="auto"/>
                                  </w:divBdr>
                                  <w:divsChild>
                                    <w:div w:id="2080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90">
      <w:marLeft w:val="0"/>
      <w:marRight w:val="0"/>
      <w:marTop w:val="0"/>
      <w:marBottom w:val="0"/>
      <w:divBdr>
        <w:top w:val="none" w:sz="0" w:space="0" w:color="auto"/>
        <w:left w:val="none" w:sz="0" w:space="0" w:color="auto"/>
        <w:bottom w:val="none" w:sz="0" w:space="0" w:color="auto"/>
        <w:right w:val="none" w:sz="0" w:space="0" w:color="auto"/>
      </w:divBdr>
      <w:divsChild>
        <w:div w:id="2080787697">
          <w:marLeft w:val="0"/>
          <w:marRight w:val="0"/>
          <w:marTop w:val="0"/>
          <w:marBottom w:val="0"/>
          <w:divBdr>
            <w:top w:val="none" w:sz="0" w:space="0" w:color="auto"/>
            <w:left w:val="none" w:sz="0" w:space="0" w:color="auto"/>
            <w:bottom w:val="none" w:sz="0" w:space="0" w:color="auto"/>
            <w:right w:val="none" w:sz="0" w:space="0" w:color="auto"/>
          </w:divBdr>
          <w:divsChild>
            <w:div w:id="2080787718">
              <w:marLeft w:val="0"/>
              <w:marRight w:val="0"/>
              <w:marTop w:val="0"/>
              <w:marBottom w:val="0"/>
              <w:divBdr>
                <w:top w:val="none" w:sz="0" w:space="0" w:color="auto"/>
                <w:left w:val="none" w:sz="0" w:space="0" w:color="auto"/>
                <w:bottom w:val="none" w:sz="0" w:space="0" w:color="auto"/>
                <w:right w:val="none" w:sz="0" w:space="0" w:color="auto"/>
              </w:divBdr>
              <w:divsChild>
                <w:div w:id="2080787808">
                  <w:marLeft w:val="0"/>
                  <w:marRight w:val="0"/>
                  <w:marTop w:val="0"/>
                  <w:marBottom w:val="0"/>
                  <w:divBdr>
                    <w:top w:val="none" w:sz="0" w:space="0" w:color="auto"/>
                    <w:left w:val="none" w:sz="0" w:space="0" w:color="auto"/>
                    <w:bottom w:val="none" w:sz="0" w:space="0" w:color="auto"/>
                    <w:right w:val="none" w:sz="0" w:space="0" w:color="auto"/>
                  </w:divBdr>
                  <w:divsChild>
                    <w:div w:id="2080787723">
                      <w:marLeft w:val="0"/>
                      <w:marRight w:val="0"/>
                      <w:marTop w:val="0"/>
                      <w:marBottom w:val="0"/>
                      <w:divBdr>
                        <w:top w:val="none" w:sz="0" w:space="0" w:color="auto"/>
                        <w:left w:val="none" w:sz="0" w:space="0" w:color="auto"/>
                        <w:bottom w:val="none" w:sz="0" w:space="0" w:color="auto"/>
                        <w:right w:val="none" w:sz="0" w:space="0" w:color="auto"/>
                      </w:divBdr>
                      <w:divsChild>
                        <w:div w:id="2080787720">
                          <w:marLeft w:val="0"/>
                          <w:marRight w:val="0"/>
                          <w:marTop w:val="0"/>
                          <w:marBottom w:val="0"/>
                          <w:divBdr>
                            <w:top w:val="none" w:sz="0" w:space="0" w:color="auto"/>
                            <w:left w:val="none" w:sz="0" w:space="0" w:color="auto"/>
                            <w:bottom w:val="none" w:sz="0" w:space="0" w:color="auto"/>
                            <w:right w:val="none" w:sz="0" w:space="0" w:color="auto"/>
                          </w:divBdr>
                          <w:divsChild>
                            <w:div w:id="2080787725">
                              <w:marLeft w:val="0"/>
                              <w:marRight w:val="0"/>
                              <w:marTop w:val="0"/>
                              <w:marBottom w:val="0"/>
                              <w:divBdr>
                                <w:top w:val="none" w:sz="0" w:space="0" w:color="auto"/>
                                <w:left w:val="none" w:sz="0" w:space="0" w:color="auto"/>
                                <w:bottom w:val="none" w:sz="0" w:space="0" w:color="auto"/>
                                <w:right w:val="none" w:sz="0" w:space="0" w:color="auto"/>
                              </w:divBdr>
                              <w:divsChild>
                                <w:div w:id="2080787733">
                                  <w:marLeft w:val="0"/>
                                  <w:marRight w:val="0"/>
                                  <w:marTop w:val="0"/>
                                  <w:marBottom w:val="0"/>
                                  <w:divBdr>
                                    <w:top w:val="none" w:sz="0" w:space="0" w:color="auto"/>
                                    <w:left w:val="none" w:sz="0" w:space="0" w:color="auto"/>
                                    <w:bottom w:val="none" w:sz="0" w:space="0" w:color="auto"/>
                                    <w:right w:val="none" w:sz="0" w:space="0" w:color="auto"/>
                                  </w:divBdr>
                                  <w:divsChild>
                                    <w:div w:id="20807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795">
      <w:marLeft w:val="0"/>
      <w:marRight w:val="0"/>
      <w:marTop w:val="0"/>
      <w:marBottom w:val="0"/>
      <w:divBdr>
        <w:top w:val="none" w:sz="0" w:space="0" w:color="auto"/>
        <w:left w:val="none" w:sz="0" w:space="0" w:color="auto"/>
        <w:bottom w:val="none" w:sz="0" w:space="0" w:color="auto"/>
        <w:right w:val="none" w:sz="0" w:space="0" w:color="auto"/>
      </w:divBdr>
    </w:div>
    <w:div w:id="2080787796">
      <w:marLeft w:val="0"/>
      <w:marRight w:val="0"/>
      <w:marTop w:val="0"/>
      <w:marBottom w:val="0"/>
      <w:divBdr>
        <w:top w:val="none" w:sz="0" w:space="0" w:color="auto"/>
        <w:left w:val="none" w:sz="0" w:space="0" w:color="auto"/>
        <w:bottom w:val="none" w:sz="0" w:space="0" w:color="auto"/>
        <w:right w:val="none" w:sz="0" w:space="0" w:color="auto"/>
      </w:divBdr>
    </w:div>
    <w:div w:id="2080787805">
      <w:marLeft w:val="0"/>
      <w:marRight w:val="0"/>
      <w:marTop w:val="0"/>
      <w:marBottom w:val="0"/>
      <w:divBdr>
        <w:top w:val="none" w:sz="0" w:space="0" w:color="auto"/>
        <w:left w:val="none" w:sz="0" w:space="0" w:color="auto"/>
        <w:bottom w:val="none" w:sz="0" w:space="0" w:color="auto"/>
        <w:right w:val="none" w:sz="0" w:space="0" w:color="auto"/>
      </w:divBdr>
      <w:divsChild>
        <w:div w:id="2080787745">
          <w:marLeft w:val="0"/>
          <w:marRight w:val="0"/>
          <w:marTop w:val="0"/>
          <w:marBottom w:val="0"/>
          <w:divBdr>
            <w:top w:val="none" w:sz="0" w:space="0" w:color="auto"/>
            <w:left w:val="none" w:sz="0" w:space="0" w:color="auto"/>
            <w:bottom w:val="none" w:sz="0" w:space="0" w:color="auto"/>
            <w:right w:val="none" w:sz="0" w:space="0" w:color="auto"/>
          </w:divBdr>
          <w:divsChild>
            <w:div w:id="2080787788">
              <w:marLeft w:val="0"/>
              <w:marRight w:val="0"/>
              <w:marTop w:val="0"/>
              <w:marBottom w:val="0"/>
              <w:divBdr>
                <w:top w:val="none" w:sz="0" w:space="0" w:color="auto"/>
                <w:left w:val="none" w:sz="0" w:space="0" w:color="auto"/>
                <w:bottom w:val="none" w:sz="0" w:space="0" w:color="auto"/>
                <w:right w:val="none" w:sz="0" w:space="0" w:color="auto"/>
              </w:divBdr>
              <w:divsChild>
                <w:div w:id="2080787785">
                  <w:marLeft w:val="0"/>
                  <w:marRight w:val="0"/>
                  <w:marTop w:val="0"/>
                  <w:marBottom w:val="0"/>
                  <w:divBdr>
                    <w:top w:val="none" w:sz="0" w:space="0" w:color="auto"/>
                    <w:left w:val="none" w:sz="0" w:space="0" w:color="auto"/>
                    <w:bottom w:val="none" w:sz="0" w:space="0" w:color="auto"/>
                    <w:right w:val="none" w:sz="0" w:space="0" w:color="auto"/>
                  </w:divBdr>
                  <w:divsChild>
                    <w:div w:id="2080787812">
                      <w:marLeft w:val="0"/>
                      <w:marRight w:val="0"/>
                      <w:marTop w:val="0"/>
                      <w:marBottom w:val="0"/>
                      <w:divBdr>
                        <w:top w:val="none" w:sz="0" w:space="0" w:color="auto"/>
                        <w:left w:val="none" w:sz="0" w:space="0" w:color="auto"/>
                        <w:bottom w:val="none" w:sz="0" w:space="0" w:color="auto"/>
                        <w:right w:val="none" w:sz="0" w:space="0" w:color="auto"/>
                      </w:divBdr>
                      <w:divsChild>
                        <w:div w:id="2080787747">
                          <w:marLeft w:val="0"/>
                          <w:marRight w:val="0"/>
                          <w:marTop w:val="0"/>
                          <w:marBottom w:val="0"/>
                          <w:divBdr>
                            <w:top w:val="none" w:sz="0" w:space="0" w:color="auto"/>
                            <w:left w:val="none" w:sz="0" w:space="0" w:color="auto"/>
                            <w:bottom w:val="none" w:sz="0" w:space="0" w:color="auto"/>
                            <w:right w:val="none" w:sz="0" w:space="0" w:color="auto"/>
                          </w:divBdr>
                          <w:divsChild>
                            <w:div w:id="2080787729">
                              <w:marLeft w:val="0"/>
                              <w:marRight w:val="0"/>
                              <w:marTop w:val="0"/>
                              <w:marBottom w:val="0"/>
                              <w:divBdr>
                                <w:top w:val="none" w:sz="0" w:space="0" w:color="auto"/>
                                <w:left w:val="none" w:sz="0" w:space="0" w:color="auto"/>
                                <w:bottom w:val="none" w:sz="0" w:space="0" w:color="auto"/>
                                <w:right w:val="none" w:sz="0" w:space="0" w:color="auto"/>
                              </w:divBdr>
                              <w:divsChild>
                                <w:div w:id="2080787702">
                                  <w:marLeft w:val="0"/>
                                  <w:marRight w:val="0"/>
                                  <w:marTop w:val="0"/>
                                  <w:marBottom w:val="0"/>
                                  <w:divBdr>
                                    <w:top w:val="none" w:sz="0" w:space="0" w:color="auto"/>
                                    <w:left w:val="none" w:sz="0" w:space="0" w:color="auto"/>
                                    <w:bottom w:val="none" w:sz="0" w:space="0" w:color="auto"/>
                                    <w:right w:val="none" w:sz="0" w:space="0" w:color="auto"/>
                                  </w:divBdr>
                                  <w:divsChild>
                                    <w:div w:id="20807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814">
      <w:marLeft w:val="0"/>
      <w:marRight w:val="0"/>
      <w:marTop w:val="0"/>
      <w:marBottom w:val="0"/>
      <w:divBdr>
        <w:top w:val="none" w:sz="0" w:space="0" w:color="auto"/>
        <w:left w:val="none" w:sz="0" w:space="0" w:color="auto"/>
        <w:bottom w:val="none" w:sz="0" w:space="0" w:color="auto"/>
        <w:right w:val="none" w:sz="0" w:space="0" w:color="auto"/>
      </w:divBdr>
    </w:div>
    <w:div w:id="2080787819">
      <w:marLeft w:val="0"/>
      <w:marRight w:val="0"/>
      <w:marTop w:val="0"/>
      <w:marBottom w:val="0"/>
      <w:divBdr>
        <w:top w:val="none" w:sz="0" w:space="0" w:color="auto"/>
        <w:left w:val="none" w:sz="0" w:space="0" w:color="auto"/>
        <w:bottom w:val="none" w:sz="0" w:space="0" w:color="auto"/>
        <w:right w:val="none" w:sz="0" w:space="0" w:color="auto"/>
      </w:divBdr>
      <w:divsChild>
        <w:div w:id="2080787781">
          <w:marLeft w:val="0"/>
          <w:marRight w:val="0"/>
          <w:marTop w:val="0"/>
          <w:marBottom w:val="0"/>
          <w:divBdr>
            <w:top w:val="none" w:sz="0" w:space="0" w:color="auto"/>
            <w:left w:val="none" w:sz="0" w:space="0" w:color="auto"/>
            <w:bottom w:val="none" w:sz="0" w:space="0" w:color="auto"/>
            <w:right w:val="none" w:sz="0" w:space="0" w:color="auto"/>
          </w:divBdr>
          <w:divsChild>
            <w:div w:id="2080787704">
              <w:marLeft w:val="0"/>
              <w:marRight w:val="0"/>
              <w:marTop w:val="0"/>
              <w:marBottom w:val="0"/>
              <w:divBdr>
                <w:top w:val="none" w:sz="0" w:space="0" w:color="auto"/>
                <w:left w:val="none" w:sz="0" w:space="0" w:color="auto"/>
                <w:bottom w:val="none" w:sz="0" w:space="0" w:color="auto"/>
                <w:right w:val="none" w:sz="0" w:space="0" w:color="auto"/>
              </w:divBdr>
              <w:divsChild>
                <w:div w:id="2080787775">
                  <w:marLeft w:val="0"/>
                  <w:marRight w:val="0"/>
                  <w:marTop w:val="0"/>
                  <w:marBottom w:val="0"/>
                  <w:divBdr>
                    <w:top w:val="none" w:sz="0" w:space="0" w:color="auto"/>
                    <w:left w:val="none" w:sz="0" w:space="0" w:color="auto"/>
                    <w:bottom w:val="none" w:sz="0" w:space="0" w:color="auto"/>
                    <w:right w:val="none" w:sz="0" w:space="0" w:color="auto"/>
                  </w:divBdr>
                  <w:divsChild>
                    <w:div w:id="2080787777">
                      <w:marLeft w:val="0"/>
                      <w:marRight w:val="0"/>
                      <w:marTop w:val="0"/>
                      <w:marBottom w:val="0"/>
                      <w:divBdr>
                        <w:top w:val="none" w:sz="0" w:space="0" w:color="auto"/>
                        <w:left w:val="none" w:sz="0" w:space="0" w:color="auto"/>
                        <w:bottom w:val="none" w:sz="0" w:space="0" w:color="auto"/>
                        <w:right w:val="none" w:sz="0" w:space="0" w:color="auto"/>
                      </w:divBdr>
                      <w:divsChild>
                        <w:div w:id="2080787699">
                          <w:marLeft w:val="0"/>
                          <w:marRight w:val="0"/>
                          <w:marTop w:val="0"/>
                          <w:marBottom w:val="0"/>
                          <w:divBdr>
                            <w:top w:val="none" w:sz="0" w:space="0" w:color="auto"/>
                            <w:left w:val="none" w:sz="0" w:space="0" w:color="auto"/>
                            <w:bottom w:val="none" w:sz="0" w:space="0" w:color="auto"/>
                            <w:right w:val="none" w:sz="0" w:space="0" w:color="auto"/>
                          </w:divBdr>
                          <w:divsChild>
                            <w:div w:id="2080787748">
                              <w:marLeft w:val="0"/>
                              <w:marRight w:val="0"/>
                              <w:marTop w:val="0"/>
                              <w:marBottom w:val="0"/>
                              <w:divBdr>
                                <w:top w:val="none" w:sz="0" w:space="0" w:color="auto"/>
                                <w:left w:val="none" w:sz="0" w:space="0" w:color="auto"/>
                                <w:bottom w:val="none" w:sz="0" w:space="0" w:color="auto"/>
                                <w:right w:val="none" w:sz="0" w:space="0" w:color="auto"/>
                              </w:divBdr>
                              <w:divsChild>
                                <w:div w:id="2080787778">
                                  <w:marLeft w:val="0"/>
                                  <w:marRight w:val="0"/>
                                  <w:marTop w:val="0"/>
                                  <w:marBottom w:val="0"/>
                                  <w:divBdr>
                                    <w:top w:val="none" w:sz="0" w:space="0" w:color="auto"/>
                                    <w:left w:val="none" w:sz="0" w:space="0" w:color="auto"/>
                                    <w:bottom w:val="none" w:sz="0" w:space="0" w:color="auto"/>
                                    <w:right w:val="none" w:sz="0" w:space="0" w:color="auto"/>
                                  </w:divBdr>
                                  <w:divsChild>
                                    <w:div w:id="20807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87826">
      <w:marLeft w:val="0"/>
      <w:marRight w:val="0"/>
      <w:marTop w:val="0"/>
      <w:marBottom w:val="0"/>
      <w:divBdr>
        <w:top w:val="none" w:sz="0" w:space="0" w:color="auto"/>
        <w:left w:val="none" w:sz="0" w:space="0" w:color="auto"/>
        <w:bottom w:val="none" w:sz="0" w:space="0" w:color="auto"/>
        <w:right w:val="none" w:sz="0" w:space="0" w:color="auto"/>
      </w:divBdr>
      <w:divsChild>
        <w:div w:id="2080787776">
          <w:marLeft w:val="0"/>
          <w:marRight w:val="0"/>
          <w:marTop w:val="0"/>
          <w:marBottom w:val="0"/>
          <w:divBdr>
            <w:top w:val="none" w:sz="0" w:space="0" w:color="auto"/>
            <w:left w:val="none" w:sz="0" w:space="0" w:color="auto"/>
            <w:bottom w:val="none" w:sz="0" w:space="0" w:color="auto"/>
            <w:right w:val="none" w:sz="0" w:space="0" w:color="auto"/>
          </w:divBdr>
          <w:divsChild>
            <w:div w:id="2080787763">
              <w:marLeft w:val="0"/>
              <w:marRight w:val="0"/>
              <w:marTop w:val="0"/>
              <w:marBottom w:val="0"/>
              <w:divBdr>
                <w:top w:val="none" w:sz="0" w:space="0" w:color="auto"/>
                <w:left w:val="none" w:sz="0" w:space="0" w:color="auto"/>
                <w:bottom w:val="none" w:sz="0" w:space="0" w:color="auto"/>
                <w:right w:val="none" w:sz="0" w:space="0" w:color="auto"/>
              </w:divBdr>
              <w:divsChild>
                <w:div w:id="2080787779">
                  <w:marLeft w:val="0"/>
                  <w:marRight w:val="0"/>
                  <w:marTop w:val="0"/>
                  <w:marBottom w:val="0"/>
                  <w:divBdr>
                    <w:top w:val="none" w:sz="0" w:space="0" w:color="auto"/>
                    <w:left w:val="none" w:sz="0" w:space="0" w:color="auto"/>
                    <w:bottom w:val="none" w:sz="0" w:space="0" w:color="auto"/>
                    <w:right w:val="none" w:sz="0" w:space="0" w:color="auto"/>
                  </w:divBdr>
                  <w:divsChild>
                    <w:div w:id="2080787797">
                      <w:marLeft w:val="0"/>
                      <w:marRight w:val="0"/>
                      <w:marTop w:val="0"/>
                      <w:marBottom w:val="0"/>
                      <w:divBdr>
                        <w:top w:val="none" w:sz="0" w:space="0" w:color="auto"/>
                        <w:left w:val="none" w:sz="0" w:space="0" w:color="auto"/>
                        <w:bottom w:val="none" w:sz="0" w:space="0" w:color="auto"/>
                        <w:right w:val="none" w:sz="0" w:space="0" w:color="auto"/>
                      </w:divBdr>
                      <w:divsChild>
                        <w:div w:id="2080787742">
                          <w:marLeft w:val="0"/>
                          <w:marRight w:val="0"/>
                          <w:marTop w:val="0"/>
                          <w:marBottom w:val="0"/>
                          <w:divBdr>
                            <w:top w:val="none" w:sz="0" w:space="0" w:color="auto"/>
                            <w:left w:val="none" w:sz="0" w:space="0" w:color="auto"/>
                            <w:bottom w:val="none" w:sz="0" w:space="0" w:color="auto"/>
                            <w:right w:val="none" w:sz="0" w:space="0" w:color="auto"/>
                          </w:divBdr>
                          <w:divsChild>
                            <w:div w:id="2080787798">
                              <w:marLeft w:val="0"/>
                              <w:marRight w:val="0"/>
                              <w:marTop w:val="0"/>
                              <w:marBottom w:val="0"/>
                              <w:divBdr>
                                <w:top w:val="none" w:sz="0" w:space="0" w:color="auto"/>
                                <w:left w:val="none" w:sz="0" w:space="0" w:color="auto"/>
                                <w:bottom w:val="none" w:sz="0" w:space="0" w:color="auto"/>
                                <w:right w:val="none" w:sz="0" w:space="0" w:color="auto"/>
                              </w:divBdr>
                              <w:divsChild>
                                <w:div w:id="2080787799">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term=%22Ozvaran%20MK%22%5BAuthor%5D" TargetMode="External"/><Relationship Id="rId21" Type="http://schemas.openxmlformats.org/officeDocument/2006/relationships/hyperlink" Target="http://evs.nci.nih.gov/ftp1/CTCAE/About.html" TargetMode="External"/><Relationship Id="rId42" Type="http://schemas.openxmlformats.org/officeDocument/2006/relationships/hyperlink" Target="http://www.ncbi.nlm.nih.gov/pubmed?term=%22Kane%20AB%22%5BAuthor%5D" TargetMode="External"/><Relationship Id="rId63" Type="http://schemas.openxmlformats.org/officeDocument/2006/relationships/hyperlink" Target="http://www.ncbi.nlm.nih.gov/pubmed?term=%22Catalano%20RB%22%5BAuthor%5D" TargetMode="External"/><Relationship Id="rId84" Type="http://schemas.openxmlformats.org/officeDocument/2006/relationships/hyperlink" Target="http://www.ncbi.nlm.nih.gov/pubmed?term=%22Ma%20PC%22%5BAuthor%5D" TargetMode="External"/><Relationship Id="rId138" Type="http://schemas.openxmlformats.org/officeDocument/2006/relationships/hyperlink" Target="http://www.ncbi.nlm.nih.gov/pubmed?term=%22Bueno%20R%22%5BAuthor%5D" TargetMode="External"/><Relationship Id="rId159" Type="http://schemas.openxmlformats.org/officeDocument/2006/relationships/hyperlink" Target="http://www.ncbi.nlm.nih.gov/pubmed?term=%22Blackman%20RK%22%5BAuthor%5D" TargetMode="External"/><Relationship Id="rId170" Type="http://schemas.openxmlformats.org/officeDocument/2006/relationships/hyperlink" Target="http://www.ncbi.nlm.nih.gov/pubmed?term=%22Huang%20YH%22%5BAuthor%5D" TargetMode="External"/><Relationship Id="rId107" Type="http://schemas.openxmlformats.org/officeDocument/2006/relationships/hyperlink" Target="http://www.ncbi.nlm.nih.gov/pubmed?term=%22Longley%20DB%22%5BAuthor%5D" TargetMode="External"/><Relationship Id="rId11" Type="http://schemas.openxmlformats.org/officeDocument/2006/relationships/endnotes" Target="endnotes.xml"/><Relationship Id="rId32" Type="http://schemas.openxmlformats.org/officeDocument/2006/relationships/hyperlink" Target="http://ctep.cancer.gov/protocolDevelopment/electronic_applications/ctc.htm" TargetMode="External"/><Relationship Id="rId53" Type="http://schemas.openxmlformats.org/officeDocument/2006/relationships/hyperlink" Target="http://www.ncbi.nlm.nih.gov/pubmed?term=%22Baer%20MR%22%5BAuthor%5D" TargetMode="External"/><Relationship Id="rId74" Type="http://schemas.openxmlformats.org/officeDocument/2006/relationships/hyperlink" Target="http://www.ncbi.nlm.nih.gov/pubmed?term=%22Parmar%20A%22%5BAuthor%5D" TargetMode="External"/><Relationship Id="rId128" Type="http://schemas.openxmlformats.org/officeDocument/2006/relationships/hyperlink" Target="http://www.ncbi.nlm.nih.gov/pubmed?term=%22Yagui-Beltran%20A%22%5BAuthor%5D" TargetMode="External"/><Relationship Id="rId149" Type="http://schemas.openxmlformats.org/officeDocument/2006/relationships/hyperlink" Target="http://www.ncbi.nlm.nih.gov/pubmed?term=%22Foley%20KP%22%5BAuthor%5D" TargetMode="External"/><Relationship Id="rId5" Type="http://schemas.openxmlformats.org/officeDocument/2006/relationships/customXml" Target="../customXml/item5.xml"/><Relationship Id="rId95" Type="http://schemas.openxmlformats.org/officeDocument/2006/relationships/hyperlink" Target="http://www.ncbi.nlm.nih.gov/pubmed?term=%22Sugarbaker%20DJ%22%5BAuthor%5D" TargetMode="External"/><Relationship Id="rId160" Type="http://schemas.openxmlformats.org/officeDocument/2006/relationships/hyperlink" Target="http://www.ncbi.nlm.nih.gov/pubmed?term=%22Sol%C3%A1r%20P%22%5BAuthor%5D" TargetMode="External"/><Relationship Id="rId181" Type="http://schemas.openxmlformats.org/officeDocument/2006/relationships/footer" Target="footer8.xml"/><Relationship Id="rId22" Type="http://schemas.openxmlformats.org/officeDocument/2006/relationships/header" Target="header1.xml"/><Relationship Id="rId43" Type="http://schemas.openxmlformats.org/officeDocument/2006/relationships/hyperlink" Target="http://www.ncbi.nlm.nih.gov/pubmed?term=%22Testa%20JR%22%5BAuthor%5D" TargetMode="External"/><Relationship Id="rId64" Type="http://schemas.openxmlformats.org/officeDocument/2006/relationships/hyperlink" Target="http://www.ncbi.nlm.nih.gov/pubmed?term=%22Engelking%20C%22%5BAuthor%5D" TargetMode="External"/><Relationship Id="rId118" Type="http://schemas.openxmlformats.org/officeDocument/2006/relationships/hyperlink" Target="http://www.ncbi.nlm.nih.gov/pubmed?term=%22Zumstein%20L%22%5BAuthor%5D" TargetMode="External"/><Relationship Id="rId139" Type="http://schemas.openxmlformats.org/officeDocument/2006/relationships/hyperlink" Target="http://www.ncbi.nlm.nih.gov/pubmed?term=%22Sugarbaker%20DJ%22%5BAuthor%5D" TargetMode="External"/><Relationship Id="rId85" Type="http://schemas.openxmlformats.org/officeDocument/2006/relationships/hyperlink" Target="http://www.ncbi.nlm.nih.gov/pubmed?term=%22Seiwert%20TY%22%5BAuthor%5D" TargetMode="External"/><Relationship Id="rId150" Type="http://schemas.openxmlformats.org/officeDocument/2006/relationships/hyperlink" Target="http://www.ncbi.nlm.nih.gov/pubmed?term=%22Korbut%20T%22%5BAuthor%5D" TargetMode="External"/><Relationship Id="rId171" Type="http://schemas.openxmlformats.org/officeDocument/2006/relationships/hyperlink" Target="http://www.ncbi.nlm.nih.gov/pubmed?term=%22Yang%20WJ%22%5BAuthor%5D" TargetMode="External"/><Relationship Id="rId12" Type="http://schemas.openxmlformats.org/officeDocument/2006/relationships/image" Target="media/image1.jpeg"/><Relationship Id="rId33" Type="http://schemas.openxmlformats.org/officeDocument/2006/relationships/image" Target="media/image6.emf"/><Relationship Id="rId108" Type="http://schemas.openxmlformats.org/officeDocument/2006/relationships/hyperlink" Target="http://www.ncbi.nlm.nih.gov/pubmed?term=%22Ferguson%20PR%22%5BAuthor%5D" TargetMode="External"/><Relationship Id="rId129" Type="http://schemas.openxmlformats.org/officeDocument/2006/relationships/hyperlink" Target="http://www.ncbi.nlm.nih.gov/pubmed?term=%22Ray%20MR%22%5BAuthor%5D" TargetMode="External"/><Relationship Id="rId54" Type="http://schemas.openxmlformats.org/officeDocument/2006/relationships/hyperlink" Target="http://www.ncbi.nlm.nih.gov/pubmed?term=%22Kelly%20K%22%5BAuthor%5D" TargetMode="External"/><Relationship Id="rId75" Type="http://schemas.openxmlformats.org/officeDocument/2006/relationships/hyperlink" Target="http://www.ncbi.nlm.nih.gov/pubmed?term=%22Shamash%20J%22%5BAuthor%5D" TargetMode="External"/><Relationship Id="rId96" Type="http://schemas.openxmlformats.org/officeDocument/2006/relationships/hyperlink" Target="http://www.ncbi.nlm.nih.gov/pubmed?term=%22Bueno%20R%22%5BAuthor%5D" TargetMode="External"/><Relationship Id="rId140" Type="http://schemas.openxmlformats.org/officeDocument/2006/relationships/hyperlink" Target="http://www.ncbi.nlm.nih.gov/pubmed?term=%22Fletcher%20JA%22%5BAuthor%5D" TargetMode="External"/><Relationship Id="rId161" Type="http://schemas.openxmlformats.org/officeDocument/2006/relationships/hyperlink" Target="http://www.ncbi.nlm.nih.gov/pubmed?term=%22Horv%C3%A1th%20V%22%5BAuthor%5D" TargetMode="External"/><Relationship Id="rId182" Type="http://schemas.openxmlformats.org/officeDocument/2006/relationships/footer" Target="footer9.xml"/><Relationship Id="rId6" Type="http://schemas.openxmlformats.org/officeDocument/2006/relationships/numbering" Target="numbering.xml"/><Relationship Id="rId23" Type="http://schemas.openxmlformats.org/officeDocument/2006/relationships/header" Target="header2.xml"/><Relationship Id="rId119" Type="http://schemas.openxmlformats.org/officeDocument/2006/relationships/hyperlink" Target="http://www.ncbi.nlm.nih.gov/pubmed?term=%22Chada%20S%22%5BAuthor%5D" TargetMode="External"/><Relationship Id="rId44" Type="http://schemas.openxmlformats.org/officeDocument/2006/relationships/hyperlink" Target="http://www.ncbi.nlm.nih.gov/pubmed?term=%22Bansal%20H%22%5BAuthor%5D" TargetMode="External"/><Relationship Id="rId60" Type="http://schemas.openxmlformats.org/officeDocument/2006/relationships/hyperlink" Target="http://www.ncbi.nlm.nih.gov/pubmed?term=%22Padmanabhan%20S%22%5BAuthor%5D" TargetMode="External"/><Relationship Id="rId65" Type="http://schemas.openxmlformats.org/officeDocument/2006/relationships/hyperlink" Target="http://www.ncbi.nlm.nih.gov/pubmed?term=%22Kornblau%20SM%22%5BAuthor%5D" TargetMode="External"/><Relationship Id="rId81" Type="http://schemas.openxmlformats.org/officeDocument/2006/relationships/hyperlink" Target="http://www.ncbi.nlm.nih.gov/pubmed?term=%22Steele%20J%22%5BAuthor%5D" TargetMode="External"/><Relationship Id="rId86" Type="http://schemas.openxmlformats.org/officeDocument/2006/relationships/hyperlink" Target="http://www.ncbi.nlm.nih.gov/pubmed?term=%22Jagadeeswaran%20S%22%5BAuthor%5D" TargetMode="External"/><Relationship Id="rId130" Type="http://schemas.openxmlformats.org/officeDocument/2006/relationships/hyperlink" Target="http://www.ncbi.nlm.nih.gov/pubmed?term=%22Koizumi%20K%22%5BAuthor%5D" TargetMode="External"/><Relationship Id="rId135" Type="http://schemas.openxmlformats.org/officeDocument/2006/relationships/hyperlink" Target="http://www.ncbi.nlm.nih.gov/pubmed?term=%22Flynn%20DL%22%5BAuthor%5D" TargetMode="External"/><Relationship Id="rId151" Type="http://schemas.openxmlformats.org/officeDocument/2006/relationships/hyperlink" Target="http://www.ncbi.nlm.nih.gov/pubmed?term=%22Sang%20J%22%5BAuthor%5D" TargetMode="External"/><Relationship Id="rId156" Type="http://schemas.openxmlformats.org/officeDocument/2006/relationships/hyperlink" Target="http://www.ncbi.nlm.nih.gov/pubmed?term=%22Zhou%20D%22%5BAuthor%5D" TargetMode="External"/><Relationship Id="rId177" Type="http://schemas.openxmlformats.org/officeDocument/2006/relationships/footer" Target="footer7.xml"/><Relationship Id="rId172" Type="http://schemas.openxmlformats.org/officeDocument/2006/relationships/hyperlink" Target="http://www.ncbi.nlm.nih.gov/pubmed?term=%22Chan%20HW%22%5BAuthor%5D"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www.ncbi.nlm.nih.gov/pubmed?term=%22Devarajan%20K%22%5BAuthor%5D" TargetMode="External"/><Relationship Id="rId109" Type="http://schemas.openxmlformats.org/officeDocument/2006/relationships/hyperlink" Target="http://www.ncbi.nlm.nih.gov/pubmed?term=%22Boyer%20J%22%5BAuthor%5D" TargetMode="External"/><Relationship Id="rId34" Type="http://schemas.openxmlformats.org/officeDocument/2006/relationships/package" Target="embeddings/Microsoft_PowerPoint_Slide.sldx"/><Relationship Id="rId50" Type="http://schemas.openxmlformats.org/officeDocument/2006/relationships/hyperlink" Target="http://www.ncbi.nlm.nih.gov/pubmed?term=%22Blackman%20RK%22%5BAuthor%5D" TargetMode="External"/><Relationship Id="rId55" Type="http://schemas.openxmlformats.org/officeDocument/2006/relationships/hyperlink" Target="http://www.ncbi.nlm.nih.gov/pubmed?term=%22Swords%20R%22%5BAuthor%5D" TargetMode="External"/><Relationship Id="rId76" Type="http://schemas.openxmlformats.org/officeDocument/2006/relationships/hyperlink" Target="http://www.ncbi.nlm.nih.gov/pubmed?term=%22Evans%20MT%22%5BAuthor%5D" TargetMode="External"/><Relationship Id="rId97" Type="http://schemas.openxmlformats.org/officeDocument/2006/relationships/hyperlink" Target="http://www.ncbi.nlm.nih.gov/pubmed?term=%22Janamanchi%20V%22%5BAuthor%5D" TargetMode="External"/><Relationship Id="rId104" Type="http://schemas.openxmlformats.org/officeDocument/2006/relationships/hyperlink" Target="http://www.ncbi.nlm.nih.gov/pubmed?term=%22Kim%20JH%22%5BAuthor%5D" TargetMode="External"/><Relationship Id="rId120" Type="http://schemas.openxmlformats.org/officeDocument/2006/relationships/hyperlink" Target="http://www.ncbi.nlm.nih.gov/pubmed?term=%22Smythe%20WR%22%5BAuthor%5D" TargetMode="External"/><Relationship Id="rId125" Type="http://schemas.openxmlformats.org/officeDocument/2006/relationships/hyperlink" Target="http://www.ncbi.nlm.nih.gov/pubmed?term=%22Lin%20YC%22%5BAuthor%5D" TargetMode="External"/><Relationship Id="rId141" Type="http://schemas.openxmlformats.org/officeDocument/2006/relationships/hyperlink" Target="http://www.ncbi.nlm.nih.gov/pubmed?term=%22Pespeni%20MH%22%5BAuthor%5D" TargetMode="External"/><Relationship Id="rId146" Type="http://schemas.openxmlformats.org/officeDocument/2006/relationships/hyperlink" Target="http://www.ncbi.nlm.nih.gov/pubmed?term=%22Broaddus%20VC%22%5BAuthor%5D" TargetMode="External"/><Relationship Id="rId167" Type="http://schemas.openxmlformats.org/officeDocument/2006/relationships/hyperlink" Target="http://www.ncbi.nlm.nih.gov/pubmed?term=%22Wu%20MF%22%5BAuthor%5D" TargetMode="External"/><Relationship Id="rId7" Type="http://schemas.openxmlformats.org/officeDocument/2006/relationships/styles" Target="styles.xml"/><Relationship Id="rId71" Type="http://schemas.openxmlformats.org/officeDocument/2006/relationships/hyperlink" Target="http://www.ncbi.nlm.nih.gov/pubmed?term=%22Wadler%20S%22%5BAuthor%5D" TargetMode="External"/><Relationship Id="rId92" Type="http://schemas.openxmlformats.org/officeDocument/2006/relationships/hyperlink" Target="http://www.ncbi.nlm.nih.gov/pubmed?term=%22Puntoni%20R%22%5BAuthor%5D" TargetMode="External"/><Relationship Id="rId162" Type="http://schemas.openxmlformats.org/officeDocument/2006/relationships/hyperlink" Target="http://www.ncbi.nlm.nih.gov/pubmed?term=%22Kleban%20J%22%5BAuthor%5D"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pharmacologyweekly.com/content/pages/drug-reference-table-cyp-p450-ugt-enzymes-transporters-ab" TargetMode="External"/><Relationship Id="rId24" Type="http://schemas.openxmlformats.org/officeDocument/2006/relationships/footer" Target="footer1.xml"/><Relationship Id="rId40" Type="http://schemas.openxmlformats.org/officeDocument/2006/relationships/hyperlink" Target="http://www.ncbi.nlm.nih.gov/pubmed?term=%22Jhanwar%20SC%22%5BAuthor%5D" TargetMode="External"/><Relationship Id="rId45" Type="http://schemas.openxmlformats.org/officeDocument/2006/relationships/hyperlink" Target="http://www.ncbi.nlm.nih.gov/pubmed?term=%22Bansal%20S%22%5BAuthor%5D" TargetMode="External"/><Relationship Id="rId66" Type="http://schemas.openxmlformats.org/officeDocument/2006/relationships/hyperlink" Target="http://www.ncbi.nlm.nih.gov/pubmed?term=%22Martenson%20JA%20Jr%22%5BAuthor%5D" TargetMode="External"/><Relationship Id="rId87" Type="http://schemas.openxmlformats.org/officeDocument/2006/relationships/hyperlink" Target="http://www.ncbi.nlm.nih.gov/pubmed?term=%22Zumba%20O%22%5BAuthor%5D" TargetMode="External"/><Relationship Id="rId110" Type="http://schemas.openxmlformats.org/officeDocument/2006/relationships/hyperlink" Target="http://www.ncbi.nlm.nih.gov/pubmed?term=%22Latif%20T%22%5BAuthor%5D" TargetMode="External"/><Relationship Id="rId115" Type="http://schemas.openxmlformats.org/officeDocument/2006/relationships/hyperlink" Target="http://www.ncbi.nlm.nih.gov/pubmed?term=%22Mohiuddin%20I%22%5BAuthor%5D" TargetMode="External"/><Relationship Id="rId131" Type="http://schemas.openxmlformats.org/officeDocument/2006/relationships/hyperlink" Target="http://www.ncbi.nlm.nih.gov/pubmed?term=%22He%20B%22%5BAuthor%5D" TargetMode="External"/><Relationship Id="rId136" Type="http://schemas.openxmlformats.org/officeDocument/2006/relationships/hyperlink" Target="http://www.ncbi.nlm.nih.gov/pubmed?term=%22Lu%20WP%22%5BAuthor%5D" TargetMode="External"/><Relationship Id="rId157" Type="http://schemas.openxmlformats.org/officeDocument/2006/relationships/hyperlink" Target="http://www.ncbi.nlm.nih.gov/pubmed?term=%22Koya%20K%22%5BAuthor%5D" TargetMode="External"/><Relationship Id="rId178" Type="http://schemas.openxmlformats.org/officeDocument/2006/relationships/image" Target="media/image7.png"/><Relationship Id="rId61" Type="http://schemas.openxmlformats.org/officeDocument/2006/relationships/hyperlink" Target="http://www.ncbi.nlm.nih.gov/pubmed?term=%22Benson%20AB%203rd%22%5BAuthor%5D" TargetMode="External"/><Relationship Id="rId82" Type="http://schemas.openxmlformats.org/officeDocument/2006/relationships/hyperlink" Target="http://www.ncbi.nlm.nih.gov/pubmed?term=%22Rudd%20R%22%5BAuthor%5D" TargetMode="External"/><Relationship Id="rId152" Type="http://schemas.openxmlformats.org/officeDocument/2006/relationships/hyperlink" Target="http://www.ncbi.nlm.nih.gov/pubmed?term=%22Smith%20D%22%5BAuthor%5D" TargetMode="External"/><Relationship Id="rId173" Type="http://schemas.openxmlformats.org/officeDocument/2006/relationships/hyperlink" Target="http://www.ncbi.nlm.nih.gov/pubmed?term=%22Chang%20JT%22%5BAuthor%5D" TargetMode="External"/><Relationship Id="rId19" Type="http://schemas.openxmlformats.org/officeDocument/2006/relationships/hyperlink" Target="http://www.nccn.org" TargetMode="External"/><Relationship Id="rId14" Type="http://schemas.openxmlformats.org/officeDocument/2006/relationships/image" Target="media/image3.png"/><Relationship Id="rId30" Type="http://schemas.openxmlformats.org/officeDocument/2006/relationships/hyperlink" Target="http://www.nccn.org" TargetMode="External"/><Relationship Id="rId35" Type="http://schemas.openxmlformats.org/officeDocument/2006/relationships/hyperlink" Target="http://www.ncbi.nlm.nih.gov/pubmed?term=%22Altomare%20DA%22%5BAuthor%5D" TargetMode="External"/><Relationship Id="rId56" Type="http://schemas.openxmlformats.org/officeDocument/2006/relationships/hyperlink" Target="http://www.ncbi.nlm.nih.gov/pubmed?term=%22Tomlinson%20GE%22%5BAuthor%5D" TargetMode="External"/><Relationship Id="rId77" Type="http://schemas.openxmlformats.org/officeDocument/2006/relationships/hyperlink" Target="http://www.ncbi.nlm.nih.gov/pubmed?term=%22Sheaff%20MT%22%5BAuthor%5D" TargetMode="External"/><Relationship Id="rId100" Type="http://schemas.openxmlformats.org/officeDocument/2006/relationships/hyperlink" Target="http://www.ncbi.nlm.nih.gov/pubmed?term=%22Salgia%20R%22%5BAuthor%5D" TargetMode="External"/><Relationship Id="rId105" Type="http://schemas.openxmlformats.org/officeDocument/2006/relationships/hyperlink" Target="http://www.ncbi.nlm.nih.gov/pubmed?term=%22Jong%20HS%22%5BAuthor%5D" TargetMode="External"/><Relationship Id="rId126" Type="http://schemas.openxmlformats.org/officeDocument/2006/relationships/hyperlink" Target="http://www.ncbi.nlm.nih.gov/pubmed?term=%22Bravo%20DT%22%5BAuthor%5D" TargetMode="External"/><Relationship Id="rId147" Type="http://schemas.openxmlformats.org/officeDocument/2006/relationships/hyperlink" Target="http://www.ncbi.nlm.nih.gov/pubmed?term=%22Pittet%20JF%22%5BAuthor%5D" TargetMode="External"/><Relationship Id="rId168" Type="http://schemas.openxmlformats.org/officeDocument/2006/relationships/hyperlink" Target="http://www.ncbi.nlm.nih.gov/pubmed?term=%22Hsiao%20YM%22%5BAuthor%5D" TargetMode="External"/><Relationship Id="rId8" Type="http://schemas.openxmlformats.org/officeDocument/2006/relationships/settings" Target="settings.xml"/><Relationship Id="rId51" Type="http://schemas.openxmlformats.org/officeDocument/2006/relationships/hyperlink" Target="http://www.ncbi.nlm.nih.gov/pubmed?term=%22Ying%20W%22%5BAuthor%5D" TargetMode="External"/><Relationship Id="rId72" Type="http://schemas.openxmlformats.org/officeDocument/2006/relationships/hyperlink" Target="http://www.ncbi.nlm.nih.gov/pubmed/14760119" TargetMode="External"/><Relationship Id="rId93" Type="http://schemas.openxmlformats.org/officeDocument/2006/relationships/hyperlink" Target="http://www.ncbi.nlm.nih.gov/pubmed?term=%22Kratzke%20RA%22%5BAuthor%5D" TargetMode="External"/><Relationship Id="rId98" Type="http://schemas.openxmlformats.org/officeDocument/2006/relationships/hyperlink" Target="http://www.ncbi.nlm.nih.gov/pubmed?term=%22Bindokas%20VP%22%5BAuthor%5D" TargetMode="External"/><Relationship Id="rId121" Type="http://schemas.openxmlformats.org/officeDocument/2006/relationships/hyperlink" Target="http://www.ncbi.nlm.nih.gov/pubmed?term=%22Okamoto%20J%22%5BAuthor%5D" TargetMode="External"/><Relationship Id="rId142" Type="http://schemas.openxmlformats.org/officeDocument/2006/relationships/hyperlink" Target="http://www.ncbi.nlm.nih.gov/pubmed?term=%22Hodnett%20M%22%5BAuthor%5D" TargetMode="External"/><Relationship Id="rId163" Type="http://schemas.openxmlformats.org/officeDocument/2006/relationships/hyperlink" Target="http://www.ncbi.nlm.nih.gov/pubmed?term=%22Koval'%20J%22%5BAuthor%5D"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www.ncbi.nlm.nih.gov/pubmed?term=%22Rao%20M%22%5BAuthor%5D" TargetMode="External"/><Relationship Id="rId67" Type="http://schemas.openxmlformats.org/officeDocument/2006/relationships/hyperlink" Target="http://www.ncbi.nlm.nih.gov/pubmed?term=%22McCallum%20R%22%5BAuthor%5D" TargetMode="External"/><Relationship Id="rId116" Type="http://schemas.openxmlformats.org/officeDocument/2006/relationships/hyperlink" Target="http://www.ncbi.nlm.nih.gov/pubmed?term=%22Cao%20X%22%5BAuthor%5D" TargetMode="External"/><Relationship Id="rId137" Type="http://schemas.openxmlformats.org/officeDocument/2006/relationships/hyperlink" Target="http://www.ncbi.nlm.nih.gov/pubmed?term=%22Wise%20SC%22%5BAuthor%5D" TargetMode="External"/><Relationship Id="rId158" Type="http://schemas.openxmlformats.org/officeDocument/2006/relationships/hyperlink" Target="http://www.ncbi.nlm.nih.gov/pubmed?term=%22Barsoum%20J%22%5BAuthor%5D" TargetMode="External"/><Relationship Id="rId20" Type="http://schemas.openxmlformats.org/officeDocument/2006/relationships/hyperlink" Target="mailto:ctc.excursions@ucl.ac.uk" TargetMode="External"/><Relationship Id="rId41" Type="http://schemas.openxmlformats.org/officeDocument/2006/relationships/hyperlink" Target="http://www.ncbi.nlm.nih.gov/pubmed?term=%22McClatchey%20AI%22%5BAuthor%5D" TargetMode="External"/><Relationship Id="rId62" Type="http://schemas.openxmlformats.org/officeDocument/2006/relationships/hyperlink" Target="http://www.ncbi.nlm.nih.gov/pubmed?term=%22Ajani%20JA%22%5BAuthor%5D" TargetMode="External"/><Relationship Id="rId83" Type="http://schemas.openxmlformats.org/officeDocument/2006/relationships/hyperlink" Target="http://www.ncbi.nlm.nih.gov/pubmed?term=%22Jagadeeswaran%20R%22%5BAuthor%5D" TargetMode="External"/><Relationship Id="rId88" Type="http://schemas.openxmlformats.org/officeDocument/2006/relationships/hyperlink" Target="http://www.ncbi.nlm.nih.gov/pubmed?term=%22Nallasura%20V%22%5BAuthor%5D" TargetMode="External"/><Relationship Id="rId111" Type="http://schemas.openxmlformats.org/officeDocument/2006/relationships/hyperlink" Target="http://www.ncbi.nlm.nih.gov/pubmed?term=%22Lynch%20M%22%5BAuthor%5D" TargetMode="External"/><Relationship Id="rId132" Type="http://schemas.openxmlformats.org/officeDocument/2006/relationships/hyperlink" Target="http://www.ncbi.nlm.nih.gov/pubmed?term=%22Jablons%20DM%22%5BAuthor%5D" TargetMode="External"/><Relationship Id="rId153" Type="http://schemas.openxmlformats.org/officeDocument/2006/relationships/hyperlink" Target="http://www.ncbi.nlm.nih.gov/pubmed?term=%22Bates%20RC%22%5BAuthor%5D" TargetMode="External"/><Relationship Id="rId174" Type="http://schemas.openxmlformats.org/officeDocument/2006/relationships/hyperlink" Target="http://www.ncbi.nlm.nih.gov/pubmed?term=%22Ko%20JL%22%5BAuthor%5D" TargetMode="External"/><Relationship Id="rId179" Type="http://schemas.openxmlformats.org/officeDocument/2006/relationships/image" Target="media/image8.png"/><Relationship Id="rId15" Type="http://schemas.openxmlformats.org/officeDocument/2006/relationships/oleObject" Target="embeddings/oleObject1.bin"/><Relationship Id="rId36" Type="http://schemas.openxmlformats.org/officeDocument/2006/relationships/hyperlink" Target="http://www.ncbi.nlm.nih.gov/pubmed?term=%22Vaslet%20CA%22%5BAuthor%5D" TargetMode="External"/><Relationship Id="rId57" Type="http://schemas.openxmlformats.org/officeDocument/2006/relationships/hyperlink" Target="http://www.ncbi.nlm.nih.gov/pubmed?term=%22Battiwalla%20M%22%5BAuthor%5D" TargetMode="External"/><Relationship Id="rId106" Type="http://schemas.openxmlformats.org/officeDocument/2006/relationships/hyperlink" Target="http://www.ncbi.nlm.nih.gov/pubmed?term=%22Kim%20TY%22%5BAuthor%5D" TargetMode="External"/><Relationship Id="rId127" Type="http://schemas.openxmlformats.org/officeDocument/2006/relationships/hyperlink" Target="http://www.ncbi.nlm.nih.gov/pubmed?term=%22Clement%20G%22%5BAuthor%5D" TargetMode="External"/><Relationship Id="rId10" Type="http://schemas.openxmlformats.org/officeDocument/2006/relationships/footnotes" Target="footnotes.xml"/><Relationship Id="rId31" Type="http://schemas.openxmlformats.org/officeDocument/2006/relationships/hyperlink" Target="http://ctep.cancer.gov/protocolDevelopment/electronic_applications/ctc.htm" TargetMode="External"/><Relationship Id="rId52" Type="http://schemas.openxmlformats.org/officeDocument/2006/relationships/hyperlink" Target="http://www.ncbi.nlm.nih.gov/pubmed?term=%22Barsoum%20J%22%5BAuthor%5D" TargetMode="External"/><Relationship Id="rId73" Type="http://schemas.openxmlformats.org/officeDocument/2006/relationships/hyperlink" Target="http://www.ncbi.nlm.nih.gov/pubmed?term=%22Fennell%20DA%22%5BAuthor%5D" TargetMode="External"/><Relationship Id="rId78" Type="http://schemas.openxmlformats.org/officeDocument/2006/relationships/hyperlink" Target="http://www.ncbi.nlm.nih.gov/pubmed?term=%22Sylvester%20R%22%5BAuthor%5D" TargetMode="External"/><Relationship Id="rId94" Type="http://schemas.openxmlformats.org/officeDocument/2006/relationships/hyperlink" Target="http://www.ncbi.nlm.nih.gov/pubmed?term=%22Gordon%20GJ%22%5BAuthor%5D" TargetMode="External"/><Relationship Id="rId99" Type="http://schemas.openxmlformats.org/officeDocument/2006/relationships/hyperlink" Target="http://www.ncbi.nlm.nih.gov/pubmed?term=%22Kindler%20HL%22%5BAuthor%5D" TargetMode="External"/><Relationship Id="rId101" Type="http://schemas.openxmlformats.org/officeDocument/2006/relationships/hyperlink" Target="http://www.ncbi.nlm.nih.gov/pubmed?term=%22Lee%20JH%22%5BAuthor%5D" TargetMode="External"/><Relationship Id="rId122" Type="http://schemas.openxmlformats.org/officeDocument/2006/relationships/hyperlink" Target="http://www.ncbi.nlm.nih.gov/pubmed?term=%22Mikami%20I%22%5BAuthor%5D" TargetMode="External"/><Relationship Id="rId143" Type="http://schemas.openxmlformats.org/officeDocument/2006/relationships/hyperlink" Target="http://www.ncbi.nlm.nih.gov/pubmed?term=%22Abayasiriwardana%20KS%22%5BAuthor%5D" TargetMode="External"/><Relationship Id="rId148" Type="http://schemas.openxmlformats.org/officeDocument/2006/relationships/hyperlink" Target="http://www.ncbi.nlm.nih.gov/pubmed?term=%22Proia%20DA%22%5BAuthor%5D" TargetMode="External"/><Relationship Id="rId164" Type="http://schemas.openxmlformats.org/officeDocument/2006/relationships/hyperlink" Target="http://www.ncbi.nlm.nih.gov/pubmed?term=%22Sol%C3%A1rov%C3%A1%20Z%22%5BAuthor%5D" TargetMode="External"/><Relationship Id="rId169" Type="http://schemas.openxmlformats.org/officeDocument/2006/relationships/hyperlink" Target="http://www.ncbi.nlm.nih.gov/pubmed?term=%22Huang%20CF%22%5BAuthor%5D"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9.png"/><Relationship Id="rId26" Type="http://schemas.openxmlformats.org/officeDocument/2006/relationships/header" Target="header3.xml"/><Relationship Id="rId47" Type="http://schemas.openxmlformats.org/officeDocument/2006/relationships/hyperlink" Target="http://www.ncbi.nlm.nih.gov/pubmed?term=%22Foley%20KP%22%5BAuthor%5D" TargetMode="External"/><Relationship Id="rId68" Type="http://schemas.openxmlformats.org/officeDocument/2006/relationships/hyperlink" Target="http://www.ncbi.nlm.nih.gov/pubmed?term=%22Mitchell%20EP%22%5BAuthor%5D" TargetMode="External"/><Relationship Id="rId89" Type="http://schemas.openxmlformats.org/officeDocument/2006/relationships/hyperlink" Target="http://www.ncbi.nlm.nih.gov/pubmed?term=%22Ahmed%20S%22%5BAuthor%5D" TargetMode="External"/><Relationship Id="rId112" Type="http://schemas.openxmlformats.org/officeDocument/2006/relationships/hyperlink" Target="http://www.ncbi.nlm.nih.gov/pubmed?term=%22Maxwell%20P%22%5BAuthor%5D" TargetMode="External"/><Relationship Id="rId133" Type="http://schemas.openxmlformats.org/officeDocument/2006/relationships/hyperlink" Target="http://www.ncbi.nlm.nih.gov/pubmed?term=%22Ou%20WB%22%5BAuthor%5D" TargetMode="External"/><Relationship Id="rId154" Type="http://schemas.openxmlformats.org/officeDocument/2006/relationships/hyperlink" Target="http://www.ncbi.nlm.nih.gov/pubmed?term=%22Liu%20Y%22%5BAuthor%5D" TargetMode="External"/><Relationship Id="rId175" Type="http://schemas.openxmlformats.org/officeDocument/2006/relationships/footer" Target="footer5.xml"/><Relationship Id="rId16" Type="http://schemas.openxmlformats.org/officeDocument/2006/relationships/image" Target="media/image4.png"/><Relationship Id="rId37" Type="http://schemas.openxmlformats.org/officeDocument/2006/relationships/hyperlink" Target="http://www.ncbi.nlm.nih.gov/pubmed?term=%22Skele%20KL%22%5BAuthor%5D" TargetMode="External"/><Relationship Id="rId58" Type="http://schemas.openxmlformats.org/officeDocument/2006/relationships/hyperlink" Target="http://www.ncbi.nlm.nih.gov/pubmed?term=%22Giles%20FJ%22%5BAuthor%5D" TargetMode="External"/><Relationship Id="rId79" Type="http://schemas.openxmlformats.org/officeDocument/2006/relationships/hyperlink" Target="http://www.ncbi.nlm.nih.gov/pubmed?term=%22Dhaliwal%20K%22%5BAuthor%5D" TargetMode="External"/><Relationship Id="rId102" Type="http://schemas.openxmlformats.org/officeDocument/2006/relationships/hyperlink" Target="http://www.ncbi.nlm.nih.gov/pubmed?term=%22Park%20JH%22%5BAuthor%5D" TargetMode="External"/><Relationship Id="rId123" Type="http://schemas.openxmlformats.org/officeDocument/2006/relationships/hyperlink" Target="http://www.ncbi.nlm.nih.gov/pubmed?term=%22Tominaga%20Y%22%5BAuthor%5D" TargetMode="External"/><Relationship Id="rId144" Type="http://schemas.openxmlformats.org/officeDocument/2006/relationships/hyperlink" Target="http://www.ncbi.nlm.nih.gov/pubmed?term=%22Roux%20J%22%5BAuthor%5D" TargetMode="External"/><Relationship Id="rId90" Type="http://schemas.openxmlformats.org/officeDocument/2006/relationships/hyperlink" Target="http://www.ncbi.nlm.nih.gov/pubmed?term=%22Filiberti%20R%22%5BAuthor%5D" TargetMode="External"/><Relationship Id="rId165" Type="http://schemas.openxmlformats.org/officeDocument/2006/relationships/hyperlink" Target="http://www.ncbi.nlm.nih.gov/pubmed?term=%22Kozub%C3%ADk%20A%22%5BAuthor%5D" TargetMode="External"/><Relationship Id="rId27" Type="http://schemas.openxmlformats.org/officeDocument/2006/relationships/footer" Target="footer3.xml"/><Relationship Id="rId48" Type="http://schemas.openxmlformats.org/officeDocument/2006/relationships/hyperlink" Target="http://www.ncbi.nlm.nih.gov/pubmed?term=%22Sang%20J%22%5BAuthor%5D" TargetMode="External"/><Relationship Id="rId69" Type="http://schemas.openxmlformats.org/officeDocument/2006/relationships/hyperlink" Target="http://www.ncbi.nlm.nih.gov/pubmed?term=%22O'Dorisio%20TM%22%5BAuthor%5D" TargetMode="External"/><Relationship Id="rId113" Type="http://schemas.openxmlformats.org/officeDocument/2006/relationships/hyperlink" Target="http://www.ncbi.nlm.nih.gov/pubmed?term=%22Harkin%20DP%22%5BAuthor%5D" TargetMode="External"/><Relationship Id="rId134" Type="http://schemas.openxmlformats.org/officeDocument/2006/relationships/hyperlink" Target="http://www.ncbi.nlm.nih.gov/pubmed?term=%22Corson%20JM%22%5BAuthor%5D" TargetMode="External"/><Relationship Id="rId80" Type="http://schemas.openxmlformats.org/officeDocument/2006/relationships/hyperlink" Target="http://www.ncbi.nlm.nih.gov/pubmed?term=%22Gower%20N%22%5BAuthor%5D" TargetMode="External"/><Relationship Id="rId155" Type="http://schemas.openxmlformats.org/officeDocument/2006/relationships/hyperlink" Target="http://www.ncbi.nlm.nih.gov/pubmed?term=%22Rosenberg%20AF%22%5BAuthor%5D" TargetMode="External"/><Relationship Id="rId176" Type="http://schemas.openxmlformats.org/officeDocument/2006/relationships/footer" Target="footer6.xml"/><Relationship Id="rId17" Type="http://schemas.openxmlformats.org/officeDocument/2006/relationships/hyperlink" Target="mailto:ctc.meso-02@ucl.ac.uk" TargetMode="External"/><Relationship Id="rId38" Type="http://schemas.openxmlformats.org/officeDocument/2006/relationships/hyperlink" Target="http://www.ncbi.nlm.nih.gov/pubmed?term=%22De%20Rienzo%20A%22%5BAuthor%5D" TargetMode="External"/><Relationship Id="rId59" Type="http://schemas.openxmlformats.org/officeDocument/2006/relationships/hyperlink" Target="http://www.ncbi.nlm.nih.gov/pubmed?term=%22Lee%20KP%22%5BAuthor%5D" TargetMode="External"/><Relationship Id="rId103" Type="http://schemas.openxmlformats.org/officeDocument/2006/relationships/hyperlink" Target="http://www.ncbi.nlm.nih.gov/pubmed?term=%22Jung%20Y%22%5BAuthor%5D" TargetMode="External"/><Relationship Id="rId124" Type="http://schemas.openxmlformats.org/officeDocument/2006/relationships/hyperlink" Target="http://www.ncbi.nlm.nih.gov/pubmed?term=%22Kuchenbecker%20KM%22%5BAuthor%5D" TargetMode="External"/><Relationship Id="rId70" Type="http://schemas.openxmlformats.org/officeDocument/2006/relationships/hyperlink" Target="http://www.ncbi.nlm.nih.gov/pubmed?term=%22Vokes%20EE%22%5BAuthor%5D" TargetMode="External"/><Relationship Id="rId91" Type="http://schemas.openxmlformats.org/officeDocument/2006/relationships/hyperlink" Target="http://www.ncbi.nlm.nih.gov/pubmed?term=%22Paganuzzi%20M%22%5BAuthor%5D" TargetMode="External"/><Relationship Id="rId145" Type="http://schemas.openxmlformats.org/officeDocument/2006/relationships/hyperlink" Target="http://www.ncbi.nlm.nih.gov/pubmed?term=%22Howard%20M%22%5BAuthor%5D" TargetMode="External"/><Relationship Id="rId166" Type="http://schemas.openxmlformats.org/officeDocument/2006/relationships/hyperlink" Target="http://www.ncbi.nlm.nih.gov/pubmed?term=%22Fedorocko%20P%22%5BAuthor%5D" TargetMode="External"/><Relationship Id="rId1" Type="http://schemas.openxmlformats.org/officeDocument/2006/relationships/customXml" Target="../customXml/item1.xml"/><Relationship Id="rId28" Type="http://schemas.openxmlformats.org/officeDocument/2006/relationships/footer" Target="footer4.xml"/><Relationship Id="rId49" Type="http://schemas.openxmlformats.org/officeDocument/2006/relationships/hyperlink" Target="http://www.ncbi.nlm.nih.gov/pubmed?term=%22Proia%20DA%22%5BAuthor%5D" TargetMode="External"/><Relationship Id="rId114" Type="http://schemas.openxmlformats.org/officeDocument/2006/relationships/hyperlink" Target="http://www.ncbi.nlm.nih.gov/pubmed?term=%22Johnston%20PG%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0D020EB174A644CBADD5A57AFCE4DD7" ma:contentTypeVersion="10" ma:contentTypeDescription="Create a new document." ma:contentTypeScope="" ma:versionID="13ea4a68445e35bcef713e69f080f896">
  <xsd:schema xmlns:xsd="http://www.w3.org/2001/XMLSchema" xmlns:xs="http://www.w3.org/2001/XMLSchema" xmlns:p="http://schemas.microsoft.com/office/2006/metadata/properties" xmlns:ns2="c3fff8e0-996b-48b7-94bc-99b152588d6f" xmlns:ns3="d3460b90-6655-4c0a-a02c-0087b6f4ed03" targetNamespace="http://schemas.microsoft.com/office/2006/metadata/properties" ma:root="true" ma:fieldsID="40c1a96ec177e6fa9baf8db49c82ea60" ns2:_="" ns3:_="">
    <xsd:import namespace="c3fff8e0-996b-48b7-94bc-99b152588d6f"/>
    <xsd:import namespace="d3460b90-6655-4c0a-a02c-0087b6f4ed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ff8e0-996b-48b7-94bc-99b152588d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460b90-6655-4c0a-a02c-0087b6f4ed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D95A0-F4CE-4959-B288-98F27F2ABED7}">
  <ds:schemaRefs>
    <ds:schemaRef ds:uri="http://schemas.microsoft.com/sharepoint/v3/contenttype/forms"/>
  </ds:schemaRefs>
</ds:datastoreItem>
</file>

<file path=customXml/itemProps2.xml><?xml version="1.0" encoding="utf-8"?>
<ds:datastoreItem xmlns:ds="http://schemas.openxmlformats.org/officeDocument/2006/customXml" ds:itemID="{4E7E3A59-9B44-41F8-8C4C-D99850074677}">
  <ds:schemaRefs>
    <ds:schemaRef ds:uri="c3fff8e0-996b-48b7-94bc-99b152588d6f"/>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d3460b90-6655-4c0a-a02c-0087b6f4ed03"/>
    <ds:schemaRef ds:uri="http://purl.org/dc/dcmitype/"/>
  </ds:schemaRefs>
</ds:datastoreItem>
</file>

<file path=customXml/itemProps3.xml><?xml version="1.0" encoding="utf-8"?>
<ds:datastoreItem xmlns:ds="http://schemas.openxmlformats.org/officeDocument/2006/customXml" ds:itemID="{EE75F671-4CA3-43D0-A98F-504117589B2B}">
  <ds:schemaRefs>
    <ds:schemaRef ds:uri="http://schemas.openxmlformats.org/officeDocument/2006/bibliography"/>
  </ds:schemaRefs>
</ds:datastoreItem>
</file>

<file path=customXml/itemProps4.xml><?xml version="1.0" encoding="utf-8"?>
<ds:datastoreItem xmlns:ds="http://schemas.openxmlformats.org/officeDocument/2006/customXml" ds:itemID="{F93FBB14-7FBD-4571-B692-EFB81B30B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ff8e0-996b-48b7-94bc-99b152588d6f"/>
    <ds:schemaRef ds:uri="d3460b90-6655-4c0a-a02c-0087b6f4e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764E8E-9B89-43F1-AF06-2501F241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35816</Words>
  <Characters>204157</Characters>
  <Application>Microsoft Office Word</Application>
  <DocSecurity>0</DocSecurity>
  <Lines>1701</Lines>
  <Paragraphs>478</Paragraphs>
  <ScaleCrop>false</ScaleCrop>
  <HeadingPairs>
    <vt:vector size="2" baseType="variant">
      <vt:variant>
        <vt:lpstr>Title</vt:lpstr>
      </vt:variant>
      <vt:variant>
        <vt:i4>1</vt:i4>
      </vt:variant>
    </vt:vector>
  </HeadingPairs>
  <TitlesOfParts>
    <vt:vector size="1" baseType="lpstr">
      <vt:lpstr>Guidance Notes for Protocol Template</vt:lpstr>
    </vt:vector>
  </TitlesOfParts>
  <Company>CTC</Company>
  <LinksUpToDate>false</LinksUpToDate>
  <CharactersWithSpaces>239495</CharactersWithSpaces>
  <SharedDoc>false</SharedDoc>
  <HLinks>
    <vt:vector size="888" baseType="variant">
      <vt:variant>
        <vt:i4>262227</vt:i4>
      </vt:variant>
      <vt:variant>
        <vt:i4>471</vt:i4>
      </vt:variant>
      <vt:variant>
        <vt:i4>0</vt:i4>
      </vt:variant>
      <vt:variant>
        <vt:i4>5</vt:i4>
      </vt:variant>
      <vt:variant>
        <vt:lpwstr>http://www.ncbi.nlm.nih.gov/pubmed?term=%22Ko%20JL%22%5BAuthor%5D</vt:lpwstr>
      </vt:variant>
      <vt:variant>
        <vt:lpwstr/>
      </vt:variant>
      <vt:variant>
        <vt:i4>1900625</vt:i4>
      </vt:variant>
      <vt:variant>
        <vt:i4>468</vt:i4>
      </vt:variant>
      <vt:variant>
        <vt:i4>0</vt:i4>
      </vt:variant>
      <vt:variant>
        <vt:i4>5</vt:i4>
      </vt:variant>
      <vt:variant>
        <vt:lpwstr>http://www.ncbi.nlm.nih.gov/pubmed?term=%22Chang%20JT%22%5BAuthor%5D</vt:lpwstr>
      </vt:variant>
      <vt:variant>
        <vt:lpwstr/>
      </vt:variant>
      <vt:variant>
        <vt:i4>7733304</vt:i4>
      </vt:variant>
      <vt:variant>
        <vt:i4>465</vt:i4>
      </vt:variant>
      <vt:variant>
        <vt:i4>0</vt:i4>
      </vt:variant>
      <vt:variant>
        <vt:i4>5</vt:i4>
      </vt:variant>
      <vt:variant>
        <vt:lpwstr>http://www.ncbi.nlm.nih.gov/pubmed?term=%22Chan%20HW%22%5BAuthor%5D</vt:lpwstr>
      </vt:variant>
      <vt:variant>
        <vt:lpwstr/>
      </vt:variant>
      <vt:variant>
        <vt:i4>8257575</vt:i4>
      </vt:variant>
      <vt:variant>
        <vt:i4>462</vt:i4>
      </vt:variant>
      <vt:variant>
        <vt:i4>0</vt:i4>
      </vt:variant>
      <vt:variant>
        <vt:i4>5</vt:i4>
      </vt:variant>
      <vt:variant>
        <vt:lpwstr>http://www.ncbi.nlm.nih.gov/pubmed?term=%22Yang%20WJ%22%5BAuthor%5D</vt:lpwstr>
      </vt:variant>
      <vt:variant>
        <vt:lpwstr/>
      </vt:variant>
      <vt:variant>
        <vt:i4>327760</vt:i4>
      </vt:variant>
      <vt:variant>
        <vt:i4>459</vt:i4>
      </vt:variant>
      <vt:variant>
        <vt:i4>0</vt:i4>
      </vt:variant>
      <vt:variant>
        <vt:i4>5</vt:i4>
      </vt:variant>
      <vt:variant>
        <vt:lpwstr>http://www.ncbi.nlm.nih.gov/pubmed?term=%22Huang%20YH%22%5BAuthor%5D</vt:lpwstr>
      </vt:variant>
      <vt:variant>
        <vt:lpwstr/>
      </vt:variant>
      <vt:variant>
        <vt:i4>2031710</vt:i4>
      </vt:variant>
      <vt:variant>
        <vt:i4>456</vt:i4>
      </vt:variant>
      <vt:variant>
        <vt:i4>0</vt:i4>
      </vt:variant>
      <vt:variant>
        <vt:i4>5</vt:i4>
      </vt:variant>
      <vt:variant>
        <vt:lpwstr>http://www.ncbi.nlm.nih.gov/pubmed?term=%22Huang%20CF%22%5BAuthor%5D</vt:lpwstr>
      </vt:variant>
      <vt:variant>
        <vt:lpwstr/>
      </vt:variant>
      <vt:variant>
        <vt:i4>327772</vt:i4>
      </vt:variant>
      <vt:variant>
        <vt:i4>453</vt:i4>
      </vt:variant>
      <vt:variant>
        <vt:i4>0</vt:i4>
      </vt:variant>
      <vt:variant>
        <vt:i4>5</vt:i4>
      </vt:variant>
      <vt:variant>
        <vt:lpwstr>http://www.ncbi.nlm.nih.gov/pubmed?term=%22Hsiao%20YM%22%5BAuthor%5D</vt:lpwstr>
      </vt:variant>
      <vt:variant>
        <vt:lpwstr/>
      </vt:variant>
      <vt:variant>
        <vt:i4>1179726</vt:i4>
      </vt:variant>
      <vt:variant>
        <vt:i4>450</vt:i4>
      </vt:variant>
      <vt:variant>
        <vt:i4>0</vt:i4>
      </vt:variant>
      <vt:variant>
        <vt:i4>5</vt:i4>
      </vt:variant>
      <vt:variant>
        <vt:lpwstr>http://www.ncbi.nlm.nih.gov/pubmed?term=%22Wu%20MF%22%5BAuthor%5D</vt:lpwstr>
      </vt:variant>
      <vt:variant>
        <vt:lpwstr/>
      </vt:variant>
      <vt:variant>
        <vt:i4>2621567</vt:i4>
      </vt:variant>
      <vt:variant>
        <vt:i4>447</vt:i4>
      </vt:variant>
      <vt:variant>
        <vt:i4>0</vt:i4>
      </vt:variant>
      <vt:variant>
        <vt:i4>5</vt:i4>
      </vt:variant>
      <vt:variant>
        <vt:lpwstr>http://www.ncbi.nlm.nih.gov/pubmed?term=%22Fedorocko%20P%22%5BAuthor%5D</vt:lpwstr>
      </vt:variant>
      <vt:variant>
        <vt:lpwstr/>
      </vt:variant>
      <vt:variant>
        <vt:i4>6553699</vt:i4>
      </vt:variant>
      <vt:variant>
        <vt:i4>444</vt:i4>
      </vt:variant>
      <vt:variant>
        <vt:i4>0</vt:i4>
      </vt:variant>
      <vt:variant>
        <vt:i4>5</vt:i4>
      </vt:variant>
      <vt:variant>
        <vt:lpwstr>http://www.ncbi.nlm.nih.gov/pubmed?term=%22Kozub%C3%ADk%20A%22%5BAuthor%5D</vt:lpwstr>
      </vt:variant>
      <vt:variant>
        <vt:lpwstr/>
      </vt:variant>
      <vt:variant>
        <vt:i4>4522005</vt:i4>
      </vt:variant>
      <vt:variant>
        <vt:i4>441</vt:i4>
      </vt:variant>
      <vt:variant>
        <vt:i4>0</vt:i4>
      </vt:variant>
      <vt:variant>
        <vt:i4>5</vt:i4>
      </vt:variant>
      <vt:variant>
        <vt:lpwstr>http://www.ncbi.nlm.nih.gov/pubmed?term=%22Sol%C3%A1rov%C3%A1%20Z%22%5BAuthor%5D</vt:lpwstr>
      </vt:variant>
      <vt:variant>
        <vt:lpwstr/>
      </vt:variant>
      <vt:variant>
        <vt:i4>4456519</vt:i4>
      </vt:variant>
      <vt:variant>
        <vt:i4>438</vt:i4>
      </vt:variant>
      <vt:variant>
        <vt:i4>0</vt:i4>
      </vt:variant>
      <vt:variant>
        <vt:i4>5</vt:i4>
      </vt:variant>
      <vt:variant>
        <vt:lpwstr>http://www.ncbi.nlm.nih.gov/pubmed?term=%22Koval'%20J%22%5BAuthor%5D</vt:lpwstr>
      </vt:variant>
      <vt:variant>
        <vt:lpwstr/>
      </vt:variant>
      <vt:variant>
        <vt:i4>5898254</vt:i4>
      </vt:variant>
      <vt:variant>
        <vt:i4>435</vt:i4>
      </vt:variant>
      <vt:variant>
        <vt:i4>0</vt:i4>
      </vt:variant>
      <vt:variant>
        <vt:i4>5</vt:i4>
      </vt:variant>
      <vt:variant>
        <vt:lpwstr>http://www.ncbi.nlm.nih.gov/pubmed?term=%22Kleban%20J%22%5BAuthor%5D</vt:lpwstr>
      </vt:variant>
      <vt:variant>
        <vt:lpwstr/>
      </vt:variant>
      <vt:variant>
        <vt:i4>2883700</vt:i4>
      </vt:variant>
      <vt:variant>
        <vt:i4>432</vt:i4>
      </vt:variant>
      <vt:variant>
        <vt:i4>0</vt:i4>
      </vt:variant>
      <vt:variant>
        <vt:i4>5</vt:i4>
      </vt:variant>
      <vt:variant>
        <vt:lpwstr>http://www.ncbi.nlm.nih.gov/pubmed?term=%22Horv%C3%A1th%20V%22%5BAuthor%5D</vt:lpwstr>
      </vt:variant>
      <vt:variant>
        <vt:lpwstr/>
      </vt:variant>
      <vt:variant>
        <vt:i4>6094878</vt:i4>
      </vt:variant>
      <vt:variant>
        <vt:i4>429</vt:i4>
      </vt:variant>
      <vt:variant>
        <vt:i4>0</vt:i4>
      </vt:variant>
      <vt:variant>
        <vt:i4>5</vt:i4>
      </vt:variant>
      <vt:variant>
        <vt:lpwstr>http://www.ncbi.nlm.nih.gov/pubmed?term=%22Sol%C3%A1r%20P%22%5BAuthor%5D</vt:lpwstr>
      </vt:variant>
      <vt:variant>
        <vt:lpwstr/>
      </vt:variant>
      <vt:variant>
        <vt:i4>6357032</vt:i4>
      </vt:variant>
      <vt:variant>
        <vt:i4>426</vt:i4>
      </vt:variant>
      <vt:variant>
        <vt:i4>0</vt:i4>
      </vt:variant>
      <vt:variant>
        <vt:i4>5</vt:i4>
      </vt:variant>
      <vt:variant>
        <vt:lpwstr>http://www.ncbi.nlm.nih.gov/pubmed?term=%22Blackman%20RK%22%5BAuthor%5D</vt:lpwstr>
      </vt:variant>
      <vt:variant>
        <vt:lpwstr/>
      </vt:variant>
      <vt:variant>
        <vt:i4>6029334</vt:i4>
      </vt:variant>
      <vt:variant>
        <vt:i4>423</vt:i4>
      </vt:variant>
      <vt:variant>
        <vt:i4>0</vt:i4>
      </vt:variant>
      <vt:variant>
        <vt:i4>5</vt:i4>
      </vt:variant>
      <vt:variant>
        <vt:lpwstr>http://www.ncbi.nlm.nih.gov/pubmed?term=%22Barsoum%20J%22%5BAuthor%5D</vt:lpwstr>
      </vt:variant>
      <vt:variant>
        <vt:lpwstr/>
      </vt:variant>
      <vt:variant>
        <vt:i4>2556001</vt:i4>
      </vt:variant>
      <vt:variant>
        <vt:i4>420</vt:i4>
      </vt:variant>
      <vt:variant>
        <vt:i4>0</vt:i4>
      </vt:variant>
      <vt:variant>
        <vt:i4>5</vt:i4>
      </vt:variant>
      <vt:variant>
        <vt:lpwstr>http://www.ncbi.nlm.nih.gov/pubmed?term=%22Koya%20K%22%5BAuthor%5D</vt:lpwstr>
      </vt:variant>
      <vt:variant>
        <vt:lpwstr/>
      </vt:variant>
      <vt:variant>
        <vt:i4>2097277</vt:i4>
      </vt:variant>
      <vt:variant>
        <vt:i4>417</vt:i4>
      </vt:variant>
      <vt:variant>
        <vt:i4>0</vt:i4>
      </vt:variant>
      <vt:variant>
        <vt:i4>5</vt:i4>
      </vt:variant>
      <vt:variant>
        <vt:lpwstr>http://www.ncbi.nlm.nih.gov/pubmed?term=%22Zhou%20D%22%5BAuthor%5D</vt:lpwstr>
      </vt:variant>
      <vt:variant>
        <vt:lpwstr/>
      </vt:variant>
      <vt:variant>
        <vt:i4>1966175</vt:i4>
      </vt:variant>
      <vt:variant>
        <vt:i4>414</vt:i4>
      </vt:variant>
      <vt:variant>
        <vt:i4>0</vt:i4>
      </vt:variant>
      <vt:variant>
        <vt:i4>5</vt:i4>
      </vt:variant>
      <vt:variant>
        <vt:lpwstr>http://www.ncbi.nlm.nih.gov/pubmed?term=%22Rosenberg%20AF%22%5BAuthor%5D</vt:lpwstr>
      </vt:variant>
      <vt:variant>
        <vt:lpwstr/>
      </vt:variant>
      <vt:variant>
        <vt:i4>4456472</vt:i4>
      </vt:variant>
      <vt:variant>
        <vt:i4>411</vt:i4>
      </vt:variant>
      <vt:variant>
        <vt:i4>0</vt:i4>
      </vt:variant>
      <vt:variant>
        <vt:i4>5</vt:i4>
      </vt:variant>
      <vt:variant>
        <vt:lpwstr>http://www.ncbi.nlm.nih.gov/pubmed?term=%22Liu%20Y%22%5BAuthor%5D</vt:lpwstr>
      </vt:variant>
      <vt:variant>
        <vt:lpwstr/>
      </vt:variant>
      <vt:variant>
        <vt:i4>327748</vt:i4>
      </vt:variant>
      <vt:variant>
        <vt:i4>408</vt:i4>
      </vt:variant>
      <vt:variant>
        <vt:i4>0</vt:i4>
      </vt:variant>
      <vt:variant>
        <vt:i4>5</vt:i4>
      </vt:variant>
      <vt:variant>
        <vt:lpwstr>http://www.ncbi.nlm.nih.gov/pubmed?term=%22Bates%20RC%22%5BAuthor%5D</vt:lpwstr>
      </vt:variant>
      <vt:variant>
        <vt:lpwstr/>
      </vt:variant>
      <vt:variant>
        <vt:i4>3276904</vt:i4>
      </vt:variant>
      <vt:variant>
        <vt:i4>405</vt:i4>
      </vt:variant>
      <vt:variant>
        <vt:i4>0</vt:i4>
      </vt:variant>
      <vt:variant>
        <vt:i4>5</vt:i4>
      </vt:variant>
      <vt:variant>
        <vt:lpwstr>http://www.ncbi.nlm.nih.gov/pubmed?term=%22Smith%20D%22%5BAuthor%5D</vt:lpwstr>
      </vt:variant>
      <vt:variant>
        <vt:lpwstr/>
      </vt:variant>
      <vt:variant>
        <vt:i4>2621544</vt:i4>
      </vt:variant>
      <vt:variant>
        <vt:i4>402</vt:i4>
      </vt:variant>
      <vt:variant>
        <vt:i4>0</vt:i4>
      </vt:variant>
      <vt:variant>
        <vt:i4>5</vt:i4>
      </vt:variant>
      <vt:variant>
        <vt:lpwstr>http://www.ncbi.nlm.nih.gov/pubmed?term=%22Sang%20J%22%5BAuthor%5D</vt:lpwstr>
      </vt:variant>
      <vt:variant>
        <vt:lpwstr/>
      </vt:variant>
      <vt:variant>
        <vt:i4>5832713</vt:i4>
      </vt:variant>
      <vt:variant>
        <vt:i4>399</vt:i4>
      </vt:variant>
      <vt:variant>
        <vt:i4>0</vt:i4>
      </vt:variant>
      <vt:variant>
        <vt:i4>5</vt:i4>
      </vt:variant>
      <vt:variant>
        <vt:lpwstr>http://www.ncbi.nlm.nih.gov/pubmed?term=%22Korbut%20T%22%5BAuthor%5D</vt:lpwstr>
      </vt:variant>
      <vt:variant>
        <vt:lpwstr/>
      </vt:variant>
      <vt:variant>
        <vt:i4>655449</vt:i4>
      </vt:variant>
      <vt:variant>
        <vt:i4>396</vt:i4>
      </vt:variant>
      <vt:variant>
        <vt:i4>0</vt:i4>
      </vt:variant>
      <vt:variant>
        <vt:i4>5</vt:i4>
      </vt:variant>
      <vt:variant>
        <vt:lpwstr>http://www.ncbi.nlm.nih.gov/pubmed?term=%22Foley%20KP%22%5BAuthor%5D</vt:lpwstr>
      </vt:variant>
      <vt:variant>
        <vt:lpwstr/>
      </vt:variant>
      <vt:variant>
        <vt:i4>524377</vt:i4>
      </vt:variant>
      <vt:variant>
        <vt:i4>393</vt:i4>
      </vt:variant>
      <vt:variant>
        <vt:i4>0</vt:i4>
      </vt:variant>
      <vt:variant>
        <vt:i4>5</vt:i4>
      </vt:variant>
      <vt:variant>
        <vt:lpwstr>http://www.ncbi.nlm.nih.gov/pubmed?term=%22Proia%20DA%22%5BAuthor%5D</vt:lpwstr>
      </vt:variant>
      <vt:variant>
        <vt:lpwstr/>
      </vt:variant>
      <vt:variant>
        <vt:i4>262229</vt:i4>
      </vt:variant>
      <vt:variant>
        <vt:i4>390</vt:i4>
      </vt:variant>
      <vt:variant>
        <vt:i4>0</vt:i4>
      </vt:variant>
      <vt:variant>
        <vt:i4>5</vt:i4>
      </vt:variant>
      <vt:variant>
        <vt:lpwstr>http://www.ncbi.nlm.nih.gov/pubmed?term=%22Pittet%20JF%22%5BAuthor%5D</vt:lpwstr>
      </vt:variant>
      <vt:variant>
        <vt:lpwstr/>
      </vt:variant>
      <vt:variant>
        <vt:i4>8126500</vt:i4>
      </vt:variant>
      <vt:variant>
        <vt:i4>387</vt:i4>
      </vt:variant>
      <vt:variant>
        <vt:i4>0</vt:i4>
      </vt:variant>
      <vt:variant>
        <vt:i4>5</vt:i4>
      </vt:variant>
      <vt:variant>
        <vt:lpwstr>http://www.ncbi.nlm.nih.gov/pubmed?term=%22Broaddus%20VC%22%5BAuthor%5D</vt:lpwstr>
      </vt:variant>
      <vt:variant>
        <vt:lpwstr/>
      </vt:variant>
      <vt:variant>
        <vt:i4>5767171</vt:i4>
      </vt:variant>
      <vt:variant>
        <vt:i4>384</vt:i4>
      </vt:variant>
      <vt:variant>
        <vt:i4>0</vt:i4>
      </vt:variant>
      <vt:variant>
        <vt:i4>5</vt:i4>
      </vt:variant>
      <vt:variant>
        <vt:lpwstr>http://www.ncbi.nlm.nih.gov/pubmed?term=%22Howard%20M%22%5BAuthor%5D</vt:lpwstr>
      </vt:variant>
      <vt:variant>
        <vt:lpwstr/>
      </vt:variant>
      <vt:variant>
        <vt:i4>3276921</vt:i4>
      </vt:variant>
      <vt:variant>
        <vt:i4>381</vt:i4>
      </vt:variant>
      <vt:variant>
        <vt:i4>0</vt:i4>
      </vt:variant>
      <vt:variant>
        <vt:i4>5</vt:i4>
      </vt:variant>
      <vt:variant>
        <vt:lpwstr>http://www.ncbi.nlm.nih.gov/pubmed?term=%22Roux%20J%22%5BAuthor%5D</vt:lpwstr>
      </vt:variant>
      <vt:variant>
        <vt:lpwstr/>
      </vt:variant>
      <vt:variant>
        <vt:i4>7995426</vt:i4>
      </vt:variant>
      <vt:variant>
        <vt:i4>378</vt:i4>
      </vt:variant>
      <vt:variant>
        <vt:i4>0</vt:i4>
      </vt:variant>
      <vt:variant>
        <vt:i4>5</vt:i4>
      </vt:variant>
      <vt:variant>
        <vt:lpwstr>http://www.ncbi.nlm.nih.gov/pubmed?term=%22Abayasiriwardana%20KS%22%5BAuthor%5D</vt:lpwstr>
      </vt:variant>
      <vt:variant>
        <vt:lpwstr/>
      </vt:variant>
      <vt:variant>
        <vt:i4>5505028</vt:i4>
      </vt:variant>
      <vt:variant>
        <vt:i4>375</vt:i4>
      </vt:variant>
      <vt:variant>
        <vt:i4>0</vt:i4>
      </vt:variant>
      <vt:variant>
        <vt:i4>5</vt:i4>
      </vt:variant>
      <vt:variant>
        <vt:lpwstr>http://www.ncbi.nlm.nih.gov/pubmed?term=%22Hodnett%20M%22%5BAuthor%5D</vt:lpwstr>
      </vt:variant>
      <vt:variant>
        <vt:lpwstr/>
      </vt:variant>
      <vt:variant>
        <vt:i4>7340080</vt:i4>
      </vt:variant>
      <vt:variant>
        <vt:i4>372</vt:i4>
      </vt:variant>
      <vt:variant>
        <vt:i4>0</vt:i4>
      </vt:variant>
      <vt:variant>
        <vt:i4>5</vt:i4>
      </vt:variant>
      <vt:variant>
        <vt:lpwstr>http://www.ncbi.nlm.nih.gov/pubmed?term=%22Pespeni%20MH%22%5BAuthor%5D</vt:lpwstr>
      </vt:variant>
      <vt:variant>
        <vt:lpwstr/>
      </vt:variant>
      <vt:variant>
        <vt:i4>6750270</vt:i4>
      </vt:variant>
      <vt:variant>
        <vt:i4>369</vt:i4>
      </vt:variant>
      <vt:variant>
        <vt:i4>0</vt:i4>
      </vt:variant>
      <vt:variant>
        <vt:i4>5</vt:i4>
      </vt:variant>
      <vt:variant>
        <vt:lpwstr>http://www.ncbi.nlm.nih.gov/pubmed?term=%22Fletcher%20JA%22%5BAuthor%5D</vt:lpwstr>
      </vt:variant>
      <vt:variant>
        <vt:lpwstr/>
      </vt:variant>
      <vt:variant>
        <vt:i4>720989</vt:i4>
      </vt:variant>
      <vt:variant>
        <vt:i4>366</vt:i4>
      </vt:variant>
      <vt:variant>
        <vt:i4>0</vt:i4>
      </vt:variant>
      <vt:variant>
        <vt:i4>5</vt:i4>
      </vt:variant>
      <vt:variant>
        <vt:lpwstr>http://www.ncbi.nlm.nih.gov/pubmed?term=%22Sugarbaker%20DJ%22%5BAuthor%5D</vt:lpwstr>
      </vt:variant>
      <vt:variant>
        <vt:lpwstr/>
      </vt:variant>
      <vt:variant>
        <vt:i4>4063338</vt:i4>
      </vt:variant>
      <vt:variant>
        <vt:i4>363</vt:i4>
      </vt:variant>
      <vt:variant>
        <vt:i4>0</vt:i4>
      </vt:variant>
      <vt:variant>
        <vt:i4>5</vt:i4>
      </vt:variant>
      <vt:variant>
        <vt:lpwstr>http://www.ncbi.nlm.nih.gov/pubmed?term=%22Bueno%20R%22%5BAuthor%5D</vt:lpwstr>
      </vt:variant>
      <vt:variant>
        <vt:lpwstr/>
      </vt:variant>
      <vt:variant>
        <vt:i4>6553641</vt:i4>
      </vt:variant>
      <vt:variant>
        <vt:i4>360</vt:i4>
      </vt:variant>
      <vt:variant>
        <vt:i4>0</vt:i4>
      </vt:variant>
      <vt:variant>
        <vt:i4>5</vt:i4>
      </vt:variant>
      <vt:variant>
        <vt:lpwstr>http://www.ncbi.nlm.nih.gov/pubmed?term=%22Wise%20SC%22%5BAuthor%5D</vt:lpwstr>
      </vt:variant>
      <vt:variant>
        <vt:lpwstr/>
      </vt:variant>
      <vt:variant>
        <vt:i4>2031700</vt:i4>
      </vt:variant>
      <vt:variant>
        <vt:i4>357</vt:i4>
      </vt:variant>
      <vt:variant>
        <vt:i4>0</vt:i4>
      </vt:variant>
      <vt:variant>
        <vt:i4>5</vt:i4>
      </vt:variant>
      <vt:variant>
        <vt:lpwstr>http://www.ncbi.nlm.nih.gov/pubmed?term=%22Lu%20WP%22%5BAuthor%5D</vt:lpwstr>
      </vt:variant>
      <vt:variant>
        <vt:lpwstr/>
      </vt:variant>
      <vt:variant>
        <vt:i4>458829</vt:i4>
      </vt:variant>
      <vt:variant>
        <vt:i4>354</vt:i4>
      </vt:variant>
      <vt:variant>
        <vt:i4>0</vt:i4>
      </vt:variant>
      <vt:variant>
        <vt:i4>5</vt:i4>
      </vt:variant>
      <vt:variant>
        <vt:lpwstr>http://www.ncbi.nlm.nih.gov/pubmed?term=%22Flynn%20DL%22%5BAuthor%5D</vt:lpwstr>
      </vt:variant>
      <vt:variant>
        <vt:lpwstr/>
      </vt:variant>
      <vt:variant>
        <vt:i4>1048654</vt:i4>
      </vt:variant>
      <vt:variant>
        <vt:i4>351</vt:i4>
      </vt:variant>
      <vt:variant>
        <vt:i4>0</vt:i4>
      </vt:variant>
      <vt:variant>
        <vt:i4>5</vt:i4>
      </vt:variant>
      <vt:variant>
        <vt:lpwstr>http://www.ncbi.nlm.nih.gov/pubmed?term=%22Corson%20JM%22%5BAuthor%5D</vt:lpwstr>
      </vt:variant>
      <vt:variant>
        <vt:lpwstr/>
      </vt:variant>
      <vt:variant>
        <vt:i4>917588</vt:i4>
      </vt:variant>
      <vt:variant>
        <vt:i4>348</vt:i4>
      </vt:variant>
      <vt:variant>
        <vt:i4>0</vt:i4>
      </vt:variant>
      <vt:variant>
        <vt:i4>5</vt:i4>
      </vt:variant>
      <vt:variant>
        <vt:lpwstr>http://www.ncbi.nlm.nih.gov/pubmed?term=%22Ou%20WB%22%5BAuthor%5D</vt:lpwstr>
      </vt:variant>
      <vt:variant>
        <vt:lpwstr/>
      </vt:variant>
      <vt:variant>
        <vt:i4>6422573</vt:i4>
      </vt:variant>
      <vt:variant>
        <vt:i4>345</vt:i4>
      </vt:variant>
      <vt:variant>
        <vt:i4>0</vt:i4>
      </vt:variant>
      <vt:variant>
        <vt:i4>5</vt:i4>
      </vt:variant>
      <vt:variant>
        <vt:lpwstr>http://www.ncbi.nlm.nih.gov/pubmed?term=%22Jablons%20DM%22%5BAuthor%5D</vt:lpwstr>
      </vt:variant>
      <vt:variant>
        <vt:lpwstr/>
      </vt:variant>
      <vt:variant>
        <vt:i4>6094851</vt:i4>
      </vt:variant>
      <vt:variant>
        <vt:i4>342</vt:i4>
      </vt:variant>
      <vt:variant>
        <vt:i4>0</vt:i4>
      </vt:variant>
      <vt:variant>
        <vt:i4>5</vt:i4>
      </vt:variant>
      <vt:variant>
        <vt:lpwstr>http://www.ncbi.nlm.nih.gov/pubmed?term=%22He%20B%22%5BAuthor%5D</vt:lpwstr>
      </vt:variant>
      <vt:variant>
        <vt:lpwstr/>
      </vt:variant>
      <vt:variant>
        <vt:i4>5308425</vt:i4>
      </vt:variant>
      <vt:variant>
        <vt:i4>339</vt:i4>
      </vt:variant>
      <vt:variant>
        <vt:i4>0</vt:i4>
      </vt:variant>
      <vt:variant>
        <vt:i4>5</vt:i4>
      </vt:variant>
      <vt:variant>
        <vt:lpwstr>http://www.ncbi.nlm.nih.gov/pubmed?term=%22Koizumi%20K%22%5BAuthor%5D</vt:lpwstr>
      </vt:variant>
      <vt:variant>
        <vt:lpwstr/>
      </vt:variant>
      <vt:variant>
        <vt:i4>7602224</vt:i4>
      </vt:variant>
      <vt:variant>
        <vt:i4>336</vt:i4>
      </vt:variant>
      <vt:variant>
        <vt:i4>0</vt:i4>
      </vt:variant>
      <vt:variant>
        <vt:i4>5</vt:i4>
      </vt:variant>
      <vt:variant>
        <vt:lpwstr>http://www.ncbi.nlm.nih.gov/pubmed?term=%22Ray%20MR%22%5BAuthor%5D</vt:lpwstr>
      </vt:variant>
      <vt:variant>
        <vt:lpwstr/>
      </vt:variant>
      <vt:variant>
        <vt:i4>2097208</vt:i4>
      </vt:variant>
      <vt:variant>
        <vt:i4>333</vt:i4>
      </vt:variant>
      <vt:variant>
        <vt:i4>0</vt:i4>
      </vt:variant>
      <vt:variant>
        <vt:i4>5</vt:i4>
      </vt:variant>
      <vt:variant>
        <vt:lpwstr>http://www.ncbi.nlm.nih.gov/pubmed?term=%22Yagui-Beltran%20A%22%5BAuthor%5D</vt:lpwstr>
      </vt:variant>
      <vt:variant>
        <vt:lpwstr/>
      </vt:variant>
      <vt:variant>
        <vt:i4>5505054</vt:i4>
      </vt:variant>
      <vt:variant>
        <vt:i4>330</vt:i4>
      </vt:variant>
      <vt:variant>
        <vt:i4>0</vt:i4>
      </vt:variant>
      <vt:variant>
        <vt:i4>5</vt:i4>
      </vt:variant>
      <vt:variant>
        <vt:lpwstr>http://www.ncbi.nlm.nih.gov/pubmed?term=%22Clement%20G%22%5BAuthor%5D</vt:lpwstr>
      </vt:variant>
      <vt:variant>
        <vt:lpwstr/>
      </vt:variant>
      <vt:variant>
        <vt:i4>1704019</vt:i4>
      </vt:variant>
      <vt:variant>
        <vt:i4>327</vt:i4>
      </vt:variant>
      <vt:variant>
        <vt:i4>0</vt:i4>
      </vt:variant>
      <vt:variant>
        <vt:i4>5</vt:i4>
      </vt:variant>
      <vt:variant>
        <vt:lpwstr>http://www.ncbi.nlm.nih.gov/pubmed?term=%22Bravo%20DT%22%5BAuthor%5D</vt:lpwstr>
      </vt:variant>
      <vt:variant>
        <vt:lpwstr/>
      </vt:variant>
      <vt:variant>
        <vt:i4>6881321</vt:i4>
      </vt:variant>
      <vt:variant>
        <vt:i4>324</vt:i4>
      </vt:variant>
      <vt:variant>
        <vt:i4>0</vt:i4>
      </vt:variant>
      <vt:variant>
        <vt:i4>5</vt:i4>
      </vt:variant>
      <vt:variant>
        <vt:lpwstr>http://www.ncbi.nlm.nih.gov/pubmed?term=%22Lin%20YC%22%5BAuthor%5D</vt:lpwstr>
      </vt:variant>
      <vt:variant>
        <vt:lpwstr/>
      </vt:variant>
      <vt:variant>
        <vt:i4>6750258</vt:i4>
      </vt:variant>
      <vt:variant>
        <vt:i4>321</vt:i4>
      </vt:variant>
      <vt:variant>
        <vt:i4>0</vt:i4>
      </vt:variant>
      <vt:variant>
        <vt:i4>5</vt:i4>
      </vt:variant>
      <vt:variant>
        <vt:lpwstr>http://www.ncbi.nlm.nih.gov/pubmed?term=%22Kuchenbecker%20KM%22%5BAuthor%5D</vt:lpwstr>
      </vt:variant>
      <vt:variant>
        <vt:lpwstr/>
      </vt:variant>
      <vt:variant>
        <vt:i4>2424955</vt:i4>
      </vt:variant>
      <vt:variant>
        <vt:i4>318</vt:i4>
      </vt:variant>
      <vt:variant>
        <vt:i4>0</vt:i4>
      </vt:variant>
      <vt:variant>
        <vt:i4>5</vt:i4>
      </vt:variant>
      <vt:variant>
        <vt:lpwstr>http://www.ncbi.nlm.nih.gov/pubmed?term=%22Tominaga%20Y%22%5BAuthor%5D</vt:lpwstr>
      </vt:variant>
      <vt:variant>
        <vt:lpwstr/>
      </vt:variant>
      <vt:variant>
        <vt:i4>6160396</vt:i4>
      </vt:variant>
      <vt:variant>
        <vt:i4>315</vt:i4>
      </vt:variant>
      <vt:variant>
        <vt:i4>0</vt:i4>
      </vt:variant>
      <vt:variant>
        <vt:i4>5</vt:i4>
      </vt:variant>
      <vt:variant>
        <vt:lpwstr>http://www.ncbi.nlm.nih.gov/pubmed?term=%22Mikami%20I%22%5BAuthor%5D</vt:lpwstr>
      </vt:variant>
      <vt:variant>
        <vt:lpwstr/>
      </vt:variant>
      <vt:variant>
        <vt:i4>4194307</vt:i4>
      </vt:variant>
      <vt:variant>
        <vt:i4>312</vt:i4>
      </vt:variant>
      <vt:variant>
        <vt:i4>0</vt:i4>
      </vt:variant>
      <vt:variant>
        <vt:i4>5</vt:i4>
      </vt:variant>
      <vt:variant>
        <vt:lpwstr>http://www.ncbi.nlm.nih.gov/pubmed?term=%22Okamoto%20J%22%5BAuthor%5D</vt:lpwstr>
      </vt:variant>
      <vt:variant>
        <vt:lpwstr/>
      </vt:variant>
      <vt:variant>
        <vt:i4>1245277</vt:i4>
      </vt:variant>
      <vt:variant>
        <vt:i4>309</vt:i4>
      </vt:variant>
      <vt:variant>
        <vt:i4>0</vt:i4>
      </vt:variant>
      <vt:variant>
        <vt:i4>5</vt:i4>
      </vt:variant>
      <vt:variant>
        <vt:lpwstr>http://www.ncbi.nlm.nih.gov/pubmed?term=%22Smythe%20WR%22%5BAuthor%5D</vt:lpwstr>
      </vt:variant>
      <vt:variant>
        <vt:lpwstr/>
      </vt:variant>
      <vt:variant>
        <vt:i4>3407997</vt:i4>
      </vt:variant>
      <vt:variant>
        <vt:i4>306</vt:i4>
      </vt:variant>
      <vt:variant>
        <vt:i4>0</vt:i4>
      </vt:variant>
      <vt:variant>
        <vt:i4>5</vt:i4>
      </vt:variant>
      <vt:variant>
        <vt:lpwstr>http://www.ncbi.nlm.nih.gov/pubmed?term=%22Chada%20S%22%5BAuthor%5D</vt:lpwstr>
      </vt:variant>
      <vt:variant>
        <vt:lpwstr/>
      </vt:variant>
      <vt:variant>
        <vt:i4>4128869</vt:i4>
      </vt:variant>
      <vt:variant>
        <vt:i4>303</vt:i4>
      </vt:variant>
      <vt:variant>
        <vt:i4>0</vt:i4>
      </vt:variant>
      <vt:variant>
        <vt:i4>5</vt:i4>
      </vt:variant>
      <vt:variant>
        <vt:lpwstr>http://www.ncbi.nlm.nih.gov/pubmed?term=%22Zumstein%20L%22%5BAuthor%5D</vt:lpwstr>
      </vt:variant>
      <vt:variant>
        <vt:lpwstr/>
      </vt:variant>
      <vt:variant>
        <vt:i4>7995442</vt:i4>
      </vt:variant>
      <vt:variant>
        <vt:i4>300</vt:i4>
      </vt:variant>
      <vt:variant>
        <vt:i4>0</vt:i4>
      </vt:variant>
      <vt:variant>
        <vt:i4>5</vt:i4>
      </vt:variant>
      <vt:variant>
        <vt:lpwstr>http://www.ncbi.nlm.nih.gov/pubmed?term=%22Ozvaran%20MK%22%5BAuthor%5D</vt:lpwstr>
      </vt:variant>
      <vt:variant>
        <vt:lpwstr/>
      </vt:variant>
      <vt:variant>
        <vt:i4>5242896</vt:i4>
      </vt:variant>
      <vt:variant>
        <vt:i4>297</vt:i4>
      </vt:variant>
      <vt:variant>
        <vt:i4>0</vt:i4>
      </vt:variant>
      <vt:variant>
        <vt:i4>5</vt:i4>
      </vt:variant>
      <vt:variant>
        <vt:lpwstr>http://www.ncbi.nlm.nih.gov/pubmed?term=%22Cao%20X%22%5BAuthor%5D</vt:lpwstr>
      </vt:variant>
      <vt:variant>
        <vt:lpwstr/>
      </vt:variant>
      <vt:variant>
        <vt:i4>3604602</vt:i4>
      </vt:variant>
      <vt:variant>
        <vt:i4>294</vt:i4>
      </vt:variant>
      <vt:variant>
        <vt:i4>0</vt:i4>
      </vt:variant>
      <vt:variant>
        <vt:i4>5</vt:i4>
      </vt:variant>
      <vt:variant>
        <vt:lpwstr>http://www.ncbi.nlm.nih.gov/pubmed?term=%22Mohiuddin%20I%22%5BAuthor%5D</vt:lpwstr>
      </vt:variant>
      <vt:variant>
        <vt:lpwstr/>
      </vt:variant>
      <vt:variant>
        <vt:i4>7995453</vt:i4>
      </vt:variant>
      <vt:variant>
        <vt:i4>291</vt:i4>
      </vt:variant>
      <vt:variant>
        <vt:i4>0</vt:i4>
      </vt:variant>
      <vt:variant>
        <vt:i4>5</vt:i4>
      </vt:variant>
      <vt:variant>
        <vt:lpwstr>http://www.ncbi.nlm.nih.gov/pubmed?term=%22Johnston%20PG%22%5BAuthor%5D</vt:lpwstr>
      </vt:variant>
      <vt:variant>
        <vt:lpwstr/>
      </vt:variant>
      <vt:variant>
        <vt:i4>86</vt:i4>
      </vt:variant>
      <vt:variant>
        <vt:i4>288</vt:i4>
      </vt:variant>
      <vt:variant>
        <vt:i4>0</vt:i4>
      </vt:variant>
      <vt:variant>
        <vt:i4>5</vt:i4>
      </vt:variant>
      <vt:variant>
        <vt:lpwstr>http://www.ncbi.nlm.nih.gov/pubmed?term=%22Harkin%20DP%22%5BAuthor%5D</vt:lpwstr>
      </vt:variant>
      <vt:variant>
        <vt:lpwstr/>
      </vt:variant>
      <vt:variant>
        <vt:i4>4718603</vt:i4>
      </vt:variant>
      <vt:variant>
        <vt:i4>285</vt:i4>
      </vt:variant>
      <vt:variant>
        <vt:i4>0</vt:i4>
      </vt:variant>
      <vt:variant>
        <vt:i4>5</vt:i4>
      </vt:variant>
      <vt:variant>
        <vt:lpwstr>http://www.ncbi.nlm.nih.gov/pubmed?term=%22Maxwell%20P%22%5BAuthor%5D</vt:lpwstr>
      </vt:variant>
      <vt:variant>
        <vt:lpwstr/>
      </vt:variant>
      <vt:variant>
        <vt:i4>2293867</vt:i4>
      </vt:variant>
      <vt:variant>
        <vt:i4>282</vt:i4>
      </vt:variant>
      <vt:variant>
        <vt:i4>0</vt:i4>
      </vt:variant>
      <vt:variant>
        <vt:i4>5</vt:i4>
      </vt:variant>
      <vt:variant>
        <vt:lpwstr>http://www.ncbi.nlm.nih.gov/pubmed?term=%22Lynch%20M%22%5BAuthor%5D</vt:lpwstr>
      </vt:variant>
      <vt:variant>
        <vt:lpwstr/>
      </vt:variant>
      <vt:variant>
        <vt:i4>3014777</vt:i4>
      </vt:variant>
      <vt:variant>
        <vt:i4>279</vt:i4>
      </vt:variant>
      <vt:variant>
        <vt:i4>0</vt:i4>
      </vt:variant>
      <vt:variant>
        <vt:i4>5</vt:i4>
      </vt:variant>
      <vt:variant>
        <vt:lpwstr>http://www.ncbi.nlm.nih.gov/pubmed?term=%22Latif%20T%22%5BAuthor%5D</vt:lpwstr>
      </vt:variant>
      <vt:variant>
        <vt:lpwstr/>
      </vt:variant>
      <vt:variant>
        <vt:i4>2556027</vt:i4>
      </vt:variant>
      <vt:variant>
        <vt:i4>276</vt:i4>
      </vt:variant>
      <vt:variant>
        <vt:i4>0</vt:i4>
      </vt:variant>
      <vt:variant>
        <vt:i4>5</vt:i4>
      </vt:variant>
      <vt:variant>
        <vt:lpwstr>http://www.ncbi.nlm.nih.gov/pubmed?term=%22Boyer%20J%22%5BAuthor%5D</vt:lpwstr>
      </vt:variant>
      <vt:variant>
        <vt:lpwstr/>
      </vt:variant>
      <vt:variant>
        <vt:i4>8323129</vt:i4>
      </vt:variant>
      <vt:variant>
        <vt:i4>273</vt:i4>
      </vt:variant>
      <vt:variant>
        <vt:i4>0</vt:i4>
      </vt:variant>
      <vt:variant>
        <vt:i4>5</vt:i4>
      </vt:variant>
      <vt:variant>
        <vt:lpwstr>http://www.ncbi.nlm.nih.gov/pubmed?term=%22Ferguson%20PR%22%5BAuthor%5D</vt:lpwstr>
      </vt:variant>
      <vt:variant>
        <vt:lpwstr/>
      </vt:variant>
      <vt:variant>
        <vt:i4>6357036</vt:i4>
      </vt:variant>
      <vt:variant>
        <vt:i4>270</vt:i4>
      </vt:variant>
      <vt:variant>
        <vt:i4>0</vt:i4>
      </vt:variant>
      <vt:variant>
        <vt:i4>5</vt:i4>
      </vt:variant>
      <vt:variant>
        <vt:lpwstr>http://www.ncbi.nlm.nih.gov/pubmed?term=%22Longley%20DB%22%5BAuthor%5D</vt:lpwstr>
      </vt:variant>
      <vt:variant>
        <vt:lpwstr/>
      </vt:variant>
      <vt:variant>
        <vt:i4>6291507</vt:i4>
      </vt:variant>
      <vt:variant>
        <vt:i4>267</vt:i4>
      </vt:variant>
      <vt:variant>
        <vt:i4>0</vt:i4>
      </vt:variant>
      <vt:variant>
        <vt:i4>5</vt:i4>
      </vt:variant>
      <vt:variant>
        <vt:lpwstr>http://www.ncbi.nlm.nih.gov/pubmed?term=%22Kim%20TY%22%5BAuthor%5D</vt:lpwstr>
      </vt:variant>
      <vt:variant>
        <vt:lpwstr/>
      </vt:variant>
      <vt:variant>
        <vt:i4>7602230</vt:i4>
      </vt:variant>
      <vt:variant>
        <vt:i4>264</vt:i4>
      </vt:variant>
      <vt:variant>
        <vt:i4>0</vt:i4>
      </vt:variant>
      <vt:variant>
        <vt:i4>5</vt:i4>
      </vt:variant>
      <vt:variant>
        <vt:lpwstr>http://www.ncbi.nlm.nih.gov/pubmed?term=%22Jong%20HS%22%5BAuthor%5D</vt:lpwstr>
      </vt:variant>
      <vt:variant>
        <vt:lpwstr/>
      </vt:variant>
      <vt:variant>
        <vt:i4>8257570</vt:i4>
      </vt:variant>
      <vt:variant>
        <vt:i4>261</vt:i4>
      </vt:variant>
      <vt:variant>
        <vt:i4>0</vt:i4>
      </vt:variant>
      <vt:variant>
        <vt:i4>5</vt:i4>
      </vt:variant>
      <vt:variant>
        <vt:lpwstr>http://www.ncbi.nlm.nih.gov/pubmed?term=%22Kim%20JH%22%5BAuthor%5D</vt:lpwstr>
      </vt:variant>
      <vt:variant>
        <vt:lpwstr/>
      </vt:variant>
      <vt:variant>
        <vt:i4>3211375</vt:i4>
      </vt:variant>
      <vt:variant>
        <vt:i4>258</vt:i4>
      </vt:variant>
      <vt:variant>
        <vt:i4>0</vt:i4>
      </vt:variant>
      <vt:variant>
        <vt:i4>5</vt:i4>
      </vt:variant>
      <vt:variant>
        <vt:lpwstr>http://www.ncbi.nlm.nih.gov/pubmed?term=%22Jung%20Y%22%5BAuthor%5D</vt:lpwstr>
      </vt:variant>
      <vt:variant>
        <vt:lpwstr/>
      </vt:variant>
      <vt:variant>
        <vt:i4>6881334</vt:i4>
      </vt:variant>
      <vt:variant>
        <vt:i4>255</vt:i4>
      </vt:variant>
      <vt:variant>
        <vt:i4>0</vt:i4>
      </vt:variant>
      <vt:variant>
        <vt:i4>5</vt:i4>
      </vt:variant>
      <vt:variant>
        <vt:lpwstr>http://www.ncbi.nlm.nih.gov/pubmed?term=%22Park%20JH%22%5BAuthor%5D</vt:lpwstr>
      </vt:variant>
      <vt:variant>
        <vt:lpwstr/>
      </vt:variant>
      <vt:variant>
        <vt:i4>7405614</vt:i4>
      </vt:variant>
      <vt:variant>
        <vt:i4>252</vt:i4>
      </vt:variant>
      <vt:variant>
        <vt:i4>0</vt:i4>
      </vt:variant>
      <vt:variant>
        <vt:i4>5</vt:i4>
      </vt:variant>
      <vt:variant>
        <vt:lpwstr>http://www.ncbi.nlm.nih.gov/pubmed?term=%22Lee%20JH%22%5BAuthor%5D</vt:lpwstr>
      </vt:variant>
      <vt:variant>
        <vt:lpwstr/>
      </vt:variant>
      <vt:variant>
        <vt:i4>4390929</vt:i4>
      </vt:variant>
      <vt:variant>
        <vt:i4>249</vt:i4>
      </vt:variant>
      <vt:variant>
        <vt:i4>0</vt:i4>
      </vt:variant>
      <vt:variant>
        <vt:i4>5</vt:i4>
      </vt:variant>
      <vt:variant>
        <vt:lpwstr>http://www.ncbi.nlm.nih.gov/pubmed?term=%22Salgia%20R%22%5BAuthor%5D</vt:lpwstr>
      </vt:variant>
      <vt:variant>
        <vt:lpwstr/>
      </vt:variant>
      <vt:variant>
        <vt:i4>6357031</vt:i4>
      </vt:variant>
      <vt:variant>
        <vt:i4>246</vt:i4>
      </vt:variant>
      <vt:variant>
        <vt:i4>0</vt:i4>
      </vt:variant>
      <vt:variant>
        <vt:i4>5</vt:i4>
      </vt:variant>
      <vt:variant>
        <vt:lpwstr>http://www.ncbi.nlm.nih.gov/pubmed?term=%22Kindler%20HL%22%5BAuthor%5D</vt:lpwstr>
      </vt:variant>
      <vt:variant>
        <vt:lpwstr/>
      </vt:variant>
      <vt:variant>
        <vt:i4>7405621</vt:i4>
      </vt:variant>
      <vt:variant>
        <vt:i4>243</vt:i4>
      </vt:variant>
      <vt:variant>
        <vt:i4>0</vt:i4>
      </vt:variant>
      <vt:variant>
        <vt:i4>5</vt:i4>
      </vt:variant>
      <vt:variant>
        <vt:lpwstr>http://www.ncbi.nlm.nih.gov/pubmed?term=%22Bindokas%20VP%22%5BAuthor%5D</vt:lpwstr>
      </vt:variant>
      <vt:variant>
        <vt:lpwstr/>
      </vt:variant>
      <vt:variant>
        <vt:i4>5898265</vt:i4>
      </vt:variant>
      <vt:variant>
        <vt:i4>240</vt:i4>
      </vt:variant>
      <vt:variant>
        <vt:i4>0</vt:i4>
      </vt:variant>
      <vt:variant>
        <vt:i4>5</vt:i4>
      </vt:variant>
      <vt:variant>
        <vt:lpwstr>http://www.ncbi.nlm.nih.gov/pubmed?term=%22Janamanchi%20V%22%5BAuthor%5D</vt:lpwstr>
      </vt:variant>
      <vt:variant>
        <vt:lpwstr/>
      </vt:variant>
      <vt:variant>
        <vt:i4>4063338</vt:i4>
      </vt:variant>
      <vt:variant>
        <vt:i4>237</vt:i4>
      </vt:variant>
      <vt:variant>
        <vt:i4>0</vt:i4>
      </vt:variant>
      <vt:variant>
        <vt:i4>5</vt:i4>
      </vt:variant>
      <vt:variant>
        <vt:lpwstr>http://www.ncbi.nlm.nih.gov/pubmed?term=%22Bueno%20R%22%5BAuthor%5D</vt:lpwstr>
      </vt:variant>
      <vt:variant>
        <vt:lpwstr/>
      </vt:variant>
      <vt:variant>
        <vt:i4>720989</vt:i4>
      </vt:variant>
      <vt:variant>
        <vt:i4>234</vt:i4>
      </vt:variant>
      <vt:variant>
        <vt:i4>0</vt:i4>
      </vt:variant>
      <vt:variant>
        <vt:i4>5</vt:i4>
      </vt:variant>
      <vt:variant>
        <vt:lpwstr>http://www.ncbi.nlm.nih.gov/pubmed?term=%22Sugarbaker%20DJ%22%5BAuthor%5D</vt:lpwstr>
      </vt:variant>
      <vt:variant>
        <vt:lpwstr/>
      </vt:variant>
      <vt:variant>
        <vt:i4>1245268</vt:i4>
      </vt:variant>
      <vt:variant>
        <vt:i4>231</vt:i4>
      </vt:variant>
      <vt:variant>
        <vt:i4>0</vt:i4>
      </vt:variant>
      <vt:variant>
        <vt:i4>5</vt:i4>
      </vt:variant>
      <vt:variant>
        <vt:lpwstr>http://www.ncbi.nlm.nih.gov/pubmed?term=%22Gordon%20GJ%22%5BAuthor%5D</vt:lpwstr>
      </vt:variant>
      <vt:variant>
        <vt:lpwstr/>
      </vt:variant>
      <vt:variant>
        <vt:i4>7667759</vt:i4>
      </vt:variant>
      <vt:variant>
        <vt:i4>228</vt:i4>
      </vt:variant>
      <vt:variant>
        <vt:i4>0</vt:i4>
      </vt:variant>
      <vt:variant>
        <vt:i4>5</vt:i4>
      </vt:variant>
      <vt:variant>
        <vt:lpwstr>http://www.ncbi.nlm.nih.gov/pubmed?term=%22Kratzke%20RA%22%5BAuthor%5D</vt:lpwstr>
      </vt:variant>
      <vt:variant>
        <vt:lpwstr/>
      </vt:variant>
      <vt:variant>
        <vt:i4>5111838</vt:i4>
      </vt:variant>
      <vt:variant>
        <vt:i4>225</vt:i4>
      </vt:variant>
      <vt:variant>
        <vt:i4>0</vt:i4>
      </vt:variant>
      <vt:variant>
        <vt:i4>5</vt:i4>
      </vt:variant>
      <vt:variant>
        <vt:lpwstr>http://www.ncbi.nlm.nih.gov/pubmed?term=%22Puntoni%20R%22%5BAuthor%5D</vt:lpwstr>
      </vt:variant>
      <vt:variant>
        <vt:lpwstr/>
      </vt:variant>
      <vt:variant>
        <vt:i4>2293886</vt:i4>
      </vt:variant>
      <vt:variant>
        <vt:i4>222</vt:i4>
      </vt:variant>
      <vt:variant>
        <vt:i4>0</vt:i4>
      </vt:variant>
      <vt:variant>
        <vt:i4>5</vt:i4>
      </vt:variant>
      <vt:variant>
        <vt:lpwstr>http://www.ncbi.nlm.nih.gov/pubmed?term=%22Paganuzzi%20M%22%5BAuthor%5D</vt:lpwstr>
      </vt:variant>
      <vt:variant>
        <vt:lpwstr/>
      </vt:variant>
      <vt:variant>
        <vt:i4>2424928</vt:i4>
      </vt:variant>
      <vt:variant>
        <vt:i4>219</vt:i4>
      </vt:variant>
      <vt:variant>
        <vt:i4>0</vt:i4>
      </vt:variant>
      <vt:variant>
        <vt:i4>5</vt:i4>
      </vt:variant>
      <vt:variant>
        <vt:lpwstr>http://www.ncbi.nlm.nih.gov/pubmed?term=%22Filiberti%20R%22%5BAuthor%5D</vt:lpwstr>
      </vt:variant>
      <vt:variant>
        <vt:lpwstr/>
      </vt:variant>
      <vt:variant>
        <vt:i4>4128892</vt:i4>
      </vt:variant>
      <vt:variant>
        <vt:i4>216</vt:i4>
      </vt:variant>
      <vt:variant>
        <vt:i4>0</vt:i4>
      </vt:variant>
      <vt:variant>
        <vt:i4>5</vt:i4>
      </vt:variant>
      <vt:variant>
        <vt:lpwstr>http://www.ncbi.nlm.nih.gov/pubmed?term=%22Ahmed%20S%22%5BAuthor%5D</vt:lpwstr>
      </vt:variant>
      <vt:variant>
        <vt:lpwstr/>
      </vt:variant>
      <vt:variant>
        <vt:i4>2424957</vt:i4>
      </vt:variant>
      <vt:variant>
        <vt:i4>213</vt:i4>
      </vt:variant>
      <vt:variant>
        <vt:i4>0</vt:i4>
      </vt:variant>
      <vt:variant>
        <vt:i4>5</vt:i4>
      </vt:variant>
      <vt:variant>
        <vt:lpwstr>http://www.ncbi.nlm.nih.gov/pubmed?term=%22Nallasura%20V%22%5BAuthor%5D</vt:lpwstr>
      </vt:variant>
      <vt:variant>
        <vt:lpwstr/>
      </vt:variant>
      <vt:variant>
        <vt:i4>3997798</vt:i4>
      </vt:variant>
      <vt:variant>
        <vt:i4>210</vt:i4>
      </vt:variant>
      <vt:variant>
        <vt:i4>0</vt:i4>
      </vt:variant>
      <vt:variant>
        <vt:i4>5</vt:i4>
      </vt:variant>
      <vt:variant>
        <vt:lpwstr>http://www.ncbi.nlm.nih.gov/pubmed?term=%22Zumba%20O%22%5BAuthor%5D</vt:lpwstr>
      </vt:variant>
      <vt:variant>
        <vt:lpwstr/>
      </vt:variant>
      <vt:variant>
        <vt:i4>3145831</vt:i4>
      </vt:variant>
      <vt:variant>
        <vt:i4>207</vt:i4>
      </vt:variant>
      <vt:variant>
        <vt:i4>0</vt:i4>
      </vt:variant>
      <vt:variant>
        <vt:i4>5</vt:i4>
      </vt:variant>
      <vt:variant>
        <vt:lpwstr>http://www.ncbi.nlm.nih.gov/pubmed?term=%22Jagadeeswaran%20S%22%5BAuthor%5D</vt:lpwstr>
      </vt:variant>
      <vt:variant>
        <vt:lpwstr/>
      </vt:variant>
      <vt:variant>
        <vt:i4>7143482</vt:i4>
      </vt:variant>
      <vt:variant>
        <vt:i4>204</vt:i4>
      </vt:variant>
      <vt:variant>
        <vt:i4>0</vt:i4>
      </vt:variant>
      <vt:variant>
        <vt:i4>5</vt:i4>
      </vt:variant>
      <vt:variant>
        <vt:lpwstr>http://www.ncbi.nlm.nih.gov/pubmed?term=%22Seiwert%20TY%22%5BAuthor%5D</vt:lpwstr>
      </vt:variant>
      <vt:variant>
        <vt:lpwstr/>
      </vt:variant>
      <vt:variant>
        <vt:i4>852039</vt:i4>
      </vt:variant>
      <vt:variant>
        <vt:i4>201</vt:i4>
      </vt:variant>
      <vt:variant>
        <vt:i4>0</vt:i4>
      </vt:variant>
      <vt:variant>
        <vt:i4>5</vt:i4>
      </vt:variant>
      <vt:variant>
        <vt:lpwstr>http://www.ncbi.nlm.nih.gov/pubmed?term=%22Ma%20PC%22%5BAuthor%5D</vt:lpwstr>
      </vt:variant>
      <vt:variant>
        <vt:lpwstr/>
      </vt:variant>
      <vt:variant>
        <vt:i4>3211367</vt:i4>
      </vt:variant>
      <vt:variant>
        <vt:i4>198</vt:i4>
      </vt:variant>
      <vt:variant>
        <vt:i4>0</vt:i4>
      </vt:variant>
      <vt:variant>
        <vt:i4>5</vt:i4>
      </vt:variant>
      <vt:variant>
        <vt:lpwstr>http://www.ncbi.nlm.nih.gov/pubmed?term=%22Jagadeeswaran%20R%22%5BAuthor%5D</vt:lpwstr>
      </vt:variant>
      <vt:variant>
        <vt:lpwstr/>
      </vt:variant>
      <vt:variant>
        <vt:i4>2293863</vt:i4>
      </vt:variant>
      <vt:variant>
        <vt:i4>195</vt:i4>
      </vt:variant>
      <vt:variant>
        <vt:i4>0</vt:i4>
      </vt:variant>
      <vt:variant>
        <vt:i4>5</vt:i4>
      </vt:variant>
      <vt:variant>
        <vt:lpwstr>http://www.ncbi.nlm.nih.gov/pubmed?term=%22Rudd%20R%22%5BAuthor%5D</vt:lpwstr>
      </vt:variant>
      <vt:variant>
        <vt:lpwstr/>
      </vt:variant>
      <vt:variant>
        <vt:i4>5177370</vt:i4>
      </vt:variant>
      <vt:variant>
        <vt:i4>192</vt:i4>
      </vt:variant>
      <vt:variant>
        <vt:i4>0</vt:i4>
      </vt:variant>
      <vt:variant>
        <vt:i4>5</vt:i4>
      </vt:variant>
      <vt:variant>
        <vt:lpwstr>http://www.ncbi.nlm.nih.gov/pubmed?term=%22Steele%20J%22%5BAuthor%5D</vt:lpwstr>
      </vt:variant>
      <vt:variant>
        <vt:lpwstr/>
      </vt:variant>
      <vt:variant>
        <vt:i4>2621563</vt:i4>
      </vt:variant>
      <vt:variant>
        <vt:i4>189</vt:i4>
      </vt:variant>
      <vt:variant>
        <vt:i4>0</vt:i4>
      </vt:variant>
      <vt:variant>
        <vt:i4>5</vt:i4>
      </vt:variant>
      <vt:variant>
        <vt:lpwstr>http://www.ncbi.nlm.nih.gov/pubmed?term=%22Gower%20N%22%5BAuthor%5D</vt:lpwstr>
      </vt:variant>
      <vt:variant>
        <vt:lpwstr/>
      </vt:variant>
      <vt:variant>
        <vt:i4>3670128</vt:i4>
      </vt:variant>
      <vt:variant>
        <vt:i4>186</vt:i4>
      </vt:variant>
      <vt:variant>
        <vt:i4>0</vt:i4>
      </vt:variant>
      <vt:variant>
        <vt:i4>5</vt:i4>
      </vt:variant>
      <vt:variant>
        <vt:lpwstr>http://www.ncbi.nlm.nih.gov/pubmed?term=%22Dhaliwal%20K%22%5BAuthor%5D</vt:lpwstr>
      </vt:variant>
      <vt:variant>
        <vt:lpwstr/>
      </vt:variant>
      <vt:variant>
        <vt:i4>2752616</vt:i4>
      </vt:variant>
      <vt:variant>
        <vt:i4>183</vt:i4>
      </vt:variant>
      <vt:variant>
        <vt:i4>0</vt:i4>
      </vt:variant>
      <vt:variant>
        <vt:i4>5</vt:i4>
      </vt:variant>
      <vt:variant>
        <vt:lpwstr>http://www.ncbi.nlm.nih.gov/pubmed?term=%22Sylvester%20R%22%5BAuthor%5D</vt:lpwstr>
      </vt:variant>
      <vt:variant>
        <vt:lpwstr/>
      </vt:variant>
      <vt:variant>
        <vt:i4>458836</vt:i4>
      </vt:variant>
      <vt:variant>
        <vt:i4>180</vt:i4>
      </vt:variant>
      <vt:variant>
        <vt:i4>0</vt:i4>
      </vt:variant>
      <vt:variant>
        <vt:i4>5</vt:i4>
      </vt:variant>
      <vt:variant>
        <vt:lpwstr>http://www.ncbi.nlm.nih.gov/pubmed?term=%22Sheaff%20MT%22%5BAuthor%5D</vt:lpwstr>
      </vt:variant>
      <vt:variant>
        <vt:lpwstr/>
      </vt:variant>
      <vt:variant>
        <vt:i4>524367</vt:i4>
      </vt:variant>
      <vt:variant>
        <vt:i4>177</vt:i4>
      </vt:variant>
      <vt:variant>
        <vt:i4>0</vt:i4>
      </vt:variant>
      <vt:variant>
        <vt:i4>5</vt:i4>
      </vt:variant>
      <vt:variant>
        <vt:lpwstr>http://www.ncbi.nlm.nih.gov/pubmed?term=%22Evans%20MT%22%5BAuthor%5D</vt:lpwstr>
      </vt:variant>
      <vt:variant>
        <vt:lpwstr/>
      </vt:variant>
      <vt:variant>
        <vt:i4>5570567</vt:i4>
      </vt:variant>
      <vt:variant>
        <vt:i4>174</vt:i4>
      </vt:variant>
      <vt:variant>
        <vt:i4>0</vt:i4>
      </vt:variant>
      <vt:variant>
        <vt:i4>5</vt:i4>
      </vt:variant>
      <vt:variant>
        <vt:lpwstr>http://www.ncbi.nlm.nih.gov/pubmed?term=%22Shamash%20J%22%5BAuthor%5D</vt:lpwstr>
      </vt:variant>
      <vt:variant>
        <vt:lpwstr/>
      </vt:variant>
      <vt:variant>
        <vt:i4>5636123</vt:i4>
      </vt:variant>
      <vt:variant>
        <vt:i4>171</vt:i4>
      </vt:variant>
      <vt:variant>
        <vt:i4>0</vt:i4>
      </vt:variant>
      <vt:variant>
        <vt:i4>5</vt:i4>
      </vt:variant>
      <vt:variant>
        <vt:lpwstr>http://www.ncbi.nlm.nih.gov/pubmed?term=%22Parmar%20A%22%5BAuthor%5D</vt:lpwstr>
      </vt:variant>
      <vt:variant>
        <vt:lpwstr/>
      </vt:variant>
      <vt:variant>
        <vt:i4>7798821</vt:i4>
      </vt:variant>
      <vt:variant>
        <vt:i4>168</vt:i4>
      </vt:variant>
      <vt:variant>
        <vt:i4>0</vt:i4>
      </vt:variant>
      <vt:variant>
        <vt:i4>5</vt:i4>
      </vt:variant>
      <vt:variant>
        <vt:lpwstr>http://www.ncbi.nlm.nih.gov/pubmed?term=%22Fennell%20DA%22%5BAuthor%5D</vt:lpwstr>
      </vt:variant>
      <vt:variant>
        <vt:lpwstr/>
      </vt:variant>
      <vt:variant>
        <vt:i4>3604517</vt:i4>
      </vt:variant>
      <vt:variant>
        <vt:i4>165</vt:i4>
      </vt:variant>
      <vt:variant>
        <vt:i4>0</vt:i4>
      </vt:variant>
      <vt:variant>
        <vt:i4>5</vt:i4>
      </vt:variant>
      <vt:variant>
        <vt:lpwstr>http://www.ncbi.nlm.nih.gov/pubmed/14760119</vt:lpwstr>
      </vt:variant>
      <vt:variant>
        <vt:lpwstr/>
      </vt:variant>
      <vt:variant>
        <vt:i4>4390920</vt:i4>
      </vt:variant>
      <vt:variant>
        <vt:i4>162</vt:i4>
      </vt:variant>
      <vt:variant>
        <vt:i4>0</vt:i4>
      </vt:variant>
      <vt:variant>
        <vt:i4>5</vt:i4>
      </vt:variant>
      <vt:variant>
        <vt:lpwstr>http://www.ncbi.nlm.nih.gov/pubmed?term=%22Wadler%20S%22%5BAuthor%5D</vt:lpwstr>
      </vt:variant>
      <vt:variant>
        <vt:lpwstr/>
      </vt:variant>
      <vt:variant>
        <vt:i4>1638476</vt:i4>
      </vt:variant>
      <vt:variant>
        <vt:i4>159</vt:i4>
      </vt:variant>
      <vt:variant>
        <vt:i4>0</vt:i4>
      </vt:variant>
      <vt:variant>
        <vt:i4>5</vt:i4>
      </vt:variant>
      <vt:variant>
        <vt:lpwstr>http://www.ncbi.nlm.nih.gov/pubmed?term=%22Vokes%20EE%22%5BAuthor%5D</vt:lpwstr>
      </vt:variant>
      <vt:variant>
        <vt:lpwstr/>
      </vt:variant>
      <vt:variant>
        <vt:i4>196614</vt:i4>
      </vt:variant>
      <vt:variant>
        <vt:i4>156</vt:i4>
      </vt:variant>
      <vt:variant>
        <vt:i4>0</vt:i4>
      </vt:variant>
      <vt:variant>
        <vt:i4>5</vt:i4>
      </vt:variant>
      <vt:variant>
        <vt:lpwstr>http://www.ncbi.nlm.nih.gov/pubmed?term=%22O'Dorisio%20TM%22%5BAuthor%5D</vt:lpwstr>
      </vt:variant>
      <vt:variant>
        <vt:lpwstr/>
      </vt:variant>
      <vt:variant>
        <vt:i4>7209008</vt:i4>
      </vt:variant>
      <vt:variant>
        <vt:i4>153</vt:i4>
      </vt:variant>
      <vt:variant>
        <vt:i4>0</vt:i4>
      </vt:variant>
      <vt:variant>
        <vt:i4>5</vt:i4>
      </vt:variant>
      <vt:variant>
        <vt:lpwstr>http://www.ncbi.nlm.nih.gov/pubmed?term=%22Mitchell%20EP%22%5BAuthor%5D</vt:lpwstr>
      </vt:variant>
      <vt:variant>
        <vt:lpwstr/>
      </vt:variant>
      <vt:variant>
        <vt:i4>2228341</vt:i4>
      </vt:variant>
      <vt:variant>
        <vt:i4>150</vt:i4>
      </vt:variant>
      <vt:variant>
        <vt:i4>0</vt:i4>
      </vt:variant>
      <vt:variant>
        <vt:i4>5</vt:i4>
      </vt:variant>
      <vt:variant>
        <vt:lpwstr>http://www.ncbi.nlm.nih.gov/pubmed?term=%22McCallum%20R%22%5BAuthor%5D</vt:lpwstr>
      </vt:variant>
      <vt:variant>
        <vt:lpwstr/>
      </vt:variant>
      <vt:variant>
        <vt:i4>5111900</vt:i4>
      </vt:variant>
      <vt:variant>
        <vt:i4>147</vt:i4>
      </vt:variant>
      <vt:variant>
        <vt:i4>0</vt:i4>
      </vt:variant>
      <vt:variant>
        <vt:i4>5</vt:i4>
      </vt:variant>
      <vt:variant>
        <vt:lpwstr>http://www.ncbi.nlm.nih.gov/pubmed?term=%22Martenson%20JA%20Jr%22%5BAuthor%5D</vt:lpwstr>
      </vt:variant>
      <vt:variant>
        <vt:lpwstr/>
      </vt:variant>
      <vt:variant>
        <vt:i4>7602237</vt:i4>
      </vt:variant>
      <vt:variant>
        <vt:i4>144</vt:i4>
      </vt:variant>
      <vt:variant>
        <vt:i4>0</vt:i4>
      </vt:variant>
      <vt:variant>
        <vt:i4>5</vt:i4>
      </vt:variant>
      <vt:variant>
        <vt:lpwstr>http://www.ncbi.nlm.nih.gov/pubmed?term=%22Kornblau%20SM%22%5BAuthor%5D</vt:lpwstr>
      </vt:variant>
      <vt:variant>
        <vt:lpwstr/>
      </vt:variant>
      <vt:variant>
        <vt:i4>2556031</vt:i4>
      </vt:variant>
      <vt:variant>
        <vt:i4>141</vt:i4>
      </vt:variant>
      <vt:variant>
        <vt:i4>0</vt:i4>
      </vt:variant>
      <vt:variant>
        <vt:i4>5</vt:i4>
      </vt:variant>
      <vt:variant>
        <vt:lpwstr>http://www.ncbi.nlm.nih.gov/pubmed?term=%22Engelking%20C%22%5BAuthor%5D</vt:lpwstr>
      </vt:variant>
      <vt:variant>
        <vt:lpwstr/>
      </vt:variant>
      <vt:variant>
        <vt:i4>7602218</vt:i4>
      </vt:variant>
      <vt:variant>
        <vt:i4>138</vt:i4>
      </vt:variant>
      <vt:variant>
        <vt:i4>0</vt:i4>
      </vt:variant>
      <vt:variant>
        <vt:i4>5</vt:i4>
      </vt:variant>
      <vt:variant>
        <vt:lpwstr>http://www.ncbi.nlm.nih.gov/pubmed?term=%22Catalano%20RB%22%5BAuthor%5D</vt:lpwstr>
      </vt:variant>
      <vt:variant>
        <vt:lpwstr/>
      </vt:variant>
      <vt:variant>
        <vt:i4>1114182</vt:i4>
      </vt:variant>
      <vt:variant>
        <vt:i4>135</vt:i4>
      </vt:variant>
      <vt:variant>
        <vt:i4>0</vt:i4>
      </vt:variant>
      <vt:variant>
        <vt:i4>5</vt:i4>
      </vt:variant>
      <vt:variant>
        <vt:lpwstr>http://www.ncbi.nlm.nih.gov/pubmed?term=%22Ajani%20JA%22%5BAuthor%5D</vt:lpwstr>
      </vt:variant>
      <vt:variant>
        <vt:lpwstr/>
      </vt:variant>
      <vt:variant>
        <vt:i4>6750248</vt:i4>
      </vt:variant>
      <vt:variant>
        <vt:i4>132</vt:i4>
      </vt:variant>
      <vt:variant>
        <vt:i4>0</vt:i4>
      </vt:variant>
      <vt:variant>
        <vt:i4>5</vt:i4>
      </vt:variant>
      <vt:variant>
        <vt:lpwstr>http://www.ncbi.nlm.nih.gov/pubmed?term=%22Benson%20AB%203rd%22%5BAuthor%5D</vt:lpwstr>
      </vt:variant>
      <vt:variant>
        <vt:lpwstr/>
      </vt:variant>
      <vt:variant>
        <vt:i4>4522000</vt:i4>
      </vt:variant>
      <vt:variant>
        <vt:i4>129</vt:i4>
      </vt:variant>
      <vt:variant>
        <vt:i4>0</vt:i4>
      </vt:variant>
      <vt:variant>
        <vt:i4>5</vt:i4>
      </vt:variant>
      <vt:variant>
        <vt:lpwstr>http://www.ncbi.nlm.nih.gov/pubmed?term=%22Padmanabhan%20S%22%5BAuthor%5D</vt:lpwstr>
      </vt:variant>
      <vt:variant>
        <vt:lpwstr/>
      </vt:variant>
      <vt:variant>
        <vt:i4>7340086</vt:i4>
      </vt:variant>
      <vt:variant>
        <vt:i4>126</vt:i4>
      </vt:variant>
      <vt:variant>
        <vt:i4>0</vt:i4>
      </vt:variant>
      <vt:variant>
        <vt:i4>5</vt:i4>
      </vt:variant>
      <vt:variant>
        <vt:lpwstr>http://www.ncbi.nlm.nih.gov/pubmed?term=%22Lee%20KP%22%5BAuthor%5D</vt:lpwstr>
      </vt:variant>
      <vt:variant>
        <vt:lpwstr/>
      </vt:variant>
      <vt:variant>
        <vt:i4>786501</vt:i4>
      </vt:variant>
      <vt:variant>
        <vt:i4>123</vt:i4>
      </vt:variant>
      <vt:variant>
        <vt:i4>0</vt:i4>
      </vt:variant>
      <vt:variant>
        <vt:i4>5</vt:i4>
      </vt:variant>
      <vt:variant>
        <vt:lpwstr>http://www.ncbi.nlm.nih.gov/pubmed?term=%22Giles%20FJ%22%5BAuthor%5D</vt:lpwstr>
      </vt:variant>
      <vt:variant>
        <vt:lpwstr/>
      </vt:variant>
      <vt:variant>
        <vt:i4>4653062</vt:i4>
      </vt:variant>
      <vt:variant>
        <vt:i4>120</vt:i4>
      </vt:variant>
      <vt:variant>
        <vt:i4>0</vt:i4>
      </vt:variant>
      <vt:variant>
        <vt:i4>5</vt:i4>
      </vt:variant>
      <vt:variant>
        <vt:lpwstr>http://www.ncbi.nlm.nih.gov/pubmed?term=%22Battiwalla%20M%22%5BAuthor%5D</vt:lpwstr>
      </vt:variant>
      <vt:variant>
        <vt:lpwstr/>
      </vt:variant>
      <vt:variant>
        <vt:i4>1572932</vt:i4>
      </vt:variant>
      <vt:variant>
        <vt:i4>117</vt:i4>
      </vt:variant>
      <vt:variant>
        <vt:i4>0</vt:i4>
      </vt:variant>
      <vt:variant>
        <vt:i4>5</vt:i4>
      </vt:variant>
      <vt:variant>
        <vt:lpwstr>http://www.ncbi.nlm.nih.gov/pubmed?term=%22Tomlinson%20GE%22%5BAuthor%5D</vt:lpwstr>
      </vt:variant>
      <vt:variant>
        <vt:lpwstr/>
      </vt:variant>
      <vt:variant>
        <vt:i4>5046272</vt:i4>
      </vt:variant>
      <vt:variant>
        <vt:i4>114</vt:i4>
      </vt:variant>
      <vt:variant>
        <vt:i4>0</vt:i4>
      </vt:variant>
      <vt:variant>
        <vt:i4>5</vt:i4>
      </vt:variant>
      <vt:variant>
        <vt:lpwstr>http://www.ncbi.nlm.nih.gov/pubmed?term=%22Swords%20R%22%5BAuthor%5D</vt:lpwstr>
      </vt:variant>
      <vt:variant>
        <vt:lpwstr/>
      </vt:variant>
      <vt:variant>
        <vt:i4>3211384</vt:i4>
      </vt:variant>
      <vt:variant>
        <vt:i4>111</vt:i4>
      </vt:variant>
      <vt:variant>
        <vt:i4>0</vt:i4>
      </vt:variant>
      <vt:variant>
        <vt:i4>5</vt:i4>
      </vt:variant>
      <vt:variant>
        <vt:lpwstr>http://www.ncbi.nlm.nih.gov/pubmed?term=%22Kelly%20K%22%5BAuthor%5D</vt:lpwstr>
      </vt:variant>
      <vt:variant>
        <vt:lpwstr/>
      </vt:variant>
      <vt:variant>
        <vt:i4>7733288</vt:i4>
      </vt:variant>
      <vt:variant>
        <vt:i4>108</vt:i4>
      </vt:variant>
      <vt:variant>
        <vt:i4>0</vt:i4>
      </vt:variant>
      <vt:variant>
        <vt:i4>5</vt:i4>
      </vt:variant>
      <vt:variant>
        <vt:lpwstr>http://www.ncbi.nlm.nih.gov/pubmed?term=%22Baer%20MR%22%5BAuthor%5D</vt:lpwstr>
      </vt:variant>
      <vt:variant>
        <vt:lpwstr/>
      </vt:variant>
      <vt:variant>
        <vt:i4>6029334</vt:i4>
      </vt:variant>
      <vt:variant>
        <vt:i4>105</vt:i4>
      </vt:variant>
      <vt:variant>
        <vt:i4>0</vt:i4>
      </vt:variant>
      <vt:variant>
        <vt:i4>5</vt:i4>
      </vt:variant>
      <vt:variant>
        <vt:lpwstr>http://www.ncbi.nlm.nih.gov/pubmed?term=%22Barsoum%20J%22%5BAuthor%5D</vt:lpwstr>
      </vt:variant>
      <vt:variant>
        <vt:lpwstr/>
      </vt:variant>
      <vt:variant>
        <vt:i4>2228349</vt:i4>
      </vt:variant>
      <vt:variant>
        <vt:i4>102</vt:i4>
      </vt:variant>
      <vt:variant>
        <vt:i4>0</vt:i4>
      </vt:variant>
      <vt:variant>
        <vt:i4>5</vt:i4>
      </vt:variant>
      <vt:variant>
        <vt:lpwstr>http://www.ncbi.nlm.nih.gov/pubmed?term=%22Ying%20W%22%5BAuthor%5D</vt:lpwstr>
      </vt:variant>
      <vt:variant>
        <vt:lpwstr/>
      </vt:variant>
      <vt:variant>
        <vt:i4>6357032</vt:i4>
      </vt:variant>
      <vt:variant>
        <vt:i4>99</vt:i4>
      </vt:variant>
      <vt:variant>
        <vt:i4>0</vt:i4>
      </vt:variant>
      <vt:variant>
        <vt:i4>5</vt:i4>
      </vt:variant>
      <vt:variant>
        <vt:lpwstr>http://www.ncbi.nlm.nih.gov/pubmed?term=%22Blackman%20RK%22%5BAuthor%5D</vt:lpwstr>
      </vt:variant>
      <vt:variant>
        <vt:lpwstr/>
      </vt:variant>
      <vt:variant>
        <vt:i4>524377</vt:i4>
      </vt:variant>
      <vt:variant>
        <vt:i4>96</vt:i4>
      </vt:variant>
      <vt:variant>
        <vt:i4>0</vt:i4>
      </vt:variant>
      <vt:variant>
        <vt:i4>5</vt:i4>
      </vt:variant>
      <vt:variant>
        <vt:lpwstr>http://www.ncbi.nlm.nih.gov/pubmed?term=%22Proia%20DA%22%5BAuthor%5D</vt:lpwstr>
      </vt:variant>
      <vt:variant>
        <vt:lpwstr/>
      </vt:variant>
      <vt:variant>
        <vt:i4>2621544</vt:i4>
      </vt:variant>
      <vt:variant>
        <vt:i4>93</vt:i4>
      </vt:variant>
      <vt:variant>
        <vt:i4>0</vt:i4>
      </vt:variant>
      <vt:variant>
        <vt:i4>5</vt:i4>
      </vt:variant>
      <vt:variant>
        <vt:lpwstr>http://www.ncbi.nlm.nih.gov/pubmed?term=%22Sang%20J%22%5BAuthor%5D</vt:lpwstr>
      </vt:variant>
      <vt:variant>
        <vt:lpwstr/>
      </vt:variant>
      <vt:variant>
        <vt:i4>655449</vt:i4>
      </vt:variant>
      <vt:variant>
        <vt:i4>90</vt:i4>
      </vt:variant>
      <vt:variant>
        <vt:i4>0</vt:i4>
      </vt:variant>
      <vt:variant>
        <vt:i4>5</vt:i4>
      </vt:variant>
      <vt:variant>
        <vt:lpwstr>http://www.ncbi.nlm.nih.gov/pubmed?term=%22Foley%20KP%22%5BAuthor%5D</vt:lpwstr>
      </vt:variant>
      <vt:variant>
        <vt:lpwstr/>
      </vt:variant>
      <vt:variant>
        <vt:i4>5505040</vt:i4>
      </vt:variant>
      <vt:variant>
        <vt:i4>87</vt:i4>
      </vt:variant>
      <vt:variant>
        <vt:i4>0</vt:i4>
      </vt:variant>
      <vt:variant>
        <vt:i4>5</vt:i4>
      </vt:variant>
      <vt:variant>
        <vt:lpwstr>http://www.ncbi.nlm.nih.gov/pubmed?term=%22Rao%20M%22%5BAuthor%5D</vt:lpwstr>
      </vt:variant>
      <vt:variant>
        <vt:lpwstr/>
      </vt:variant>
      <vt:variant>
        <vt:i4>5767177</vt:i4>
      </vt:variant>
      <vt:variant>
        <vt:i4>84</vt:i4>
      </vt:variant>
      <vt:variant>
        <vt:i4>0</vt:i4>
      </vt:variant>
      <vt:variant>
        <vt:i4>5</vt:i4>
      </vt:variant>
      <vt:variant>
        <vt:lpwstr>http://www.ncbi.nlm.nih.gov/pubmed?term=%22Bansal%20S%22%5BAuthor%5D</vt:lpwstr>
      </vt:variant>
      <vt:variant>
        <vt:lpwstr/>
      </vt:variant>
      <vt:variant>
        <vt:i4>5767186</vt:i4>
      </vt:variant>
      <vt:variant>
        <vt:i4>81</vt:i4>
      </vt:variant>
      <vt:variant>
        <vt:i4>0</vt:i4>
      </vt:variant>
      <vt:variant>
        <vt:i4>5</vt:i4>
      </vt:variant>
      <vt:variant>
        <vt:lpwstr>http://www.ncbi.nlm.nih.gov/pubmed?term=%22Bansal%20H%22%5BAuthor%5D</vt:lpwstr>
      </vt:variant>
      <vt:variant>
        <vt:lpwstr/>
      </vt:variant>
      <vt:variant>
        <vt:i4>1966144</vt:i4>
      </vt:variant>
      <vt:variant>
        <vt:i4>78</vt:i4>
      </vt:variant>
      <vt:variant>
        <vt:i4>0</vt:i4>
      </vt:variant>
      <vt:variant>
        <vt:i4>5</vt:i4>
      </vt:variant>
      <vt:variant>
        <vt:lpwstr>http://www.ncbi.nlm.nih.gov/pubmed?term=%22Testa%20JR%22%5BAuthor%5D</vt:lpwstr>
      </vt:variant>
      <vt:variant>
        <vt:lpwstr/>
      </vt:variant>
      <vt:variant>
        <vt:i4>6553651</vt:i4>
      </vt:variant>
      <vt:variant>
        <vt:i4>75</vt:i4>
      </vt:variant>
      <vt:variant>
        <vt:i4>0</vt:i4>
      </vt:variant>
      <vt:variant>
        <vt:i4>5</vt:i4>
      </vt:variant>
      <vt:variant>
        <vt:lpwstr>http://www.ncbi.nlm.nih.gov/pubmed?term=%22Kane%20AB%22%5BAuthor%5D</vt:lpwstr>
      </vt:variant>
      <vt:variant>
        <vt:lpwstr/>
      </vt:variant>
      <vt:variant>
        <vt:i4>196701</vt:i4>
      </vt:variant>
      <vt:variant>
        <vt:i4>72</vt:i4>
      </vt:variant>
      <vt:variant>
        <vt:i4>0</vt:i4>
      </vt:variant>
      <vt:variant>
        <vt:i4>5</vt:i4>
      </vt:variant>
      <vt:variant>
        <vt:lpwstr>http://www.ncbi.nlm.nih.gov/pubmed?term=%22McClatchey%20AI%22%5BAuthor%5D</vt:lpwstr>
      </vt:variant>
      <vt:variant>
        <vt:lpwstr/>
      </vt:variant>
      <vt:variant>
        <vt:i4>7274535</vt:i4>
      </vt:variant>
      <vt:variant>
        <vt:i4>69</vt:i4>
      </vt:variant>
      <vt:variant>
        <vt:i4>0</vt:i4>
      </vt:variant>
      <vt:variant>
        <vt:i4>5</vt:i4>
      </vt:variant>
      <vt:variant>
        <vt:lpwstr>http://www.ncbi.nlm.nih.gov/pubmed?term=%22Jhanwar%20SC%22%5BAuthor%5D</vt:lpwstr>
      </vt:variant>
      <vt:variant>
        <vt:lpwstr/>
      </vt:variant>
      <vt:variant>
        <vt:i4>2818165</vt:i4>
      </vt:variant>
      <vt:variant>
        <vt:i4>66</vt:i4>
      </vt:variant>
      <vt:variant>
        <vt:i4>0</vt:i4>
      </vt:variant>
      <vt:variant>
        <vt:i4>5</vt:i4>
      </vt:variant>
      <vt:variant>
        <vt:lpwstr>http://www.ncbi.nlm.nih.gov/pubmed?term=%22Devarajan%20K%22%5BAuthor%5D</vt:lpwstr>
      </vt:variant>
      <vt:variant>
        <vt:lpwstr/>
      </vt:variant>
      <vt:variant>
        <vt:i4>6029387</vt:i4>
      </vt:variant>
      <vt:variant>
        <vt:i4>63</vt:i4>
      </vt:variant>
      <vt:variant>
        <vt:i4>0</vt:i4>
      </vt:variant>
      <vt:variant>
        <vt:i4>5</vt:i4>
      </vt:variant>
      <vt:variant>
        <vt:lpwstr>http://www.ncbi.nlm.nih.gov/pubmed?term=%22De%20Rienzo%20A%22%5BAuthor%5D</vt:lpwstr>
      </vt:variant>
      <vt:variant>
        <vt:lpwstr/>
      </vt:variant>
      <vt:variant>
        <vt:i4>655432</vt:i4>
      </vt:variant>
      <vt:variant>
        <vt:i4>60</vt:i4>
      </vt:variant>
      <vt:variant>
        <vt:i4>0</vt:i4>
      </vt:variant>
      <vt:variant>
        <vt:i4>5</vt:i4>
      </vt:variant>
      <vt:variant>
        <vt:lpwstr>http://www.ncbi.nlm.nih.gov/pubmed?term=%22Skele%20KL%22%5BAuthor%5D</vt:lpwstr>
      </vt:variant>
      <vt:variant>
        <vt:lpwstr/>
      </vt:variant>
      <vt:variant>
        <vt:i4>131148</vt:i4>
      </vt:variant>
      <vt:variant>
        <vt:i4>57</vt:i4>
      </vt:variant>
      <vt:variant>
        <vt:i4>0</vt:i4>
      </vt:variant>
      <vt:variant>
        <vt:i4>5</vt:i4>
      </vt:variant>
      <vt:variant>
        <vt:lpwstr>http://www.ncbi.nlm.nih.gov/pubmed?term=%22Vaslet%20CA%22%5BAuthor%5D</vt:lpwstr>
      </vt:variant>
      <vt:variant>
        <vt:lpwstr/>
      </vt:variant>
      <vt:variant>
        <vt:i4>6815797</vt:i4>
      </vt:variant>
      <vt:variant>
        <vt:i4>54</vt:i4>
      </vt:variant>
      <vt:variant>
        <vt:i4>0</vt:i4>
      </vt:variant>
      <vt:variant>
        <vt:i4>5</vt:i4>
      </vt:variant>
      <vt:variant>
        <vt:lpwstr>http://www.ncbi.nlm.nih.gov/pubmed?term=%22Altomare%20DA%22%5BAuthor%5D</vt:lpwstr>
      </vt:variant>
      <vt:variant>
        <vt:lpwstr/>
      </vt:variant>
      <vt:variant>
        <vt:i4>4587546</vt:i4>
      </vt:variant>
      <vt:variant>
        <vt:i4>48</vt:i4>
      </vt:variant>
      <vt:variant>
        <vt:i4>0</vt:i4>
      </vt:variant>
      <vt:variant>
        <vt:i4>5</vt:i4>
      </vt:variant>
      <vt:variant>
        <vt:lpwstr>http://ctep.cancer.gov/protocolDevelopment/electronic_applications/ctc.htm</vt:lpwstr>
      </vt:variant>
      <vt:variant>
        <vt:lpwstr>ctc_40</vt:lpwstr>
      </vt:variant>
      <vt:variant>
        <vt:i4>4587546</vt:i4>
      </vt:variant>
      <vt:variant>
        <vt:i4>45</vt:i4>
      </vt:variant>
      <vt:variant>
        <vt:i4>0</vt:i4>
      </vt:variant>
      <vt:variant>
        <vt:i4>5</vt:i4>
      </vt:variant>
      <vt:variant>
        <vt:lpwstr>http://ctep.cancer.gov/protocolDevelopment/electronic_applications/ctc.htm</vt:lpwstr>
      </vt:variant>
      <vt:variant>
        <vt:lpwstr>ctc_40</vt:lpwstr>
      </vt:variant>
      <vt:variant>
        <vt:i4>5570645</vt:i4>
      </vt:variant>
      <vt:variant>
        <vt:i4>42</vt:i4>
      </vt:variant>
      <vt:variant>
        <vt:i4>0</vt:i4>
      </vt:variant>
      <vt:variant>
        <vt:i4>5</vt:i4>
      </vt:variant>
      <vt:variant>
        <vt:lpwstr>http://www.nccn.org/</vt:lpwstr>
      </vt:variant>
      <vt:variant>
        <vt:lpwstr/>
      </vt:variant>
      <vt:variant>
        <vt:i4>5373974</vt:i4>
      </vt:variant>
      <vt:variant>
        <vt:i4>39</vt:i4>
      </vt:variant>
      <vt:variant>
        <vt:i4>0</vt:i4>
      </vt:variant>
      <vt:variant>
        <vt:i4>5</vt:i4>
      </vt:variant>
      <vt:variant>
        <vt:lpwstr>http://www.pharmacologyweekly.com/content/pages/drug-reference-table-cyp-p450-ugt-enzymes-transporters-ab</vt:lpwstr>
      </vt:variant>
      <vt:variant>
        <vt:lpwstr/>
      </vt:variant>
      <vt:variant>
        <vt:i4>983108</vt:i4>
      </vt:variant>
      <vt:variant>
        <vt:i4>36</vt:i4>
      </vt:variant>
      <vt:variant>
        <vt:i4>0</vt:i4>
      </vt:variant>
      <vt:variant>
        <vt:i4>5</vt:i4>
      </vt:variant>
      <vt:variant>
        <vt:lpwstr>http://evs.nci.nih.gov/ftp1/CTCAE/About.html</vt:lpwstr>
      </vt:variant>
      <vt:variant>
        <vt:lpwstr/>
      </vt:variant>
      <vt:variant>
        <vt:i4>655396</vt:i4>
      </vt:variant>
      <vt:variant>
        <vt:i4>33</vt:i4>
      </vt:variant>
      <vt:variant>
        <vt:i4>0</vt:i4>
      </vt:variant>
      <vt:variant>
        <vt:i4>5</vt:i4>
      </vt:variant>
      <vt:variant>
        <vt:lpwstr>mailto:ctc.excursions@ucl.ac.uk</vt:lpwstr>
      </vt:variant>
      <vt:variant>
        <vt:lpwstr/>
      </vt:variant>
      <vt:variant>
        <vt:i4>5570645</vt:i4>
      </vt:variant>
      <vt:variant>
        <vt:i4>30</vt:i4>
      </vt:variant>
      <vt:variant>
        <vt:i4>0</vt:i4>
      </vt:variant>
      <vt:variant>
        <vt:i4>5</vt:i4>
      </vt:variant>
      <vt:variant>
        <vt:lpwstr>http://www.nccn.org/</vt:lpwstr>
      </vt:variant>
      <vt:variant>
        <vt:lpwstr/>
      </vt:variant>
      <vt:variant>
        <vt:i4>6160433</vt:i4>
      </vt:variant>
      <vt:variant>
        <vt:i4>0</vt:i4>
      </vt:variant>
      <vt:variant>
        <vt:i4>0</vt:i4>
      </vt:variant>
      <vt:variant>
        <vt:i4>5</vt:i4>
      </vt:variant>
      <vt:variant>
        <vt:lpwstr>mailto:ctc.meso-02@ucl.ac.uk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Notes for Protocol Template</dc:title>
  <dc:creator>CTC</dc:creator>
  <cp:lastModifiedBy>Graham M. Wheeler</cp:lastModifiedBy>
  <cp:revision>2</cp:revision>
  <cp:lastPrinted>2017-04-11T09:26:00Z</cp:lastPrinted>
  <dcterms:created xsi:type="dcterms:W3CDTF">2020-05-11T17:31:00Z</dcterms:created>
  <dcterms:modified xsi:type="dcterms:W3CDTF">2020-05-11T17:31:00Z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0x01010050D020EB174A644CBADD5A57AFCE4DD7</vt:lpwstr>
  </property>
</Properties>
</file>