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9614" w14:textId="77777777" w:rsidR="00190039" w:rsidRPr="00F32638" w:rsidRDefault="00190039" w:rsidP="009441A1">
      <w:pPr>
        <w:spacing w:line="480" w:lineRule="auto"/>
        <w:rPr>
          <w:rFonts w:ascii="Times New Roman" w:hAnsi="Times New Roman" w:cs="Times New Roman"/>
          <w:b/>
        </w:rPr>
      </w:pPr>
      <w:r w:rsidRPr="00F32638">
        <w:rPr>
          <w:rFonts w:ascii="Times New Roman" w:hAnsi="Times New Roman" w:cs="Times New Roman"/>
          <w:b/>
        </w:rPr>
        <w:t>Legend</w:t>
      </w:r>
      <w:r w:rsidR="004D303F" w:rsidRPr="00F32638">
        <w:rPr>
          <w:rFonts w:ascii="Times New Roman" w:hAnsi="Times New Roman" w:cs="Times New Roman"/>
          <w:b/>
        </w:rPr>
        <w:t>s</w:t>
      </w:r>
      <w:r w:rsidRPr="00F32638">
        <w:rPr>
          <w:rFonts w:ascii="Times New Roman" w:hAnsi="Times New Roman" w:cs="Times New Roman"/>
          <w:b/>
        </w:rPr>
        <w:t xml:space="preserve"> of Supplementary Figures</w:t>
      </w:r>
    </w:p>
    <w:p w14:paraId="2AF3572E" w14:textId="77777777" w:rsidR="00190039" w:rsidRPr="00F32638" w:rsidRDefault="00190039" w:rsidP="009441A1">
      <w:pPr>
        <w:spacing w:line="480" w:lineRule="auto"/>
        <w:rPr>
          <w:rFonts w:ascii="Times New Roman" w:hAnsi="Times New Roman" w:cs="Times New Roman"/>
        </w:rPr>
      </w:pPr>
    </w:p>
    <w:p w14:paraId="03D6CF7E" w14:textId="349957D5" w:rsidR="00F32638" w:rsidRPr="00F32638" w:rsidRDefault="00F32638" w:rsidP="009441A1">
      <w:pPr>
        <w:spacing w:after="120"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S1</w:t>
      </w:r>
      <w:r w:rsidRPr="00F32638">
        <w:rPr>
          <w:rFonts w:ascii="Times New Roman" w:hAnsi="Times New Roman" w:cs="Times New Roman"/>
        </w:rPr>
        <w:t xml:space="preserve">. </w:t>
      </w:r>
      <w:r w:rsidRPr="00795CD6">
        <w:rPr>
          <w:rFonts w:ascii="Times New Roman" w:hAnsi="Times New Roman" w:cs="Times New Roman"/>
          <w:b/>
        </w:rPr>
        <w:t>PDXs derived from mixed adeno- and neuroendocrine human prostate carcinoma recapitulat</w:t>
      </w:r>
      <w:r w:rsidR="00F82290" w:rsidRPr="00795CD6">
        <w:rPr>
          <w:rFonts w:ascii="Times New Roman" w:hAnsi="Times New Roman" w:cs="Times New Roman"/>
          <w:b/>
        </w:rPr>
        <w:t>ing</w:t>
      </w:r>
      <w:r w:rsidRPr="00795CD6">
        <w:rPr>
          <w:rFonts w:ascii="Times New Roman" w:hAnsi="Times New Roman" w:cs="Times New Roman"/>
          <w:b/>
        </w:rPr>
        <w:t xml:space="preserve"> only one morphologic component</w:t>
      </w:r>
      <w:r w:rsidRPr="00F32638">
        <w:rPr>
          <w:rFonts w:ascii="Times New Roman" w:hAnsi="Times New Roman" w:cs="Times New Roman"/>
        </w:rPr>
        <w:t>. MDA PCa 112 adenocarcinoma was derived from a mixed adeno</w:t>
      </w:r>
      <w:r w:rsidR="00060F3F">
        <w:rPr>
          <w:rFonts w:ascii="Times New Roman" w:hAnsi="Times New Roman" w:cs="Times New Roman"/>
        </w:rPr>
        <w:t>-</w:t>
      </w:r>
      <w:r w:rsidRPr="00F32638">
        <w:rPr>
          <w:rFonts w:ascii="Times New Roman" w:hAnsi="Times New Roman" w:cs="Times New Roman"/>
        </w:rPr>
        <w:t xml:space="preserve"> and neuroendocrine human prostate carcinoma. MDA PCa 181 neuroendocrine carcinoma was derived from a mixed adeno- and neuroendocrine human prostate carcinoma. </w:t>
      </w:r>
      <w:r w:rsidRPr="00F32638">
        <w:rPr>
          <w:rFonts w:ascii="Times New Roman" w:hAnsi="Times New Roman" w:cs="Times New Roman"/>
          <w:spacing w:val="3"/>
          <w:shd w:val="clear" w:color="auto" w:fill="FFFFFF"/>
        </w:rPr>
        <w:t xml:space="preserve">Representative photomicrograph images of </w:t>
      </w:r>
      <w:r w:rsidRPr="00F32638">
        <w:rPr>
          <w:rFonts w:ascii="Times New Roman" w:hAnsi="Times New Roman" w:cs="Times New Roman"/>
        </w:rPr>
        <w:t>sections stained with HE</w:t>
      </w:r>
      <w:r w:rsidRPr="00F32638">
        <w:rPr>
          <w:rFonts w:ascii="Times New Roman" w:hAnsi="Times New Roman" w:cs="Times New Roman"/>
          <w:bCs/>
        </w:rPr>
        <w:t xml:space="preserve"> and immunostained </w:t>
      </w:r>
      <w:r w:rsidRPr="00F32638">
        <w:rPr>
          <w:rFonts w:ascii="Times New Roman" w:hAnsi="Times New Roman" w:cs="Times New Roman"/>
        </w:rPr>
        <w:t xml:space="preserve">for AR and markers of neuroendocrine differentiation CGN, SNP, and CD56 are shown. HE, hematoxylin and eosin; AR, androgen receptor; CGA, chromogranin; SNP, synaptophysin. </w:t>
      </w:r>
    </w:p>
    <w:p w14:paraId="314EFE04" w14:textId="79CB6157" w:rsidR="00661084" w:rsidRPr="00F32638" w:rsidRDefault="00DA2039" w:rsidP="009441A1">
      <w:pPr>
        <w:spacing w:line="480" w:lineRule="auto"/>
        <w:rPr>
          <w:rFonts w:ascii="Times New Roman" w:eastAsia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</w:t>
      </w:r>
      <w:r w:rsidR="005F061C">
        <w:rPr>
          <w:rFonts w:ascii="Times New Roman" w:hAnsi="Times New Roman" w:cs="Times New Roman"/>
          <w:b/>
        </w:rPr>
        <w:t>2</w:t>
      </w:r>
      <w:r w:rsidRPr="00F32638">
        <w:rPr>
          <w:rFonts w:ascii="Times New Roman" w:hAnsi="Times New Roman" w:cs="Times New Roman"/>
          <w:b/>
        </w:rPr>
        <w:t>.</w:t>
      </w:r>
      <w:r w:rsidR="009E26BA" w:rsidRPr="00F32638">
        <w:rPr>
          <w:rFonts w:ascii="Times New Roman" w:hAnsi="Times New Roman" w:cs="Times New Roman"/>
          <w:b/>
        </w:rPr>
        <w:t xml:space="preserve"> ETV1 rearrangement by RNA </w:t>
      </w:r>
      <w:r w:rsidR="009E26BA" w:rsidRPr="00F32638">
        <w:rPr>
          <w:rFonts w:ascii="Times New Roman" w:hAnsi="Times New Roman" w:cs="Times New Roman"/>
          <w:b/>
          <w:i/>
        </w:rPr>
        <w:t>in situ</w:t>
      </w:r>
      <w:r w:rsidR="009E26BA" w:rsidRPr="00F32638">
        <w:rPr>
          <w:rFonts w:ascii="Times New Roman" w:hAnsi="Times New Roman" w:cs="Times New Roman"/>
          <w:b/>
        </w:rPr>
        <w:t xml:space="preserve"> hy</w:t>
      </w:r>
      <w:r w:rsidR="00055845">
        <w:rPr>
          <w:rFonts w:ascii="Times New Roman" w:hAnsi="Times New Roman" w:cs="Times New Roman"/>
          <w:b/>
        </w:rPr>
        <w:t>bridization in MDA PCa 177-B</w:t>
      </w:r>
      <w:r w:rsidR="009E26BA" w:rsidRPr="00F32638">
        <w:rPr>
          <w:rFonts w:ascii="Times New Roman" w:hAnsi="Times New Roman" w:cs="Times New Roman"/>
        </w:rPr>
        <w:t>.</w:t>
      </w:r>
      <w:r w:rsidR="00661084" w:rsidRPr="00F32638">
        <w:rPr>
          <w:rFonts w:ascii="Times New Roman" w:hAnsi="Times New Roman" w:cs="Times New Roman"/>
        </w:rPr>
        <w:t xml:space="preserve"> </w:t>
      </w:r>
      <w:r w:rsidR="00661084" w:rsidRPr="00F32638">
        <w:rPr>
          <w:rFonts w:ascii="Times New Roman" w:eastAsia="Times New Roman" w:hAnsi="Times New Roman" w:cs="Times New Roman"/>
          <w:color w:val="000000"/>
        </w:rPr>
        <w:t>Whole section view</w:t>
      </w:r>
      <w:r w:rsidR="00055845">
        <w:rPr>
          <w:rFonts w:ascii="Times New Roman" w:eastAsia="Times New Roman" w:hAnsi="Times New Roman" w:cs="Times New Roman"/>
          <w:color w:val="000000"/>
        </w:rPr>
        <w:t xml:space="preserve"> of MDA PCA </w:t>
      </w:r>
      <w:r w:rsidR="00661084" w:rsidRPr="00F32638">
        <w:rPr>
          <w:rFonts w:ascii="Times New Roman" w:eastAsia="Times New Roman" w:hAnsi="Times New Roman" w:cs="Times New Roman"/>
          <w:color w:val="000000"/>
        </w:rPr>
        <w:t xml:space="preserve">177. </w:t>
      </w:r>
      <w:r w:rsidR="00AC1C30">
        <w:rPr>
          <w:rFonts w:ascii="Times New Roman" w:eastAsia="Times New Roman" w:hAnsi="Times New Roman" w:cs="Times New Roman"/>
          <w:color w:val="000000"/>
        </w:rPr>
        <w:t>(</w:t>
      </w:r>
      <w:r w:rsidR="00661084" w:rsidRPr="00F32638">
        <w:rPr>
          <w:rFonts w:ascii="Times New Roman" w:eastAsia="Times New Roman" w:hAnsi="Times New Roman" w:cs="Times New Roman"/>
          <w:b/>
          <w:color w:val="000000"/>
        </w:rPr>
        <w:t>A</w:t>
      </w:r>
      <w:r w:rsidR="00AC1C30">
        <w:rPr>
          <w:rFonts w:ascii="Times New Roman" w:eastAsia="Times New Roman" w:hAnsi="Times New Roman" w:cs="Times New Roman"/>
          <w:b/>
          <w:color w:val="000000"/>
        </w:rPr>
        <w:t>)</w:t>
      </w:r>
      <w:r w:rsidR="00661084" w:rsidRPr="00F32638">
        <w:rPr>
          <w:rFonts w:ascii="Times New Roman" w:eastAsia="Times New Roman" w:hAnsi="Times New Roman" w:cs="Times New Roman"/>
          <w:color w:val="000000"/>
        </w:rPr>
        <w:t xml:space="preserve"> RNA </w:t>
      </w:r>
      <w:r w:rsidR="00661084" w:rsidRPr="00F32638">
        <w:rPr>
          <w:rFonts w:ascii="Times New Roman" w:eastAsia="Times New Roman" w:hAnsi="Times New Roman" w:cs="Times New Roman"/>
          <w:i/>
          <w:color w:val="000000"/>
        </w:rPr>
        <w:t>in situ</w:t>
      </w:r>
      <w:r w:rsidR="00661084" w:rsidRPr="00F32638">
        <w:rPr>
          <w:rFonts w:ascii="Times New Roman" w:eastAsia="Times New Roman" w:hAnsi="Times New Roman" w:cs="Times New Roman"/>
          <w:color w:val="000000"/>
        </w:rPr>
        <w:t xml:space="preserve"> hybridization s</w:t>
      </w:r>
      <w:r w:rsidR="00055845">
        <w:rPr>
          <w:rFonts w:ascii="Times New Roman" w:eastAsia="Times New Roman" w:hAnsi="Times New Roman" w:cs="Times New Roman"/>
          <w:color w:val="000000"/>
        </w:rPr>
        <w:t xml:space="preserve">taining for ETV1 on MDA PCa </w:t>
      </w:r>
      <w:r w:rsidR="00661084" w:rsidRPr="00F32638">
        <w:rPr>
          <w:rFonts w:ascii="Times New Roman" w:eastAsia="Times New Roman" w:hAnsi="Times New Roman" w:cs="Times New Roman"/>
          <w:color w:val="000000"/>
        </w:rPr>
        <w:t xml:space="preserve">177 positive for ETV1 rearrangement. ETV1 expression is shown as red punctate dots only in the human PDX tissue and not in the surrounding mouse tissue. </w:t>
      </w:r>
      <w:r w:rsidR="00AC1C30">
        <w:rPr>
          <w:rFonts w:ascii="Times New Roman" w:eastAsia="Times New Roman" w:hAnsi="Times New Roman" w:cs="Times New Roman"/>
          <w:color w:val="000000"/>
        </w:rPr>
        <w:t>(</w:t>
      </w:r>
      <w:r w:rsidR="00661084" w:rsidRPr="00F32638">
        <w:rPr>
          <w:rFonts w:ascii="Times New Roman" w:eastAsia="Times New Roman" w:hAnsi="Times New Roman" w:cs="Times New Roman"/>
          <w:b/>
          <w:color w:val="000000"/>
        </w:rPr>
        <w:t>B</w:t>
      </w:r>
      <w:r w:rsidR="00AC1C30">
        <w:rPr>
          <w:rFonts w:ascii="Times New Roman" w:eastAsia="Times New Roman" w:hAnsi="Times New Roman" w:cs="Times New Roman"/>
          <w:b/>
          <w:color w:val="000000"/>
        </w:rPr>
        <w:t>)</w:t>
      </w:r>
      <w:r w:rsidR="00661084" w:rsidRPr="00F32638">
        <w:rPr>
          <w:rFonts w:ascii="Times New Roman" w:eastAsia="Times New Roman" w:hAnsi="Times New Roman" w:cs="Times New Roman"/>
          <w:color w:val="000000"/>
        </w:rPr>
        <w:t xml:space="preserve"> Enlarged view show</w:t>
      </w:r>
      <w:r w:rsidR="00A3203A" w:rsidRPr="00F32638">
        <w:rPr>
          <w:rFonts w:ascii="Times New Roman" w:eastAsia="Times New Roman" w:hAnsi="Times New Roman" w:cs="Times New Roman"/>
          <w:color w:val="000000"/>
        </w:rPr>
        <w:t>s</w:t>
      </w:r>
      <w:r w:rsidR="00661084" w:rsidRPr="00F32638">
        <w:rPr>
          <w:rFonts w:ascii="Times New Roman" w:eastAsia="Times New Roman" w:hAnsi="Times New Roman" w:cs="Times New Roman"/>
          <w:color w:val="000000"/>
        </w:rPr>
        <w:t xml:space="preserve"> the red punctate dots in the cytoplasm corresponding to ETV1 RNA transcripts.</w:t>
      </w:r>
    </w:p>
    <w:p w14:paraId="3C837CF2" w14:textId="77777777" w:rsidR="00DA2039" w:rsidRPr="00F32638" w:rsidRDefault="00DA2039" w:rsidP="009441A1">
      <w:pPr>
        <w:spacing w:line="480" w:lineRule="auto"/>
        <w:rPr>
          <w:rFonts w:ascii="Times New Roman" w:hAnsi="Times New Roman" w:cs="Times New Roman"/>
          <w:b/>
        </w:rPr>
      </w:pPr>
    </w:p>
    <w:p w14:paraId="5464585A" w14:textId="0A623414" w:rsidR="0030192D" w:rsidRPr="00F32638" w:rsidRDefault="004D303F" w:rsidP="009441A1">
      <w:pPr>
        <w:spacing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</w:t>
      </w:r>
      <w:r w:rsidR="005F061C">
        <w:rPr>
          <w:rFonts w:ascii="Times New Roman" w:hAnsi="Times New Roman" w:cs="Times New Roman"/>
          <w:b/>
        </w:rPr>
        <w:t>3</w:t>
      </w:r>
      <w:r w:rsidRPr="00F32638">
        <w:rPr>
          <w:rFonts w:ascii="Times New Roman" w:hAnsi="Times New Roman" w:cs="Times New Roman"/>
        </w:rPr>
        <w:t xml:space="preserve">.  </w:t>
      </w:r>
      <w:r w:rsidRPr="00F32638">
        <w:rPr>
          <w:rFonts w:ascii="Times New Roman" w:hAnsi="Times New Roman" w:cs="Times New Roman"/>
          <w:b/>
        </w:rPr>
        <w:t>Comparison of copy number changes in MDA PCa 144</w:t>
      </w:r>
      <w:r w:rsidR="00476720" w:rsidRPr="00F32638">
        <w:rPr>
          <w:rFonts w:ascii="Times New Roman" w:hAnsi="Times New Roman" w:cs="Times New Roman"/>
          <w:b/>
        </w:rPr>
        <w:t xml:space="preserve"> PDXs</w:t>
      </w:r>
      <w:r w:rsidRPr="00F32638">
        <w:rPr>
          <w:rFonts w:ascii="Times New Roman" w:hAnsi="Times New Roman" w:cs="Times New Roman"/>
        </w:rPr>
        <w:t>. High resolution aCGH analysis identified loss o</w:t>
      </w:r>
      <w:bookmarkStart w:id="0" w:name="_GoBack"/>
      <w:bookmarkEnd w:id="0"/>
      <w:r w:rsidRPr="00F32638">
        <w:rPr>
          <w:rFonts w:ascii="Times New Roman" w:hAnsi="Times New Roman" w:cs="Times New Roman"/>
        </w:rPr>
        <w:t>f CDKN2C (1p32.3)</w:t>
      </w:r>
      <w:r w:rsidR="00A3203A" w:rsidRPr="00F32638">
        <w:rPr>
          <w:rFonts w:ascii="Times New Roman" w:hAnsi="Times New Roman" w:cs="Times New Roman"/>
        </w:rPr>
        <w:t xml:space="preserve"> and</w:t>
      </w:r>
      <w:r w:rsidRPr="00F32638">
        <w:rPr>
          <w:rFonts w:ascii="Times New Roman" w:hAnsi="Times New Roman" w:cs="Times New Roman"/>
        </w:rPr>
        <w:t xml:space="preserve"> PTEN (10q23.31)</w:t>
      </w:r>
      <w:r w:rsidR="00A3203A" w:rsidRPr="00F32638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and a partial loss of RB in both MDA PCa 144-13 and MDA PCa 144-4. </w:t>
      </w:r>
    </w:p>
    <w:p w14:paraId="289E49F7" w14:textId="77777777" w:rsidR="004D303F" w:rsidRPr="00F32638" w:rsidRDefault="004D303F" w:rsidP="009441A1">
      <w:pPr>
        <w:spacing w:line="480" w:lineRule="auto"/>
        <w:rPr>
          <w:rFonts w:ascii="Times New Roman" w:hAnsi="Times New Roman" w:cs="Times New Roman"/>
        </w:rPr>
      </w:pPr>
    </w:p>
    <w:p w14:paraId="5B885754" w14:textId="7474A546" w:rsidR="0030192D" w:rsidRPr="00F32638" w:rsidRDefault="006F28DD" w:rsidP="009441A1">
      <w:pPr>
        <w:spacing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</w:t>
      </w:r>
      <w:r w:rsidR="005F061C">
        <w:rPr>
          <w:rFonts w:ascii="Times New Roman" w:hAnsi="Times New Roman" w:cs="Times New Roman"/>
          <w:b/>
        </w:rPr>
        <w:t>4</w:t>
      </w:r>
      <w:r w:rsidRPr="00F32638">
        <w:rPr>
          <w:rFonts w:ascii="Times New Roman" w:hAnsi="Times New Roman" w:cs="Times New Roman"/>
        </w:rPr>
        <w:t xml:space="preserve">.   </w:t>
      </w:r>
      <w:r w:rsidR="00055845">
        <w:rPr>
          <w:rFonts w:ascii="Times New Roman" w:hAnsi="Times New Roman" w:cs="Times New Roman"/>
          <w:b/>
        </w:rPr>
        <w:t>Whole-</w:t>
      </w:r>
      <w:r w:rsidRPr="00F32638">
        <w:rPr>
          <w:rFonts w:ascii="Times New Roman" w:hAnsi="Times New Roman" w:cs="Times New Roman"/>
          <w:b/>
        </w:rPr>
        <w:t>genome analysis of copy number changes in MDA PCa 144</w:t>
      </w:r>
      <w:r w:rsidR="00476720" w:rsidRPr="00F32638">
        <w:rPr>
          <w:rFonts w:ascii="Times New Roman" w:hAnsi="Times New Roman" w:cs="Times New Roman"/>
          <w:b/>
        </w:rPr>
        <w:t xml:space="preserve"> PDXs</w:t>
      </w:r>
      <w:r w:rsidRPr="00F32638">
        <w:rPr>
          <w:rFonts w:ascii="Times New Roman" w:hAnsi="Times New Roman" w:cs="Times New Roman"/>
          <w:b/>
        </w:rPr>
        <w:t>.</w:t>
      </w:r>
      <w:r w:rsidRPr="00F32638">
        <w:rPr>
          <w:rFonts w:ascii="Times New Roman" w:hAnsi="Times New Roman" w:cs="Times New Roman"/>
        </w:rPr>
        <w:t xml:space="preserve"> </w:t>
      </w:r>
      <w:r w:rsidR="00A3203A" w:rsidRPr="00F32638">
        <w:rPr>
          <w:rFonts w:ascii="Times New Roman" w:hAnsi="Times New Roman" w:cs="Times New Roman"/>
        </w:rPr>
        <w:t xml:space="preserve">Array comparative genomic hybridization </w:t>
      </w:r>
      <w:r w:rsidR="00476720" w:rsidRPr="00F32638">
        <w:rPr>
          <w:rFonts w:ascii="Times New Roman" w:hAnsi="Times New Roman" w:cs="Times New Roman"/>
        </w:rPr>
        <w:t xml:space="preserve">analysis shows that </w:t>
      </w:r>
      <w:r w:rsidRPr="00F32638">
        <w:rPr>
          <w:rFonts w:ascii="Times New Roman" w:hAnsi="Times New Roman" w:cs="Times New Roman"/>
        </w:rPr>
        <w:t>MDA PCa 144-13 and MDA PCa 144-4 ha</w:t>
      </w:r>
      <w:r w:rsidR="00A3203A" w:rsidRPr="00F32638">
        <w:rPr>
          <w:rFonts w:ascii="Times New Roman" w:hAnsi="Times New Roman" w:cs="Times New Roman"/>
        </w:rPr>
        <w:t>ve</w:t>
      </w:r>
      <w:r w:rsidRPr="00F32638">
        <w:rPr>
          <w:rFonts w:ascii="Times New Roman" w:hAnsi="Times New Roman" w:cs="Times New Roman"/>
        </w:rPr>
        <w:t xml:space="preserve"> significant differences in copy number changes (</w:t>
      </w:r>
      <w:r w:rsidR="00A3203A" w:rsidRPr="00F32638">
        <w:rPr>
          <w:rFonts w:ascii="Times New Roman" w:hAnsi="Times New Roman" w:cs="Times New Roman"/>
          <w:b/>
        </w:rPr>
        <w:t>u</w:t>
      </w:r>
      <w:r w:rsidRPr="00F32638">
        <w:rPr>
          <w:rFonts w:ascii="Times New Roman" w:hAnsi="Times New Roman" w:cs="Times New Roman"/>
          <w:b/>
        </w:rPr>
        <w:t>pper panel</w:t>
      </w:r>
      <w:r w:rsidRPr="00F32638">
        <w:rPr>
          <w:rFonts w:ascii="Times New Roman" w:hAnsi="Times New Roman" w:cs="Times New Roman"/>
        </w:rPr>
        <w:t>)</w:t>
      </w:r>
      <w:r w:rsidR="00EB20A7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which can be better </w:t>
      </w:r>
      <w:r w:rsidRPr="00F32638">
        <w:rPr>
          <w:rFonts w:ascii="Times New Roman" w:hAnsi="Times New Roman" w:cs="Times New Roman"/>
        </w:rPr>
        <w:lastRenderedPageBreak/>
        <w:t>resolved at higher resolution</w:t>
      </w:r>
      <w:r w:rsidR="00C93D0D" w:rsidRPr="00F32638">
        <w:rPr>
          <w:rFonts w:ascii="Times New Roman" w:hAnsi="Times New Roman" w:cs="Times New Roman"/>
        </w:rPr>
        <w:t xml:space="preserve"> (</w:t>
      </w:r>
      <w:r w:rsidR="00C93D0D" w:rsidRPr="00F32638">
        <w:rPr>
          <w:rFonts w:ascii="Times New Roman" w:hAnsi="Times New Roman" w:cs="Times New Roman"/>
          <w:b/>
        </w:rPr>
        <w:t>middle and lower panels</w:t>
      </w:r>
      <w:r w:rsidR="00AE65AD" w:rsidRPr="00F32638">
        <w:rPr>
          <w:rFonts w:ascii="Times New Roman" w:hAnsi="Times New Roman" w:cs="Times New Roman"/>
        </w:rPr>
        <w:t>)</w:t>
      </w:r>
      <w:r w:rsidRPr="00F32638">
        <w:rPr>
          <w:rFonts w:ascii="Times New Roman" w:hAnsi="Times New Roman" w:cs="Times New Roman"/>
        </w:rPr>
        <w:t xml:space="preserve">. </w:t>
      </w:r>
      <w:r w:rsidR="00C93D0D" w:rsidRPr="00F32638">
        <w:rPr>
          <w:rFonts w:ascii="Times New Roman" w:hAnsi="Times New Roman" w:cs="Times New Roman"/>
        </w:rPr>
        <w:t>In upper panel, a</w:t>
      </w:r>
      <w:r w:rsidRPr="00F32638">
        <w:rPr>
          <w:rFonts w:ascii="Times New Roman" w:hAnsi="Times New Roman" w:cs="Times New Roman"/>
        </w:rPr>
        <w:t>reas marked in boxes show the difference in copy number changes between MDA PCa 144-13 (blue) and MD</w:t>
      </w:r>
      <w:r w:rsidR="00EB20A7">
        <w:rPr>
          <w:rFonts w:ascii="Times New Roman" w:hAnsi="Times New Roman" w:cs="Times New Roman"/>
        </w:rPr>
        <w:t>A PCa 144-4 (red). A ratio profile shift</w:t>
      </w:r>
      <w:r w:rsidRPr="00F32638">
        <w:rPr>
          <w:rFonts w:ascii="Times New Roman" w:hAnsi="Times New Roman" w:cs="Times New Roman"/>
        </w:rPr>
        <w:t xml:space="preserve"> to </w:t>
      </w:r>
      <w:r w:rsidR="00A3203A" w:rsidRPr="00F32638">
        <w:rPr>
          <w:rFonts w:ascii="Times New Roman" w:hAnsi="Times New Roman" w:cs="Times New Roman"/>
        </w:rPr>
        <w:t xml:space="preserve">the </w:t>
      </w:r>
      <w:r w:rsidRPr="00F32638">
        <w:rPr>
          <w:rFonts w:ascii="Times New Roman" w:hAnsi="Times New Roman" w:cs="Times New Roman"/>
        </w:rPr>
        <w:t>right indicate</w:t>
      </w:r>
      <w:r w:rsidR="00A3203A" w:rsidRPr="00F32638">
        <w:rPr>
          <w:rFonts w:ascii="Times New Roman" w:hAnsi="Times New Roman" w:cs="Times New Roman"/>
        </w:rPr>
        <w:t>s</w:t>
      </w:r>
      <w:r w:rsidRPr="00F32638">
        <w:rPr>
          <w:rFonts w:ascii="Times New Roman" w:hAnsi="Times New Roman" w:cs="Times New Roman"/>
        </w:rPr>
        <w:t xml:space="preserve"> copy number gain</w:t>
      </w:r>
      <w:r w:rsidR="00A3203A" w:rsidRPr="00F32638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and </w:t>
      </w:r>
      <w:r w:rsidR="00A3203A" w:rsidRPr="00F32638">
        <w:rPr>
          <w:rFonts w:ascii="Times New Roman" w:hAnsi="Times New Roman" w:cs="Times New Roman"/>
        </w:rPr>
        <w:t xml:space="preserve">a </w:t>
      </w:r>
      <w:r w:rsidRPr="00F32638">
        <w:rPr>
          <w:rFonts w:ascii="Times New Roman" w:hAnsi="Times New Roman" w:cs="Times New Roman"/>
        </w:rPr>
        <w:t xml:space="preserve">shift to </w:t>
      </w:r>
      <w:r w:rsidR="00FC69C2" w:rsidRPr="00F32638">
        <w:rPr>
          <w:rFonts w:ascii="Times New Roman" w:hAnsi="Times New Roman" w:cs="Times New Roman"/>
        </w:rPr>
        <w:t xml:space="preserve">the </w:t>
      </w:r>
      <w:r w:rsidRPr="00F32638">
        <w:rPr>
          <w:rFonts w:ascii="Times New Roman" w:hAnsi="Times New Roman" w:cs="Times New Roman"/>
        </w:rPr>
        <w:t>left indicate</w:t>
      </w:r>
      <w:r w:rsidR="00A3203A" w:rsidRPr="00F32638">
        <w:rPr>
          <w:rFonts w:ascii="Times New Roman" w:hAnsi="Times New Roman" w:cs="Times New Roman"/>
        </w:rPr>
        <w:t>s</w:t>
      </w:r>
      <w:r w:rsidRPr="00F32638">
        <w:rPr>
          <w:rFonts w:ascii="Times New Roman" w:hAnsi="Times New Roman" w:cs="Times New Roman"/>
        </w:rPr>
        <w:t xml:space="preserve"> copy number loss.</w:t>
      </w:r>
    </w:p>
    <w:p w14:paraId="188B201D" w14:textId="77777777" w:rsidR="006F28DD" w:rsidRPr="00F32638" w:rsidRDefault="006F28DD" w:rsidP="009441A1">
      <w:pPr>
        <w:spacing w:line="480" w:lineRule="auto"/>
        <w:rPr>
          <w:rFonts w:ascii="Times New Roman" w:hAnsi="Times New Roman" w:cs="Times New Roman"/>
        </w:rPr>
      </w:pPr>
    </w:p>
    <w:p w14:paraId="2C5BAFE9" w14:textId="39F56F9B" w:rsidR="00CE0FAC" w:rsidRPr="00F32638" w:rsidRDefault="00CE0FAC" w:rsidP="009441A1">
      <w:pPr>
        <w:spacing w:line="480" w:lineRule="auto"/>
        <w:jc w:val="both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</w:t>
      </w:r>
      <w:r w:rsidR="005F061C">
        <w:rPr>
          <w:rFonts w:ascii="Times New Roman" w:hAnsi="Times New Roman" w:cs="Times New Roman"/>
          <w:b/>
        </w:rPr>
        <w:t>5</w:t>
      </w:r>
      <w:r w:rsidRPr="00F32638">
        <w:rPr>
          <w:rFonts w:ascii="Times New Roman" w:hAnsi="Times New Roman" w:cs="Times New Roman"/>
          <w:b/>
        </w:rPr>
        <w:t>.   Whole</w:t>
      </w:r>
      <w:r w:rsidR="00A3203A" w:rsidRPr="00F32638">
        <w:rPr>
          <w:rFonts w:ascii="Times New Roman" w:hAnsi="Times New Roman" w:cs="Times New Roman"/>
          <w:b/>
        </w:rPr>
        <w:t>-</w:t>
      </w:r>
      <w:r w:rsidRPr="00F32638">
        <w:rPr>
          <w:rFonts w:ascii="Times New Roman" w:hAnsi="Times New Roman" w:cs="Times New Roman"/>
          <w:b/>
        </w:rPr>
        <w:t xml:space="preserve">genome analysis of copy number changes in </w:t>
      </w:r>
      <w:r w:rsidR="00476720" w:rsidRPr="00F32638">
        <w:rPr>
          <w:rFonts w:ascii="Times New Roman" w:hAnsi="Times New Roman" w:cs="Times New Roman"/>
          <w:b/>
        </w:rPr>
        <w:t xml:space="preserve">MDA PCa 146 PDXs. </w:t>
      </w:r>
      <w:r w:rsidRPr="00F32638">
        <w:rPr>
          <w:rFonts w:ascii="Times New Roman" w:hAnsi="Times New Roman" w:cs="Times New Roman"/>
        </w:rPr>
        <w:t>MDA PCa 146-10 (purple), MDA PCa 146-12 (blue)</w:t>
      </w:r>
      <w:r w:rsidR="00A3203A" w:rsidRPr="00F32638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and MDA PCa 146-20 (green) </w:t>
      </w:r>
      <w:r w:rsidR="00476720" w:rsidRPr="00F32638">
        <w:rPr>
          <w:rFonts w:ascii="Times New Roman" w:hAnsi="Times New Roman" w:cs="Times New Roman"/>
        </w:rPr>
        <w:t>share</w:t>
      </w:r>
      <w:r w:rsidRPr="00F32638">
        <w:rPr>
          <w:rFonts w:ascii="Times New Roman" w:hAnsi="Times New Roman" w:cs="Times New Roman"/>
        </w:rPr>
        <w:t xml:space="preserve"> most of the changes </w:t>
      </w:r>
      <w:r w:rsidR="00A3203A" w:rsidRPr="00F32638">
        <w:rPr>
          <w:rFonts w:ascii="Times New Roman" w:hAnsi="Times New Roman" w:cs="Times New Roman"/>
        </w:rPr>
        <w:t>per</w:t>
      </w:r>
      <w:r w:rsidR="00EB20A7">
        <w:rPr>
          <w:rFonts w:ascii="Times New Roman" w:hAnsi="Times New Roman" w:cs="Times New Roman"/>
        </w:rPr>
        <w:t xml:space="preserve"> aCGH</w:t>
      </w:r>
      <w:r w:rsidR="00476720" w:rsidRPr="00F32638">
        <w:rPr>
          <w:rFonts w:ascii="Times New Roman" w:hAnsi="Times New Roman" w:cs="Times New Roman"/>
        </w:rPr>
        <w:t xml:space="preserve"> analysis</w:t>
      </w:r>
      <w:r w:rsidR="00A3203A" w:rsidRPr="00F32638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but there are notable differences in copy number changes (</w:t>
      </w:r>
      <w:r w:rsidR="00A3203A" w:rsidRPr="00F32638">
        <w:rPr>
          <w:rFonts w:ascii="Times New Roman" w:hAnsi="Times New Roman" w:cs="Times New Roman"/>
          <w:b/>
        </w:rPr>
        <w:t>u</w:t>
      </w:r>
      <w:r w:rsidRPr="00F32638">
        <w:rPr>
          <w:rFonts w:ascii="Times New Roman" w:hAnsi="Times New Roman" w:cs="Times New Roman"/>
          <w:b/>
        </w:rPr>
        <w:t>pper panel</w:t>
      </w:r>
      <w:r w:rsidR="00A3203A" w:rsidRPr="00F32638">
        <w:rPr>
          <w:rFonts w:ascii="Times New Roman" w:hAnsi="Times New Roman" w:cs="Times New Roman"/>
        </w:rPr>
        <w:t xml:space="preserve">, </w:t>
      </w:r>
      <w:r w:rsidRPr="00F32638">
        <w:rPr>
          <w:rFonts w:ascii="Times New Roman" w:hAnsi="Times New Roman" w:cs="Times New Roman"/>
        </w:rPr>
        <w:t xml:space="preserve">boxed area) </w:t>
      </w:r>
      <w:r w:rsidR="00A3203A" w:rsidRPr="00F32638">
        <w:rPr>
          <w:rFonts w:ascii="Times New Roman" w:hAnsi="Times New Roman" w:cs="Times New Roman"/>
        </w:rPr>
        <w:t>that</w:t>
      </w:r>
      <w:r w:rsidRPr="00F32638">
        <w:rPr>
          <w:rFonts w:ascii="Times New Roman" w:hAnsi="Times New Roman" w:cs="Times New Roman"/>
        </w:rPr>
        <w:t xml:space="preserve"> can be appreciated at higher resolution (</w:t>
      </w:r>
      <w:r w:rsidR="009D4BC8" w:rsidRPr="00F32638">
        <w:rPr>
          <w:rFonts w:ascii="Times New Roman" w:hAnsi="Times New Roman" w:cs="Times New Roman"/>
          <w:b/>
        </w:rPr>
        <w:t>middle</w:t>
      </w:r>
      <w:r w:rsidRPr="00F32638">
        <w:rPr>
          <w:rFonts w:ascii="Times New Roman" w:hAnsi="Times New Roman" w:cs="Times New Roman"/>
          <w:b/>
        </w:rPr>
        <w:t xml:space="preserve"> panel</w:t>
      </w:r>
      <w:r w:rsidR="00AE65AD" w:rsidRPr="00F32638">
        <w:rPr>
          <w:rFonts w:ascii="Times New Roman" w:hAnsi="Times New Roman" w:cs="Times New Roman"/>
          <w:b/>
        </w:rPr>
        <w:t>s</w:t>
      </w:r>
      <w:r w:rsidRPr="00F32638">
        <w:rPr>
          <w:rFonts w:ascii="Times New Roman" w:hAnsi="Times New Roman" w:cs="Times New Roman"/>
        </w:rPr>
        <w:t>)</w:t>
      </w:r>
      <w:r w:rsidR="00A3203A" w:rsidRPr="00F32638">
        <w:rPr>
          <w:rFonts w:ascii="Times New Roman" w:hAnsi="Times New Roman" w:cs="Times New Roman"/>
        </w:rPr>
        <w:t>.</w:t>
      </w:r>
      <w:r w:rsidRPr="00F32638">
        <w:rPr>
          <w:rFonts w:ascii="Times New Roman" w:hAnsi="Times New Roman" w:cs="Times New Roman"/>
        </w:rPr>
        <w:t xml:space="preserve"> </w:t>
      </w:r>
      <w:r w:rsidR="00A3203A" w:rsidRPr="00F32638">
        <w:rPr>
          <w:rFonts w:ascii="Times New Roman" w:hAnsi="Times New Roman" w:cs="Times New Roman"/>
        </w:rPr>
        <w:t xml:space="preserve">In </w:t>
      </w:r>
      <w:r w:rsidRPr="00F32638">
        <w:rPr>
          <w:rFonts w:ascii="Times New Roman" w:hAnsi="Times New Roman" w:cs="Times New Roman"/>
        </w:rPr>
        <w:t>particular</w:t>
      </w:r>
      <w:r w:rsidR="00A3203A" w:rsidRPr="00F32638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ADAM3A loss is not seen in MDA PCa 146-20</w:t>
      </w:r>
      <w:r w:rsidR="00A3203A" w:rsidRPr="00F32638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but </w:t>
      </w:r>
      <w:r w:rsidR="00A3203A" w:rsidRPr="00F32638">
        <w:rPr>
          <w:rFonts w:ascii="Times New Roman" w:hAnsi="Times New Roman" w:cs="Times New Roman"/>
        </w:rPr>
        <w:t xml:space="preserve">it is </w:t>
      </w:r>
      <w:r w:rsidRPr="00F32638">
        <w:rPr>
          <w:rFonts w:ascii="Times New Roman" w:hAnsi="Times New Roman" w:cs="Times New Roman"/>
        </w:rPr>
        <w:t>delet</w:t>
      </w:r>
      <w:r w:rsidR="00A3203A" w:rsidRPr="00F32638">
        <w:rPr>
          <w:rFonts w:ascii="Times New Roman" w:hAnsi="Times New Roman" w:cs="Times New Roman"/>
        </w:rPr>
        <w:t>ed</w:t>
      </w:r>
      <w:r w:rsidRPr="00F32638">
        <w:rPr>
          <w:rFonts w:ascii="Times New Roman" w:hAnsi="Times New Roman" w:cs="Times New Roman"/>
        </w:rPr>
        <w:t xml:space="preserve"> in </w:t>
      </w:r>
      <w:r w:rsidR="00A3203A" w:rsidRPr="00F32638">
        <w:rPr>
          <w:rFonts w:ascii="Times New Roman" w:hAnsi="Times New Roman" w:cs="Times New Roman"/>
        </w:rPr>
        <w:t xml:space="preserve">the </w:t>
      </w:r>
      <w:r w:rsidRPr="00F32638">
        <w:rPr>
          <w:rFonts w:ascii="Times New Roman" w:hAnsi="Times New Roman" w:cs="Times New Roman"/>
        </w:rPr>
        <w:t>other two PDX</w:t>
      </w:r>
      <w:r w:rsidR="00A3203A" w:rsidRPr="00F32638">
        <w:rPr>
          <w:rFonts w:ascii="Times New Roman" w:hAnsi="Times New Roman" w:cs="Times New Roman"/>
        </w:rPr>
        <w:t>s</w:t>
      </w:r>
      <w:r w:rsidR="00DC0CC7" w:rsidRPr="00F32638">
        <w:rPr>
          <w:rFonts w:ascii="Times New Roman" w:hAnsi="Times New Roman" w:cs="Times New Roman"/>
        </w:rPr>
        <w:t xml:space="preserve"> (</w:t>
      </w:r>
      <w:r w:rsidR="00DC0CC7" w:rsidRPr="00F32638">
        <w:rPr>
          <w:rFonts w:ascii="Times New Roman" w:hAnsi="Times New Roman" w:cs="Times New Roman"/>
          <w:b/>
        </w:rPr>
        <w:t>lower panel</w:t>
      </w:r>
      <w:r w:rsidR="00AE65AD" w:rsidRPr="00F32638">
        <w:rPr>
          <w:rFonts w:ascii="Times New Roman" w:hAnsi="Times New Roman" w:cs="Times New Roman"/>
          <w:b/>
        </w:rPr>
        <w:t>s</w:t>
      </w:r>
      <w:r w:rsidR="00DC0CC7" w:rsidRPr="00F32638">
        <w:rPr>
          <w:rFonts w:ascii="Times New Roman" w:hAnsi="Times New Roman" w:cs="Times New Roman"/>
        </w:rPr>
        <w:t>)</w:t>
      </w:r>
      <w:r w:rsidRPr="00F32638">
        <w:rPr>
          <w:rFonts w:ascii="Times New Roman" w:hAnsi="Times New Roman" w:cs="Times New Roman"/>
        </w:rPr>
        <w:t>.</w:t>
      </w:r>
    </w:p>
    <w:p w14:paraId="54783A09" w14:textId="77777777" w:rsidR="004866FE" w:rsidRPr="00F32638" w:rsidRDefault="004866FE" w:rsidP="009441A1">
      <w:pPr>
        <w:spacing w:line="480" w:lineRule="auto"/>
        <w:rPr>
          <w:rFonts w:ascii="Times New Roman" w:hAnsi="Times New Roman" w:cs="Times New Roman"/>
        </w:rPr>
      </w:pPr>
    </w:p>
    <w:p w14:paraId="2357548C" w14:textId="17C76CD8" w:rsidR="00CE0FAC" w:rsidRPr="00F32638" w:rsidRDefault="00CE0FAC" w:rsidP="009441A1">
      <w:pPr>
        <w:spacing w:line="480" w:lineRule="auto"/>
        <w:jc w:val="both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</w:t>
      </w:r>
      <w:r w:rsidR="005F061C">
        <w:rPr>
          <w:rFonts w:ascii="Times New Roman" w:hAnsi="Times New Roman" w:cs="Times New Roman"/>
          <w:b/>
        </w:rPr>
        <w:t>6</w:t>
      </w:r>
      <w:r w:rsidRPr="00F32638">
        <w:rPr>
          <w:rFonts w:ascii="Times New Roman" w:hAnsi="Times New Roman" w:cs="Times New Roman"/>
          <w:b/>
        </w:rPr>
        <w:t xml:space="preserve">.   Comparison of copy number changes in </w:t>
      </w:r>
      <w:r w:rsidR="00A55FDC" w:rsidRPr="00F32638">
        <w:rPr>
          <w:rFonts w:ascii="Times New Roman" w:hAnsi="Times New Roman" w:cs="Times New Roman"/>
          <w:b/>
        </w:rPr>
        <w:t>MDA PCa 150 PDXs</w:t>
      </w:r>
      <w:r w:rsidR="00A55FDC" w:rsidRPr="00F32638">
        <w:rPr>
          <w:rFonts w:ascii="Times New Roman" w:hAnsi="Times New Roman" w:cs="Times New Roman"/>
        </w:rPr>
        <w:t xml:space="preserve">. </w:t>
      </w:r>
      <w:r w:rsidR="00FC69C2" w:rsidRPr="00F32638">
        <w:rPr>
          <w:rFonts w:ascii="Times New Roman" w:hAnsi="Times New Roman" w:cs="Times New Roman"/>
        </w:rPr>
        <w:t>Array comparative genomic hybridization</w:t>
      </w:r>
      <w:r w:rsidR="00FC69C2" w:rsidRPr="00F32638" w:rsidDel="00FC69C2">
        <w:rPr>
          <w:rFonts w:ascii="Times New Roman" w:hAnsi="Times New Roman" w:cs="Times New Roman"/>
        </w:rPr>
        <w:t xml:space="preserve"> </w:t>
      </w:r>
      <w:r w:rsidR="00A55FDC" w:rsidRPr="00F32638">
        <w:rPr>
          <w:rFonts w:ascii="Times New Roman" w:hAnsi="Times New Roman" w:cs="Times New Roman"/>
        </w:rPr>
        <w:t xml:space="preserve">analysis shows that </w:t>
      </w:r>
      <w:r w:rsidRPr="00F32638">
        <w:rPr>
          <w:rFonts w:ascii="Times New Roman" w:hAnsi="Times New Roman" w:cs="Times New Roman"/>
        </w:rPr>
        <w:t>MDA PCa 150-1 (blue)</w:t>
      </w:r>
      <w:r w:rsidR="00FC69C2" w:rsidRPr="00F32638">
        <w:rPr>
          <w:rFonts w:ascii="Times New Roman" w:hAnsi="Times New Roman" w:cs="Times New Roman"/>
        </w:rPr>
        <w:t xml:space="preserve"> and</w:t>
      </w:r>
      <w:r w:rsidRPr="00F32638">
        <w:rPr>
          <w:rFonts w:ascii="Times New Roman" w:hAnsi="Times New Roman" w:cs="Times New Roman"/>
        </w:rPr>
        <w:t xml:space="preserve"> MDA PCa 150-3 (red) ha</w:t>
      </w:r>
      <w:r w:rsidR="00FC69C2" w:rsidRPr="00F32638">
        <w:rPr>
          <w:rFonts w:ascii="Times New Roman" w:hAnsi="Times New Roman" w:cs="Times New Roman"/>
        </w:rPr>
        <w:t>ve</w:t>
      </w:r>
      <w:r w:rsidRPr="00F32638">
        <w:rPr>
          <w:rFonts w:ascii="Times New Roman" w:hAnsi="Times New Roman" w:cs="Times New Roman"/>
        </w:rPr>
        <w:t xml:space="preserve"> many common losses and gains (</w:t>
      </w:r>
      <w:r w:rsidR="00FC69C2" w:rsidRPr="00F32638">
        <w:rPr>
          <w:rFonts w:ascii="Times New Roman" w:hAnsi="Times New Roman" w:cs="Times New Roman"/>
          <w:b/>
        </w:rPr>
        <w:t>u</w:t>
      </w:r>
      <w:r w:rsidR="00AE65AD" w:rsidRPr="00F32638">
        <w:rPr>
          <w:rFonts w:ascii="Times New Roman" w:hAnsi="Times New Roman" w:cs="Times New Roman"/>
          <w:b/>
        </w:rPr>
        <w:t>pper panels</w:t>
      </w:r>
      <w:r w:rsidRPr="00F32638">
        <w:rPr>
          <w:rFonts w:ascii="Times New Roman" w:hAnsi="Times New Roman" w:cs="Times New Roman"/>
        </w:rPr>
        <w:t>)</w:t>
      </w:r>
      <w:r w:rsidR="00EB20A7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which can be appreciated at higher resolution</w:t>
      </w:r>
      <w:r w:rsidR="00C93D0D" w:rsidRPr="00F32638">
        <w:rPr>
          <w:rFonts w:ascii="Times New Roman" w:hAnsi="Times New Roman" w:cs="Times New Roman"/>
        </w:rPr>
        <w:t xml:space="preserve"> (</w:t>
      </w:r>
      <w:r w:rsidR="00AE65AD" w:rsidRPr="00C030F8">
        <w:rPr>
          <w:rFonts w:ascii="Times New Roman" w:hAnsi="Times New Roman"/>
          <w:b/>
        </w:rPr>
        <w:t>middle and lower panels</w:t>
      </w:r>
      <w:r w:rsidR="00C93D0D" w:rsidRPr="00F32638">
        <w:rPr>
          <w:rFonts w:ascii="Times New Roman" w:hAnsi="Times New Roman" w:cs="Times New Roman"/>
        </w:rPr>
        <w:t>)</w:t>
      </w:r>
      <w:r w:rsidRPr="00F32638">
        <w:rPr>
          <w:rFonts w:ascii="Times New Roman" w:hAnsi="Times New Roman" w:cs="Times New Roman"/>
        </w:rPr>
        <w:t>. There are no notable differences in copy number between the two PDX</w:t>
      </w:r>
      <w:r w:rsidR="00FC69C2" w:rsidRPr="00F32638">
        <w:rPr>
          <w:rFonts w:ascii="Times New Roman" w:hAnsi="Times New Roman" w:cs="Times New Roman"/>
        </w:rPr>
        <w:t>s</w:t>
      </w:r>
      <w:r w:rsidRPr="00F32638">
        <w:rPr>
          <w:rFonts w:ascii="Times New Roman" w:hAnsi="Times New Roman" w:cs="Times New Roman"/>
        </w:rPr>
        <w:t>.</w:t>
      </w:r>
      <w:r w:rsidR="00C93D0D" w:rsidRPr="00F32638">
        <w:rPr>
          <w:rFonts w:ascii="Times New Roman" w:hAnsi="Times New Roman" w:cs="Times New Roman"/>
        </w:rPr>
        <w:t xml:space="preserve"> </w:t>
      </w:r>
    </w:p>
    <w:p w14:paraId="225BFEEB" w14:textId="77777777" w:rsidR="00CE0FAC" w:rsidRPr="00F32638" w:rsidRDefault="00CE0FAC" w:rsidP="009441A1">
      <w:pPr>
        <w:spacing w:line="480" w:lineRule="auto"/>
        <w:jc w:val="both"/>
        <w:rPr>
          <w:rFonts w:ascii="Times New Roman" w:hAnsi="Times New Roman" w:cs="Times New Roman"/>
        </w:rPr>
      </w:pPr>
    </w:p>
    <w:p w14:paraId="3E4F4C92" w14:textId="58A764A6" w:rsidR="00CE0FAC" w:rsidRPr="00F32638" w:rsidRDefault="00CE0FAC" w:rsidP="009441A1">
      <w:pPr>
        <w:spacing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t>Fig S</w:t>
      </w:r>
      <w:r w:rsidR="005F061C">
        <w:rPr>
          <w:rFonts w:ascii="Times New Roman" w:hAnsi="Times New Roman" w:cs="Times New Roman"/>
          <w:b/>
        </w:rPr>
        <w:t>7</w:t>
      </w:r>
      <w:r w:rsidRPr="00F32638">
        <w:rPr>
          <w:rFonts w:ascii="Times New Roman" w:hAnsi="Times New Roman" w:cs="Times New Roman"/>
          <w:b/>
        </w:rPr>
        <w:t>.   Whole</w:t>
      </w:r>
      <w:r w:rsidR="00FC69C2" w:rsidRPr="00F32638">
        <w:rPr>
          <w:rFonts w:ascii="Times New Roman" w:hAnsi="Times New Roman" w:cs="Times New Roman"/>
          <w:b/>
        </w:rPr>
        <w:t>-</w:t>
      </w:r>
      <w:r w:rsidRPr="00F32638">
        <w:rPr>
          <w:rFonts w:ascii="Times New Roman" w:hAnsi="Times New Roman" w:cs="Times New Roman"/>
          <w:b/>
        </w:rPr>
        <w:t xml:space="preserve">genome copy number analysis of </w:t>
      </w:r>
      <w:r w:rsidR="004B605F" w:rsidRPr="00F32638">
        <w:rPr>
          <w:rFonts w:ascii="Times New Roman" w:hAnsi="Times New Roman" w:cs="Times New Roman"/>
          <w:b/>
        </w:rPr>
        <w:t xml:space="preserve">3 MDA PCa PDXs. </w:t>
      </w:r>
      <w:r w:rsidRPr="00F32638">
        <w:rPr>
          <w:rFonts w:ascii="Times New Roman" w:hAnsi="Times New Roman" w:cs="Times New Roman"/>
        </w:rPr>
        <w:t xml:space="preserve">MDA PCa 155-12 (blue) and </w:t>
      </w:r>
      <w:r w:rsidR="00F536B9">
        <w:rPr>
          <w:rFonts w:ascii="Times New Roman" w:hAnsi="Times New Roman" w:cs="Times New Roman"/>
        </w:rPr>
        <w:t>-</w:t>
      </w:r>
      <w:r w:rsidRPr="00F32638">
        <w:rPr>
          <w:rFonts w:ascii="Times New Roman" w:hAnsi="Times New Roman" w:cs="Times New Roman"/>
        </w:rPr>
        <w:t xml:space="preserve">16 (red); MDA PCa 175-10 (blue), -2 (red), </w:t>
      </w:r>
      <w:r w:rsidR="00F536B9">
        <w:rPr>
          <w:rFonts w:ascii="Times New Roman" w:hAnsi="Times New Roman" w:cs="Times New Roman"/>
        </w:rPr>
        <w:t xml:space="preserve">and </w:t>
      </w:r>
      <w:r w:rsidRPr="00F32638">
        <w:rPr>
          <w:rFonts w:ascii="Times New Roman" w:hAnsi="Times New Roman" w:cs="Times New Roman"/>
        </w:rPr>
        <w:t>-6 (green); and MDA PCa</w:t>
      </w:r>
      <w:r w:rsidR="00F536B9">
        <w:rPr>
          <w:rFonts w:ascii="Times New Roman" w:hAnsi="Times New Roman" w:cs="Times New Roman"/>
        </w:rPr>
        <w:t xml:space="preserve"> </w:t>
      </w:r>
      <w:r w:rsidRPr="00F32638">
        <w:rPr>
          <w:rFonts w:ascii="Times New Roman" w:hAnsi="Times New Roman" w:cs="Times New Roman"/>
        </w:rPr>
        <w:t>180-11 (blue) and -30 (red) share most gains and losses</w:t>
      </w:r>
      <w:r w:rsidR="00F536B9">
        <w:rPr>
          <w:rFonts w:ascii="Times New Roman" w:hAnsi="Times New Roman" w:cs="Times New Roman"/>
        </w:rPr>
        <w:t>,</w:t>
      </w:r>
      <w:r w:rsidRPr="00F32638">
        <w:rPr>
          <w:rFonts w:ascii="Times New Roman" w:hAnsi="Times New Roman" w:cs="Times New Roman"/>
        </w:rPr>
        <w:t xml:space="preserve"> except </w:t>
      </w:r>
      <w:r w:rsidR="00F536B9">
        <w:rPr>
          <w:rFonts w:ascii="Times New Roman" w:hAnsi="Times New Roman" w:cs="Times New Roman"/>
        </w:rPr>
        <w:t xml:space="preserve">for a </w:t>
      </w:r>
      <w:r w:rsidRPr="00F32638">
        <w:rPr>
          <w:rFonts w:ascii="Times New Roman" w:hAnsi="Times New Roman" w:cs="Times New Roman"/>
        </w:rPr>
        <w:t>few regions highlighted in the boxed area.</w:t>
      </w:r>
    </w:p>
    <w:p w14:paraId="033956A8" w14:textId="77777777" w:rsidR="004866FE" w:rsidRPr="00F32638" w:rsidRDefault="004866FE" w:rsidP="009441A1">
      <w:pPr>
        <w:spacing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</w:rPr>
        <w:t xml:space="preserve"> </w:t>
      </w:r>
    </w:p>
    <w:p w14:paraId="49BE27CC" w14:textId="28CD0767" w:rsidR="004A638E" w:rsidRPr="00F32638" w:rsidRDefault="004A638E" w:rsidP="009441A1">
      <w:pPr>
        <w:spacing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  <w:b/>
        </w:rPr>
        <w:lastRenderedPageBreak/>
        <w:t>Fig S</w:t>
      </w:r>
      <w:r w:rsidR="005F061C">
        <w:rPr>
          <w:rFonts w:ascii="Times New Roman" w:hAnsi="Times New Roman" w:cs="Times New Roman"/>
          <w:b/>
        </w:rPr>
        <w:t>8</w:t>
      </w:r>
      <w:r w:rsidRPr="00F32638">
        <w:rPr>
          <w:rFonts w:ascii="Times New Roman" w:hAnsi="Times New Roman" w:cs="Times New Roman"/>
        </w:rPr>
        <w:t>.</w:t>
      </w:r>
      <w:r w:rsidR="003B0527" w:rsidRPr="00F32638">
        <w:rPr>
          <w:rFonts w:ascii="Times New Roman" w:hAnsi="Times New Roman" w:cs="Times New Roman"/>
        </w:rPr>
        <w:t xml:space="preserve"> Whole</w:t>
      </w:r>
      <w:r w:rsidR="00F536B9">
        <w:rPr>
          <w:rFonts w:ascii="Times New Roman" w:hAnsi="Times New Roman" w:cs="Times New Roman"/>
        </w:rPr>
        <w:t>-</w:t>
      </w:r>
      <w:r w:rsidR="003B0527" w:rsidRPr="00F32638">
        <w:rPr>
          <w:rFonts w:ascii="Times New Roman" w:hAnsi="Times New Roman" w:cs="Times New Roman"/>
        </w:rPr>
        <w:t>genome copy number analysis of 37 MDA PCa PDXs derived from 28 human donor PCas.</w:t>
      </w:r>
    </w:p>
    <w:p w14:paraId="1F09A2DE" w14:textId="77777777" w:rsidR="004A638E" w:rsidRPr="00F32638" w:rsidRDefault="004A638E" w:rsidP="009441A1">
      <w:pPr>
        <w:spacing w:line="480" w:lineRule="auto"/>
        <w:rPr>
          <w:rFonts w:ascii="Times New Roman" w:hAnsi="Times New Roman" w:cs="Times New Roman"/>
        </w:rPr>
      </w:pPr>
    </w:p>
    <w:p w14:paraId="186AD655" w14:textId="77777777" w:rsidR="00520A07" w:rsidRPr="00F32638" w:rsidRDefault="006921DB" w:rsidP="009441A1">
      <w:pPr>
        <w:spacing w:line="480" w:lineRule="auto"/>
        <w:rPr>
          <w:rFonts w:ascii="Times New Roman" w:hAnsi="Times New Roman" w:cs="Times New Roman"/>
        </w:rPr>
      </w:pPr>
      <w:r w:rsidRPr="00F32638">
        <w:rPr>
          <w:rFonts w:ascii="Times New Roman" w:hAnsi="Times New Roman" w:cs="Times New Roman"/>
        </w:rPr>
        <w:t xml:space="preserve"> </w:t>
      </w:r>
      <w:r w:rsidR="00190039" w:rsidRPr="00F32638">
        <w:rPr>
          <w:rFonts w:ascii="Times New Roman" w:hAnsi="Times New Roman" w:cs="Times New Roman"/>
        </w:rPr>
        <w:t xml:space="preserve">  </w:t>
      </w:r>
    </w:p>
    <w:p w14:paraId="052E4202" w14:textId="2B34A493" w:rsidR="00874581" w:rsidRPr="00F32638" w:rsidRDefault="00795CD6">
      <w:pPr>
        <w:rPr>
          <w:rFonts w:ascii="Times New Roman" w:hAnsi="Times New Roman" w:cs="Times New Roman"/>
        </w:rPr>
      </w:pPr>
    </w:p>
    <w:sectPr w:rsidR="00874581" w:rsidRPr="00F32638" w:rsidSect="00E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rfaw5w4f29x1exsaapt2abaz9p2p2d5p22&quot;&gt;Navone-Converted new&lt;record-ids&gt;&lt;item&gt;3409&lt;/item&gt;&lt;item&gt;3410&lt;/item&gt;&lt;/record-ids&gt;&lt;/item&gt;&lt;/Libraries&gt;"/>
  </w:docVars>
  <w:rsids>
    <w:rsidRoot w:val="00190039"/>
    <w:rsid w:val="00027BD0"/>
    <w:rsid w:val="00055845"/>
    <w:rsid w:val="00060F3F"/>
    <w:rsid w:val="000B27D6"/>
    <w:rsid w:val="000D09B2"/>
    <w:rsid w:val="001212A7"/>
    <w:rsid w:val="001442E7"/>
    <w:rsid w:val="00184275"/>
    <w:rsid w:val="00190039"/>
    <w:rsid w:val="00217D42"/>
    <w:rsid w:val="002826E5"/>
    <w:rsid w:val="002916F5"/>
    <w:rsid w:val="0030192D"/>
    <w:rsid w:val="00310CD7"/>
    <w:rsid w:val="00366A67"/>
    <w:rsid w:val="003B0527"/>
    <w:rsid w:val="003E635A"/>
    <w:rsid w:val="003F6AEB"/>
    <w:rsid w:val="00464107"/>
    <w:rsid w:val="00476720"/>
    <w:rsid w:val="004866FE"/>
    <w:rsid w:val="004A638E"/>
    <w:rsid w:val="004B605F"/>
    <w:rsid w:val="004D303F"/>
    <w:rsid w:val="004E51D4"/>
    <w:rsid w:val="00520A07"/>
    <w:rsid w:val="00595163"/>
    <w:rsid w:val="005A4D8E"/>
    <w:rsid w:val="005F061C"/>
    <w:rsid w:val="0061507F"/>
    <w:rsid w:val="00617929"/>
    <w:rsid w:val="00634361"/>
    <w:rsid w:val="00661084"/>
    <w:rsid w:val="006921DB"/>
    <w:rsid w:val="006D7056"/>
    <w:rsid w:val="006F28DD"/>
    <w:rsid w:val="007103D4"/>
    <w:rsid w:val="00776229"/>
    <w:rsid w:val="0078546F"/>
    <w:rsid w:val="00795CD6"/>
    <w:rsid w:val="00855711"/>
    <w:rsid w:val="00873BA9"/>
    <w:rsid w:val="008D5466"/>
    <w:rsid w:val="008E3F3B"/>
    <w:rsid w:val="009441A1"/>
    <w:rsid w:val="009D4BC8"/>
    <w:rsid w:val="009E26BA"/>
    <w:rsid w:val="00A3203A"/>
    <w:rsid w:val="00A55FDC"/>
    <w:rsid w:val="00AB708D"/>
    <w:rsid w:val="00AC1C30"/>
    <w:rsid w:val="00AE65AD"/>
    <w:rsid w:val="00AF42AB"/>
    <w:rsid w:val="00B1336C"/>
    <w:rsid w:val="00BA67B0"/>
    <w:rsid w:val="00BD3400"/>
    <w:rsid w:val="00BF7F98"/>
    <w:rsid w:val="00C030F8"/>
    <w:rsid w:val="00C36EBE"/>
    <w:rsid w:val="00C405F6"/>
    <w:rsid w:val="00C93D0D"/>
    <w:rsid w:val="00CB001A"/>
    <w:rsid w:val="00CE0FAC"/>
    <w:rsid w:val="00D41586"/>
    <w:rsid w:val="00DA2039"/>
    <w:rsid w:val="00DC0CC7"/>
    <w:rsid w:val="00E06C61"/>
    <w:rsid w:val="00E51CFE"/>
    <w:rsid w:val="00E6713E"/>
    <w:rsid w:val="00EB20A7"/>
    <w:rsid w:val="00EB3E0C"/>
    <w:rsid w:val="00ED194C"/>
    <w:rsid w:val="00F14B35"/>
    <w:rsid w:val="00F32638"/>
    <w:rsid w:val="00F536B9"/>
    <w:rsid w:val="00F577E3"/>
    <w:rsid w:val="00F8229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CAD0"/>
  <w15:chartTrackingRefBased/>
  <w15:docId w15:val="{0A7F33AA-AEA3-3D4D-875B-C204698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20A07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0A0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20A0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20A0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2019-10-18T21:33:00Z</dcterms:created>
  <dcterms:modified xsi:type="dcterms:W3CDTF">2020-05-05T19:24:00Z</dcterms:modified>
</cp:coreProperties>
</file>