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713455" w:rsidRPr="00713455" w14:paraId="78BEB457" w14:textId="77777777" w:rsidTr="00711CA9">
        <w:tc>
          <w:tcPr>
            <w:tcW w:w="9350" w:type="dxa"/>
          </w:tcPr>
          <w:p w14:paraId="3F108B59" w14:textId="77777777" w:rsidR="00713455" w:rsidRPr="00713455" w:rsidRDefault="00905F86" w:rsidP="00713455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noProof/>
                <w:sz w:val="24"/>
              </w:rPr>
              <w:drawing>
                <wp:inline distT="0" distB="0" distL="0" distR="0" wp14:anchorId="49EF0BAD" wp14:editId="29B47822">
                  <wp:extent cx="5759196" cy="43190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plementary-figure-2.tif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196" cy="431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55" w:rsidRPr="00713455" w14:paraId="7F998551" w14:textId="77777777" w:rsidTr="00711CA9">
        <w:tc>
          <w:tcPr>
            <w:tcW w:w="9350" w:type="dxa"/>
          </w:tcPr>
          <w:p w14:paraId="471953BC" w14:textId="458D611F" w:rsidR="00713455" w:rsidRPr="00713455" w:rsidRDefault="00713455" w:rsidP="00713455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Supplementary Figure </w:t>
            </w:r>
            <w:r w:rsidR="00E93048">
              <w:rPr>
                <w:rFonts w:ascii="Garamond" w:hAnsi="Garamond"/>
                <w:b/>
                <w:sz w:val="24"/>
              </w:rPr>
              <w:t>5</w:t>
            </w:r>
            <w:bookmarkStart w:id="0" w:name="_GoBack"/>
            <w:bookmarkEnd w:id="0"/>
          </w:p>
          <w:p w14:paraId="31AE1CF4" w14:textId="77777777" w:rsidR="00713455" w:rsidRPr="00713455" w:rsidRDefault="00905F86" w:rsidP="00A93778">
            <w:pPr>
              <w:spacing w:line="480" w:lineRule="auto"/>
              <w:jc w:val="both"/>
              <w:rPr>
                <w:rFonts w:ascii="Garamond" w:hAnsi="Garamond"/>
                <w:sz w:val="24"/>
              </w:rPr>
            </w:pPr>
            <w:r w:rsidRPr="00905F86">
              <w:rPr>
                <w:rFonts w:ascii="Garamond" w:hAnsi="Garamond"/>
                <w:sz w:val="24"/>
              </w:rPr>
              <w:t xml:space="preserve">VPC of the proportions of </w:t>
            </w:r>
            <w:r>
              <w:rPr>
                <w:rFonts w:ascii="Garamond" w:hAnsi="Garamond"/>
                <w:sz w:val="24"/>
              </w:rPr>
              <w:t>CTC count</w:t>
            </w:r>
            <w:r w:rsidRPr="00905F86">
              <w:rPr>
                <w:rFonts w:ascii="Garamond" w:hAnsi="Garamond"/>
                <w:sz w:val="24"/>
              </w:rPr>
              <w:t xml:space="preserve"> equal to 0, 1, 2, 3, &gt;3 and ≤5, &gt;5 and ≤10, &gt;10 and ≤50, &gt;500 and ≤100 and &gt;100 over time in the final CTC model.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905F86">
              <w:rPr>
                <w:rFonts w:ascii="Garamond" w:hAnsi="Garamond"/>
                <w:sz w:val="24"/>
              </w:rPr>
              <w:t xml:space="preserve">The dots represent the observed proportions (connected with a line) and the shaded areas are the 95% CI of the simulated data, derived from 200 simulations from the </w:t>
            </w:r>
            <w:r w:rsidR="00A93778">
              <w:rPr>
                <w:rFonts w:ascii="Garamond" w:hAnsi="Garamond"/>
                <w:sz w:val="24"/>
              </w:rPr>
              <w:t>final CTC model</w:t>
            </w:r>
            <w:r w:rsidRPr="00905F86">
              <w:rPr>
                <w:rFonts w:ascii="Garamond" w:hAnsi="Garamond"/>
                <w:sz w:val="24"/>
              </w:rPr>
              <w:t>.</w:t>
            </w:r>
          </w:p>
        </w:tc>
      </w:tr>
    </w:tbl>
    <w:p w14:paraId="4ADA0E03" w14:textId="77777777" w:rsidR="00713455" w:rsidRDefault="00713455" w:rsidP="00905F86"/>
    <w:sectPr w:rsidR="0071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5"/>
    <w:rsid w:val="000B2FD3"/>
    <w:rsid w:val="003823E0"/>
    <w:rsid w:val="003A2C1A"/>
    <w:rsid w:val="004865FC"/>
    <w:rsid w:val="004B33A5"/>
    <w:rsid w:val="00614EE5"/>
    <w:rsid w:val="00711CA9"/>
    <w:rsid w:val="00713455"/>
    <w:rsid w:val="007266A1"/>
    <w:rsid w:val="008F311A"/>
    <w:rsid w:val="00905F86"/>
    <w:rsid w:val="009364C6"/>
    <w:rsid w:val="009B49EF"/>
    <w:rsid w:val="00A21946"/>
    <w:rsid w:val="00A93778"/>
    <w:rsid w:val="00AF7D31"/>
    <w:rsid w:val="00B76642"/>
    <w:rsid w:val="00BB0931"/>
    <w:rsid w:val="00CD7AD8"/>
    <w:rsid w:val="00D9708F"/>
    <w:rsid w:val="00E06E7F"/>
    <w:rsid w:val="00E93048"/>
    <w:rsid w:val="00F7635B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9A5581"/>
  <w15:chartTrackingRefBased/>
  <w15:docId w15:val="{E3153AEE-9B04-43BE-90CF-6DF0163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7F"/>
    <w:pPr>
      <w:keepNext/>
      <w:keepLines/>
      <w:spacing w:before="240" w:after="0" w:line="480" w:lineRule="auto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6E7F"/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6E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7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06E7F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Netterberg</dc:creator>
  <cp:keywords/>
  <dc:description/>
  <cp:lastModifiedBy>Ida Netterberg</cp:lastModifiedBy>
  <cp:revision>22</cp:revision>
  <dcterms:created xsi:type="dcterms:W3CDTF">2019-05-26T06:57:00Z</dcterms:created>
  <dcterms:modified xsi:type="dcterms:W3CDTF">2020-02-04T11:00:00Z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id="9zUvk3kF"/&gt;&lt;style id="http://www.zotero.org/styles/clinical-cancer-research"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