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E5CB" w14:textId="77777777" w:rsidR="00124708" w:rsidRDefault="00124708" w:rsidP="00554FDE">
      <w:pPr>
        <w:spacing w:line="240" w:lineRule="auto"/>
        <w:jc w:val="left"/>
        <w:rPr>
          <w:rFonts w:ascii="Arial" w:hAnsi="Arial" w:cs="Arial"/>
          <w:b/>
          <w:color w:val="000000"/>
        </w:rPr>
      </w:pPr>
    </w:p>
    <w:p w14:paraId="6E6B835D" w14:textId="77777777" w:rsidR="00124708" w:rsidRDefault="00124708" w:rsidP="00554FDE">
      <w:pPr>
        <w:spacing w:line="240" w:lineRule="auto"/>
        <w:jc w:val="left"/>
        <w:rPr>
          <w:rFonts w:ascii="Arial" w:hAnsi="Arial" w:cs="Arial"/>
          <w:b/>
          <w:color w:val="000000"/>
        </w:rPr>
      </w:pPr>
    </w:p>
    <w:p w14:paraId="413D792D" w14:textId="77777777" w:rsidR="00124708" w:rsidRDefault="00124708" w:rsidP="00554FDE">
      <w:pPr>
        <w:spacing w:line="240" w:lineRule="auto"/>
        <w:jc w:val="left"/>
        <w:rPr>
          <w:rFonts w:ascii="Arial" w:hAnsi="Arial" w:cs="Arial"/>
          <w:b/>
          <w:color w:val="000000"/>
        </w:rPr>
      </w:pPr>
    </w:p>
    <w:p w14:paraId="72CC2559" w14:textId="77777777" w:rsidR="00124708" w:rsidRPr="0001264F" w:rsidRDefault="00124708" w:rsidP="00124708">
      <w:pPr>
        <w:spacing w:line="480" w:lineRule="auto"/>
        <w:rPr>
          <w:rFonts w:ascii="Arial" w:hAnsi="Arial" w:cs="Arial"/>
          <w:b/>
          <w:bCs/>
          <w:color w:val="000000"/>
          <w:lang w:val="en-US"/>
        </w:rPr>
      </w:pPr>
      <w:r w:rsidRPr="0001264F">
        <w:rPr>
          <w:rFonts w:ascii="Arial" w:hAnsi="Arial" w:cs="Arial"/>
          <w:b/>
          <w:bCs/>
          <w:color w:val="000000"/>
          <w:lang w:val="en-US"/>
        </w:rPr>
        <w:t>Phase I trial of expanded, activated autologous natural killer (NK) cell infusions with trastuzumab in patients with human epidermal receptor (HER)2-positive cancers</w:t>
      </w:r>
    </w:p>
    <w:p w14:paraId="1CC1C597" w14:textId="77777777" w:rsidR="00124708" w:rsidRPr="0001264F" w:rsidRDefault="00124708" w:rsidP="00124708">
      <w:pPr>
        <w:spacing w:line="480" w:lineRule="auto"/>
        <w:rPr>
          <w:rFonts w:ascii="Arial" w:eastAsia="Times New Roman" w:hAnsi="Arial" w:cs="Arial"/>
          <w:lang w:val="en-US" w:eastAsia="en-US"/>
        </w:rPr>
      </w:pPr>
      <w:r w:rsidRPr="0001264F">
        <w:rPr>
          <w:rFonts w:ascii="Arial" w:eastAsia="Times New Roman" w:hAnsi="Arial" w:cs="Arial"/>
          <w:color w:val="000000"/>
          <w:lang w:val="en-US" w:eastAsia="en-US"/>
        </w:rPr>
        <w:t>Soo-Chin Lee</w:t>
      </w:r>
      <w:r w:rsidRPr="0001264F">
        <w:rPr>
          <w:rFonts w:ascii="Arial" w:eastAsia="Times New Roman" w:hAnsi="Arial" w:cs="Arial"/>
          <w:color w:val="000000"/>
          <w:vertAlign w:val="superscript"/>
          <w:lang w:val="en-US" w:eastAsia="en-US"/>
        </w:rPr>
        <w:t>1,2</w:t>
      </w:r>
      <w:r w:rsidRPr="0001264F">
        <w:rPr>
          <w:rFonts w:ascii="Arial" w:eastAsia="Times New Roman" w:hAnsi="Arial" w:cs="Arial"/>
          <w:color w:val="000000"/>
          <w:lang w:val="en-US" w:eastAsia="en-US"/>
        </w:rPr>
        <w:t>, Noriko Shimasaki</w:t>
      </w:r>
      <w:r w:rsidRPr="0001264F">
        <w:rPr>
          <w:rFonts w:ascii="Arial" w:eastAsia="Times New Roman" w:hAnsi="Arial" w:cs="Arial"/>
          <w:color w:val="000000"/>
          <w:vertAlign w:val="superscript"/>
          <w:lang w:val="en-US" w:eastAsia="en-US"/>
        </w:rPr>
        <w:t>3</w:t>
      </w:r>
      <w:r w:rsidRPr="0001264F">
        <w:rPr>
          <w:rFonts w:ascii="Arial" w:eastAsia="Times New Roman" w:hAnsi="Arial" w:cs="Arial"/>
          <w:color w:val="000000"/>
          <w:lang w:val="en-US" w:eastAsia="en-US"/>
        </w:rPr>
        <w:t>, Joline SJ. Lim</w:t>
      </w:r>
      <w:r w:rsidRPr="0001264F">
        <w:rPr>
          <w:rFonts w:ascii="Arial" w:eastAsia="Times New Roman" w:hAnsi="Arial" w:cs="Arial"/>
          <w:color w:val="000000"/>
          <w:vertAlign w:val="superscript"/>
          <w:lang w:val="en-US" w:eastAsia="en-US"/>
        </w:rPr>
        <w:t>1,2</w:t>
      </w:r>
      <w:r w:rsidRPr="0001264F">
        <w:rPr>
          <w:rFonts w:ascii="Arial" w:eastAsia="Times New Roman" w:hAnsi="Arial" w:cs="Arial"/>
          <w:color w:val="000000"/>
          <w:lang w:val="en-US" w:eastAsia="en-US"/>
        </w:rPr>
        <w:t>, Andrea Wong</w:t>
      </w:r>
      <w:r w:rsidRPr="0001264F">
        <w:rPr>
          <w:rFonts w:ascii="Arial" w:eastAsia="Times New Roman" w:hAnsi="Arial" w:cs="Arial"/>
          <w:color w:val="000000"/>
          <w:vertAlign w:val="superscript"/>
          <w:lang w:val="en-US" w:eastAsia="en-US"/>
        </w:rPr>
        <w:t>1,2</w:t>
      </w:r>
      <w:r w:rsidRPr="0001264F">
        <w:rPr>
          <w:rFonts w:ascii="Arial" w:eastAsia="Times New Roman" w:hAnsi="Arial" w:cs="Arial"/>
          <w:color w:val="000000"/>
          <w:lang w:val="en-US" w:eastAsia="en-US"/>
        </w:rPr>
        <w:t>, Kritika Yadav</w:t>
      </w:r>
      <w:r w:rsidRPr="0001264F">
        <w:rPr>
          <w:rFonts w:ascii="Arial" w:eastAsia="Times New Roman" w:hAnsi="Arial" w:cs="Arial"/>
          <w:color w:val="000000"/>
          <w:vertAlign w:val="superscript"/>
          <w:lang w:val="en-US" w:eastAsia="en-US"/>
        </w:rPr>
        <w:t>2</w:t>
      </w:r>
      <w:r w:rsidRPr="0001264F">
        <w:rPr>
          <w:rFonts w:ascii="Arial" w:eastAsia="Times New Roman" w:hAnsi="Arial" w:cs="Arial"/>
          <w:color w:val="000000"/>
          <w:lang w:val="en-US" w:eastAsia="en-US"/>
        </w:rPr>
        <w:t>, Wei Peng Yong</w:t>
      </w:r>
      <w:r w:rsidRPr="0001264F">
        <w:rPr>
          <w:rFonts w:ascii="Arial" w:eastAsia="Times New Roman" w:hAnsi="Arial" w:cs="Arial"/>
          <w:color w:val="000000"/>
          <w:vertAlign w:val="superscript"/>
          <w:lang w:val="en-US" w:eastAsia="en-US"/>
        </w:rPr>
        <w:t>1,2</w:t>
      </w:r>
      <w:r w:rsidRPr="0001264F">
        <w:rPr>
          <w:rFonts w:ascii="Arial" w:eastAsia="Times New Roman" w:hAnsi="Arial" w:cs="Arial"/>
          <w:color w:val="000000"/>
          <w:lang w:val="en-US" w:eastAsia="en-US"/>
        </w:rPr>
        <w:t>, Lip Kun Tan</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Liang Piu Koh</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Michelle LM Poon</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Sing Huang Tan</w:t>
      </w:r>
      <w:r w:rsidRPr="0001264F">
        <w:rPr>
          <w:rFonts w:ascii="Arial" w:eastAsia="Times New Roman" w:hAnsi="Arial" w:cs="Arial"/>
          <w:color w:val="000000"/>
          <w:vertAlign w:val="superscript"/>
          <w:lang w:val="en-US" w:eastAsia="en-US"/>
        </w:rPr>
        <w:t>4</w:t>
      </w:r>
      <w:r w:rsidRPr="0001264F">
        <w:rPr>
          <w:rFonts w:ascii="Arial" w:eastAsia="Times New Roman" w:hAnsi="Arial" w:cs="Arial"/>
          <w:color w:val="000000"/>
          <w:lang w:val="en-US" w:eastAsia="en-US"/>
        </w:rPr>
        <w:t>, Samuel GW Ow</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xml:space="preserve">, </w:t>
      </w:r>
      <w:proofErr w:type="spellStart"/>
      <w:r w:rsidRPr="0001264F">
        <w:rPr>
          <w:rFonts w:ascii="Arial" w:eastAsia="Times New Roman" w:hAnsi="Arial" w:cs="Arial"/>
          <w:color w:val="000000"/>
          <w:lang w:val="en-US" w:eastAsia="en-US"/>
        </w:rPr>
        <w:t>Lavina</w:t>
      </w:r>
      <w:proofErr w:type="spellEnd"/>
      <w:r w:rsidRPr="0001264F">
        <w:rPr>
          <w:rFonts w:ascii="Arial" w:eastAsia="Times New Roman" w:hAnsi="Arial" w:cs="Arial"/>
          <w:color w:val="000000"/>
          <w:lang w:val="en-US" w:eastAsia="en-US"/>
        </w:rPr>
        <w:t xml:space="preserve"> Bharwani</w:t>
      </w:r>
      <w:r w:rsidRPr="0001264F">
        <w:rPr>
          <w:rFonts w:ascii="Arial" w:eastAsia="Times New Roman" w:hAnsi="Arial" w:cs="Arial"/>
          <w:color w:val="000000"/>
          <w:vertAlign w:val="superscript"/>
          <w:lang w:val="en-US" w:eastAsia="en-US"/>
        </w:rPr>
        <w:t>5</w:t>
      </w:r>
      <w:r w:rsidRPr="0001264F">
        <w:rPr>
          <w:rFonts w:ascii="Arial" w:eastAsia="Times New Roman" w:hAnsi="Arial" w:cs="Arial"/>
          <w:color w:val="000000"/>
          <w:lang w:val="en-US" w:eastAsia="en-US"/>
        </w:rPr>
        <w:t>, Yoon Sim Yap</w:t>
      </w:r>
      <w:r w:rsidRPr="0001264F">
        <w:rPr>
          <w:rFonts w:ascii="Arial" w:eastAsia="Times New Roman" w:hAnsi="Arial" w:cs="Arial"/>
          <w:color w:val="000000"/>
          <w:vertAlign w:val="superscript"/>
          <w:lang w:val="en-US" w:eastAsia="en-US"/>
        </w:rPr>
        <w:t>6</w:t>
      </w:r>
      <w:r w:rsidRPr="0001264F">
        <w:rPr>
          <w:rFonts w:ascii="Arial" w:eastAsia="Times New Roman" w:hAnsi="Arial" w:cs="Arial"/>
          <w:color w:val="000000"/>
          <w:lang w:val="en-US" w:eastAsia="en-US"/>
        </w:rPr>
        <w:t>, Mabel ZQ Foo</w:t>
      </w:r>
      <w:r w:rsidRPr="0001264F">
        <w:rPr>
          <w:rFonts w:ascii="Arial" w:eastAsia="Times New Roman" w:hAnsi="Arial" w:cs="Arial"/>
          <w:color w:val="000000"/>
          <w:vertAlign w:val="superscript"/>
          <w:lang w:val="en-US" w:eastAsia="en-US"/>
        </w:rPr>
        <w:t>2</w:t>
      </w:r>
      <w:r w:rsidRPr="0001264F">
        <w:rPr>
          <w:rFonts w:ascii="Arial" w:eastAsia="Times New Roman" w:hAnsi="Arial" w:cs="Arial"/>
          <w:color w:val="000000"/>
          <w:lang w:val="en-US" w:eastAsia="en-US"/>
        </w:rPr>
        <w:t>, Elaine Coustan-Smith</w:t>
      </w:r>
      <w:r w:rsidRPr="0001264F">
        <w:rPr>
          <w:rFonts w:ascii="Arial" w:eastAsia="Times New Roman" w:hAnsi="Arial" w:cs="Arial"/>
          <w:color w:val="000000"/>
          <w:vertAlign w:val="superscript"/>
          <w:lang w:val="en-US" w:eastAsia="en-US"/>
        </w:rPr>
        <w:t>3</w:t>
      </w:r>
      <w:r w:rsidRPr="0001264F">
        <w:rPr>
          <w:rFonts w:ascii="Arial" w:eastAsia="Times New Roman" w:hAnsi="Arial" w:cs="Arial"/>
          <w:color w:val="000000"/>
          <w:lang w:val="en-US" w:eastAsia="en-US"/>
        </w:rPr>
        <w:t xml:space="preserve">, </w:t>
      </w:r>
      <w:proofErr w:type="spellStart"/>
      <w:r w:rsidRPr="0001264F">
        <w:rPr>
          <w:rFonts w:ascii="Arial" w:eastAsia="Times New Roman" w:hAnsi="Arial" w:cs="Arial"/>
          <w:color w:val="000000"/>
          <w:lang w:val="en-US" w:eastAsia="en-US"/>
        </w:rPr>
        <w:t>Raghav</w:t>
      </w:r>
      <w:proofErr w:type="spellEnd"/>
      <w:r w:rsidRPr="0001264F">
        <w:rPr>
          <w:rFonts w:ascii="Arial" w:eastAsia="Times New Roman" w:hAnsi="Arial" w:cs="Arial"/>
          <w:color w:val="000000"/>
          <w:lang w:val="en-US" w:eastAsia="en-US"/>
        </w:rPr>
        <w:t xml:space="preserve"> Sundar</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Hon Lyn Tan</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Wan Qin Chong</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xml:space="preserve">, </w:t>
      </w:r>
      <w:proofErr w:type="spellStart"/>
      <w:r w:rsidRPr="0001264F">
        <w:rPr>
          <w:rFonts w:ascii="Arial" w:eastAsia="Times New Roman" w:hAnsi="Arial" w:cs="Arial"/>
          <w:color w:val="000000"/>
          <w:lang w:val="en-US" w:eastAsia="en-US"/>
        </w:rPr>
        <w:t>Kumarakulasinghe</w:t>
      </w:r>
      <w:proofErr w:type="spellEnd"/>
      <w:r w:rsidRPr="0001264F">
        <w:rPr>
          <w:rFonts w:ascii="Arial" w:eastAsia="Times New Roman" w:hAnsi="Arial" w:cs="Arial"/>
          <w:color w:val="000000"/>
          <w:lang w:val="en-US" w:eastAsia="en-US"/>
        </w:rPr>
        <w:t xml:space="preserve"> Nesaretnam</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xml:space="preserve">, </w:t>
      </w:r>
      <w:proofErr w:type="spellStart"/>
      <w:r w:rsidRPr="0001264F">
        <w:rPr>
          <w:rFonts w:ascii="Arial" w:eastAsia="Times New Roman" w:hAnsi="Arial" w:cs="Arial"/>
          <w:color w:val="000000"/>
          <w:lang w:val="en-US" w:eastAsia="en-US"/>
        </w:rPr>
        <w:t>Jedidah</w:t>
      </w:r>
      <w:proofErr w:type="spellEnd"/>
      <w:r w:rsidRPr="0001264F">
        <w:rPr>
          <w:rFonts w:ascii="Arial" w:eastAsia="Times New Roman" w:hAnsi="Arial" w:cs="Arial"/>
          <w:color w:val="000000"/>
          <w:lang w:val="en-US" w:eastAsia="en-US"/>
        </w:rPr>
        <w:t xml:space="preserve"> LM Lieow</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xml:space="preserve">, </w:t>
      </w:r>
      <w:proofErr w:type="spellStart"/>
      <w:r w:rsidRPr="0001264F">
        <w:rPr>
          <w:rFonts w:ascii="Arial" w:eastAsia="Times New Roman" w:hAnsi="Arial" w:cs="Arial"/>
          <w:color w:val="000000"/>
          <w:lang w:val="en-US" w:eastAsia="en-US"/>
        </w:rPr>
        <w:t>Priscillia</w:t>
      </w:r>
      <w:proofErr w:type="spellEnd"/>
      <w:r w:rsidRPr="0001264F">
        <w:rPr>
          <w:rFonts w:ascii="Arial" w:eastAsia="Times New Roman" w:hAnsi="Arial" w:cs="Arial"/>
          <w:color w:val="000000"/>
          <w:lang w:val="en-US" w:eastAsia="en-US"/>
        </w:rPr>
        <w:t xml:space="preserve"> Koe</w:t>
      </w:r>
      <w:r w:rsidRPr="0001264F">
        <w:rPr>
          <w:rFonts w:ascii="Arial" w:eastAsia="Times New Roman" w:hAnsi="Arial" w:cs="Arial"/>
          <w:color w:val="000000"/>
          <w:vertAlign w:val="superscript"/>
          <w:lang w:val="en-US" w:eastAsia="en-US"/>
        </w:rPr>
        <w:t>1</w:t>
      </w:r>
      <w:r w:rsidRPr="0001264F">
        <w:rPr>
          <w:rFonts w:ascii="Arial" w:eastAsia="Times New Roman" w:hAnsi="Arial" w:cs="Arial"/>
          <w:color w:val="000000"/>
          <w:lang w:val="en-US" w:eastAsia="en-US"/>
        </w:rPr>
        <w:t>, Boon Cher Goh</w:t>
      </w:r>
      <w:r w:rsidRPr="0001264F">
        <w:rPr>
          <w:rFonts w:ascii="Arial" w:eastAsia="Times New Roman" w:hAnsi="Arial" w:cs="Arial"/>
          <w:color w:val="000000"/>
          <w:vertAlign w:val="superscript"/>
          <w:lang w:val="en-US" w:eastAsia="en-US"/>
        </w:rPr>
        <w:t>1,2</w:t>
      </w:r>
      <w:r w:rsidRPr="0001264F">
        <w:rPr>
          <w:rFonts w:ascii="Arial" w:eastAsia="Times New Roman" w:hAnsi="Arial" w:cs="Arial"/>
          <w:color w:val="000000"/>
          <w:lang w:val="en-US" w:eastAsia="en-US"/>
        </w:rPr>
        <w:t>, Dario Campana</w:t>
      </w:r>
      <w:r w:rsidRPr="0001264F">
        <w:rPr>
          <w:rFonts w:ascii="Arial" w:eastAsia="Times New Roman" w:hAnsi="Arial" w:cs="Arial"/>
          <w:color w:val="000000"/>
          <w:vertAlign w:val="superscript"/>
          <w:lang w:val="en-US" w:eastAsia="en-US"/>
        </w:rPr>
        <w:t>1,3</w:t>
      </w:r>
    </w:p>
    <w:p w14:paraId="50C5E7E1" w14:textId="77777777" w:rsidR="00124708" w:rsidRPr="0001264F" w:rsidRDefault="00124708" w:rsidP="00124708">
      <w:pPr>
        <w:spacing w:line="480" w:lineRule="auto"/>
        <w:rPr>
          <w:rFonts w:ascii="Arial" w:eastAsia="Times New Roman" w:hAnsi="Arial" w:cs="Arial"/>
          <w:lang w:val="en-US" w:eastAsia="en-US"/>
        </w:rPr>
      </w:pPr>
    </w:p>
    <w:p w14:paraId="535D7B27" w14:textId="705C20C0" w:rsidR="00124708" w:rsidRPr="0001264F" w:rsidRDefault="00124708" w:rsidP="00124708">
      <w:pPr>
        <w:autoSpaceDE w:val="0"/>
        <w:autoSpaceDN w:val="0"/>
        <w:adjustRightInd w:val="0"/>
        <w:rPr>
          <w:rFonts w:ascii="Arial" w:hAnsi="Arial" w:cs="Arial"/>
        </w:rPr>
      </w:pPr>
      <w:r w:rsidRPr="0001264F">
        <w:rPr>
          <w:rFonts w:ascii="Arial" w:hAnsi="Arial" w:cs="Arial"/>
          <w:vertAlign w:val="superscript"/>
        </w:rPr>
        <w:t>1</w:t>
      </w:r>
      <w:r w:rsidRPr="0001264F">
        <w:rPr>
          <w:rFonts w:ascii="Arial" w:hAnsi="Arial" w:cs="Arial"/>
        </w:rPr>
        <w:t xml:space="preserve">Department of </w:t>
      </w:r>
      <w:proofErr w:type="spellStart"/>
      <w:r w:rsidRPr="0001264F">
        <w:rPr>
          <w:rFonts w:ascii="Arial" w:hAnsi="Arial" w:cs="Arial"/>
        </w:rPr>
        <w:t>Hematology</w:t>
      </w:r>
      <w:proofErr w:type="spellEnd"/>
      <w:r w:rsidRPr="0001264F">
        <w:rPr>
          <w:rFonts w:ascii="Arial" w:hAnsi="Arial" w:cs="Arial"/>
        </w:rPr>
        <w:t xml:space="preserve">-Oncology, National University Cancer Institute, Singapore; </w:t>
      </w:r>
      <w:r w:rsidRPr="0001264F">
        <w:rPr>
          <w:rFonts w:ascii="Arial" w:hAnsi="Arial" w:cs="Arial"/>
          <w:vertAlign w:val="superscript"/>
        </w:rPr>
        <w:t>2</w:t>
      </w:r>
      <w:r w:rsidRPr="0001264F">
        <w:rPr>
          <w:rFonts w:ascii="Arial" w:hAnsi="Arial" w:cs="Arial"/>
        </w:rPr>
        <w:t xml:space="preserve">Experimental Therapeutics Programme, Cancer Science Institute, Singapore; </w:t>
      </w:r>
      <w:r w:rsidRPr="0001264F">
        <w:rPr>
          <w:rFonts w:ascii="Arial" w:hAnsi="Arial" w:cs="Arial"/>
          <w:vertAlign w:val="superscript"/>
        </w:rPr>
        <w:t>3</w:t>
      </w:r>
      <w:r w:rsidRPr="0001264F">
        <w:rPr>
          <w:rFonts w:ascii="Arial" w:hAnsi="Arial" w:cs="Arial"/>
        </w:rPr>
        <w:t xml:space="preserve">Department of Paediatrics, </w:t>
      </w:r>
      <w:r w:rsidR="007541FF" w:rsidRPr="0001264F">
        <w:rPr>
          <w:rFonts w:ascii="Arial" w:hAnsi="Arial" w:cs="Arial"/>
        </w:rPr>
        <w:t xml:space="preserve">Yong Loo Lin School of Medicine, </w:t>
      </w:r>
      <w:r w:rsidRPr="0001264F">
        <w:rPr>
          <w:rFonts w:ascii="Arial" w:hAnsi="Arial" w:cs="Arial"/>
        </w:rPr>
        <w:t xml:space="preserve">National University </w:t>
      </w:r>
      <w:r w:rsidR="007541FF" w:rsidRPr="0001264F">
        <w:rPr>
          <w:rFonts w:ascii="Arial" w:hAnsi="Arial" w:cs="Arial"/>
        </w:rPr>
        <w:t xml:space="preserve">of </w:t>
      </w:r>
      <w:r w:rsidRPr="0001264F">
        <w:rPr>
          <w:rFonts w:ascii="Arial" w:hAnsi="Arial" w:cs="Arial"/>
        </w:rPr>
        <w:t xml:space="preserve">Singapore, Singapore; </w:t>
      </w:r>
      <w:r w:rsidRPr="0001264F">
        <w:rPr>
          <w:rFonts w:ascii="Arial" w:hAnsi="Arial" w:cs="Arial"/>
          <w:vertAlign w:val="superscript"/>
        </w:rPr>
        <w:t>4</w:t>
      </w:r>
      <w:r w:rsidRPr="0001264F">
        <w:rPr>
          <w:rFonts w:ascii="Arial" w:hAnsi="Arial" w:cs="Arial"/>
        </w:rPr>
        <w:t xml:space="preserve">Oncocare Cancer Centre, Singapore; </w:t>
      </w:r>
      <w:r w:rsidRPr="0001264F">
        <w:rPr>
          <w:rFonts w:ascii="Arial" w:hAnsi="Arial" w:cs="Arial"/>
          <w:vertAlign w:val="superscript"/>
        </w:rPr>
        <w:t>5</w:t>
      </w:r>
      <w:r w:rsidRPr="0001264F">
        <w:rPr>
          <w:rFonts w:ascii="Arial" w:hAnsi="Arial" w:cs="Arial"/>
        </w:rPr>
        <w:t xml:space="preserve">Department of Medical Oncology, Tan </w:t>
      </w:r>
      <w:proofErr w:type="spellStart"/>
      <w:r w:rsidRPr="0001264F">
        <w:rPr>
          <w:rFonts w:ascii="Arial" w:hAnsi="Arial" w:cs="Arial"/>
        </w:rPr>
        <w:t>Tock</w:t>
      </w:r>
      <w:proofErr w:type="spellEnd"/>
      <w:r w:rsidRPr="0001264F">
        <w:rPr>
          <w:rFonts w:ascii="Arial" w:hAnsi="Arial" w:cs="Arial"/>
        </w:rPr>
        <w:t xml:space="preserve"> Seng Hospital, Singapore; </w:t>
      </w:r>
      <w:r w:rsidRPr="0001264F">
        <w:rPr>
          <w:rFonts w:ascii="Arial" w:hAnsi="Arial" w:cs="Arial"/>
          <w:vertAlign w:val="superscript"/>
        </w:rPr>
        <w:t>6</w:t>
      </w:r>
      <w:r w:rsidRPr="0001264F">
        <w:rPr>
          <w:rFonts w:ascii="Arial" w:hAnsi="Arial" w:cs="Arial"/>
        </w:rPr>
        <w:t>Department of Medical Oncology, National Cancer Centre, Singapore</w:t>
      </w:r>
    </w:p>
    <w:p w14:paraId="46A78AA5" w14:textId="77777777" w:rsidR="00124708" w:rsidRPr="0001264F" w:rsidRDefault="00124708" w:rsidP="00554FDE">
      <w:pPr>
        <w:spacing w:line="240" w:lineRule="auto"/>
        <w:jc w:val="left"/>
        <w:rPr>
          <w:rFonts w:ascii="Arial" w:hAnsi="Arial" w:cs="Arial"/>
          <w:b/>
          <w:color w:val="000000"/>
        </w:rPr>
      </w:pPr>
    </w:p>
    <w:p w14:paraId="2E245367" w14:textId="77777777" w:rsidR="00124708" w:rsidRPr="0001264F" w:rsidRDefault="00124708" w:rsidP="00554FDE">
      <w:pPr>
        <w:spacing w:line="240" w:lineRule="auto"/>
        <w:jc w:val="left"/>
        <w:rPr>
          <w:rFonts w:ascii="Arial" w:hAnsi="Arial" w:cs="Arial"/>
          <w:b/>
          <w:color w:val="000000"/>
        </w:rPr>
      </w:pPr>
    </w:p>
    <w:p w14:paraId="20A8FE05" w14:textId="77777777" w:rsidR="00124708" w:rsidRPr="0001264F" w:rsidRDefault="00124708" w:rsidP="00554FDE">
      <w:pPr>
        <w:spacing w:line="240" w:lineRule="auto"/>
        <w:jc w:val="left"/>
        <w:rPr>
          <w:rFonts w:ascii="Arial" w:hAnsi="Arial" w:cs="Arial"/>
          <w:b/>
          <w:color w:val="000000"/>
        </w:rPr>
      </w:pPr>
    </w:p>
    <w:p w14:paraId="5BFF78DA" w14:textId="77777777" w:rsidR="00124708" w:rsidRPr="0001264F" w:rsidRDefault="00124708" w:rsidP="00554FDE">
      <w:pPr>
        <w:spacing w:line="240" w:lineRule="auto"/>
        <w:jc w:val="left"/>
        <w:rPr>
          <w:rFonts w:ascii="Arial" w:hAnsi="Arial" w:cs="Arial"/>
          <w:b/>
          <w:color w:val="000000"/>
        </w:rPr>
      </w:pPr>
    </w:p>
    <w:p w14:paraId="7666C527" w14:textId="644EAA0B" w:rsidR="00124708" w:rsidRPr="0001264F" w:rsidRDefault="0054374B" w:rsidP="00124708">
      <w:pPr>
        <w:spacing w:line="240" w:lineRule="auto"/>
        <w:jc w:val="center"/>
        <w:rPr>
          <w:rFonts w:ascii="Arial" w:hAnsi="Arial" w:cs="Arial"/>
          <w:b/>
          <w:color w:val="000000"/>
        </w:rPr>
      </w:pPr>
      <w:r w:rsidRPr="0001264F">
        <w:rPr>
          <w:rFonts w:ascii="Arial" w:hAnsi="Arial" w:cs="Arial"/>
          <w:b/>
          <w:color w:val="000000"/>
        </w:rPr>
        <w:t>Supplementa</w:t>
      </w:r>
      <w:r w:rsidR="00FF4C2E" w:rsidRPr="0001264F">
        <w:rPr>
          <w:rFonts w:ascii="Arial" w:hAnsi="Arial" w:cs="Arial"/>
          <w:b/>
          <w:color w:val="000000"/>
        </w:rPr>
        <w:t>ry</w:t>
      </w:r>
      <w:r w:rsidRPr="0001264F">
        <w:rPr>
          <w:rFonts w:ascii="Arial" w:hAnsi="Arial" w:cs="Arial"/>
          <w:b/>
          <w:color w:val="000000"/>
        </w:rPr>
        <w:t xml:space="preserve"> Material</w:t>
      </w:r>
    </w:p>
    <w:p w14:paraId="0B569398" w14:textId="77777777" w:rsidR="00124708" w:rsidRPr="0001264F" w:rsidRDefault="00124708" w:rsidP="00124708">
      <w:pPr>
        <w:spacing w:line="240" w:lineRule="auto"/>
        <w:jc w:val="center"/>
        <w:rPr>
          <w:rFonts w:ascii="Arial" w:hAnsi="Arial" w:cs="Arial"/>
          <w:b/>
          <w:color w:val="000000"/>
        </w:rPr>
      </w:pPr>
    </w:p>
    <w:p w14:paraId="08C8BD18" w14:textId="3EB7F3F1" w:rsidR="00554FDE" w:rsidRPr="0001264F" w:rsidRDefault="00124708" w:rsidP="00124708">
      <w:pPr>
        <w:spacing w:line="240" w:lineRule="auto"/>
        <w:jc w:val="center"/>
        <w:rPr>
          <w:rFonts w:ascii="Arial" w:hAnsi="Arial" w:cs="Arial"/>
          <w:color w:val="000000"/>
        </w:rPr>
      </w:pPr>
      <w:r w:rsidRPr="0001264F">
        <w:rPr>
          <w:rFonts w:ascii="Arial" w:hAnsi="Arial" w:cs="Arial"/>
          <w:color w:val="000000"/>
        </w:rPr>
        <w:t>(Supplementa</w:t>
      </w:r>
      <w:r w:rsidR="00FF4C2E" w:rsidRPr="0001264F">
        <w:rPr>
          <w:rFonts w:ascii="Arial" w:hAnsi="Arial" w:cs="Arial"/>
          <w:color w:val="000000"/>
        </w:rPr>
        <w:t>ry</w:t>
      </w:r>
      <w:r w:rsidRPr="0001264F">
        <w:rPr>
          <w:rFonts w:ascii="Arial" w:hAnsi="Arial" w:cs="Arial"/>
          <w:color w:val="000000"/>
        </w:rPr>
        <w:t xml:space="preserve"> Methods; Tables S1 and S2</w:t>
      </w:r>
      <w:r w:rsidR="00F165D2" w:rsidRPr="0001264F">
        <w:rPr>
          <w:rFonts w:ascii="Arial" w:hAnsi="Arial" w:cs="Arial"/>
          <w:color w:val="000000"/>
        </w:rPr>
        <w:t>, Figure</w:t>
      </w:r>
      <w:r w:rsidR="00930D01" w:rsidRPr="0001264F">
        <w:rPr>
          <w:rFonts w:ascii="Arial" w:hAnsi="Arial" w:cs="Arial"/>
          <w:color w:val="000000"/>
        </w:rPr>
        <w:t>s</w:t>
      </w:r>
      <w:r w:rsidR="00F165D2" w:rsidRPr="0001264F">
        <w:rPr>
          <w:rFonts w:ascii="Arial" w:hAnsi="Arial" w:cs="Arial"/>
          <w:color w:val="000000"/>
        </w:rPr>
        <w:t xml:space="preserve"> S1</w:t>
      </w:r>
      <w:r w:rsidR="00930D01" w:rsidRPr="0001264F">
        <w:rPr>
          <w:rFonts w:ascii="Arial" w:hAnsi="Arial" w:cs="Arial"/>
          <w:color w:val="000000"/>
        </w:rPr>
        <w:t xml:space="preserve"> and S2</w:t>
      </w:r>
      <w:r w:rsidRPr="0001264F">
        <w:rPr>
          <w:rFonts w:ascii="Arial" w:hAnsi="Arial" w:cs="Arial"/>
          <w:color w:val="000000"/>
        </w:rPr>
        <w:t>)</w:t>
      </w:r>
      <w:r w:rsidR="00554FDE" w:rsidRPr="0001264F">
        <w:rPr>
          <w:rFonts w:ascii="Arial" w:hAnsi="Arial" w:cs="Arial"/>
          <w:color w:val="000000"/>
        </w:rPr>
        <w:br/>
      </w:r>
    </w:p>
    <w:p w14:paraId="56AFAF0D" w14:textId="77777777" w:rsidR="00124708" w:rsidRPr="0001264F" w:rsidRDefault="00124708" w:rsidP="00554FDE">
      <w:pPr>
        <w:rPr>
          <w:rFonts w:ascii="Arial" w:eastAsia="Times New Roman" w:hAnsi="Arial" w:cs="Arial"/>
          <w:b/>
          <w:color w:val="000000" w:themeColor="text1"/>
          <w:shd w:val="clear" w:color="auto" w:fill="FFFFFF"/>
        </w:rPr>
      </w:pPr>
      <w:r w:rsidRPr="0001264F">
        <w:rPr>
          <w:rFonts w:ascii="Arial" w:eastAsia="Times New Roman" w:hAnsi="Arial" w:cs="Arial"/>
          <w:b/>
          <w:color w:val="000000" w:themeColor="text1"/>
          <w:shd w:val="clear" w:color="auto" w:fill="FFFFFF"/>
        </w:rPr>
        <w:br/>
      </w:r>
    </w:p>
    <w:p w14:paraId="79384E99" w14:textId="77777777" w:rsidR="00124708" w:rsidRPr="0001264F" w:rsidRDefault="00124708">
      <w:pPr>
        <w:spacing w:line="240" w:lineRule="auto"/>
        <w:jc w:val="left"/>
        <w:rPr>
          <w:rFonts w:ascii="Arial" w:eastAsia="Times New Roman" w:hAnsi="Arial" w:cs="Arial"/>
          <w:b/>
          <w:color w:val="000000" w:themeColor="text1"/>
          <w:shd w:val="clear" w:color="auto" w:fill="FFFFFF"/>
        </w:rPr>
      </w:pPr>
      <w:r w:rsidRPr="0001264F">
        <w:rPr>
          <w:rFonts w:ascii="Arial" w:eastAsia="Times New Roman" w:hAnsi="Arial" w:cs="Arial"/>
          <w:b/>
          <w:color w:val="000000" w:themeColor="text1"/>
          <w:shd w:val="clear" w:color="auto" w:fill="FFFFFF"/>
        </w:rPr>
        <w:br w:type="page"/>
      </w:r>
    </w:p>
    <w:p w14:paraId="18116CEB" w14:textId="4BEED0A2" w:rsidR="00124708" w:rsidRPr="0001264F" w:rsidRDefault="00124708" w:rsidP="00124708">
      <w:pPr>
        <w:jc w:val="center"/>
        <w:rPr>
          <w:rFonts w:ascii="Arial" w:eastAsia="Times New Roman" w:hAnsi="Arial" w:cs="Arial"/>
          <w:b/>
          <w:color w:val="000000" w:themeColor="text1"/>
          <w:shd w:val="clear" w:color="auto" w:fill="FFFFFF"/>
        </w:rPr>
      </w:pPr>
      <w:r w:rsidRPr="0001264F">
        <w:rPr>
          <w:rFonts w:ascii="Arial" w:eastAsia="Times New Roman" w:hAnsi="Arial" w:cs="Arial"/>
          <w:b/>
          <w:color w:val="000000" w:themeColor="text1"/>
          <w:shd w:val="clear" w:color="auto" w:fill="FFFFFF"/>
        </w:rPr>
        <w:lastRenderedPageBreak/>
        <w:t>Supplementa</w:t>
      </w:r>
      <w:r w:rsidR="00FF4C2E" w:rsidRPr="0001264F">
        <w:rPr>
          <w:rFonts w:ascii="Arial" w:eastAsia="Times New Roman" w:hAnsi="Arial" w:cs="Arial"/>
          <w:b/>
          <w:color w:val="000000" w:themeColor="text1"/>
          <w:shd w:val="clear" w:color="auto" w:fill="FFFFFF"/>
        </w:rPr>
        <w:t>ry</w:t>
      </w:r>
      <w:r w:rsidRPr="0001264F">
        <w:rPr>
          <w:rFonts w:ascii="Arial" w:eastAsia="Times New Roman" w:hAnsi="Arial" w:cs="Arial"/>
          <w:b/>
          <w:color w:val="000000" w:themeColor="text1"/>
          <w:shd w:val="clear" w:color="auto" w:fill="FFFFFF"/>
        </w:rPr>
        <w:t xml:space="preserve"> Methods</w:t>
      </w:r>
    </w:p>
    <w:p w14:paraId="180B090E" w14:textId="3EC60965" w:rsidR="00554FDE" w:rsidRPr="0001264F" w:rsidRDefault="00554FDE" w:rsidP="00404338">
      <w:pPr>
        <w:jc w:val="left"/>
        <w:rPr>
          <w:rFonts w:ascii="Arial" w:eastAsia="Times New Roman" w:hAnsi="Arial" w:cs="Arial"/>
          <w:b/>
          <w:color w:val="000000" w:themeColor="text1"/>
          <w:shd w:val="clear" w:color="auto" w:fill="FFFFFF"/>
        </w:rPr>
      </w:pPr>
      <w:r w:rsidRPr="0001264F">
        <w:rPr>
          <w:rFonts w:ascii="Arial" w:eastAsia="Times New Roman" w:hAnsi="Arial" w:cs="Arial"/>
          <w:b/>
          <w:color w:val="000000" w:themeColor="text1"/>
          <w:shd w:val="clear" w:color="auto" w:fill="FFFFFF"/>
        </w:rPr>
        <w:t xml:space="preserve">Patient selection criteria </w:t>
      </w:r>
    </w:p>
    <w:p w14:paraId="7A670E90" w14:textId="27254099" w:rsidR="00554FDE" w:rsidRPr="0001264F" w:rsidRDefault="00554FDE" w:rsidP="00404338">
      <w:pPr>
        <w:jc w:val="left"/>
        <w:rPr>
          <w:rFonts w:ascii="Arial" w:eastAsia="Times New Roman" w:hAnsi="Arial" w:cs="Arial"/>
          <w:color w:val="000000" w:themeColor="text1"/>
          <w:shd w:val="clear" w:color="auto" w:fill="FFFFFF"/>
        </w:rPr>
      </w:pPr>
      <w:r w:rsidRPr="0001264F">
        <w:rPr>
          <w:rFonts w:ascii="Arial" w:eastAsia="Times New Roman" w:hAnsi="Arial" w:cs="Arial"/>
          <w:i/>
          <w:color w:val="000000" w:themeColor="text1"/>
          <w:shd w:val="clear" w:color="auto" w:fill="FFFFFF"/>
        </w:rPr>
        <w:t>Inclusion criteria:</w:t>
      </w:r>
      <w:r w:rsidRPr="0001264F">
        <w:rPr>
          <w:rFonts w:ascii="Arial" w:eastAsia="Times New Roman" w:hAnsi="Arial" w:cs="Arial"/>
          <w:b/>
          <w:color w:val="000000" w:themeColor="text1"/>
          <w:shd w:val="clear" w:color="auto" w:fill="FFFFFF"/>
        </w:rPr>
        <w:t xml:space="preserve"> </w:t>
      </w:r>
      <w:r w:rsidRPr="0001264F">
        <w:rPr>
          <w:rFonts w:ascii="Arial" w:eastAsia="Times New Roman" w:hAnsi="Arial" w:cs="Arial"/>
          <w:color w:val="000000" w:themeColor="text1"/>
          <w:shd w:val="clear" w:color="auto" w:fill="FFFFFF"/>
        </w:rPr>
        <w:t xml:space="preserve">Age 18-75; histologically confirmed diagnosis of HER2-positive breast or gastric cancer or other refractory HER2-positive solid </w:t>
      </w:r>
      <w:proofErr w:type="spellStart"/>
      <w:r w:rsidRPr="0001264F">
        <w:rPr>
          <w:rFonts w:ascii="Arial" w:eastAsia="Times New Roman" w:hAnsi="Arial" w:cs="Arial"/>
          <w:color w:val="000000" w:themeColor="text1"/>
          <w:shd w:val="clear" w:color="auto" w:fill="FFFFFF"/>
        </w:rPr>
        <w:t>tumors</w:t>
      </w:r>
      <w:proofErr w:type="spellEnd"/>
      <w:r w:rsidRPr="0001264F">
        <w:rPr>
          <w:rFonts w:ascii="Arial" w:eastAsia="Times New Roman" w:hAnsi="Arial" w:cs="Arial"/>
          <w:color w:val="000000" w:themeColor="text1"/>
          <w:shd w:val="clear" w:color="auto" w:fill="FFFFFF"/>
        </w:rPr>
        <w:t xml:space="preserve"> (defined as IHC 3+ or HER2 FISH amplification ratio &gt;2.2); metastatic disease with presence of measurable or non-measurable tumour by RECIST 1.1 criteria; for HER2-positive breast cancer, patient must have failed at least two lines of anti-HER2 based therapy (documented relapse while receiving adjuvant or </w:t>
      </w:r>
      <w:proofErr w:type="spellStart"/>
      <w:r w:rsidRPr="0001264F">
        <w:rPr>
          <w:rFonts w:ascii="Arial" w:eastAsia="Times New Roman" w:hAnsi="Arial" w:cs="Arial"/>
          <w:color w:val="000000" w:themeColor="text1"/>
          <w:shd w:val="clear" w:color="auto" w:fill="FFFFFF"/>
        </w:rPr>
        <w:t>neoadjuvant</w:t>
      </w:r>
      <w:proofErr w:type="spellEnd"/>
      <w:r w:rsidRPr="0001264F">
        <w:rPr>
          <w:rFonts w:ascii="Arial" w:eastAsia="Times New Roman" w:hAnsi="Arial" w:cs="Arial"/>
          <w:color w:val="000000" w:themeColor="text1"/>
          <w:shd w:val="clear" w:color="auto" w:fill="FFFFFF"/>
        </w:rPr>
        <w:t xml:space="preserve"> trastuzumab for HER2 positive breast cancer is considered one prior line). For HER2-positive gastric cancer, patient must have failed at least one line of anti-HER2 based therapy</w:t>
      </w:r>
      <w:r w:rsidR="00B35F23" w:rsidRPr="0001264F">
        <w:rPr>
          <w:rFonts w:ascii="Arial" w:eastAsia="Times New Roman" w:hAnsi="Arial" w:cs="Arial"/>
          <w:color w:val="000000" w:themeColor="text1"/>
          <w:shd w:val="clear" w:color="auto" w:fill="FFFFFF"/>
        </w:rPr>
        <w:t>,</w:t>
      </w:r>
      <w:r w:rsidRPr="0001264F">
        <w:rPr>
          <w:rFonts w:ascii="Arial" w:eastAsia="Times New Roman" w:hAnsi="Arial" w:cs="Arial"/>
          <w:color w:val="000000" w:themeColor="text1"/>
          <w:shd w:val="clear" w:color="auto" w:fill="FFFFFF"/>
        </w:rPr>
        <w:t xml:space="preserve"> or have failed standard therapies for other refractory HER2 positive solid </w:t>
      </w:r>
      <w:proofErr w:type="spellStart"/>
      <w:r w:rsidRPr="0001264F">
        <w:rPr>
          <w:rFonts w:ascii="Arial" w:eastAsia="Times New Roman" w:hAnsi="Arial" w:cs="Arial"/>
          <w:color w:val="000000" w:themeColor="text1"/>
          <w:shd w:val="clear" w:color="auto" w:fill="FFFFFF"/>
        </w:rPr>
        <w:t>tumors</w:t>
      </w:r>
      <w:proofErr w:type="spellEnd"/>
      <w:r w:rsidRPr="0001264F">
        <w:rPr>
          <w:rFonts w:ascii="Arial" w:eastAsia="Times New Roman" w:hAnsi="Arial" w:cs="Arial"/>
          <w:color w:val="000000" w:themeColor="text1"/>
          <w:shd w:val="clear" w:color="auto" w:fill="FFFFFF"/>
        </w:rPr>
        <w:t xml:space="preserve"> (non-breast, non-gastric); at least two weeks since receipt of any biological therapy, chemotherapy, and/or radiation therapy; left ventricular ejection fraction ≥50%; adequate organ function (ANC ≥1500/µL, platelet count ≥100,000/µL, creatinine clearance ≥60</w:t>
      </w:r>
      <w:r w:rsidR="00E04F17" w:rsidRPr="0001264F">
        <w:rPr>
          <w:rFonts w:ascii="Arial" w:eastAsia="Times New Roman" w:hAnsi="Arial" w:cs="Arial"/>
          <w:color w:val="000000" w:themeColor="text1"/>
          <w:shd w:val="clear" w:color="auto" w:fill="FFFFFF"/>
        </w:rPr>
        <w:t xml:space="preserve"> </w:t>
      </w:r>
      <w:r w:rsidRPr="0001264F">
        <w:rPr>
          <w:rFonts w:ascii="Arial" w:eastAsia="Times New Roman" w:hAnsi="Arial" w:cs="Arial"/>
          <w:color w:val="000000" w:themeColor="text1"/>
          <w:shd w:val="clear" w:color="auto" w:fill="FFFFFF"/>
        </w:rPr>
        <w:t>ml/minute, total bilirubin ≤1.5x upper limit normal (ULN) AST ≤ 2 x ULN, ALT ≤ 2 x ULN, ECOG performance status of 0-1); life expectancy of at least 60 days; negative serum or urine pregnancy test result within 14 days prior to enrolment for women who are of childbearing potential; ability to provide informed consent. Otherwise, a legally authorized representative must be present throughout the consent process and is allowed to give consent on the patient’s behalf; patients with reproductive potential must agree to use an approved contraceptive method; ability to comply with study procedures.</w:t>
      </w:r>
    </w:p>
    <w:p w14:paraId="6ECB6FFA" w14:textId="77777777" w:rsidR="00404338" w:rsidRPr="0001264F" w:rsidRDefault="00404338" w:rsidP="00404338">
      <w:pPr>
        <w:jc w:val="left"/>
        <w:rPr>
          <w:rFonts w:ascii="Arial" w:eastAsia="Times New Roman" w:hAnsi="Arial" w:cs="Arial"/>
          <w:color w:val="000000" w:themeColor="text1"/>
          <w:shd w:val="clear" w:color="auto" w:fill="FFFFFF"/>
        </w:rPr>
      </w:pPr>
    </w:p>
    <w:p w14:paraId="5EA69828" w14:textId="5B2C0399" w:rsidR="00554FDE" w:rsidRPr="0001264F" w:rsidRDefault="00554FDE" w:rsidP="00404338">
      <w:pPr>
        <w:jc w:val="left"/>
        <w:rPr>
          <w:rFonts w:ascii="Arial" w:eastAsia="Times New Roman" w:hAnsi="Arial" w:cs="Arial"/>
          <w:color w:val="000000" w:themeColor="text1"/>
          <w:shd w:val="clear" w:color="auto" w:fill="FFFFFF"/>
        </w:rPr>
      </w:pPr>
      <w:r w:rsidRPr="0001264F">
        <w:rPr>
          <w:rFonts w:ascii="Arial" w:eastAsia="Times New Roman" w:hAnsi="Arial" w:cs="Arial"/>
          <w:i/>
          <w:color w:val="000000" w:themeColor="text1"/>
          <w:shd w:val="clear" w:color="auto" w:fill="FFFFFF"/>
        </w:rPr>
        <w:t>Exclusion criteria:</w:t>
      </w:r>
      <w:r w:rsidRPr="0001264F">
        <w:rPr>
          <w:rFonts w:ascii="Arial" w:eastAsia="Times New Roman" w:hAnsi="Arial" w:cs="Arial"/>
          <w:color w:val="000000" w:themeColor="text1"/>
          <w:shd w:val="clear" w:color="auto" w:fill="FFFFFF"/>
        </w:rPr>
        <w:t xml:space="preserve"> Treatment within the last 30 days with any investigational drug; concurrent administration of any other </w:t>
      </w:r>
      <w:r w:rsidR="00E04F17" w:rsidRPr="0001264F">
        <w:rPr>
          <w:rFonts w:ascii="Arial" w:eastAsia="Times New Roman" w:hAnsi="Arial" w:cs="Arial"/>
          <w:color w:val="000000" w:themeColor="text1"/>
          <w:shd w:val="clear" w:color="auto" w:fill="FFFFFF"/>
        </w:rPr>
        <w:t>anti-cancer</w:t>
      </w:r>
      <w:r w:rsidRPr="0001264F">
        <w:rPr>
          <w:rFonts w:ascii="Arial" w:eastAsia="Times New Roman" w:hAnsi="Arial" w:cs="Arial"/>
          <w:color w:val="000000" w:themeColor="text1"/>
          <w:shd w:val="clear" w:color="auto" w:fill="FFFFFF"/>
        </w:rPr>
        <w:t xml:space="preserve"> therapy, including cytotoxic chemotherapy, hormonal therapy, and immunotherapy; major surgery within 28 days of study drug administration; active infection that in the opinion of the investigator would compromise the patient’s ability to tolerate therapy; lactating or pregnant; serious concomitant disorders that would compromise the safety of the patient or compromise the patient’s ability to complete the study, at the discretion of the investigator; serious cardiac illness or medical conditions including but not limited to patients with </w:t>
      </w:r>
      <w:proofErr w:type="spellStart"/>
      <w:r w:rsidRPr="0001264F">
        <w:rPr>
          <w:rFonts w:ascii="Arial" w:eastAsia="Times New Roman" w:hAnsi="Arial" w:cs="Arial"/>
          <w:color w:val="000000" w:themeColor="text1"/>
          <w:shd w:val="clear" w:color="auto" w:fill="FFFFFF"/>
        </w:rPr>
        <w:t>dyspnea</w:t>
      </w:r>
      <w:proofErr w:type="spellEnd"/>
      <w:r w:rsidRPr="0001264F">
        <w:rPr>
          <w:rFonts w:ascii="Arial" w:eastAsia="Times New Roman" w:hAnsi="Arial" w:cs="Arial"/>
          <w:color w:val="000000" w:themeColor="text1"/>
          <w:shd w:val="clear" w:color="auto" w:fill="FFFFFF"/>
        </w:rPr>
        <w:t xml:space="preserve"> at rest, history of documented congestive heart failure, high risk uncontrolled arrhythmias, angina pectoris requiring a medicinal product, clinically significant </w:t>
      </w:r>
      <w:proofErr w:type="spellStart"/>
      <w:r w:rsidRPr="0001264F">
        <w:rPr>
          <w:rFonts w:ascii="Arial" w:eastAsia="Times New Roman" w:hAnsi="Arial" w:cs="Arial"/>
          <w:color w:val="000000" w:themeColor="text1"/>
          <w:shd w:val="clear" w:color="auto" w:fill="FFFFFF"/>
        </w:rPr>
        <w:t>valvular</w:t>
      </w:r>
      <w:proofErr w:type="spellEnd"/>
      <w:r w:rsidRPr="0001264F">
        <w:rPr>
          <w:rFonts w:ascii="Arial" w:eastAsia="Times New Roman" w:hAnsi="Arial" w:cs="Arial"/>
          <w:color w:val="000000" w:themeColor="text1"/>
          <w:shd w:val="clear" w:color="auto" w:fill="FFFFFF"/>
        </w:rPr>
        <w:t xml:space="preserve"> disease, evidence of transmural infarction on ECG, poorly </w:t>
      </w:r>
      <w:r w:rsidRPr="0001264F">
        <w:rPr>
          <w:rFonts w:ascii="Arial" w:eastAsia="Times New Roman" w:hAnsi="Arial" w:cs="Arial"/>
          <w:color w:val="000000" w:themeColor="text1"/>
          <w:shd w:val="clear" w:color="auto" w:fill="FFFFFF"/>
        </w:rPr>
        <w:lastRenderedPageBreak/>
        <w:t>controlled hypertension; second primary malignancy that is clinically detectable at the time of consideration for study enrolment; symptomatic brain metastases; receipt of steroids during time period of 3 days prior to expanded NK cell infusion to 30 days after infusion (i.e. day -3 to day +30).</w:t>
      </w:r>
    </w:p>
    <w:p w14:paraId="050DA34A" w14:textId="77777777" w:rsidR="00497F93" w:rsidRPr="0001264F" w:rsidRDefault="00497F93" w:rsidP="00497F93">
      <w:pPr>
        <w:rPr>
          <w:rFonts w:ascii="Arial" w:eastAsia="Times New Roman" w:hAnsi="Arial" w:cs="Arial"/>
          <w:b/>
          <w:color w:val="000000" w:themeColor="text1"/>
          <w:shd w:val="clear" w:color="auto" w:fill="FFFFFF"/>
        </w:rPr>
      </w:pPr>
    </w:p>
    <w:p w14:paraId="22885DA4" w14:textId="4292F281" w:rsidR="00124708" w:rsidRPr="0001264F" w:rsidRDefault="00497F93" w:rsidP="006A2FAB">
      <w:pPr>
        <w:rPr>
          <w:rFonts w:ascii="Arial" w:eastAsia="Times New Roman" w:hAnsi="Arial" w:cs="Arial"/>
          <w:b/>
          <w:color w:val="000000" w:themeColor="text1"/>
          <w:shd w:val="clear" w:color="auto" w:fill="FFFFFF"/>
        </w:rPr>
      </w:pPr>
      <w:r w:rsidRPr="0001264F">
        <w:rPr>
          <w:rFonts w:ascii="Arial" w:eastAsia="Times New Roman" w:hAnsi="Arial" w:cs="Arial"/>
          <w:b/>
          <w:color w:val="000000" w:themeColor="text1"/>
          <w:shd w:val="clear" w:color="auto" w:fill="FFFFFF"/>
        </w:rPr>
        <w:t xml:space="preserve">NK cell expansion </w:t>
      </w:r>
    </w:p>
    <w:p w14:paraId="5689883F" w14:textId="4186FB78" w:rsidR="006A2FAB" w:rsidRPr="0001264F" w:rsidRDefault="0012051E" w:rsidP="00404338">
      <w:pPr>
        <w:jc w:val="left"/>
        <w:rPr>
          <w:rFonts w:ascii="Arial" w:eastAsia="Times New Roman" w:hAnsi="Arial" w:cs="Arial"/>
          <w:color w:val="000000" w:themeColor="text1"/>
          <w:shd w:val="clear" w:color="auto" w:fill="FFFFFF"/>
        </w:rPr>
      </w:pPr>
      <w:r w:rsidRPr="0001264F">
        <w:rPr>
          <w:rFonts w:ascii="Arial" w:hAnsi="Arial" w:cs="Arial"/>
          <w:color w:val="000000" w:themeColor="text1"/>
        </w:rPr>
        <w:t xml:space="preserve">NK cell expansion was performed at the Tissue Engineering and Cell Therapy (TECT) facility at the National University Health System, Singapore. TECT is an academic facility located in the campus of the National University Hospital/National University of Singapore; it is GMP-certified by the Singapore Health Science Authority. </w:t>
      </w:r>
      <w:r w:rsidR="006A2FAB" w:rsidRPr="0001264F">
        <w:rPr>
          <w:rFonts w:ascii="Arial" w:eastAsia="Times New Roman" w:hAnsi="Arial" w:cs="Arial"/>
          <w:color w:val="000000" w:themeColor="text1"/>
          <w:shd w:val="clear" w:color="auto" w:fill="FFFFFF"/>
        </w:rPr>
        <w:t>K562-mb15-41BBL</w:t>
      </w:r>
      <w:r w:rsidR="006A2FAB" w:rsidRPr="0001264F">
        <w:rPr>
          <w:rFonts w:ascii="Arial" w:eastAsia="Times New Roman" w:hAnsi="Arial" w:cs="Arial"/>
          <w:b/>
          <w:color w:val="000000" w:themeColor="text1"/>
          <w:shd w:val="clear" w:color="auto" w:fill="FFFFFF"/>
        </w:rPr>
        <w:t xml:space="preserve"> </w:t>
      </w:r>
      <w:r w:rsidR="00E04F17" w:rsidRPr="0001264F">
        <w:rPr>
          <w:rFonts w:ascii="Arial" w:eastAsia="Times New Roman" w:hAnsi="Arial" w:cs="Arial"/>
          <w:color w:val="000000" w:themeColor="text1"/>
          <w:shd w:val="clear" w:color="auto" w:fill="FFFFFF"/>
        </w:rPr>
        <w:t>cells</w:t>
      </w:r>
      <w:r w:rsidR="00E04F17" w:rsidRPr="0001264F">
        <w:rPr>
          <w:rFonts w:ascii="Arial" w:eastAsia="Times New Roman" w:hAnsi="Arial" w:cs="Arial"/>
          <w:b/>
          <w:color w:val="000000" w:themeColor="text1"/>
          <w:shd w:val="clear" w:color="auto" w:fill="FFFFFF"/>
        </w:rPr>
        <w:t xml:space="preserve"> </w:t>
      </w:r>
      <w:r w:rsidR="00E04F17" w:rsidRPr="0001264F">
        <w:rPr>
          <w:rFonts w:ascii="Arial" w:eastAsia="Times New Roman" w:hAnsi="Arial" w:cs="Arial"/>
          <w:color w:val="000000" w:themeColor="text1"/>
          <w:shd w:val="clear" w:color="auto" w:fill="FFFFFF"/>
        </w:rPr>
        <w:t>were originated</w:t>
      </w:r>
      <w:r w:rsidR="006A2FAB" w:rsidRPr="0001264F">
        <w:rPr>
          <w:rFonts w:ascii="Arial" w:eastAsia="Times New Roman" w:hAnsi="Arial" w:cs="Arial"/>
          <w:color w:val="000000" w:themeColor="text1"/>
          <w:shd w:val="clear" w:color="auto" w:fill="FFFFFF"/>
        </w:rPr>
        <w:t xml:space="preserve"> from a Master Cell Bank </w:t>
      </w:r>
      <w:r w:rsidR="003B30C4" w:rsidRPr="0001264F">
        <w:rPr>
          <w:rFonts w:ascii="Arial" w:eastAsia="Times New Roman" w:hAnsi="Arial" w:cs="Arial"/>
          <w:color w:val="000000" w:themeColor="text1"/>
          <w:shd w:val="clear" w:color="auto" w:fill="FFFFFF"/>
        </w:rPr>
        <w:t xml:space="preserve">made at St Jude Children’s Research Hospital (Memphis, TN) </w:t>
      </w:r>
      <w:r w:rsidR="006A2FAB" w:rsidRPr="0001264F">
        <w:rPr>
          <w:rFonts w:ascii="Arial" w:eastAsia="Times New Roman" w:hAnsi="Arial" w:cs="Arial"/>
          <w:color w:val="000000" w:themeColor="text1"/>
          <w:shd w:val="clear" w:color="auto" w:fill="FFFFFF"/>
        </w:rPr>
        <w:t xml:space="preserve">compliant with the </w:t>
      </w:r>
      <w:r w:rsidR="00E04F17" w:rsidRPr="0001264F">
        <w:rPr>
          <w:rFonts w:ascii="Arial" w:eastAsia="Times New Roman" w:hAnsi="Arial" w:cs="Arial"/>
          <w:color w:val="000000" w:themeColor="text1"/>
          <w:shd w:val="clear" w:color="auto" w:fill="FFFFFF"/>
        </w:rPr>
        <w:t>requirements</w:t>
      </w:r>
      <w:r w:rsidR="006A2FAB" w:rsidRPr="0001264F">
        <w:rPr>
          <w:rFonts w:ascii="Arial" w:eastAsia="Times New Roman" w:hAnsi="Arial" w:cs="Arial"/>
          <w:color w:val="000000" w:themeColor="text1"/>
          <w:shd w:val="clear" w:color="auto" w:fill="FFFFFF"/>
        </w:rPr>
        <w:t xml:space="preserve"> set by the US Food and Drug Administration and Singapore Health Science Authority. </w:t>
      </w:r>
      <w:r w:rsidR="001F3A57" w:rsidRPr="0001264F">
        <w:rPr>
          <w:rFonts w:ascii="Arial" w:eastAsia="Times New Roman" w:hAnsi="Arial" w:cs="Arial"/>
          <w:color w:val="000000" w:themeColor="text1"/>
          <w:shd w:val="clear" w:color="auto" w:fill="FFFFFF"/>
        </w:rPr>
        <w:t>The cell line was tested for expression of membrane-bound IL-15 and 4-1BBL, capacity to stimulate NK cell expansion, as well as sterility, mycoplasma, adventitious viruses,</w:t>
      </w:r>
      <w:r w:rsidR="00447225" w:rsidRPr="0001264F">
        <w:rPr>
          <w:rFonts w:ascii="Arial" w:eastAsia="Times New Roman" w:hAnsi="Arial" w:cs="Arial"/>
          <w:color w:val="000000" w:themeColor="text1"/>
          <w:shd w:val="clear" w:color="auto" w:fill="FFFFFF"/>
        </w:rPr>
        <w:t xml:space="preserve"> and retroviral infectivity (expression of membrane-bound IL-15 and 41BBL genes was achieved by transduction with a</w:t>
      </w:r>
      <w:r w:rsidR="001F3A57" w:rsidRPr="0001264F">
        <w:rPr>
          <w:rFonts w:ascii="Arial" w:eastAsia="Times New Roman" w:hAnsi="Arial" w:cs="Arial"/>
          <w:color w:val="000000" w:themeColor="text1"/>
          <w:shd w:val="clear" w:color="auto" w:fill="FFFFFF"/>
        </w:rPr>
        <w:t xml:space="preserve"> </w:t>
      </w:r>
      <w:r w:rsidR="00447225" w:rsidRPr="0001264F">
        <w:rPr>
          <w:rFonts w:ascii="Arial" w:eastAsia="Times New Roman" w:hAnsi="Arial" w:cs="Arial"/>
          <w:color w:val="000000" w:themeColor="text1"/>
          <w:shd w:val="clear" w:color="auto" w:fill="FFFFFF"/>
        </w:rPr>
        <w:t>murine stem cell virus (MSCV) retroviral vector</w:t>
      </w:r>
      <w:r w:rsidR="000B4858" w:rsidRPr="0001264F">
        <w:rPr>
          <w:rFonts w:ascii="Arial" w:eastAsia="Times New Roman" w:hAnsi="Arial" w:cs="Arial"/>
          <w:color w:val="000000" w:themeColor="text1"/>
          <w:shd w:val="clear" w:color="auto" w:fill="FFFFFF"/>
        </w:rPr>
        <w:fldChar w:fldCharType="begin"/>
      </w:r>
      <w:r w:rsidR="002456CE" w:rsidRPr="0001264F">
        <w:rPr>
          <w:rFonts w:ascii="Arial" w:eastAsia="Times New Roman" w:hAnsi="Arial" w:cs="Arial"/>
          <w:color w:val="000000" w:themeColor="text1"/>
          <w:shd w:val="clear" w:color="auto" w:fill="FFFFFF"/>
        </w:rPr>
        <w:instrText xml:space="preserve"> ADDIN EN.CITE &lt;EndNote&gt;&lt;Cite&gt;&lt;Author&gt;Imai&lt;/Author&gt;&lt;Year&gt;2005&lt;/Year&gt;&lt;RecNum&gt;587&lt;/RecNum&gt;&lt;DisplayText&gt;(1)&lt;/DisplayText&gt;&lt;record&gt;&lt;rec-number&gt;587&lt;/rec-number&gt;&lt;foreign-keys&gt;&lt;key app="EN" db-id="2ezs2d0v1raz9qeaxxn5zvpt0tdwdeeeaasv" timestamp="1556872672"&gt;587&lt;/key&gt;&lt;/foreign-keys&gt;&lt;ref-type name="Journal Article"&gt;17&lt;/ref-type&gt;&lt;contributors&gt;&lt;authors&gt;&lt;author&gt;Imai, C.&lt;/author&gt;&lt;author&gt;Iwamoto, S.&lt;/author&gt;&lt;author&gt;Campana, D.&lt;/author&gt;&lt;/authors&gt;&lt;/contributors&gt;&lt;auth-address&gt;Department of Hematology-Oncology, St Jude Children&amp;apos;s Research Hospital, 332 N Lauderdale, Memphis, TN 38105, USA.&lt;/auth-address&gt;&lt;titles&gt;&lt;title&gt;Genetic modification of primary natural killer cells overcomes inhibitory signals and induces specific killing of leukemic cells&lt;/title&gt;&lt;secondary-title&gt;Blood&lt;/secondary-title&gt;&lt;/titles&gt;&lt;periodical&gt;&lt;full-title&gt;Blood&lt;/full-title&gt;&lt;/periodical&gt;&lt;pages&gt;376-83&lt;/pages&gt;&lt;volume&gt;106&lt;/volume&gt;&lt;number&gt;1&lt;/number&gt;&lt;keywords&gt;&lt;keyword&gt;Antigens, CD&lt;/keyword&gt;&lt;keyword&gt;Antigens, CD19/immunology&lt;/keyword&gt;&lt;keyword&gt;Burkitt Lymphoma/*immunology/*therapy&lt;/keyword&gt;&lt;keyword&gt;Genetic Therapy/*methods&lt;/keyword&gt;&lt;keyword&gt;Humans&lt;/keyword&gt;&lt;keyword&gt;K562 Cells&lt;/keyword&gt;&lt;keyword&gt;Killer Cells, Natural/*immunology&lt;/keyword&gt;&lt;keyword&gt;Receptors, Nerve Growth Factor/genetics/immunology&lt;/keyword&gt;&lt;keyword&gt;Receptors, Tumor Necrosis Factor/genetics/immunology&lt;/keyword&gt;&lt;keyword&gt;Recombinant Fusion Proteins/genetics/immunology&lt;/keyword&gt;&lt;keyword&gt;Signal Transduction/immunology&lt;/keyword&gt;&lt;keyword&gt;Transduction, Genetic&lt;/keyword&gt;&lt;keyword&gt;Tumor Necrosis Factor Receptor Superfamily, Member 9&lt;/keyword&gt;&lt;/keywords&gt;&lt;dates&gt;&lt;year&gt;2005&lt;/year&gt;&lt;pub-dates&gt;&lt;date&gt;Jul 1&lt;/date&gt;&lt;/pub-dates&gt;&lt;/dates&gt;&lt;isbn&gt;0006-4971 (Print)&amp;#xD;0006-4971 (Linking)&lt;/isbn&gt;&lt;accession-num&gt;15755898&lt;/accession-num&gt;&lt;urls&gt;&lt;related-urls&gt;&lt;url&gt;https://www.ncbi.nlm.nih.gov/pubmed/15755898&lt;/url&gt;&lt;/related-urls&gt;&lt;/urls&gt;&lt;custom2&gt;PMC1895123&lt;/custom2&gt;&lt;electronic-resource-num&gt;10.1182/blood-2004-12-4797&lt;/electronic-resource-num&gt;&lt;/record&gt;&lt;/Cite&gt;&lt;/EndNote&gt;</w:instrText>
      </w:r>
      <w:r w:rsidR="000B4858" w:rsidRPr="0001264F">
        <w:rPr>
          <w:rFonts w:ascii="Arial" w:eastAsia="Times New Roman" w:hAnsi="Arial" w:cs="Arial"/>
          <w:color w:val="000000" w:themeColor="text1"/>
          <w:shd w:val="clear" w:color="auto" w:fill="FFFFFF"/>
        </w:rPr>
        <w:fldChar w:fldCharType="separate"/>
      </w:r>
      <w:r w:rsidR="002456CE" w:rsidRPr="0001264F">
        <w:rPr>
          <w:rFonts w:ascii="Arial" w:eastAsia="Times New Roman" w:hAnsi="Arial" w:cs="Arial"/>
          <w:noProof/>
          <w:color w:val="000000" w:themeColor="text1"/>
          <w:shd w:val="clear" w:color="auto" w:fill="FFFFFF"/>
        </w:rPr>
        <w:t>(1)</w:t>
      </w:r>
      <w:r w:rsidR="000B4858" w:rsidRPr="0001264F">
        <w:rPr>
          <w:rFonts w:ascii="Arial" w:eastAsia="Times New Roman" w:hAnsi="Arial" w:cs="Arial"/>
          <w:color w:val="000000" w:themeColor="text1"/>
          <w:shd w:val="clear" w:color="auto" w:fill="FFFFFF"/>
        </w:rPr>
        <w:fldChar w:fldCharType="end"/>
      </w:r>
      <w:r w:rsidR="00447225" w:rsidRPr="0001264F">
        <w:rPr>
          <w:rFonts w:ascii="Arial" w:eastAsia="Times New Roman" w:hAnsi="Arial" w:cs="Arial"/>
          <w:color w:val="000000" w:themeColor="text1"/>
          <w:shd w:val="clear" w:color="auto" w:fill="FFFFFF"/>
        </w:rPr>
        <w:t xml:space="preserve">. K562-mb15-41BBL cells from a Working Cell Bank prepared </w:t>
      </w:r>
      <w:r w:rsidR="003B30C4" w:rsidRPr="0001264F">
        <w:rPr>
          <w:rFonts w:ascii="Arial" w:eastAsia="Times New Roman" w:hAnsi="Arial" w:cs="Arial"/>
          <w:color w:val="000000" w:themeColor="text1"/>
          <w:shd w:val="clear" w:color="auto" w:fill="FFFFFF"/>
        </w:rPr>
        <w:t xml:space="preserve">at the National University of Singapore </w:t>
      </w:r>
      <w:r w:rsidR="00447225" w:rsidRPr="0001264F">
        <w:rPr>
          <w:rFonts w:ascii="Arial" w:eastAsia="Times New Roman" w:hAnsi="Arial" w:cs="Arial"/>
          <w:color w:val="000000" w:themeColor="text1"/>
          <w:shd w:val="clear" w:color="auto" w:fill="FFFFFF"/>
        </w:rPr>
        <w:t xml:space="preserve">from the Master Cell Bank were thawed and expanded in 1 L of RPMI-1640 with 10% </w:t>
      </w:r>
      <w:proofErr w:type="spellStart"/>
      <w:r w:rsidR="00447225" w:rsidRPr="0001264F">
        <w:rPr>
          <w:rFonts w:ascii="Arial" w:eastAsia="Times New Roman" w:hAnsi="Arial" w:cs="Arial"/>
          <w:color w:val="000000" w:themeColor="text1"/>
          <w:shd w:val="clear" w:color="auto" w:fill="FFFFFF"/>
        </w:rPr>
        <w:t>fetal</w:t>
      </w:r>
      <w:proofErr w:type="spellEnd"/>
      <w:r w:rsidR="00447225" w:rsidRPr="0001264F">
        <w:rPr>
          <w:rFonts w:ascii="Arial" w:eastAsia="Times New Roman" w:hAnsi="Arial" w:cs="Arial"/>
          <w:color w:val="000000" w:themeColor="text1"/>
          <w:shd w:val="clear" w:color="auto" w:fill="FFFFFF"/>
        </w:rPr>
        <w:t xml:space="preserve"> bovine serum in G-Rex100M chambers (Wilson</w:t>
      </w:r>
      <w:r w:rsidR="006F1D78" w:rsidRPr="0001264F">
        <w:rPr>
          <w:rFonts w:ascii="Arial" w:eastAsia="Times New Roman" w:hAnsi="Arial" w:cs="Arial"/>
          <w:color w:val="000000" w:themeColor="text1"/>
          <w:shd w:val="clear" w:color="auto" w:fill="FFFFFF"/>
        </w:rPr>
        <w:t xml:space="preserve"> </w:t>
      </w:r>
      <w:r w:rsidR="00447225" w:rsidRPr="0001264F">
        <w:rPr>
          <w:rFonts w:ascii="Arial" w:eastAsia="Times New Roman" w:hAnsi="Arial" w:cs="Arial"/>
          <w:color w:val="000000" w:themeColor="text1"/>
          <w:shd w:val="clear" w:color="auto" w:fill="FFFFFF"/>
        </w:rPr>
        <w:t xml:space="preserve">Wolf, </w:t>
      </w:r>
      <w:r w:rsidR="006F1D78" w:rsidRPr="0001264F">
        <w:rPr>
          <w:rFonts w:ascii="Arial" w:eastAsia="Times New Roman" w:hAnsi="Arial" w:cs="Arial"/>
          <w:color w:val="000000" w:themeColor="text1"/>
          <w:shd w:val="clear" w:color="auto" w:fill="FFFFFF"/>
        </w:rPr>
        <w:t>Saint Paul</w:t>
      </w:r>
      <w:r w:rsidR="00447225" w:rsidRPr="0001264F">
        <w:rPr>
          <w:rFonts w:ascii="Arial" w:eastAsia="Times New Roman" w:hAnsi="Arial" w:cs="Arial"/>
          <w:color w:val="000000" w:themeColor="text1"/>
          <w:shd w:val="clear" w:color="auto" w:fill="FFFFFF"/>
        </w:rPr>
        <w:t>, MN) at 37</w:t>
      </w:r>
      <w:r w:rsidR="00447225" w:rsidRPr="0001264F">
        <w:rPr>
          <w:rFonts w:ascii="Arial" w:eastAsia="Times New Roman" w:hAnsi="Arial" w:cs="Arial"/>
          <w:color w:val="000000" w:themeColor="text1"/>
          <w:shd w:val="clear" w:color="auto" w:fill="FFFFFF"/>
          <w:vertAlign w:val="superscript"/>
        </w:rPr>
        <w:t>o</w:t>
      </w:r>
      <w:r w:rsidR="00447225" w:rsidRPr="0001264F">
        <w:rPr>
          <w:rFonts w:ascii="Arial" w:eastAsia="Times New Roman" w:hAnsi="Arial" w:cs="Arial"/>
          <w:color w:val="000000" w:themeColor="text1"/>
          <w:shd w:val="clear" w:color="auto" w:fill="FFFFFF"/>
        </w:rPr>
        <w:t>C in 5% CO</w:t>
      </w:r>
      <w:r w:rsidR="00447225" w:rsidRPr="0001264F">
        <w:rPr>
          <w:rFonts w:ascii="Arial" w:eastAsia="Times New Roman" w:hAnsi="Arial" w:cs="Arial"/>
          <w:color w:val="000000" w:themeColor="text1"/>
          <w:shd w:val="clear" w:color="auto" w:fill="FFFFFF"/>
          <w:vertAlign w:val="subscript"/>
        </w:rPr>
        <w:t>2</w:t>
      </w:r>
      <w:r w:rsidR="00447225" w:rsidRPr="0001264F">
        <w:rPr>
          <w:rFonts w:ascii="Arial" w:eastAsia="Times New Roman" w:hAnsi="Arial" w:cs="Arial"/>
          <w:color w:val="000000" w:themeColor="text1"/>
          <w:shd w:val="clear" w:color="auto" w:fill="FFFFFF"/>
        </w:rPr>
        <w:t xml:space="preserve"> for 10 ± 2 days. </w:t>
      </w:r>
      <w:r w:rsidR="006A2FAB" w:rsidRPr="0001264F">
        <w:rPr>
          <w:rFonts w:ascii="Arial" w:eastAsia="Times New Roman" w:hAnsi="Arial" w:cs="Arial"/>
          <w:color w:val="000000" w:themeColor="text1"/>
          <w:shd w:val="clear" w:color="auto" w:fill="FFFFFF"/>
        </w:rPr>
        <w:t>E</w:t>
      </w:r>
      <w:r w:rsidR="00447225" w:rsidRPr="0001264F">
        <w:rPr>
          <w:rFonts w:ascii="Arial" w:eastAsia="Times New Roman" w:hAnsi="Arial" w:cs="Arial"/>
          <w:color w:val="000000" w:themeColor="text1"/>
          <w:shd w:val="clear" w:color="auto" w:fill="FFFFFF"/>
        </w:rPr>
        <w:t>xpanded</w:t>
      </w:r>
      <w:r w:rsidR="006A2FAB" w:rsidRPr="0001264F">
        <w:rPr>
          <w:rFonts w:ascii="Arial" w:eastAsia="Times New Roman" w:hAnsi="Arial" w:cs="Arial"/>
          <w:color w:val="000000" w:themeColor="text1"/>
          <w:shd w:val="clear" w:color="auto" w:fill="FFFFFF"/>
        </w:rPr>
        <w:t xml:space="preserve"> K562-mb15-41BBL cells</w:t>
      </w:r>
      <w:r w:rsidR="00447225" w:rsidRPr="0001264F">
        <w:rPr>
          <w:rFonts w:ascii="Arial" w:eastAsia="Times New Roman" w:hAnsi="Arial" w:cs="Arial"/>
          <w:color w:val="000000" w:themeColor="text1"/>
          <w:shd w:val="clear" w:color="auto" w:fill="FFFFFF"/>
        </w:rPr>
        <w:t xml:space="preserve"> were</w:t>
      </w:r>
      <w:r w:rsidR="006A2FAB" w:rsidRPr="0001264F">
        <w:rPr>
          <w:rFonts w:ascii="Arial" w:eastAsia="Times New Roman" w:hAnsi="Arial" w:cs="Arial"/>
          <w:color w:val="000000" w:themeColor="text1"/>
          <w:shd w:val="clear" w:color="auto" w:fill="FFFFFF"/>
        </w:rPr>
        <w:t xml:space="preserve"> placed in 600 mL transfer bags (Terumo, Tokyo, Japan) at 6-9 x 10</w:t>
      </w:r>
      <w:r w:rsidR="006A2FAB" w:rsidRPr="0001264F">
        <w:rPr>
          <w:rFonts w:ascii="Arial" w:eastAsia="Times New Roman" w:hAnsi="Arial" w:cs="Arial"/>
          <w:color w:val="000000" w:themeColor="text1"/>
          <w:shd w:val="clear" w:color="auto" w:fill="FFFFFF"/>
          <w:vertAlign w:val="superscript"/>
        </w:rPr>
        <w:t>8</w:t>
      </w:r>
      <w:r w:rsidR="006A2FAB" w:rsidRPr="0001264F">
        <w:rPr>
          <w:rFonts w:ascii="Arial" w:eastAsia="Times New Roman" w:hAnsi="Arial" w:cs="Arial"/>
          <w:color w:val="000000" w:themeColor="text1"/>
          <w:shd w:val="clear" w:color="auto" w:fill="FFFFFF"/>
        </w:rPr>
        <w:t xml:space="preserve"> cells </w:t>
      </w:r>
      <w:r w:rsidR="00447225" w:rsidRPr="0001264F">
        <w:rPr>
          <w:rFonts w:ascii="Arial" w:eastAsia="Times New Roman" w:hAnsi="Arial" w:cs="Arial"/>
          <w:color w:val="000000" w:themeColor="text1"/>
          <w:shd w:val="clear" w:color="auto" w:fill="FFFFFF"/>
        </w:rPr>
        <w:t xml:space="preserve">in 250 ml of culture medium </w:t>
      </w:r>
      <w:r w:rsidR="006A2FAB" w:rsidRPr="0001264F">
        <w:rPr>
          <w:rFonts w:ascii="Arial" w:eastAsia="Times New Roman" w:hAnsi="Arial" w:cs="Arial"/>
          <w:color w:val="000000" w:themeColor="text1"/>
          <w:shd w:val="clear" w:color="auto" w:fill="FFFFFF"/>
        </w:rPr>
        <w:t xml:space="preserve">per bag and irradiated at 120 </w:t>
      </w:r>
      <w:proofErr w:type="spellStart"/>
      <w:r w:rsidR="006A2FAB" w:rsidRPr="0001264F">
        <w:rPr>
          <w:rFonts w:ascii="Arial" w:eastAsia="Times New Roman" w:hAnsi="Arial" w:cs="Arial"/>
          <w:color w:val="000000" w:themeColor="text1"/>
          <w:shd w:val="clear" w:color="auto" w:fill="FFFFFF"/>
        </w:rPr>
        <w:t>Gy</w:t>
      </w:r>
      <w:proofErr w:type="spellEnd"/>
      <w:r w:rsidR="006A2FAB" w:rsidRPr="0001264F">
        <w:rPr>
          <w:rFonts w:ascii="Arial" w:eastAsia="Times New Roman" w:hAnsi="Arial" w:cs="Arial"/>
          <w:color w:val="000000" w:themeColor="text1"/>
          <w:shd w:val="clear" w:color="auto" w:fill="FFFFFF"/>
        </w:rPr>
        <w:t xml:space="preserve"> using a linear particle accelerator (</w:t>
      </w:r>
      <w:proofErr w:type="spellStart"/>
      <w:r w:rsidR="006A2FAB" w:rsidRPr="0001264F">
        <w:rPr>
          <w:rFonts w:ascii="Arial" w:eastAsia="Times New Roman" w:hAnsi="Arial" w:cs="Arial"/>
          <w:color w:val="000000" w:themeColor="text1"/>
          <w:shd w:val="clear" w:color="auto" w:fill="FFFFFF"/>
        </w:rPr>
        <w:t>Elekta</w:t>
      </w:r>
      <w:proofErr w:type="spellEnd"/>
      <w:r w:rsidR="006A2FAB" w:rsidRPr="0001264F">
        <w:rPr>
          <w:rFonts w:ascii="Arial" w:eastAsia="Times New Roman" w:hAnsi="Arial" w:cs="Arial"/>
          <w:color w:val="000000" w:themeColor="text1"/>
          <w:shd w:val="clear" w:color="auto" w:fill="FFFFFF"/>
        </w:rPr>
        <w:t xml:space="preserve"> Synergy, Stockholm, Sweden) operated by staff of the Radiation Oncology Department at the National University Hospital of Singapore. The irradiated K562-mb15-41BBL cells </w:t>
      </w:r>
      <w:r w:rsidR="00447225" w:rsidRPr="0001264F">
        <w:rPr>
          <w:rFonts w:ascii="Arial" w:eastAsia="Times New Roman" w:hAnsi="Arial" w:cs="Arial"/>
          <w:color w:val="000000" w:themeColor="text1"/>
          <w:shd w:val="clear" w:color="auto" w:fill="FFFFFF"/>
        </w:rPr>
        <w:t>were</w:t>
      </w:r>
      <w:r w:rsidR="006A2FAB" w:rsidRPr="0001264F">
        <w:rPr>
          <w:rFonts w:ascii="Arial" w:eastAsia="Times New Roman" w:hAnsi="Arial" w:cs="Arial"/>
          <w:color w:val="000000" w:themeColor="text1"/>
          <w:shd w:val="clear" w:color="auto" w:fill="FFFFFF"/>
        </w:rPr>
        <w:t xml:space="preserve"> then cryopreserved in </w:t>
      </w:r>
      <w:r w:rsidR="00447225" w:rsidRPr="0001264F">
        <w:rPr>
          <w:rFonts w:ascii="Arial" w:eastAsia="Times New Roman" w:hAnsi="Arial" w:cs="Arial"/>
          <w:color w:val="000000" w:themeColor="text1"/>
          <w:shd w:val="clear" w:color="auto" w:fill="FFFFFF"/>
        </w:rPr>
        <w:t xml:space="preserve">culture medium containing </w:t>
      </w:r>
      <w:r w:rsidR="006A2FAB" w:rsidRPr="0001264F">
        <w:rPr>
          <w:rFonts w:ascii="Arial" w:eastAsia="Times New Roman" w:hAnsi="Arial" w:cs="Arial"/>
          <w:color w:val="000000" w:themeColor="text1"/>
          <w:shd w:val="clear" w:color="auto" w:fill="FFFFFF"/>
        </w:rPr>
        <w:t xml:space="preserve">10% DMSO. </w:t>
      </w:r>
      <w:r w:rsidR="00EA4DB0" w:rsidRPr="0001264F">
        <w:rPr>
          <w:rFonts w:ascii="Arial" w:eastAsia="Times New Roman" w:hAnsi="Arial" w:cs="Arial"/>
          <w:color w:val="000000" w:themeColor="text1"/>
          <w:shd w:val="clear" w:color="auto" w:fill="FFFFFF"/>
        </w:rPr>
        <w:t>S</w:t>
      </w:r>
      <w:r w:rsidR="00447225" w:rsidRPr="0001264F">
        <w:rPr>
          <w:rFonts w:ascii="Arial" w:eastAsia="Times New Roman" w:hAnsi="Arial" w:cs="Arial"/>
          <w:color w:val="000000" w:themeColor="text1"/>
          <w:shd w:val="clear" w:color="auto" w:fill="FFFFFF"/>
        </w:rPr>
        <w:t>terility</w:t>
      </w:r>
      <w:r w:rsidR="00EA4DB0" w:rsidRPr="0001264F">
        <w:rPr>
          <w:rFonts w:ascii="Arial" w:eastAsia="Times New Roman" w:hAnsi="Arial" w:cs="Arial"/>
          <w:color w:val="000000" w:themeColor="text1"/>
          <w:shd w:val="clear" w:color="auto" w:fill="FFFFFF"/>
        </w:rPr>
        <w:t>,</w:t>
      </w:r>
      <w:r w:rsidR="00447225" w:rsidRPr="0001264F">
        <w:rPr>
          <w:rFonts w:ascii="Arial" w:eastAsia="Times New Roman" w:hAnsi="Arial" w:cs="Arial"/>
          <w:color w:val="000000" w:themeColor="text1"/>
          <w:shd w:val="clear" w:color="auto" w:fill="FFFFFF"/>
        </w:rPr>
        <w:t xml:space="preserve"> mycoplasma, endotoxin level</w:t>
      </w:r>
      <w:r w:rsidR="00EA4DB0" w:rsidRPr="0001264F">
        <w:rPr>
          <w:rFonts w:ascii="Arial" w:eastAsia="Times New Roman" w:hAnsi="Arial" w:cs="Arial"/>
          <w:color w:val="000000" w:themeColor="text1"/>
          <w:shd w:val="clear" w:color="auto" w:fill="FFFFFF"/>
        </w:rPr>
        <w:t xml:space="preserve"> and e</w:t>
      </w:r>
      <w:r w:rsidR="00447225" w:rsidRPr="0001264F">
        <w:rPr>
          <w:rFonts w:ascii="Arial" w:eastAsia="Times New Roman" w:hAnsi="Arial" w:cs="Arial"/>
          <w:color w:val="000000" w:themeColor="text1"/>
          <w:shd w:val="clear" w:color="auto" w:fill="FFFFFF"/>
        </w:rPr>
        <w:t xml:space="preserve">xpression of </w:t>
      </w:r>
      <w:r w:rsidR="00577850" w:rsidRPr="0001264F">
        <w:rPr>
          <w:rFonts w:ascii="Arial" w:eastAsia="Times New Roman" w:hAnsi="Arial" w:cs="Arial"/>
          <w:color w:val="000000" w:themeColor="text1"/>
          <w:shd w:val="clear" w:color="auto" w:fill="FFFFFF"/>
        </w:rPr>
        <w:t xml:space="preserve">membrane-bound </w:t>
      </w:r>
      <w:r w:rsidR="00447225" w:rsidRPr="0001264F">
        <w:rPr>
          <w:rFonts w:ascii="Arial" w:eastAsia="Times New Roman" w:hAnsi="Arial" w:cs="Arial"/>
          <w:color w:val="000000" w:themeColor="text1"/>
          <w:shd w:val="clear" w:color="auto" w:fill="FFFFFF"/>
        </w:rPr>
        <w:t xml:space="preserve">IL-15 and 4-1BBL were </w:t>
      </w:r>
      <w:r w:rsidR="00EA4DB0" w:rsidRPr="0001264F">
        <w:rPr>
          <w:rFonts w:ascii="Arial" w:eastAsia="Times New Roman" w:hAnsi="Arial" w:cs="Arial"/>
          <w:color w:val="000000" w:themeColor="text1"/>
          <w:shd w:val="clear" w:color="auto" w:fill="FFFFFF"/>
        </w:rPr>
        <w:t>tested</w:t>
      </w:r>
      <w:r w:rsidR="00E04F17" w:rsidRPr="0001264F">
        <w:rPr>
          <w:rFonts w:ascii="Arial" w:eastAsia="Times New Roman" w:hAnsi="Arial" w:cs="Arial"/>
          <w:color w:val="000000" w:themeColor="text1"/>
          <w:shd w:val="clear" w:color="auto" w:fill="FFFFFF"/>
        </w:rPr>
        <w:t xml:space="preserve"> on each batch of irradiated cells</w:t>
      </w:r>
      <w:r w:rsidR="00447225" w:rsidRPr="0001264F">
        <w:rPr>
          <w:rFonts w:ascii="Arial" w:eastAsia="Times New Roman" w:hAnsi="Arial" w:cs="Arial"/>
          <w:color w:val="000000" w:themeColor="text1"/>
          <w:shd w:val="clear" w:color="auto" w:fill="FFFFFF"/>
        </w:rPr>
        <w:t xml:space="preserve">. </w:t>
      </w:r>
      <w:r w:rsidR="00E04F17" w:rsidRPr="0001264F">
        <w:rPr>
          <w:rFonts w:ascii="Arial" w:eastAsia="Times New Roman" w:hAnsi="Arial" w:cs="Arial"/>
          <w:color w:val="000000" w:themeColor="text1"/>
          <w:shd w:val="clear" w:color="auto" w:fill="FFFFFF"/>
        </w:rPr>
        <w:t>T</w:t>
      </w:r>
      <w:r w:rsidR="006A2FAB" w:rsidRPr="0001264F">
        <w:rPr>
          <w:rFonts w:ascii="Arial" w:eastAsia="Times New Roman" w:hAnsi="Arial" w:cs="Arial"/>
          <w:color w:val="000000" w:themeColor="text1"/>
          <w:shd w:val="clear" w:color="auto" w:fill="FFFFFF"/>
        </w:rPr>
        <w:t xml:space="preserve">he irradiated cells </w:t>
      </w:r>
      <w:r w:rsidR="00EA4DB0" w:rsidRPr="0001264F">
        <w:rPr>
          <w:rFonts w:ascii="Arial" w:eastAsia="Times New Roman" w:hAnsi="Arial" w:cs="Arial"/>
          <w:color w:val="000000" w:themeColor="text1"/>
          <w:shd w:val="clear" w:color="auto" w:fill="FFFFFF"/>
        </w:rPr>
        <w:t xml:space="preserve">were </w:t>
      </w:r>
      <w:r w:rsidR="006A2FAB" w:rsidRPr="0001264F">
        <w:rPr>
          <w:rFonts w:ascii="Arial" w:eastAsia="Times New Roman" w:hAnsi="Arial" w:cs="Arial"/>
          <w:color w:val="000000" w:themeColor="text1"/>
          <w:shd w:val="clear" w:color="auto" w:fill="FFFFFF"/>
        </w:rPr>
        <w:t xml:space="preserve">tested for </w:t>
      </w:r>
      <w:r w:rsidR="00E04F17" w:rsidRPr="0001264F">
        <w:rPr>
          <w:rFonts w:ascii="Arial" w:eastAsia="Times New Roman" w:hAnsi="Arial" w:cs="Arial"/>
          <w:color w:val="000000" w:themeColor="text1"/>
          <w:shd w:val="clear" w:color="auto" w:fill="FFFFFF"/>
        </w:rPr>
        <w:t>absence</w:t>
      </w:r>
      <w:r w:rsidR="006A2FAB" w:rsidRPr="0001264F">
        <w:rPr>
          <w:rFonts w:ascii="Arial" w:eastAsia="Times New Roman" w:hAnsi="Arial" w:cs="Arial"/>
          <w:color w:val="000000" w:themeColor="text1"/>
          <w:shd w:val="clear" w:color="auto" w:fill="FFFFFF"/>
        </w:rPr>
        <w:t xml:space="preserve"> of cell growth.</w:t>
      </w:r>
      <w:r w:rsidR="00EA4DB0" w:rsidRPr="0001264F">
        <w:rPr>
          <w:rFonts w:ascii="Arial" w:eastAsia="Times New Roman" w:hAnsi="Arial" w:cs="Arial"/>
          <w:color w:val="000000" w:themeColor="text1"/>
          <w:shd w:val="clear" w:color="auto" w:fill="FFFFFF"/>
        </w:rPr>
        <w:t xml:space="preserve"> To this end, i</w:t>
      </w:r>
      <w:r w:rsidR="006A2FAB" w:rsidRPr="0001264F">
        <w:rPr>
          <w:rFonts w:ascii="Arial" w:eastAsia="Times New Roman" w:hAnsi="Arial" w:cs="Arial"/>
          <w:color w:val="000000" w:themeColor="text1"/>
          <w:shd w:val="clear" w:color="auto" w:fill="FFFFFF"/>
        </w:rPr>
        <w:t>n addition to bulk culture</w:t>
      </w:r>
      <w:r w:rsidR="00EA4DB0" w:rsidRPr="0001264F">
        <w:rPr>
          <w:rFonts w:ascii="Arial" w:eastAsia="Times New Roman" w:hAnsi="Arial" w:cs="Arial"/>
          <w:color w:val="000000" w:themeColor="text1"/>
          <w:shd w:val="clear" w:color="auto" w:fill="FFFFFF"/>
        </w:rPr>
        <w:t xml:space="preserve">s and </w:t>
      </w:r>
      <w:r w:rsidR="006A2FAB" w:rsidRPr="0001264F">
        <w:rPr>
          <w:rFonts w:ascii="Arial" w:eastAsia="Times New Roman" w:hAnsi="Arial" w:cs="Arial"/>
          <w:color w:val="000000" w:themeColor="text1"/>
          <w:shd w:val="clear" w:color="auto" w:fill="FFFFFF"/>
        </w:rPr>
        <w:t>culture</w:t>
      </w:r>
      <w:r w:rsidR="00EA4DB0" w:rsidRPr="0001264F">
        <w:rPr>
          <w:rFonts w:ascii="Arial" w:eastAsia="Times New Roman" w:hAnsi="Arial" w:cs="Arial"/>
          <w:color w:val="000000" w:themeColor="text1"/>
          <w:shd w:val="clear" w:color="auto" w:fill="FFFFFF"/>
        </w:rPr>
        <w:t>s</w:t>
      </w:r>
      <w:r w:rsidR="006A2FAB" w:rsidRPr="0001264F">
        <w:rPr>
          <w:rFonts w:ascii="Arial" w:eastAsia="Times New Roman" w:hAnsi="Arial" w:cs="Arial"/>
          <w:color w:val="000000" w:themeColor="text1"/>
          <w:shd w:val="clear" w:color="auto" w:fill="FFFFFF"/>
        </w:rPr>
        <w:t xml:space="preserve"> of small number of cells (10-100) distributed in the wells of a 96-well </w:t>
      </w:r>
      <w:proofErr w:type="spellStart"/>
      <w:r w:rsidR="006A2FAB" w:rsidRPr="0001264F">
        <w:rPr>
          <w:rFonts w:ascii="Arial" w:eastAsia="Times New Roman" w:hAnsi="Arial" w:cs="Arial"/>
          <w:color w:val="000000" w:themeColor="text1"/>
          <w:shd w:val="clear" w:color="auto" w:fill="FFFFFF"/>
        </w:rPr>
        <w:t>microtiter</w:t>
      </w:r>
      <w:proofErr w:type="spellEnd"/>
      <w:r w:rsidR="006A2FAB" w:rsidRPr="0001264F">
        <w:rPr>
          <w:rFonts w:ascii="Arial" w:eastAsia="Times New Roman" w:hAnsi="Arial" w:cs="Arial"/>
          <w:color w:val="000000" w:themeColor="text1"/>
          <w:shd w:val="clear" w:color="auto" w:fill="FFFFFF"/>
        </w:rPr>
        <w:t xml:space="preserve"> plate</w:t>
      </w:r>
      <w:r w:rsidR="00EA4DB0" w:rsidRPr="0001264F">
        <w:rPr>
          <w:rFonts w:ascii="Arial" w:eastAsia="Times New Roman" w:hAnsi="Arial" w:cs="Arial"/>
          <w:color w:val="000000" w:themeColor="text1"/>
          <w:shd w:val="clear" w:color="auto" w:fill="FFFFFF"/>
        </w:rPr>
        <w:t>, we</w:t>
      </w:r>
      <w:r w:rsidR="006A2FAB" w:rsidRPr="0001264F">
        <w:rPr>
          <w:rFonts w:ascii="Arial" w:eastAsia="Times New Roman" w:hAnsi="Arial" w:cs="Arial"/>
          <w:color w:val="000000" w:themeColor="text1"/>
          <w:shd w:val="clear" w:color="auto" w:fill="FFFFFF"/>
        </w:rPr>
        <w:t xml:space="preserve"> perform</w:t>
      </w:r>
      <w:r w:rsidR="00EA4DB0" w:rsidRPr="0001264F">
        <w:rPr>
          <w:rFonts w:ascii="Arial" w:eastAsia="Times New Roman" w:hAnsi="Arial" w:cs="Arial"/>
          <w:color w:val="000000" w:themeColor="text1"/>
          <w:shd w:val="clear" w:color="auto" w:fill="FFFFFF"/>
        </w:rPr>
        <w:t>ed</w:t>
      </w:r>
      <w:r w:rsidR="006A2FAB" w:rsidRPr="0001264F">
        <w:rPr>
          <w:rFonts w:ascii="Arial" w:eastAsia="Times New Roman" w:hAnsi="Arial" w:cs="Arial"/>
          <w:color w:val="000000" w:themeColor="text1"/>
          <w:shd w:val="clear" w:color="auto" w:fill="FFFFFF"/>
        </w:rPr>
        <w:t xml:space="preserve"> a cell prolif</w:t>
      </w:r>
      <w:r w:rsidR="00EA4DB0" w:rsidRPr="0001264F">
        <w:rPr>
          <w:rFonts w:ascii="Arial" w:eastAsia="Times New Roman" w:hAnsi="Arial" w:cs="Arial"/>
          <w:color w:val="000000" w:themeColor="text1"/>
          <w:shd w:val="clear" w:color="auto" w:fill="FFFFFF"/>
        </w:rPr>
        <w:t>eration assay in which cells were</w:t>
      </w:r>
      <w:r w:rsidR="006A2FAB" w:rsidRPr="0001264F">
        <w:rPr>
          <w:rFonts w:ascii="Arial" w:eastAsia="Times New Roman" w:hAnsi="Arial" w:cs="Arial"/>
          <w:color w:val="000000" w:themeColor="text1"/>
          <w:shd w:val="clear" w:color="auto" w:fill="FFFFFF"/>
        </w:rPr>
        <w:t xml:space="preserve"> incubated with 5-ethynyl-2'-deoxyuridine (</w:t>
      </w:r>
      <w:proofErr w:type="spellStart"/>
      <w:r w:rsidR="006A2FAB" w:rsidRPr="0001264F">
        <w:rPr>
          <w:rFonts w:ascii="Arial" w:eastAsia="Times New Roman" w:hAnsi="Arial" w:cs="Arial"/>
          <w:color w:val="000000" w:themeColor="text1"/>
          <w:shd w:val="clear" w:color="auto" w:fill="FFFFFF"/>
        </w:rPr>
        <w:t>EdU</w:t>
      </w:r>
      <w:proofErr w:type="spellEnd"/>
      <w:r w:rsidR="006A2FAB" w:rsidRPr="0001264F">
        <w:rPr>
          <w:rFonts w:ascii="Arial" w:eastAsia="Times New Roman" w:hAnsi="Arial" w:cs="Arial"/>
          <w:color w:val="000000" w:themeColor="text1"/>
          <w:shd w:val="clear" w:color="auto" w:fill="FFFFFF"/>
        </w:rPr>
        <w:t xml:space="preserve">) and </w:t>
      </w:r>
      <w:proofErr w:type="spellStart"/>
      <w:r w:rsidR="006A2FAB" w:rsidRPr="0001264F">
        <w:rPr>
          <w:rFonts w:ascii="Arial" w:eastAsia="Times New Roman" w:hAnsi="Arial" w:cs="Arial"/>
          <w:color w:val="000000" w:themeColor="text1"/>
          <w:shd w:val="clear" w:color="auto" w:fill="FFFFFF"/>
        </w:rPr>
        <w:t>EdU</w:t>
      </w:r>
      <w:proofErr w:type="spellEnd"/>
      <w:r w:rsidR="006A2FAB" w:rsidRPr="0001264F">
        <w:rPr>
          <w:rFonts w:ascii="Arial" w:eastAsia="Times New Roman" w:hAnsi="Arial" w:cs="Arial"/>
          <w:color w:val="000000" w:themeColor="text1"/>
          <w:shd w:val="clear" w:color="auto" w:fill="FFFFFF"/>
        </w:rPr>
        <w:t>-positive cells (i.e</w:t>
      </w:r>
      <w:r w:rsidR="00EA4DB0" w:rsidRPr="0001264F">
        <w:rPr>
          <w:rFonts w:ascii="Arial" w:eastAsia="Times New Roman" w:hAnsi="Arial" w:cs="Arial"/>
          <w:color w:val="000000" w:themeColor="text1"/>
          <w:shd w:val="clear" w:color="auto" w:fill="FFFFFF"/>
        </w:rPr>
        <w:t>., cells that enter S phase) were</w:t>
      </w:r>
      <w:r w:rsidR="006A2FAB" w:rsidRPr="0001264F">
        <w:rPr>
          <w:rFonts w:ascii="Arial" w:eastAsia="Times New Roman" w:hAnsi="Arial" w:cs="Arial"/>
          <w:color w:val="000000" w:themeColor="text1"/>
          <w:shd w:val="clear" w:color="auto" w:fill="FFFFFF"/>
        </w:rPr>
        <w:t xml:space="preserve"> monitored by </w:t>
      </w:r>
      <w:proofErr w:type="spellStart"/>
      <w:r w:rsidR="006A2FAB" w:rsidRPr="0001264F">
        <w:rPr>
          <w:rFonts w:ascii="Arial" w:eastAsia="Times New Roman" w:hAnsi="Arial" w:cs="Arial"/>
          <w:color w:val="000000" w:themeColor="text1"/>
          <w:shd w:val="clear" w:color="auto" w:fill="FFFFFF"/>
        </w:rPr>
        <w:t>EdU</w:t>
      </w:r>
      <w:proofErr w:type="spellEnd"/>
      <w:r w:rsidR="006A2FAB" w:rsidRPr="0001264F">
        <w:rPr>
          <w:rFonts w:ascii="Arial" w:eastAsia="Times New Roman" w:hAnsi="Arial" w:cs="Arial"/>
          <w:color w:val="000000" w:themeColor="text1"/>
          <w:shd w:val="clear" w:color="auto" w:fill="FFFFFF"/>
        </w:rPr>
        <w:t xml:space="preserve"> staining (Click-</w:t>
      </w:r>
      <w:proofErr w:type="spellStart"/>
      <w:r w:rsidR="006A2FAB" w:rsidRPr="0001264F">
        <w:rPr>
          <w:rFonts w:ascii="Arial" w:eastAsia="Times New Roman" w:hAnsi="Arial" w:cs="Arial"/>
          <w:color w:val="000000" w:themeColor="text1"/>
          <w:shd w:val="clear" w:color="auto" w:fill="FFFFFF"/>
        </w:rPr>
        <w:t>iT</w:t>
      </w:r>
      <w:proofErr w:type="spellEnd"/>
      <w:r w:rsidR="006A2FAB" w:rsidRPr="0001264F">
        <w:rPr>
          <w:rFonts w:ascii="Arial" w:eastAsia="Times New Roman" w:hAnsi="Arial" w:cs="Arial"/>
          <w:color w:val="000000" w:themeColor="text1"/>
          <w:shd w:val="clear" w:color="auto" w:fill="FFFFFF"/>
        </w:rPr>
        <w:t xml:space="preserve"> assay) and </w:t>
      </w:r>
      <w:proofErr w:type="spellStart"/>
      <w:r w:rsidR="006A2FAB" w:rsidRPr="0001264F">
        <w:rPr>
          <w:rFonts w:ascii="Arial" w:eastAsia="Times New Roman" w:hAnsi="Arial" w:cs="Arial"/>
          <w:color w:val="000000" w:themeColor="text1"/>
          <w:shd w:val="clear" w:color="auto" w:fill="FFFFFF"/>
        </w:rPr>
        <w:t>FxCycle</w:t>
      </w:r>
      <w:proofErr w:type="spellEnd"/>
      <w:r w:rsidR="006A2FAB" w:rsidRPr="0001264F">
        <w:rPr>
          <w:rFonts w:ascii="Arial" w:eastAsia="Times New Roman" w:hAnsi="Arial" w:cs="Arial"/>
          <w:color w:val="000000" w:themeColor="text1"/>
          <w:shd w:val="clear" w:color="auto" w:fill="FFFFFF"/>
        </w:rPr>
        <w:t xml:space="preserve"> Violet DNA staining (both </w:t>
      </w:r>
      <w:r w:rsidR="006A2FAB" w:rsidRPr="0001264F">
        <w:rPr>
          <w:rFonts w:ascii="Arial" w:eastAsia="Times New Roman" w:hAnsi="Arial" w:cs="Arial"/>
          <w:color w:val="000000" w:themeColor="text1"/>
          <w:shd w:val="clear" w:color="auto" w:fill="FFFFFF"/>
        </w:rPr>
        <w:lastRenderedPageBreak/>
        <w:t xml:space="preserve">from </w:t>
      </w:r>
      <w:proofErr w:type="spellStart"/>
      <w:r w:rsidR="006A2FAB" w:rsidRPr="0001264F">
        <w:rPr>
          <w:rFonts w:ascii="Arial" w:eastAsia="Times New Roman" w:hAnsi="Arial" w:cs="Arial"/>
          <w:color w:val="000000" w:themeColor="text1"/>
          <w:shd w:val="clear" w:color="auto" w:fill="FFFFFF"/>
        </w:rPr>
        <w:t>Thermo</w:t>
      </w:r>
      <w:proofErr w:type="spellEnd"/>
      <w:r w:rsidR="003447E6" w:rsidRPr="0001264F">
        <w:rPr>
          <w:rFonts w:ascii="Arial" w:eastAsia="Times New Roman" w:hAnsi="Arial" w:cs="Arial"/>
          <w:color w:val="000000" w:themeColor="text1"/>
          <w:shd w:val="clear" w:color="auto" w:fill="FFFFFF"/>
        </w:rPr>
        <w:t xml:space="preserve"> </w:t>
      </w:r>
      <w:r w:rsidR="006A2FAB" w:rsidRPr="0001264F">
        <w:rPr>
          <w:rFonts w:ascii="Arial" w:eastAsia="Times New Roman" w:hAnsi="Arial" w:cs="Arial"/>
          <w:color w:val="000000" w:themeColor="text1"/>
          <w:shd w:val="clear" w:color="auto" w:fill="FFFFFF"/>
        </w:rPr>
        <w:t>Fisher Scientific, Waltham, MA). Only when all tests confirm</w:t>
      </w:r>
      <w:r w:rsidR="00EA4DB0" w:rsidRPr="0001264F">
        <w:rPr>
          <w:rFonts w:ascii="Arial" w:eastAsia="Times New Roman" w:hAnsi="Arial" w:cs="Arial"/>
          <w:color w:val="000000" w:themeColor="text1"/>
          <w:shd w:val="clear" w:color="auto" w:fill="FFFFFF"/>
        </w:rPr>
        <w:t>ed</w:t>
      </w:r>
      <w:r w:rsidR="006A2FAB" w:rsidRPr="0001264F">
        <w:rPr>
          <w:rFonts w:ascii="Arial" w:eastAsia="Times New Roman" w:hAnsi="Arial" w:cs="Arial"/>
          <w:color w:val="000000" w:themeColor="text1"/>
          <w:shd w:val="clear" w:color="auto" w:fill="FFFFFF"/>
        </w:rPr>
        <w:t xml:space="preserve"> the lack of detectable dividing K562</w:t>
      </w:r>
      <w:r w:rsidR="00EA4DB0" w:rsidRPr="0001264F">
        <w:rPr>
          <w:rFonts w:ascii="Arial" w:eastAsia="Times New Roman" w:hAnsi="Arial" w:cs="Arial"/>
          <w:color w:val="000000" w:themeColor="text1"/>
          <w:shd w:val="clear" w:color="auto" w:fill="FFFFFF"/>
        </w:rPr>
        <w:t>-mb15-41BBL cells, a batch was certified</w:t>
      </w:r>
      <w:r w:rsidR="006A2FAB" w:rsidRPr="0001264F">
        <w:rPr>
          <w:rFonts w:ascii="Arial" w:eastAsia="Times New Roman" w:hAnsi="Arial" w:cs="Arial"/>
          <w:color w:val="000000" w:themeColor="text1"/>
          <w:shd w:val="clear" w:color="auto" w:fill="FFFFFF"/>
        </w:rPr>
        <w:t xml:space="preserve"> for use.   </w:t>
      </w:r>
    </w:p>
    <w:p w14:paraId="20D4ADB5" w14:textId="77777777" w:rsidR="006A2FAB" w:rsidRPr="0001264F" w:rsidRDefault="006A2FAB" w:rsidP="00404338">
      <w:pPr>
        <w:jc w:val="left"/>
        <w:rPr>
          <w:rFonts w:ascii="Arial" w:eastAsia="Times New Roman" w:hAnsi="Arial" w:cs="Arial"/>
          <w:color w:val="000000" w:themeColor="text1"/>
          <w:shd w:val="clear" w:color="auto" w:fill="FFFFFF"/>
        </w:rPr>
      </w:pPr>
    </w:p>
    <w:p w14:paraId="753CC395" w14:textId="7007D290" w:rsidR="006A2FAB" w:rsidRPr="0001264F" w:rsidRDefault="006A2FAB" w:rsidP="00404338">
      <w:pPr>
        <w:jc w:val="left"/>
        <w:rPr>
          <w:rFonts w:ascii="Arial" w:eastAsia="Times New Roman" w:hAnsi="Arial" w:cs="Arial"/>
          <w:color w:val="000000" w:themeColor="text1"/>
          <w:shd w:val="clear" w:color="auto" w:fill="FFFFFF"/>
        </w:rPr>
      </w:pPr>
      <w:r w:rsidRPr="0001264F">
        <w:rPr>
          <w:rFonts w:ascii="Arial" w:eastAsia="Times New Roman" w:hAnsi="Arial" w:cs="Arial"/>
          <w:color w:val="000000" w:themeColor="text1"/>
          <w:shd w:val="clear" w:color="auto" w:fill="FFFFFF"/>
        </w:rPr>
        <w:t>The day before initiation of the co-culture</w:t>
      </w:r>
      <w:r w:rsidR="00E04F17" w:rsidRPr="0001264F">
        <w:rPr>
          <w:rFonts w:ascii="Arial" w:eastAsia="Times New Roman" w:hAnsi="Arial" w:cs="Arial"/>
          <w:color w:val="000000" w:themeColor="text1"/>
          <w:shd w:val="clear" w:color="auto" w:fill="FFFFFF"/>
        </w:rPr>
        <w:t xml:space="preserve"> with peripheral blood </w:t>
      </w:r>
      <w:proofErr w:type="spellStart"/>
      <w:r w:rsidR="00E04F17" w:rsidRPr="0001264F">
        <w:rPr>
          <w:rFonts w:ascii="Arial" w:eastAsia="Times New Roman" w:hAnsi="Arial" w:cs="Arial"/>
          <w:color w:val="000000" w:themeColor="text1"/>
          <w:shd w:val="clear" w:color="auto" w:fill="FFFFFF"/>
        </w:rPr>
        <w:t>mononucleated</w:t>
      </w:r>
      <w:proofErr w:type="spellEnd"/>
      <w:r w:rsidR="00E04F17" w:rsidRPr="0001264F">
        <w:rPr>
          <w:rFonts w:ascii="Arial" w:eastAsia="Times New Roman" w:hAnsi="Arial" w:cs="Arial"/>
          <w:color w:val="000000" w:themeColor="text1"/>
          <w:shd w:val="clear" w:color="auto" w:fill="FFFFFF"/>
        </w:rPr>
        <w:t xml:space="preserve"> cells</w:t>
      </w:r>
      <w:r w:rsidRPr="0001264F">
        <w:rPr>
          <w:rFonts w:ascii="Arial" w:eastAsia="Times New Roman" w:hAnsi="Arial" w:cs="Arial"/>
          <w:color w:val="000000" w:themeColor="text1"/>
          <w:shd w:val="clear" w:color="auto" w:fill="FFFFFF"/>
        </w:rPr>
        <w:t xml:space="preserve">, the certified </w:t>
      </w:r>
      <w:r w:rsidR="00EA4DB0" w:rsidRPr="0001264F">
        <w:rPr>
          <w:rFonts w:ascii="Arial" w:eastAsia="Times New Roman" w:hAnsi="Arial" w:cs="Arial"/>
          <w:color w:val="000000" w:themeColor="text1"/>
          <w:shd w:val="clear" w:color="auto" w:fill="FFFFFF"/>
        </w:rPr>
        <w:t xml:space="preserve">irradiated </w:t>
      </w:r>
      <w:r w:rsidRPr="0001264F">
        <w:rPr>
          <w:rFonts w:ascii="Arial" w:eastAsia="Times New Roman" w:hAnsi="Arial" w:cs="Arial"/>
          <w:color w:val="000000" w:themeColor="text1"/>
          <w:shd w:val="clear" w:color="auto" w:fill="FFFFFF"/>
        </w:rPr>
        <w:t xml:space="preserve">K562-mb15-41BBL cells </w:t>
      </w:r>
      <w:r w:rsidR="00EA4DB0" w:rsidRPr="0001264F">
        <w:rPr>
          <w:rFonts w:ascii="Arial" w:eastAsia="Times New Roman" w:hAnsi="Arial" w:cs="Arial"/>
          <w:color w:val="000000" w:themeColor="text1"/>
          <w:shd w:val="clear" w:color="auto" w:fill="FFFFFF"/>
        </w:rPr>
        <w:t>were</w:t>
      </w:r>
      <w:r w:rsidRPr="0001264F">
        <w:rPr>
          <w:rFonts w:ascii="Arial" w:eastAsia="Times New Roman" w:hAnsi="Arial" w:cs="Arial"/>
          <w:color w:val="000000" w:themeColor="text1"/>
          <w:shd w:val="clear" w:color="auto" w:fill="FFFFFF"/>
        </w:rPr>
        <w:t xml:space="preserve"> thawed; 3 x 10</w:t>
      </w:r>
      <w:r w:rsidRPr="0001264F">
        <w:rPr>
          <w:rFonts w:ascii="Arial" w:eastAsia="Times New Roman" w:hAnsi="Arial" w:cs="Arial"/>
          <w:color w:val="000000" w:themeColor="text1"/>
          <w:shd w:val="clear" w:color="auto" w:fill="FFFFFF"/>
          <w:vertAlign w:val="superscript"/>
        </w:rPr>
        <w:t>7</w:t>
      </w:r>
      <w:r w:rsidR="00EA4DB0" w:rsidRPr="0001264F">
        <w:rPr>
          <w:rFonts w:ascii="Arial" w:eastAsia="Times New Roman" w:hAnsi="Arial" w:cs="Arial"/>
          <w:color w:val="000000" w:themeColor="text1"/>
          <w:shd w:val="clear" w:color="auto" w:fill="FFFFFF"/>
        </w:rPr>
        <w:t xml:space="preserve"> cells were placed in 2-8</w:t>
      </w:r>
      <w:r w:rsidRPr="0001264F">
        <w:rPr>
          <w:rFonts w:ascii="Arial" w:eastAsia="Times New Roman" w:hAnsi="Arial" w:cs="Arial"/>
          <w:color w:val="000000" w:themeColor="text1"/>
          <w:shd w:val="clear" w:color="auto" w:fill="FFFFFF"/>
        </w:rPr>
        <w:t xml:space="preserve"> G-Rex100 chambers (Wilson</w:t>
      </w:r>
      <w:r w:rsidR="006F1D78" w:rsidRPr="0001264F">
        <w:rPr>
          <w:rFonts w:ascii="Arial" w:eastAsia="Times New Roman" w:hAnsi="Arial" w:cs="Arial"/>
          <w:color w:val="000000" w:themeColor="text1"/>
          <w:shd w:val="clear" w:color="auto" w:fill="FFFFFF"/>
        </w:rPr>
        <w:t xml:space="preserve"> </w:t>
      </w:r>
      <w:r w:rsidRPr="0001264F">
        <w:rPr>
          <w:rFonts w:ascii="Arial" w:eastAsia="Times New Roman" w:hAnsi="Arial" w:cs="Arial"/>
          <w:color w:val="000000" w:themeColor="text1"/>
          <w:shd w:val="clear" w:color="auto" w:fill="FFFFFF"/>
        </w:rPr>
        <w:t>Wolf</w:t>
      </w:r>
      <w:r w:rsidR="00EA4DB0" w:rsidRPr="0001264F">
        <w:rPr>
          <w:rFonts w:ascii="Arial" w:eastAsia="Times New Roman" w:hAnsi="Arial" w:cs="Arial"/>
          <w:color w:val="000000" w:themeColor="text1"/>
          <w:shd w:val="clear" w:color="auto" w:fill="FFFFFF"/>
        </w:rPr>
        <w:t>)</w:t>
      </w:r>
      <w:r w:rsidRPr="0001264F">
        <w:rPr>
          <w:rFonts w:ascii="Arial" w:eastAsia="Times New Roman" w:hAnsi="Arial" w:cs="Arial"/>
          <w:color w:val="000000" w:themeColor="text1"/>
          <w:shd w:val="clear" w:color="auto" w:fill="FFFFFF"/>
        </w:rPr>
        <w:t xml:space="preserve"> in 200 mL of SCGM medium (</w:t>
      </w:r>
      <w:proofErr w:type="spellStart"/>
      <w:r w:rsidRPr="0001264F">
        <w:rPr>
          <w:rFonts w:ascii="Arial" w:eastAsia="Times New Roman" w:hAnsi="Arial" w:cs="Arial"/>
          <w:color w:val="000000" w:themeColor="text1"/>
          <w:shd w:val="clear" w:color="auto" w:fill="FFFFFF"/>
        </w:rPr>
        <w:t>CellGenix</w:t>
      </w:r>
      <w:proofErr w:type="spellEnd"/>
      <w:r w:rsidRPr="0001264F">
        <w:rPr>
          <w:rFonts w:ascii="Arial" w:eastAsia="Times New Roman" w:hAnsi="Arial" w:cs="Arial"/>
          <w:color w:val="000000" w:themeColor="text1"/>
          <w:shd w:val="clear" w:color="auto" w:fill="FFFFFF"/>
        </w:rPr>
        <w:t xml:space="preserve">, Freiburg </w:t>
      </w:r>
      <w:proofErr w:type="spellStart"/>
      <w:r w:rsidRPr="0001264F">
        <w:rPr>
          <w:rFonts w:ascii="Arial" w:eastAsia="Times New Roman" w:hAnsi="Arial" w:cs="Arial"/>
          <w:color w:val="000000" w:themeColor="text1"/>
          <w:shd w:val="clear" w:color="auto" w:fill="FFFFFF"/>
        </w:rPr>
        <w:t>im</w:t>
      </w:r>
      <w:proofErr w:type="spellEnd"/>
      <w:r w:rsidRPr="0001264F">
        <w:rPr>
          <w:rFonts w:ascii="Arial" w:eastAsia="Times New Roman" w:hAnsi="Arial" w:cs="Arial"/>
          <w:color w:val="000000" w:themeColor="text1"/>
          <w:shd w:val="clear" w:color="auto" w:fill="FFFFFF"/>
        </w:rPr>
        <w:t xml:space="preserve"> </w:t>
      </w:r>
      <w:proofErr w:type="spellStart"/>
      <w:r w:rsidRPr="0001264F">
        <w:rPr>
          <w:rFonts w:ascii="Arial" w:eastAsia="Times New Roman" w:hAnsi="Arial" w:cs="Arial"/>
          <w:color w:val="000000" w:themeColor="text1"/>
          <w:shd w:val="clear" w:color="auto" w:fill="FFFFFF"/>
        </w:rPr>
        <w:t>Breisgau</w:t>
      </w:r>
      <w:proofErr w:type="spellEnd"/>
      <w:r w:rsidRPr="0001264F">
        <w:rPr>
          <w:rFonts w:ascii="Arial" w:eastAsia="Times New Roman" w:hAnsi="Arial" w:cs="Arial"/>
          <w:color w:val="000000" w:themeColor="text1"/>
          <w:shd w:val="clear" w:color="auto" w:fill="FFFFFF"/>
        </w:rPr>
        <w:t xml:space="preserve">, Germany). On </w:t>
      </w:r>
      <w:r w:rsidR="00EA4DB0" w:rsidRPr="0001264F">
        <w:rPr>
          <w:rFonts w:ascii="Arial" w:eastAsia="Times New Roman" w:hAnsi="Arial" w:cs="Arial"/>
          <w:color w:val="000000" w:themeColor="text1"/>
          <w:shd w:val="clear" w:color="auto" w:fill="FFFFFF"/>
        </w:rPr>
        <w:t xml:space="preserve">the same day, a </w:t>
      </w:r>
      <w:proofErr w:type="spellStart"/>
      <w:r w:rsidR="00EA4DB0" w:rsidRPr="0001264F">
        <w:rPr>
          <w:rFonts w:ascii="Arial" w:eastAsia="Times New Roman" w:hAnsi="Arial" w:cs="Arial"/>
          <w:color w:val="000000" w:themeColor="text1"/>
          <w:shd w:val="clear" w:color="auto" w:fill="FFFFFF"/>
        </w:rPr>
        <w:t>leukapheresis</w:t>
      </w:r>
      <w:proofErr w:type="spellEnd"/>
      <w:r w:rsidR="00EA4DB0" w:rsidRPr="0001264F">
        <w:rPr>
          <w:rFonts w:ascii="Arial" w:eastAsia="Times New Roman" w:hAnsi="Arial" w:cs="Arial"/>
          <w:color w:val="000000" w:themeColor="text1"/>
          <w:shd w:val="clear" w:color="auto" w:fill="FFFFFF"/>
        </w:rPr>
        <w:t xml:space="preserve"> was</w:t>
      </w:r>
      <w:r w:rsidRPr="0001264F">
        <w:rPr>
          <w:rFonts w:ascii="Arial" w:eastAsia="Times New Roman" w:hAnsi="Arial" w:cs="Arial"/>
          <w:color w:val="000000" w:themeColor="text1"/>
          <w:shd w:val="clear" w:color="auto" w:fill="FFFFFF"/>
        </w:rPr>
        <w:t xml:space="preserve"> collected from the patient. On the follow</w:t>
      </w:r>
      <w:r w:rsidR="00EA4DB0" w:rsidRPr="0001264F">
        <w:rPr>
          <w:rFonts w:ascii="Arial" w:eastAsia="Times New Roman" w:hAnsi="Arial" w:cs="Arial"/>
          <w:color w:val="000000" w:themeColor="text1"/>
          <w:shd w:val="clear" w:color="auto" w:fill="FFFFFF"/>
        </w:rPr>
        <w:t xml:space="preserve">ing day, </w:t>
      </w:r>
      <w:proofErr w:type="spellStart"/>
      <w:r w:rsidR="00EA4DB0" w:rsidRPr="0001264F">
        <w:rPr>
          <w:rFonts w:ascii="Arial" w:eastAsia="Times New Roman" w:hAnsi="Arial" w:cs="Arial"/>
          <w:color w:val="000000" w:themeColor="text1"/>
          <w:shd w:val="clear" w:color="auto" w:fill="FFFFFF"/>
        </w:rPr>
        <w:t>mononucleated</w:t>
      </w:r>
      <w:proofErr w:type="spellEnd"/>
      <w:r w:rsidR="00EA4DB0" w:rsidRPr="0001264F">
        <w:rPr>
          <w:rFonts w:ascii="Arial" w:eastAsia="Times New Roman" w:hAnsi="Arial" w:cs="Arial"/>
          <w:color w:val="000000" w:themeColor="text1"/>
          <w:shd w:val="clear" w:color="auto" w:fill="FFFFFF"/>
        </w:rPr>
        <w:t xml:space="preserve"> cells were</w:t>
      </w:r>
      <w:r w:rsidRPr="0001264F">
        <w:rPr>
          <w:rFonts w:ascii="Arial" w:eastAsia="Times New Roman" w:hAnsi="Arial" w:cs="Arial"/>
          <w:color w:val="000000" w:themeColor="text1"/>
          <w:shd w:val="clear" w:color="auto" w:fill="FFFFFF"/>
        </w:rPr>
        <w:t xml:space="preserve"> separated from the </w:t>
      </w:r>
      <w:proofErr w:type="spellStart"/>
      <w:r w:rsidRPr="0001264F">
        <w:rPr>
          <w:rFonts w:ascii="Arial" w:eastAsia="Times New Roman" w:hAnsi="Arial" w:cs="Arial"/>
          <w:color w:val="000000" w:themeColor="text1"/>
          <w:shd w:val="clear" w:color="auto" w:fill="FFFFFF"/>
        </w:rPr>
        <w:t>leukapheresis</w:t>
      </w:r>
      <w:proofErr w:type="spellEnd"/>
      <w:r w:rsidRPr="0001264F">
        <w:rPr>
          <w:rFonts w:ascii="Arial" w:eastAsia="Times New Roman" w:hAnsi="Arial" w:cs="Arial"/>
          <w:color w:val="000000" w:themeColor="text1"/>
          <w:shd w:val="clear" w:color="auto" w:fill="FFFFFF"/>
        </w:rPr>
        <w:t xml:space="preserve"> by centrifugation on a </w:t>
      </w:r>
      <w:proofErr w:type="spellStart"/>
      <w:r w:rsidRPr="0001264F">
        <w:rPr>
          <w:rFonts w:ascii="Arial" w:eastAsia="Times New Roman" w:hAnsi="Arial" w:cs="Arial"/>
          <w:color w:val="000000" w:themeColor="text1"/>
          <w:shd w:val="clear" w:color="auto" w:fill="FFFFFF"/>
        </w:rPr>
        <w:t>Ficoll</w:t>
      </w:r>
      <w:proofErr w:type="spellEnd"/>
      <w:r w:rsidRPr="0001264F">
        <w:rPr>
          <w:rFonts w:ascii="Arial" w:eastAsia="Times New Roman" w:hAnsi="Arial" w:cs="Arial"/>
          <w:color w:val="000000" w:themeColor="text1"/>
          <w:shd w:val="clear" w:color="auto" w:fill="FFFFFF"/>
        </w:rPr>
        <w:t xml:space="preserve"> gradient, washed and </w:t>
      </w:r>
      <w:proofErr w:type="spellStart"/>
      <w:r w:rsidRPr="0001264F">
        <w:rPr>
          <w:rFonts w:ascii="Arial" w:eastAsia="Times New Roman" w:hAnsi="Arial" w:cs="Arial"/>
          <w:color w:val="000000" w:themeColor="text1"/>
          <w:shd w:val="clear" w:color="auto" w:fill="FFFFFF"/>
        </w:rPr>
        <w:t>resuspended</w:t>
      </w:r>
      <w:proofErr w:type="spellEnd"/>
      <w:r w:rsidRPr="0001264F">
        <w:rPr>
          <w:rFonts w:ascii="Arial" w:eastAsia="Times New Roman" w:hAnsi="Arial" w:cs="Arial"/>
          <w:color w:val="000000" w:themeColor="text1"/>
          <w:shd w:val="clear" w:color="auto" w:fill="FFFFFF"/>
        </w:rPr>
        <w:t xml:space="preserve"> in SCGM; </w:t>
      </w:r>
      <w:r w:rsidR="00EA4DB0" w:rsidRPr="0001264F">
        <w:rPr>
          <w:rFonts w:ascii="Arial" w:eastAsia="Times New Roman" w:hAnsi="Arial" w:cs="Arial"/>
          <w:color w:val="000000" w:themeColor="text1"/>
          <w:shd w:val="clear" w:color="auto" w:fill="FFFFFF"/>
        </w:rPr>
        <w:t>200 mL of the cell suspension was</w:t>
      </w:r>
      <w:r w:rsidRPr="0001264F">
        <w:rPr>
          <w:rFonts w:ascii="Arial" w:eastAsia="Times New Roman" w:hAnsi="Arial" w:cs="Arial"/>
          <w:color w:val="000000" w:themeColor="text1"/>
          <w:shd w:val="clear" w:color="auto" w:fill="FFFFFF"/>
        </w:rPr>
        <w:t xml:space="preserve"> added to each G-Rex</w:t>
      </w:r>
      <w:r w:rsidR="00EA4DB0" w:rsidRPr="0001264F">
        <w:rPr>
          <w:rFonts w:ascii="Arial" w:eastAsia="Times New Roman" w:hAnsi="Arial" w:cs="Arial"/>
          <w:color w:val="000000" w:themeColor="text1"/>
          <w:shd w:val="clear" w:color="auto" w:fill="FFFFFF"/>
        </w:rPr>
        <w:t>100</w:t>
      </w:r>
      <w:r w:rsidRPr="0001264F">
        <w:rPr>
          <w:rFonts w:ascii="Arial" w:eastAsia="Times New Roman" w:hAnsi="Arial" w:cs="Arial"/>
          <w:color w:val="000000" w:themeColor="text1"/>
          <w:shd w:val="clear" w:color="auto" w:fill="FFFFFF"/>
        </w:rPr>
        <w:t xml:space="preserve"> chamber containing </w:t>
      </w:r>
      <w:r w:rsidR="00EA4DB0" w:rsidRPr="0001264F">
        <w:rPr>
          <w:rFonts w:ascii="Arial" w:eastAsia="Times New Roman" w:hAnsi="Arial" w:cs="Arial"/>
          <w:color w:val="000000" w:themeColor="text1"/>
          <w:shd w:val="clear" w:color="auto" w:fill="FFFFFF"/>
        </w:rPr>
        <w:t xml:space="preserve">irradiated </w:t>
      </w:r>
      <w:r w:rsidRPr="0001264F">
        <w:rPr>
          <w:rFonts w:ascii="Arial" w:eastAsia="Times New Roman" w:hAnsi="Arial" w:cs="Arial"/>
          <w:color w:val="000000" w:themeColor="text1"/>
          <w:shd w:val="clear" w:color="auto" w:fill="FFFFFF"/>
        </w:rPr>
        <w:t xml:space="preserve">K562-mb15-41BBL </w:t>
      </w:r>
      <w:r w:rsidR="00EA4DB0" w:rsidRPr="0001264F">
        <w:rPr>
          <w:rFonts w:ascii="Arial" w:eastAsia="Times New Roman" w:hAnsi="Arial" w:cs="Arial"/>
          <w:color w:val="000000" w:themeColor="text1"/>
          <w:shd w:val="clear" w:color="auto" w:fill="FFFFFF"/>
        </w:rPr>
        <w:t>cells. The cell concentration was</w:t>
      </w:r>
      <w:r w:rsidRPr="0001264F">
        <w:rPr>
          <w:rFonts w:ascii="Arial" w:eastAsia="Times New Roman" w:hAnsi="Arial" w:cs="Arial"/>
          <w:color w:val="000000" w:themeColor="text1"/>
          <w:shd w:val="clear" w:color="auto" w:fill="FFFFFF"/>
        </w:rPr>
        <w:t xml:space="preserve"> adjusted to achieve 3 x 10</w:t>
      </w:r>
      <w:r w:rsidRPr="0001264F">
        <w:rPr>
          <w:rFonts w:ascii="Arial" w:eastAsia="Times New Roman" w:hAnsi="Arial" w:cs="Arial"/>
          <w:color w:val="000000" w:themeColor="text1"/>
          <w:shd w:val="clear" w:color="auto" w:fill="FFFFFF"/>
          <w:vertAlign w:val="superscript"/>
        </w:rPr>
        <w:t>6</w:t>
      </w:r>
      <w:r w:rsidRPr="0001264F">
        <w:rPr>
          <w:rFonts w:ascii="Arial" w:eastAsia="Times New Roman" w:hAnsi="Arial" w:cs="Arial"/>
          <w:color w:val="000000" w:themeColor="text1"/>
          <w:shd w:val="clear" w:color="auto" w:fill="FFFFFF"/>
        </w:rPr>
        <w:t xml:space="preserve"> CD56+ CD3- NK cells per chamber, producing a NK: K562-mb15-41BBL ratio of 1:10. </w:t>
      </w:r>
    </w:p>
    <w:p w14:paraId="37281E25" w14:textId="77777777" w:rsidR="006A2FAB" w:rsidRPr="0001264F" w:rsidRDefault="006A2FAB" w:rsidP="006A2FAB">
      <w:pPr>
        <w:rPr>
          <w:rFonts w:ascii="Arial" w:eastAsia="Times New Roman" w:hAnsi="Arial" w:cs="Arial"/>
          <w:b/>
          <w:color w:val="000000" w:themeColor="text1"/>
          <w:shd w:val="clear" w:color="auto" w:fill="FFFFFF"/>
        </w:rPr>
      </w:pPr>
    </w:p>
    <w:p w14:paraId="28AEC277" w14:textId="4933C3FD" w:rsidR="006A2FAB" w:rsidRPr="0001264F" w:rsidRDefault="006A2FAB" w:rsidP="00404338">
      <w:pPr>
        <w:jc w:val="left"/>
        <w:rPr>
          <w:rFonts w:ascii="Arial" w:eastAsia="Times New Roman" w:hAnsi="Arial" w:cs="Arial"/>
          <w:color w:val="000000" w:themeColor="text1"/>
          <w:shd w:val="clear" w:color="auto" w:fill="FFFFFF"/>
        </w:rPr>
      </w:pPr>
      <w:r w:rsidRPr="0001264F">
        <w:rPr>
          <w:rFonts w:ascii="Arial" w:eastAsia="Times New Roman" w:hAnsi="Arial" w:cs="Arial"/>
          <w:color w:val="000000" w:themeColor="text1"/>
          <w:shd w:val="clear" w:color="auto" w:fill="FFFFFF"/>
        </w:rPr>
        <w:t>To sustain NK cell expansion, low-dose (40 IU/mL) IL-2 (</w:t>
      </w:r>
      <w:proofErr w:type="spellStart"/>
      <w:r w:rsidRPr="0001264F">
        <w:rPr>
          <w:rFonts w:ascii="Arial" w:eastAsia="Times New Roman" w:hAnsi="Arial" w:cs="Arial"/>
          <w:color w:val="000000" w:themeColor="text1"/>
          <w:shd w:val="clear" w:color="auto" w:fill="FFFFFF"/>
        </w:rPr>
        <w:t>Proleukin</w:t>
      </w:r>
      <w:proofErr w:type="spellEnd"/>
      <w:r w:rsidRPr="0001264F">
        <w:rPr>
          <w:rFonts w:ascii="Arial" w:eastAsia="Times New Roman" w:hAnsi="Arial" w:cs="Arial"/>
          <w:color w:val="000000" w:themeColor="text1"/>
          <w:shd w:val="clear" w:color="auto" w:fill="FFFFFF"/>
        </w:rPr>
        <w:t xml:space="preserve">; Novartis, Basel, Switzerland) </w:t>
      </w:r>
      <w:r w:rsidR="005C714E" w:rsidRPr="0001264F">
        <w:rPr>
          <w:rFonts w:ascii="Arial" w:eastAsia="Times New Roman" w:hAnsi="Arial" w:cs="Arial"/>
          <w:color w:val="000000" w:themeColor="text1"/>
          <w:shd w:val="clear" w:color="auto" w:fill="FFFFFF"/>
        </w:rPr>
        <w:t>was</w:t>
      </w:r>
      <w:r w:rsidRPr="0001264F">
        <w:rPr>
          <w:rFonts w:ascii="Arial" w:eastAsia="Times New Roman" w:hAnsi="Arial" w:cs="Arial"/>
          <w:color w:val="000000" w:themeColor="text1"/>
          <w:shd w:val="clear" w:color="auto" w:fill="FFFFFF"/>
        </w:rPr>
        <w:t xml:space="preserve"> added to the tissue culture medium as soon as the co-culture of peripheral blood </w:t>
      </w:r>
      <w:proofErr w:type="spellStart"/>
      <w:r w:rsidRPr="0001264F">
        <w:rPr>
          <w:rFonts w:ascii="Arial" w:eastAsia="Times New Roman" w:hAnsi="Arial" w:cs="Arial"/>
          <w:color w:val="000000" w:themeColor="text1"/>
          <w:shd w:val="clear" w:color="auto" w:fill="FFFFFF"/>
        </w:rPr>
        <w:t>mononucleated</w:t>
      </w:r>
      <w:proofErr w:type="spellEnd"/>
      <w:r w:rsidRPr="0001264F">
        <w:rPr>
          <w:rFonts w:ascii="Arial" w:eastAsia="Times New Roman" w:hAnsi="Arial" w:cs="Arial"/>
          <w:color w:val="000000" w:themeColor="text1"/>
          <w:shd w:val="clear" w:color="auto" w:fill="FFFFFF"/>
        </w:rPr>
        <w:t xml:space="preserve"> ce</w:t>
      </w:r>
      <w:r w:rsidR="005C714E" w:rsidRPr="0001264F">
        <w:rPr>
          <w:rFonts w:ascii="Arial" w:eastAsia="Times New Roman" w:hAnsi="Arial" w:cs="Arial"/>
          <w:color w:val="000000" w:themeColor="text1"/>
          <w:shd w:val="clear" w:color="auto" w:fill="FFFFFF"/>
        </w:rPr>
        <w:t>lls and K562-mb15-41BBL cells was</w:t>
      </w:r>
      <w:r w:rsidRPr="0001264F">
        <w:rPr>
          <w:rFonts w:ascii="Arial" w:eastAsia="Times New Roman" w:hAnsi="Arial" w:cs="Arial"/>
          <w:color w:val="000000" w:themeColor="text1"/>
          <w:shd w:val="clear" w:color="auto" w:fill="FFFFFF"/>
        </w:rPr>
        <w:t xml:space="preserve"> initiated. The co-culture at 37</w:t>
      </w:r>
      <w:r w:rsidRPr="0001264F">
        <w:rPr>
          <w:rFonts w:ascii="Arial" w:eastAsia="Times New Roman" w:hAnsi="Arial" w:cs="Arial"/>
          <w:color w:val="000000" w:themeColor="text1"/>
          <w:shd w:val="clear" w:color="auto" w:fill="FFFFFF"/>
          <w:vertAlign w:val="superscript"/>
        </w:rPr>
        <w:t>o</w:t>
      </w:r>
      <w:r w:rsidRPr="0001264F">
        <w:rPr>
          <w:rFonts w:ascii="Arial" w:eastAsia="Times New Roman" w:hAnsi="Arial" w:cs="Arial"/>
          <w:color w:val="000000" w:themeColor="text1"/>
          <w:shd w:val="clear" w:color="auto" w:fill="FFFFFF"/>
        </w:rPr>
        <w:t>C, 5% CO</w:t>
      </w:r>
      <w:r w:rsidRPr="0001264F">
        <w:rPr>
          <w:rFonts w:ascii="Arial" w:eastAsia="Times New Roman" w:hAnsi="Arial" w:cs="Arial"/>
          <w:color w:val="000000" w:themeColor="text1"/>
          <w:shd w:val="clear" w:color="auto" w:fill="FFFFFF"/>
          <w:vertAlign w:val="subscript"/>
        </w:rPr>
        <w:t>2</w:t>
      </w:r>
      <w:r w:rsidR="005C714E" w:rsidRPr="0001264F">
        <w:rPr>
          <w:rFonts w:ascii="Arial" w:eastAsia="Times New Roman" w:hAnsi="Arial" w:cs="Arial"/>
          <w:color w:val="000000" w:themeColor="text1"/>
          <w:shd w:val="clear" w:color="auto" w:fill="FFFFFF"/>
        </w:rPr>
        <w:t xml:space="preserve"> lasted</w:t>
      </w:r>
      <w:r w:rsidRPr="0001264F">
        <w:rPr>
          <w:rFonts w:ascii="Arial" w:eastAsia="Times New Roman" w:hAnsi="Arial" w:cs="Arial"/>
          <w:color w:val="000000" w:themeColor="text1"/>
          <w:shd w:val="clear" w:color="auto" w:fill="FFFFFF"/>
        </w:rPr>
        <w:t xml:space="preserve"> 10</w:t>
      </w:r>
      <w:r w:rsidR="005C714E" w:rsidRPr="0001264F">
        <w:rPr>
          <w:rFonts w:ascii="Arial" w:eastAsia="Times New Roman" w:hAnsi="Arial" w:cs="Arial"/>
          <w:color w:val="000000" w:themeColor="text1"/>
          <w:shd w:val="clear" w:color="auto" w:fill="FFFFFF"/>
        </w:rPr>
        <w:t xml:space="preserve"> ± 1</w:t>
      </w:r>
      <w:r w:rsidRPr="0001264F">
        <w:rPr>
          <w:rFonts w:ascii="Arial" w:eastAsia="Times New Roman" w:hAnsi="Arial" w:cs="Arial"/>
          <w:color w:val="000000" w:themeColor="text1"/>
          <w:shd w:val="clear" w:color="auto" w:fill="FFFFFF"/>
        </w:rPr>
        <w:t xml:space="preserve"> days</w:t>
      </w:r>
      <w:r w:rsidR="005C714E" w:rsidRPr="0001264F">
        <w:rPr>
          <w:rFonts w:ascii="Arial" w:eastAsia="Times New Roman" w:hAnsi="Arial" w:cs="Arial"/>
          <w:color w:val="000000" w:themeColor="text1"/>
          <w:shd w:val="clear" w:color="auto" w:fill="FFFFFF"/>
        </w:rPr>
        <w:t>. Every other day, IL-2 was</w:t>
      </w:r>
      <w:r w:rsidRPr="0001264F">
        <w:rPr>
          <w:rFonts w:ascii="Arial" w:eastAsia="Times New Roman" w:hAnsi="Arial" w:cs="Arial"/>
          <w:color w:val="000000" w:themeColor="text1"/>
          <w:shd w:val="clear" w:color="auto" w:fill="FFFFFF"/>
        </w:rPr>
        <w:t xml:space="preserve"> added to cultures to maintain a concentration of 40 IU/</w:t>
      </w:r>
      <w:proofErr w:type="spellStart"/>
      <w:r w:rsidRPr="0001264F">
        <w:rPr>
          <w:rFonts w:ascii="Arial" w:eastAsia="Times New Roman" w:hAnsi="Arial" w:cs="Arial"/>
          <w:color w:val="000000" w:themeColor="text1"/>
          <w:shd w:val="clear" w:color="auto" w:fill="FFFFFF"/>
        </w:rPr>
        <w:t>mL.</w:t>
      </w:r>
      <w:proofErr w:type="spellEnd"/>
      <w:r w:rsidRPr="0001264F">
        <w:rPr>
          <w:rFonts w:ascii="Arial" w:eastAsia="Times New Roman" w:hAnsi="Arial" w:cs="Arial"/>
          <w:color w:val="000000" w:themeColor="text1"/>
          <w:shd w:val="clear" w:color="auto" w:fill="FFFFFF"/>
        </w:rPr>
        <w:t xml:space="preserve"> At the same ti</w:t>
      </w:r>
      <w:r w:rsidR="005C714E" w:rsidRPr="0001264F">
        <w:rPr>
          <w:rFonts w:ascii="Arial" w:eastAsia="Times New Roman" w:hAnsi="Arial" w:cs="Arial"/>
          <w:color w:val="000000" w:themeColor="text1"/>
          <w:shd w:val="clear" w:color="auto" w:fill="FFFFFF"/>
        </w:rPr>
        <w:t>me, an aliquot of supernatant was</w:t>
      </w:r>
      <w:r w:rsidRPr="0001264F">
        <w:rPr>
          <w:rFonts w:ascii="Arial" w:eastAsia="Times New Roman" w:hAnsi="Arial" w:cs="Arial"/>
          <w:color w:val="000000" w:themeColor="text1"/>
          <w:shd w:val="clear" w:color="auto" w:fill="FFFFFF"/>
        </w:rPr>
        <w:t xml:space="preserve"> collected to measure glucose levels. If these drop</w:t>
      </w:r>
      <w:r w:rsidR="005C714E" w:rsidRPr="0001264F">
        <w:rPr>
          <w:rFonts w:ascii="Arial" w:eastAsia="Times New Roman" w:hAnsi="Arial" w:cs="Arial"/>
          <w:color w:val="000000" w:themeColor="text1"/>
          <w:shd w:val="clear" w:color="auto" w:fill="FFFFFF"/>
        </w:rPr>
        <w:t>ped</w:t>
      </w:r>
      <w:r w:rsidRPr="0001264F">
        <w:rPr>
          <w:rFonts w:ascii="Arial" w:eastAsia="Times New Roman" w:hAnsi="Arial" w:cs="Arial"/>
          <w:color w:val="000000" w:themeColor="text1"/>
          <w:shd w:val="clear" w:color="auto" w:fill="FFFFFF"/>
        </w:rPr>
        <w:t xml:space="preserve"> below 5.5 </w:t>
      </w:r>
      <w:proofErr w:type="spellStart"/>
      <w:r w:rsidRPr="0001264F">
        <w:rPr>
          <w:rFonts w:ascii="Arial" w:eastAsia="Times New Roman" w:hAnsi="Arial" w:cs="Arial"/>
          <w:color w:val="000000" w:themeColor="text1"/>
          <w:shd w:val="clear" w:color="auto" w:fill="FFFFFF"/>
        </w:rPr>
        <w:t>mM</w:t>
      </w:r>
      <w:proofErr w:type="spellEnd"/>
      <w:r w:rsidRPr="0001264F">
        <w:rPr>
          <w:rFonts w:ascii="Arial" w:eastAsia="Times New Roman" w:hAnsi="Arial" w:cs="Arial"/>
          <w:color w:val="000000" w:themeColor="text1"/>
          <w:shd w:val="clear" w:color="auto" w:fill="FFFFFF"/>
        </w:rPr>
        <w:t>, half of th</w:t>
      </w:r>
      <w:r w:rsidR="005C714E" w:rsidRPr="0001264F">
        <w:rPr>
          <w:rFonts w:ascii="Arial" w:eastAsia="Times New Roman" w:hAnsi="Arial" w:cs="Arial"/>
          <w:color w:val="000000" w:themeColor="text1"/>
          <w:shd w:val="clear" w:color="auto" w:fill="FFFFFF"/>
        </w:rPr>
        <w:t>e SCGM medium in the chambers was</w:t>
      </w:r>
      <w:r w:rsidRPr="0001264F">
        <w:rPr>
          <w:rFonts w:ascii="Arial" w:eastAsia="Times New Roman" w:hAnsi="Arial" w:cs="Arial"/>
          <w:color w:val="000000" w:themeColor="text1"/>
          <w:shd w:val="clear" w:color="auto" w:fill="FFFFFF"/>
        </w:rPr>
        <w:t xml:space="preserve"> replaced. </w:t>
      </w:r>
      <w:r w:rsidR="005C714E" w:rsidRPr="0001264F">
        <w:rPr>
          <w:rFonts w:ascii="Arial" w:eastAsia="Times New Roman" w:hAnsi="Arial" w:cs="Arial"/>
          <w:color w:val="000000" w:themeColor="text1"/>
          <w:shd w:val="clear" w:color="auto" w:fill="FFFFFF"/>
        </w:rPr>
        <w:t>The NK cell expansion was monitored in a parallel small-scale culture. The sterility of cells in culture was assessed 2-4 days before infusion.</w:t>
      </w:r>
    </w:p>
    <w:p w14:paraId="7E388FE2" w14:textId="77777777" w:rsidR="00124708" w:rsidRPr="0001264F" w:rsidRDefault="00124708" w:rsidP="006A2FAB">
      <w:pPr>
        <w:rPr>
          <w:rFonts w:ascii="Arial" w:eastAsia="Times New Roman" w:hAnsi="Arial" w:cs="Arial"/>
          <w:color w:val="000000" w:themeColor="text1"/>
          <w:shd w:val="clear" w:color="auto" w:fill="FFFFFF"/>
        </w:rPr>
      </w:pPr>
    </w:p>
    <w:p w14:paraId="58C8107D" w14:textId="4FA1A58D" w:rsidR="005C714E" w:rsidRPr="0001264F" w:rsidRDefault="006A2FAB" w:rsidP="00404338">
      <w:pPr>
        <w:jc w:val="left"/>
        <w:rPr>
          <w:rFonts w:ascii="Arial" w:eastAsia="Times New Roman" w:hAnsi="Arial" w:cs="Arial"/>
          <w:color w:val="000000" w:themeColor="text1"/>
          <w:shd w:val="clear" w:color="auto" w:fill="FFFFFF"/>
        </w:rPr>
      </w:pPr>
      <w:r w:rsidRPr="0001264F">
        <w:rPr>
          <w:rFonts w:ascii="Arial" w:eastAsia="Times New Roman" w:hAnsi="Arial" w:cs="Arial"/>
          <w:color w:val="000000" w:themeColor="text1"/>
          <w:shd w:val="clear" w:color="auto" w:fill="FFFFFF"/>
        </w:rPr>
        <w:t>At the end of the cult</w:t>
      </w:r>
      <w:r w:rsidR="005C714E" w:rsidRPr="0001264F">
        <w:rPr>
          <w:rFonts w:ascii="Arial" w:eastAsia="Times New Roman" w:hAnsi="Arial" w:cs="Arial"/>
          <w:color w:val="000000" w:themeColor="text1"/>
          <w:shd w:val="clear" w:color="auto" w:fill="FFFFFF"/>
        </w:rPr>
        <w:t xml:space="preserve">ure, </w:t>
      </w:r>
      <w:r w:rsidR="00FD5287" w:rsidRPr="0001264F">
        <w:rPr>
          <w:rFonts w:ascii="Arial" w:eastAsia="Times New Roman" w:hAnsi="Arial" w:cs="Arial"/>
          <w:color w:val="000000" w:themeColor="text1"/>
          <w:shd w:val="clear" w:color="auto" w:fill="FFFFFF"/>
        </w:rPr>
        <w:t>cells were</w:t>
      </w:r>
      <w:r w:rsidRPr="0001264F">
        <w:rPr>
          <w:rFonts w:ascii="Arial" w:eastAsia="Times New Roman" w:hAnsi="Arial" w:cs="Arial"/>
          <w:color w:val="000000" w:themeColor="text1"/>
          <w:shd w:val="clear" w:color="auto" w:fill="FFFFFF"/>
        </w:rPr>
        <w:t xml:space="preserve"> collected, washed </w:t>
      </w:r>
      <w:r w:rsidR="00404338" w:rsidRPr="0001264F">
        <w:rPr>
          <w:rFonts w:ascii="Arial" w:eastAsia="Times New Roman" w:hAnsi="Arial" w:cs="Arial"/>
          <w:color w:val="000000" w:themeColor="text1"/>
          <w:shd w:val="clear" w:color="auto" w:fill="FFFFFF"/>
        </w:rPr>
        <w:t>three times i</w:t>
      </w:r>
      <w:r w:rsidRPr="0001264F">
        <w:rPr>
          <w:rFonts w:ascii="Arial" w:eastAsia="Times New Roman" w:hAnsi="Arial" w:cs="Arial"/>
          <w:color w:val="000000" w:themeColor="text1"/>
          <w:shd w:val="clear" w:color="auto" w:fill="FFFFFF"/>
        </w:rPr>
        <w:t xml:space="preserve">n saline </w:t>
      </w:r>
      <w:r w:rsidR="00404338" w:rsidRPr="0001264F">
        <w:rPr>
          <w:rFonts w:ascii="Arial" w:eastAsia="Times New Roman" w:hAnsi="Arial" w:cs="Arial"/>
          <w:color w:val="000000" w:themeColor="text1"/>
          <w:shd w:val="clear" w:color="auto" w:fill="FFFFFF"/>
        </w:rPr>
        <w:t xml:space="preserve">solution </w:t>
      </w:r>
      <w:r w:rsidRPr="0001264F">
        <w:rPr>
          <w:rFonts w:ascii="Arial" w:eastAsia="Times New Roman" w:hAnsi="Arial" w:cs="Arial"/>
          <w:color w:val="000000" w:themeColor="text1"/>
          <w:shd w:val="clear" w:color="auto" w:fill="FFFFFF"/>
        </w:rPr>
        <w:t xml:space="preserve">containing 5% human serum albumin, and </w:t>
      </w:r>
      <w:proofErr w:type="spellStart"/>
      <w:r w:rsidRPr="0001264F">
        <w:rPr>
          <w:rFonts w:ascii="Arial" w:eastAsia="Times New Roman" w:hAnsi="Arial" w:cs="Arial"/>
          <w:color w:val="000000" w:themeColor="text1"/>
          <w:shd w:val="clear" w:color="auto" w:fill="FFFFFF"/>
        </w:rPr>
        <w:t>resuspended</w:t>
      </w:r>
      <w:proofErr w:type="spellEnd"/>
      <w:r w:rsidRPr="0001264F">
        <w:rPr>
          <w:rFonts w:ascii="Arial" w:eastAsia="Times New Roman" w:hAnsi="Arial" w:cs="Arial"/>
          <w:color w:val="000000" w:themeColor="text1"/>
          <w:shd w:val="clear" w:color="auto" w:fill="FFFFFF"/>
        </w:rPr>
        <w:t xml:space="preserve"> in </w:t>
      </w:r>
      <w:r w:rsidR="00404338" w:rsidRPr="0001264F">
        <w:rPr>
          <w:rFonts w:ascii="Arial" w:eastAsia="Times New Roman" w:hAnsi="Arial" w:cs="Arial"/>
          <w:color w:val="000000" w:themeColor="text1"/>
          <w:shd w:val="clear" w:color="auto" w:fill="FFFFFF"/>
        </w:rPr>
        <w:t>the same solution at a conce</w:t>
      </w:r>
      <w:r w:rsidRPr="0001264F">
        <w:rPr>
          <w:rFonts w:ascii="Arial" w:eastAsia="Times New Roman" w:hAnsi="Arial" w:cs="Arial"/>
          <w:color w:val="000000" w:themeColor="text1"/>
          <w:shd w:val="clear" w:color="auto" w:fill="FFFFFF"/>
        </w:rPr>
        <w:t>ntration of 5 x 10</w:t>
      </w:r>
      <w:r w:rsidRPr="0001264F">
        <w:rPr>
          <w:rFonts w:ascii="Arial" w:eastAsia="Times New Roman" w:hAnsi="Arial" w:cs="Arial"/>
          <w:color w:val="000000" w:themeColor="text1"/>
          <w:shd w:val="clear" w:color="auto" w:fill="FFFFFF"/>
          <w:vertAlign w:val="superscript"/>
        </w:rPr>
        <w:t>7</w:t>
      </w:r>
      <w:r w:rsidRPr="0001264F">
        <w:rPr>
          <w:rFonts w:ascii="Arial" w:eastAsia="Times New Roman" w:hAnsi="Arial" w:cs="Arial"/>
          <w:color w:val="000000" w:themeColor="text1"/>
          <w:shd w:val="clear" w:color="auto" w:fill="FFFFFF"/>
        </w:rPr>
        <w:t>/mL or less for infusion.</w:t>
      </w:r>
      <w:r w:rsidR="000061DF" w:rsidRPr="0001264F">
        <w:rPr>
          <w:rFonts w:ascii="Arial" w:eastAsia="Times New Roman" w:hAnsi="Arial" w:cs="Arial"/>
          <w:color w:val="000000" w:themeColor="text1"/>
          <w:shd w:val="clear" w:color="auto" w:fill="FFFFFF"/>
        </w:rPr>
        <w:t xml:space="preserve"> No cell selection </w:t>
      </w:r>
      <w:r w:rsidR="00AC348F" w:rsidRPr="0001264F">
        <w:rPr>
          <w:rFonts w:ascii="Arial" w:eastAsia="Times New Roman" w:hAnsi="Arial" w:cs="Arial"/>
          <w:color w:val="000000" w:themeColor="text1"/>
          <w:shd w:val="clear" w:color="auto" w:fill="FFFFFF"/>
        </w:rPr>
        <w:t xml:space="preserve">or T-cell depletion </w:t>
      </w:r>
      <w:r w:rsidR="000061DF" w:rsidRPr="0001264F">
        <w:rPr>
          <w:rFonts w:ascii="Arial" w:eastAsia="Times New Roman" w:hAnsi="Arial" w:cs="Arial"/>
          <w:color w:val="000000" w:themeColor="text1"/>
          <w:shd w:val="clear" w:color="auto" w:fill="FFFFFF"/>
        </w:rPr>
        <w:t>was performed.</w:t>
      </w:r>
      <w:r w:rsidRPr="0001264F">
        <w:rPr>
          <w:rFonts w:ascii="Arial" w:eastAsia="Times New Roman" w:hAnsi="Arial" w:cs="Arial"/>
          <w:color w:val="000000" w:themeColor="text1"/>
          <w:shd w:val="clear" w:color="auto" w:fill="FFFFFF"/>
        </w:rPr>
        <w:t xml:space="preserve"> </w:t>
      </w:r>
      <w:r w:rsidR="005C714E" w:rsidRPr="0001264F">
        <w:rPr>
          <w:rFonts w:ascii="Arial" w:eastAsia="Times New Roman" w:hAnsi="Arial" w:cs="Arial"/>
          <w:color w:val="000000" w:themeColor="text1"/>
          <w:shd w:val="clear" w:color="auto" w:fill="FFFFFF"/>
        </w:rPr>
        <w:t xml:space="preserve">The infused </w:t>
      </w:r>
      <w:r w:rsidR="00FD5287" w:rsidRPr="0001264F">
        <w:rPr>
          <w:rFonts w:ascii="Arial" w:eastAsia="Times New Roman" w:hAnsi="Arial" w:cs="Arial"/>
          <w:color w:val="000000" w:themeColor="text1"/>
          <w:shd w:val="clear" w:color="auto" w:fill="FFFFFF"/>
        </w:rPr>
        <w:t xml:space="preserve">cell </w:t>
      </w:r>
      <w:r w:rsidR="005C714E" w:rsidRPr="0001264F">
        <w:rPr>
          <w:rFonts w:ascii="Arial" w:eastAsia="Times New Roman" w:hAnsi="Arial" w:cs="Arial"/>
          <w:color w:val="000000" w:themeColor="text1"/>
          <w:shd w:val="clear" w:color="auto" w:fill="FFFFFF"/>
        </w:rPr>
        <w:t>volume was determined based on phenotype and cell viability</w:t>
      </w:r>
      <w:r w:rsidR="00942C61" w:rsidRPr="0001264F">
        <w:rPr>
          <w:rFonts w:ascii="Arial" w:eastAsia="Times New Roman" w:hAnsi="Arial" w:cs="Arial"/>
          <w:color w:val="000000" w:themeColor="text1"/>
          <w:shd w:val="clear" w:color="auto" w:fill="FFFFFF"/>
        </w:rPr>
        <w:t xml:space="preserve">. Cell </w:t>
      </w:r>
      <w:proofErr w:type="spellStart"/>
      <w:r w:rsidR="00942C61" w:rsidRPr="0001264F">
        <w:rPr>
          <w:rFonts w:ascii="Arial" w:eastAsia="Times New Roman" w:hAnsi="Arial" w:cs="Arial"/>
          <w:color w:val="000000" w:themeColor="text1"/>
          <w:shd w:val="clear" w:color="auto" w:fill="FFFFFF"/>
        </w:rPr>
        <w:t>immunophenotyping</w:t>
      </w:r>
      <w:proofErr w:type="spellEnd"/>
      <w:r w:rsidR="00942C61" w:rsidRPr="0001264F">
        <w:rPr>
          <w:rFonts w:ascii="Arial" w:eastAsia="Times New Roman" w:hAnsi="Arial" w:cs="Arial"/>
          <w:color w:val="000000" w:themeColor="text1"/>
          <w:shd w:val="clear" w:color="auto" w:fill="FFFFFF"/>
        </w:rPr>
        <w:t xml:space="preserve"> was performed by staining with </w:t>
      </w:r>
      <w:r w:rsidR="00404338" w:rsidRPr="0001264F">
        <w:rPr>
          <w:rFonts w:ascii="Arial" w:eastAsia="Times New Roman" w:hAnsi="Arial" w:cs="Arial"/>
          <w:color w:val="000000" w:themeColor="text1"/>
          <w:shd w:val="clear" w:color="auto" w:fill="FFFFFF"/>
        </w:rPr>
        <w:t xml:space="preserve">anti-CD56 conjugated to </w:t>
      </w:r>
      <w:proofErr w:type="spellStart"/>
      <w:r w:rsidR="00404338" w:rsidRPr="0001264F">
        <w:rPr>
          <w:rFonts w:ascii="Arial" w:hAnsi="Arial" w:cs="Arial"/>
          <w:lang w:val="en-US"/>
        </w:rPr>
        <w:t>phycoerythrin</w:t>
      </w:r>
      <w:proofErr w:type="spellEnd"/>
      <w:r w:rsidR="00404338" w:rsidRPr="0001264F">
        <w:rPr>
          <w:rFonts w:ascii="Arial" w:hAnsi="Arial" w:cs="Arial"/>
          <w:lang w:val="en-US"/>
        </w:rPr>
        <w:t xml:space="preserve"> (PE), anti-CD3 </w:t>
      </w:r>
      <w:proofErr w:type="spellStart"/>
      <w:r w:rsidR="00404338" w:rsidRPr="0001264F">
        <w:rPr>
          <w:rFonts w:ascii="Arial" w:hAnsi="Arial" w:cs="Arial"/>
          <w:lang w:val="en-US"/>
        </w:rPr>
        <w:t>allophycocyanin</w:t>
      </w:r>
      <w:proofErr w:type="spellEnd"/>
      <w:r w:rsidR="00404338" w:rsidRPr="0001264F">
        <w:rPr>
          <w:rFonts w:ascii="Arial" w:hAnsi="Arial" w:cs="Arial"/>
          <w:lang w:val="en-US"/>
        </w:rPr>
        <w:t xml:space="preserve"> (APC), anti-CD16-fluorescein </w:t>
      </w:r>
      <w:proofErr w:type="spellStart"/>
      <w:r w:rsidR="00404338" w:rsidRPr="0001264F">
        <w:rPr>
          <w:rFonts w:ascii="Arial" w:hAnsi="Arial" w:cs="Arial"/>
          <w:lang w:val="en-US"/>
        </w:rPr>
        <w:t>isothiocyanate</w:t>
      </w:r>
      <w:proofErr w:type="spellEnd"/>
      <w:r w:rsidR="00404338" w:rsidRPr="0001264F">
        <w:rPr>
          <w:rFonts w:ascii="Arial" w:hAnsi="Arial" w:cs="Arial"/>
          <w:lang w:val="en-US"/>
        </w:rPr>
        <w:t xml:space="preserve"> (FITC), and anti-CD45-peridinin-chlorophyll protein (</w:t>
      </w:r>
      <w:proofErr w:type="spellStart"/>
      <w:r w:rsidR="00404338" w:rsidRPr="0001264F">
        <w:rPr>
          <w:rFonts w:ascii="Arial" w:hAnsi="Arial" w:cs="Arial"/>
          <w:lang w:val="en-US"/>
        </w:rPr>
        <w:t>PerCP</w:t>
      </w:r>
      <w:proofErr w:type="spellEnd"/>
      <w:r w:rsidR="00404338" w:rsidRPr="0001264F">
        <w:rPr>
          <w:rFonts w:ascii="Arial" w:hAnsi="Arial" w:cs="Arial"/>
          <w:lang w:val="en-US"/>
        </w:rPr>
        <w:t>) (</w:t>
      </w:r>
      <w:r w:rsidR="003447E6" w:rsidRPr="0001264F">
        <w:rPr>
          <w:rFonts w:ascii="Arial" w:hAnsi="Arial" w:cs="Arial"/>
          <w:lang w:val="en-US"/>
        </w:rPr>
        <w:t xml:space="preserve">all from </w:t>
      </w:r>
      <w:r w:rsidR="00404338" w:rsidRPr="0001264F">
        <w:rPr>
          <w:rFonts w:ascii="Arial" w:hAnsi="Arial" w:cs="Arial"/>
          <w:lang w:val="en-US"/>
        </w:rPr>
        <w:t xml:space="preserve">BD Biosciences, San Jose, CA), and analyzed with a BD </w:t>
      </w:r>
      <w:proofErr w:type="spellStart"/>
      <w:r w:rsidR="00404338" w:rsidRPr="0001264F">
        <w:rPr>
          <w:rFonts w:ascii="Arial" w:hAnsi="Arial" w:cs="Arial"/>
          <w:lang w:val="en-US"/>
        </w:rPr>
        <w:t>FACSCanto</w:t>
      </w:r>
      <w:proofErr w:type="spellEnd"/>
      <w:r w:rsidR="00404338" w:rsidRPr="0001264F">
        <w:rPr>
          <w:rFonts w:ascii="Arial" w:hAnsi="Arial" w:cs="Arial"/>
          <w:lang w:val="en-US"/>
        </w:rPr>
        <w:t xml:space="preserve"> II  flow cytometer (BD Biosciences) after gating on CD45+ viable cells.</w:t>
      </w:r>
      <w:r w:rsidR="005C714E" w:rsidRPr="0001264F">
        <w:rPr>
          <w:rFonts w:ascii="Arial" w:eastAsia="Times New Roman" w:hAnsi="Arial" w:cs="Arial"/>
          <w:color w:val="000000" w:themeColor="text1"/>
          <w:shd w:val="clear" w:color="auto" w:fill="FFFFFF"/>
        </w:rPr>
        <w:t xml:space="preserve"> </w:t>
      </w:r>
      <w:r w:rsidR="00404338" w:rsidRPr="0001264F">
        <w:rPr>
          <w:rFonts w:ascii="Arial" w:eastAsia="Times New Roman" w:hAnsi="Arial" w:cs="Arial"/>
          <w:color w:val="000000" w:themeColor="text1"/>
          <w:shd w:val="clear" w:color="auto" w:fill="FFFFFF"/>
        </w:rPr>
        <w:t xml:space="preserve">Cell viability was measured by staining with 7-amino-actinomycin (7-AAD; BD </w:t>
      </w:r>
      <w:r w:rsidR="00404338" w:rsidRPr="0001264F">
        <w:rPr>
          <w:rFonts w:ascii="Arial" w:eastAsia="Times New Roman" w:hAnsi="Arial" w:cs="Arial"/>
          <w:color w:val="000000" w:themeColor="text1"/>
          <w:shd w:val="clear" w:color="auto" w:fill="FFFFFF"/>
        </w:rPr>
        <w:lastRenderedPageBreak/>
        <w:t>Biosciences)</w:t>
      </w:r>
      <w:r w:rsidR="00942C61" w:rsidRPr="0001264F">
        <w:rPr>
          <w:rFonts w:ascii="Arial" w:eastAsia="Times New Roman" w:hAnsi="Arial" w:cs="Arial"/>
          <w:color w:val="000000" w:themeColor="text1"/>
          <w:shd w:val="clear" w:color="auto" w:fill="FFFFFF"/>
        </w:rPr>
        <w:t>. C</w:t>
      </w:r>
      <w:r w:rsidR="00FD5287" w:rsidRPr="0001264F">
        <w:rPr>
          <w:rFonts w:ascii="Arial" w:eastAsia="Times New Roman" w:hAnsi="Arial" w:cs="Arial"/>
          <w:color w:val="000000" w:themeColor="text1"/>
          <w:shd w:val="clear" w:color="auto" w:fill="FFFFFF"/>
        </w:rPr>
        <w:t xml:space="preserve">ell counting </w:t>
      </w:r>
      <w:r w:rsidR="00942C61" w:rsidRPr="0001264F">
        <w:rPr>
          <w:rFonts w:ascii="Arial" w:eastAsia="Times New Roman" w:hAnsi="Arial" w:cs="Arial"/>
          <w:color w:val="000000" w:themeColor="text1"/>
          <w:shd w:val="clear" w:color="auto" w:fill="FFFFFF"/>
        </w:rPr>
        <w:t xml:space="preserve">was </w:t>
      </w:r>
      <w:r w:rsidR="00FD5287" w:rsidRPr="0001264F">
        <w:rPr>
          <w:rFonts w:ascii="Arial" w:eastAsia="Times New Roman" w:hAnsi="Arial" w:cs="Arial"/>
          <w:color w:val="000000" w:themeColor="text1"/>
          <w:shd w:val="clear" w:color="auto" w:fill="FFFFFF"/>
        </w:rPr>
        <w:t xml:space="preserve">performed with </w:t>
      </w:r>
      <w:r w:rsidR="00E85B91" w:rsidRPr="0001264F">
        <w:rPr>
          <w:rFonts w:ascii="Arial" w:eastAsia="Times New Roman" w:hAnsi="Arial" w:cs="Arial"/>
          <w:color w:val="000000" w:themeColor="text1"/>
          <w:shd w:val="clear" w:color="auto" w:fill="FFFFFF"/>
        </w:rPr>
        <w:t xml:space="preserve">a Coulter </w:t>
      </w:r>
      <w:proofErr w:type="spellStart"/>
      <w:r w:rsidR="00E85B91" w:rsidRPr="0001264F">
        <w:rPr>
          <w:rFonts w:ascii="Arial" w:eastAsia="Times New Roman" w:hAnsi="Arial" w:cs="Arial"/>
          <w:color w:val="000000" w:themeColor="text1"/>
          <w:shd w:val="clear" w:color="auto" w:fill="FFFFFF"/>
        </w:rPr>
        <w:t>Ac•T</w:t>
      </w:r>
      <w:proofErr w:type="spellEnd"/>
      <w:r w:rsidR="00E85B91" w:rsidRPr="0001264F">
        <w:rPr>
          <w:rFonts w:ascii="Arial" w:eastAsia="Times New Roman" w:hAnsi="Arial" w:cs="Arial"/>
          <w:color w:val="000000" w:themeColor="text1"/>
          <w:shd w:val="clear" w:color="auto" w:fill="FFFFFF"/>
        </w:rPr>
        <w:t xml:space="preserve"> diff </w:t>
      </w:r>
      <w:proofErr w:type="spellStart"/>
      <w:r w:rsidR="00E85B91" w:rsidRPr="0001264F">
        <w:rPr>
          <w:rFonts w:ascii="Arial" w:eastAsia="Times New Roman" w:hAnsi="Arial" w:cs="Arial"/>
          <w:color w:val="000000" w:themeColor="text1"/>
          <w:shd w:val="clear" w:color="auto" w:fill="FFFFFF"/>
        </w:rPr>
        <w:t>Hematology</w:t>
      </w:r>
      <w:proofErr w:type="spellEnd"/>
      <w:r w:rsidR="00E85B91" w:rsidRPr="0001264F">
        <w:rPr>
          <w:rFonts w:ascii="Arial" w:eastAsia="Times New Roman" w:hAnsi="Arial" w:cs="Arial"/>
          <w:color w:val="000000" w:themeColor="text1"/>
          <w:shd w:val="clear" w:color="auto" w:fill="FFFFFF"/>
        </w:rPr>
        <w:t xml:space="preserve"> </w:t>
      </w:r>
      <w:proofErr w:type="spellStart"/>
      <w:r w:rsidR="00E85B91" w:rsidRPr="0001264F">
        <w:rPr>
          <w:rFonts w:ascii="Arial" w:eastAsia="Times New Roman" w:hAnsi="Arial" w:cs="Arial"/>
          <w:color w:val="000000" w:themeColor="text1"/>
          <w:shd w:val="clear" w:color="auto" w:fill="FFFFFF"/>
        </w:rPr>
        <w:t>Analyzer</w:t>
      </w:r>
      <w:proofErr w:type="spellEnd"/>
      <w:r w:rsidR="00E85B91" w:rsidRPr="0001264F">
        <w:rPr>
          <w:rFonts w:ascii="Arial" w:eastAsia="Times New Roman" w:hAnsi="Arial" w:cs="Arial"/>
          <w:color w:val="000000" w:themeColor="text1"/>
          <w:shd w:val="clear" w:color="auto" w:fill="FFFFFF"/>
        </w:rPr>
        <w:t xml:space="preserve"> (Beckman Coulter, Brea, CA). </w:t>
      </w:r>
      <w:r w:rsidR="005C714E" w:rsidRPr="0001264F">
        <w:rPr>
          <w:rFonts w:ascii="Arial" w:eastAsia="Times New Roman" w:hAnsi="Arial" w:cs="Arial"/>
          <w:color w:val="000000" w:themeColor="text1"/>
          <w:shd w:val="clear" w:color="auto" w:fill="FFFFFF"/>
        </w:rPr>
        <w:t>Absence of K562-mb15-41BBL</w:t>
      </w:r>
      <w:r w:rsidR="007E3967" w:rsidRPr="0001264F">
        <w:rPr>
          <w:rFonts w:ascii="Arial" w:eastAsia="Times New Roman" w:hAnsi="Arial" w:cs="Arial"/>
          <w:color w:val="000000" w:themeColor="text1"/>
          <w:shd w:val="clear" w:color="auto" w:fill="FFFFFF"/>
        </w:rPr>
        <w:t xml:space="preserve">, which are green fluorescent protein (GFP)-positive, </w:t>
      </w:r>
      <w:r w:rsidR="00942C61" w:rsidRPr="0001264F">
        <w:rPr>
          <w:rFonts w:ascii="Arial" w:eastAsia="Times New Roman" w:hAnsi="Arial" w:cs="Arial"/>
          <w:color w:val="000000" w:themeColor="text1"/>
          <w:shd w:val="clear" w:color="auto" w:fill="FFFFFF"/>
        </w:rPr>
        <w:t xml:space="preserve">in the infused product </w:t>
      </w:r>
      <w:r w:rsidR="005C714E" w:rsidRPr="0001264F">
        <w:rPr>
          <w:rFonts w:ascii="Arial" w:eastAsia="Times New Roman" w:hAnsi="Arial" w:cs="Arial"/>
          <w:color w:val="000000" w:themeColor="text1"/>
          <w:shd w:val="clear" w:color="auto" w:fill="FFFFFF"/>
        </w:rPr>
        <w:t xml:space="preserve">was </w:t>
      </w:r>
      <w:r w:rsidR="007E3967" w:rsidRPr="0001264F">
        <w:rPr>
          <w:rFonts w:ascii="Arial" w:eastAsia="Times New Roman" w:hAnsi="Arial" w:cs="Arial"/>
          <w:color w:val="000000" w:themeColor="text1"/>
          <w:shd w:val="clear" w:color="auto" w:fill="FFFFFF"/>
        </w:rPr>
        <w:t xml:space="preserve">also </w:t>
      </w:r>
      <w:r w:rsidR="00942C61" w:rsidRPr="0001264F">
        <w:rPr>
          <w:rFonts w:ascii="Arial" w:eastAsia="Times New Roman" w:hAnsi="Arial" w:cs="Arial"/>
          <w:color w:val="000000" w:themeColor="text1"/>
          <w:shd w:val="clear" w:color="auto" w:fill="FFFFFF"/>
        </w:rPr>
        <w:t xml:space="preserve">determined </w:t>
      </w:r>
      <w:r w:rsidR="005C714E" w:rsidRPr="0001264F">
        <w:rPr>
          <w:rFonts w:ascii="Arial" w:eastAsia="Times New Roman" w:hAnsi="Arial" w:cs="Arial"/>
          <w:color w:val="000000" w:themeColor="text1"/>
          <w:shd w:val="clear" w:color="auto" w:fill="FFFFFF"/>
        </w:rPr>
        <w:t>by flow cytometry</w:t>
      </w:r>
      <w:r w:rsidR="007E3967" w:rsidRPr="0001264F">
        <w:rPr>
          <w:rFonts w:ascii="Arial" w:eastAsia="Times New Roman" w:hAnsi="Arial" w:cs="Arial"/>
          <w:color w:val="000000" w:themeColor="text1"/>
          <w:shd w:val="clear" w:color="auto" w:fill="FFFFFF"/>
        </w:rPr>
        <w:t>.</w:t>
      </w:r>
      <w:r w:rsidR="00AC348F" w:rsidRPr="0001264F">
        <w:rPr>
          <w:rFonts w:ascii="Arial" w:eastAsia="Times New Roman" w:hAnsi="Arial" w:cs="Arial"/>
          <w:color w:val="000000" w:themeColor="text1"/>
          <w:shd w:val="clear" w:color="auto" w:fill="FFFFFF"/>
        </w:rPr>
        <w:t xml:space="preserve"> </w:t>
      </w:r>
      <w:r w:rsidR="005C714E" w:rsidRPr="0001264F">
        <w:rPr>
          <w:rFonts w:ascii="Arial" w:eastAsia="Times New Roman" w:hAnsi="Arial" w:cs="Arial"/>
          <w:color w:val="000000" w:themeColor="text1"/>
          <w:shd w:val="clear" w:color="auto" w:fill="FFFFFF"/>
        </w:rPr>
        <w:t xml:space="preserve">After infusion, sterility including mycoplasma, endotoxin level, and </w:t>
      </w:r>
      <w:r w:rsidR="007E3967" w:rsidRPr="0001264F">
        <w:rPr>
          <w:rFonts w:ascii="Arial" w:eastAsia="Times New Roman" w:hAnsi="Arial" w:cs="Arial"/>
          <w:color w:val="000000" w:themeColor="text1"/>
          <w:shd w:val="clear" w:color="auto" w:fill="FFFFFF"/>
        </w:rPr>
        <w:t>ADCC</w:t>
      </w:r>
      <w:r w:rsidR="005C714E" w:rsidRPr="0001264F">
        <w:rPr>
          <w:rFonts w:ascii="Arial" w:eastAsia="Times New Roman" w:hAnsi="Arial" w:cs="Arial"/>
          <w:color w:val="000000" w:themeColor="text1"/>
          <w:shd w:val="clear" w:color="auto" w:fill="FFFFFF"/>
        </w:rPr>
        <w:t xml:space="preserve"> were tested.  </w:t>
      </w:r>
    </w:p>
    <w:p w14:paraId="21B053F1" w14:textId="77777777" w:rsidR="00825FF2" w:rsidRPr="0001264F" w:rsidRDefault="00825FF2" w:rsidP="00404338">
      <w:pPr>
        <w:jc w:val="left"/>
        <w:rPr>
          <w:rFonts w:ascii="Arial" w:eastAsia="Times New Roman" w:hAnsi="Arial" w:cs="Arial"/>
          <w:color w:val="000000" w:themeColor="text1"/>
          <w:shd w:val="clear" w:color="auto" w:fill="FFFFFF"/>
        </w:rPr>
      </w:pPr>
    </w:p>
    <w:p w14:paraId="29A35BEB" w14:textId="44E10888" w:rsidR="00EC3D8D" w:rsidRPr="0001264F" w:rsidRDefault="00554FDE" w:rsidP="00930D01">
      <w:pPr>
        <w:pStyle w:val="EndNoteBibliography"/>
        <w:spacing w:line="360" w:lineRule="auto"/>
        <w:jc w:val="left"/>
        <w:rPr>
          <w:rFonts w:ascii="Arial" w:hAnsi="Arial" w:cs="Arial"/>
          <w:b/>
        </w:rPr>
      </w:pPr>
      <w:r w:rsidRPr="0001264F">
        <w:rPr>
          <w:rFonts w:ascii="Arial" w:hAnsi="Arial" w:cs="Arial"/>
          <w:b/>
        </w:rPr>
        <w:t xml:space="preserve">NK cell </w:t>
      </w:r>
      <w:proofErr w:type="spellStart"/>
      <w:r w:rsidRPr="0001264F">
        <w:rPr>
          <w:rFonts w:ascii="Arial" w:hAnsi="Arial" w:cs="Arial"/>
          <w:b/>
        </w:rPr>
        <w:t>immunophenotyping</w:t>
      </w:r>
      <w:proofErr w:type="spellEnd"/>
      <w:r w:rsidRPr="0001264F">
        <w:rPr>
          <w:rFonts w:ascii="Arial" w:hAnsi="Arial" w:cs="Arial"/>
          <w:b/>
        </w:rPr>
        <w:t xml:space="preserve"> </w:t>
      </w:r>
    </w:p>
    <w:p w14:paraId="75B24B0A" w14:textId="350B570D" w:rsidR="00554FDE" w:rsidRPr="0001264F" w:rsidRDefault="00554FDE" w:rsidP="00930D01">
      <w:pPr>
        <w:pStyle w:val="EndNoteBibliography"/>
        <w:spacing w:line="360" w:lineRule="auto"/>
        <w:jc w:val="left"/>
        <w:rPr>
          <w:rFonts w:ascii="Arial" w:hAnsi="Arial" w:cs="Arial"/>
        </w:rPr>
      </w:pPr>
      <w:r w:rsidRPr="0001264F">
        <w:rPr>
          <w:rFonts w:ascii="Arial" w:hAnsi="Arial" w:cs="Arial"/>
        </w:rPr>
        <w:t xml:space="preserve">Peripheral blood </w:t>
      </w:r>
      <w:proofErr w:type="spellStart"/>
      <w:r w:rsidR="00B76285" w:rsidRPr="0001264F">
        <w:rPr>
          <w:rFonts w:ascii="Arial" w:hAnsi="Arial" w:cs="Arial"/>
        </w:rPr>
        <w:t>mono</w:t>
      </w:r>
      <w:r w:rsidRPr="0001264F">
        <w:rPr>
          <w:rFonts w:ascii="Arial" w:hAnsi="Arial" w:cs="Arial"/>
        </w:rPr>
        <w:t>nucleated</w:t>
      </w:r>
      <w:proofErr w:type="spellEnd"/>
      <w:r w:rsidRPr="0001264F">
        <w:rPr>
          <w:rFonts w:ascii="Arial" w:hAnsi="Arial" w:cs="Arial"/>
        </w:rPr>
        <w:t xml:space="preserve"> cells were separated on a density gradient and washed twice in phosphate buffered saline containing 0.2% bovine serum albumin and 0.2% sodium </w:t>
      </w:r>
      <w:proofErr w:type="spellStart"/>
      <w:r w:rsidRPr="0001264F">
        <w:rPr>
          <w:rFonts w:ascii="Arial" w:hAnsi="Arial" w:cs="Arial"/>
        </w:rPr>
        <w:t>azide</w:t>
      </w:r>
      <w:proofErr w:type="spellEnd"/>
      <w:r w:rsidRPr="0001264F">
        <w:rPr>
          <w:rFonts w:ascii="Arial" w:hAnsi="Arial" w:cs="Arial"/>
        </w:rPr>
        <w:t xml:space="preserve"> (PBSA). They were labelled with the following antibodies: anti-CD45-APC-H7, anti-CD3 </w:t>
      </w:r>
      <w:proofErr w:type="spellStart"/>
      <w:r w:rsidRPr="0001264F">
        <w:rPr>
          <w:rFonts w:ascii="Arial" w:hAnsi="Arial" w:cs="Arial"/>
        </w:rPr>
        <w:t>PerCP</w:t>
      </w:r>
      <w:proofErr w:type="spellEnd"/>
      <w:r w:rsidRPr="0001264F">
        <w:rPr>
          <w:rFonts w:ascii="Arial" w:hAnsi="Arial" w:cs="Arial"/>
        </w:rPr>
        <w:t xml:space="preserve">, anti-CD56-PE-Cy7 (all from BD Biosciences, San Jose, CA), anti-CD16-BV421 and anti-CD14-PE/Dazzle 594 (both from </w:t>
      </w:r>
      <w:proofErr w:type="spellStart"/>
      <w:r w:rsidRPr="0001264F">
        <w:rPr>
          <w:rFonts w:ascii="Arial" w:hAnsi="Arial" w:cs="Arial"/>
        </w:rPr>
        <w:t>BioLegend</w:t>
      </w:r>
      <w:proofErr w:type="spellEnd"/>
      <w:r w:rsidRPr="0001264F">
        <w:rPr>
          <w:rFonts w:ascii="Arial" w:hAnsi="Arial" w:cs="Arial"/>
        </w:rPr>
        <w:t xml:space="preserve">, San Diego, CA). After further washing in PBSA (x 2), cells were fixed in 0.5% formaldehyde and </w:t>
      </w:r>
      <w:proofErr w:type="spellStart"/>
      <w:r w:rsidRPr="0001264F">
        <w:rPr>
          <w:rFonts w:ascii="Arial" w:hAnsi="Arial" w:cs="Arial"/>
        </w:rPr>
        <w:t>analyzed</w:t>
      </w:r>
      <w:proofErr w:type="spellEnd"/>
      <w:r w:rsidRPr="0001264F">
        <w:rPr>
          <w:rFonts w:ascii="Arial" w:hAnsi="Arial" w:cs="Arial"/>
        </w:rPr>
        <w:t xml:space="preserve"> with a LSRII flow cytometer (BD Biosciences). </w:t>
      </w:r>
      <w:r w:rsidR="00F10455" w:rsidRPr="0001264F">
        <w:rPr>
          <w:rFonts w:ascii="Arial" w:hAnsi="Arial" w:cs="Arial"/>
        </w:rPr>
        <w:t>P</w:t>
      </w:r>
      <w:r w:rsidR="00DF1519" w:rsidRPr="0001264F">
        <w:rPr>
          <w:rFonts w:ascii="Arial" w:hAnsi="Arial" w:cs="Arial"/>
        </w:rPr>
        <w:t xml:space="preserve">ercentages of NK cell subpopulations </w:t>
      </w:r>
      <w:r w:rsidR="00AC348F" w:rsidRPr="0001264F">
        <w:rPr>
          <w:rFonts w:ascii="Arial" w:hAnsi="Arial" w:cs="Arial"/>
        </w:rPr>
        <w:t xml:space="preserve">in peripheral blood before and after infusion </w:t>
      </w:r>
      <w:r w:rsidR="00DF1519" w:rsidRPr="0001264F">
        <w:rPr>
          <w:rFonts w:ascii="Arial" w:hAnsi="Arial" w:cs="Arial"/>
        </w:rPr>
        <w:t xml:space="preserve">were calculated </w:t>
      </w:r>
      <w:r w:rsidR="00F10455" w:rsidRPr="0001264F">
        <w:rPr>
          <w:rFonts w:ascii="Arial" w:hAnsi="Arial" w:cs="Arial"/>
        </w:rPr>
        <w:t xml:space="preserve">among </w:t>
      </w:r>
      <w:r w:rsidR="00DF1519" w:rsidRPr="0001264F">
        <w:rPr>
          <w:rFonts w:ascii="Arial" w:hAnsi="Arial" w:cs="Arial"/>
        </w:rPr>
        <w:t xml:space="preserve">cells with light scattering properties of </w:t>
      </w:r>
      <w:r w:rsidR="00F10455" w:rsidRPr="0001264F">
        <w:rPr>
          <w:rFonts w:ascii="Arial" w:hAnsi="Arial" w:cs="Arial"/>
        </w:rPr>
        <w:t xml:space="preserve">viable </w:t>
      </w:r>
      <w:r w:rsidR="00DF1519" w:rsidRPr="0001264F">
        <w:rPr>
          <w:rFonts w:ascii="Arial" w:hAnsi="Arial" w:cs="Arial"/>
        </w:rPr>
        <w:t>lymphoid cells</w:t>
      </w:r>
      <w:r w:rsidR="00AC348F" w:rsidRPr="0001264F">
        <w:rPr>
          <w:rFonts w:ascii="Arial" w:hAnsi="Arial" w:cs="Arial"/>
        </w:rPr>
        <w:t xml:space="preserve"> and CD45 expression, after doublet exclusion</w:t>
      </w:r>
      <w:r w:rsidR="00F10455" w:rsidRPr="0001264F">
        <w:rPr>
          <w:rFonts w:ascii="Arial" w:hAnsi="Arial" w:cs="Arial"/>
        </w:rPr>
        <w:t>.</w:t>
      </w:r>
      <w:r w:rsidR="00FD5287" w:rsidRPr="0001264F">
        <w:rPr>
          <w:rFonts w:ascii="Arial" w:hAnsi="Arial" w:cs="Arial"/>
        </w:rPr>
        <w:t xml:space="preserve"> Absolute numbers were calculated by using these percentages and the absolute num</w:t>
      </w:r>
      <w:r w:rsidR="00E85B91" w:rsidRPr="0001264F">
        <w:rPr>
          <w:rFonts w:ascii="Arial" w:hAnsi="Arial" w:cs="Arial"/>
        </w:rPr>
        <w:t>ber of per</w:t>
      </w:r>
      <w:r w:rsidR="00FD5287" w:rsidRPr="0001264F">
        <w:rPr>
          <w:rFonts w:ascii="Arial" w:hAnsi="Arial" w:cs="Arial"/>
        </w:rPr>
        <w:t>ipheral blood</w:t>
      </w:r>
      <w:r w:rsidR="00E85B91" w:rsidRPr="0001264F">
        <w:rPr>
          <w:rFonts w:ascii="Arial" w:hAnsi="Arial" w:cs="Arial"/>
        </w:rPr>
        <w:t xml:space="preserve"> lymphoid cells as determined with a Coulter </w:t>
      </w:r>
      <w:proofErr w:type="spellStart"/>
      <w:r w:rsidR="00E85B91" w:rsidRPr="0001264F">
        <w:rPr>
          <w:rFonts w:ascii="Arial" w:hAnsi="Arial" w:cs="Arial"/>
        </w:rPr>
        <w:t>Ac•T</w:t>
      </w:r>
      <w:proofErr w:type="spellEnd"/>
      <w:r w:rsidR="00E85B91" w:rsidRPr="0001264F">
        <w:rPr>
          <w:rFonts w:ascii="Arial" w:hAnsi="Arial" w:cs="Arial"/>
        </w:rPr>
        <w:t xml:space="preserve"> diff </w:t>
      </w:r>
      <w:proofErr w:type="spellStart"/>
      <w:r w:rsidR="00E85B91" w:rsidRPr="0001264F">
        <w:rPr>
          <w:rFonts w:ascii="Arial" w:hAnsi="Arial" w:cs="Arial"/>
        </w:rPr>
        <w:t>Hematology</w:t>
      </w:r>
      <w:proofErr w:type="spellEnd"/>
      <w:r w:rsidR="00E85B91" w:rsidRPr="0001264F">
        <w:rPr>
          <w:rFonts w:ascii="Arial" w:hAnsi="Arial" w:cs="Arial"/>
        </w:rPr>
        <w:t xml:space="preserve"> </w:t>
      </w:r>
      <w:proofErr w:type="spellStart"/>
      <w:r w:rsidR="00E85B91" w:rsidRPr="0001264F">
        <w:rPr>
          <w:rFonts w:ascii="Arial" w:hAnsi="Arial" w:cs="Arial"/>
        </w:rPr>
        <w:t>Analyzer</w:t>
      </w:r>
      <w:proofErr w:type="spellEnd"/>
      <w:r w:rsidR="00FD5287" w:rsidRPr="0001264F">
        <w:rPr>
          <w:rFonts w:ascii="Arial" w:hAnsi="Arial" w:cs="Arial"/>
        </w:rPr>
        <w:t>.</w:t>
      </w:r>
    </w:p>
    <w:p w14:paraId="0F754505" w14:textId="77777777" w:rsidR="00644ACC" w:rsidRPr="0001264F" w:rsidRDefault="00644ACC" w:rsidP="00930D01">
      <w:pPr>
        <w:pStyle w:val="EndNoteBibliography"/>
        <w:spacing w:line="360" w:lineRule="auto"/>
        <w:jc w:val="left"/>
        <w:rPr>
          <w:rFonts w:ascii="Arial" w:hAnsi="Arial" w:cs="Arial"/>
        </w:rPr>
      </w:pPr>
    </w:p>
    <w:p w14:paraId="2DA590ED" w14:textId="04FEBD4B" w:rsidR="00EC3D8D" w:rsidRPr="0001264F" w:rsidRDefault="00EC3D8D" w:rsidP="00930D01">
      <w:pPr>
        <w:pStyle w:val="EndNoteBibliography"/>
        <w:spacing w:line="360" w:lineRule="auto"/>
        <w:jc w:val="left"/>
        <w:rPr>
          <w:rFonts w:ascii="Arial" w:hAnsi="Arial" w:cs="Arial"/>
          <w:b/>
        </w:rPr>
      </w:pPr>
      <w:r w:rsidRPr="0001264F">
        <w:rPr>
          <w:rFonts w:ascii="Arial" w:hAnsi="Arial" w:cs="Arial"/>
          <w:b/>
        </w:rPr>
        <w:t>Testing of antibody-dependent cell cytotoxicity (ADCC)</w:t>
      </w:r>
    </w:p>
    <w:p w14:paraId="0FFF47BE" w14:textId="1F586588" w:rsidR="00554FDE" w:rsidRPr="0001264F" w:rsidRDefault="00554FDE" w:rsidP="00930D01">
      <w:pPr>
        <w:pStyle w:val="EndNoteBibliography"/>
        <w:spacing w:line="360" w:lineRule="auto"/>
        <w:jc w:val="left"/>
        <w:rPr>
          <w:rFonts w:ascii="Arial" w:eastAsia="Times New Roman" w:hAnsi="Arial" w:cs="Arial"/>
          <w:color w:val="000000" w:themeColor="text1"/>
          <w:shd w:val="clear" w:color="auto" w:fill="FFFFFF"/>
        </w:rPr>
      </w:pPr>
      <w:r w:rsidRPr="0001264F">
        <w:rPr>
          <w:rFonts w:ascii="Arial" w:hAnsi="Arial" w:cs="Arial"/>
        </w:rPr>
        <w:t>ADCC testing was performed as previously described</w:t>
      </w:r>
      <w:r w:rsidRPr="0001264F">
        <w:rPr>
          <w:rFonts w:ascii="Arial" w:hAnsi="Arial" w:cs="Arial"/>
        </w:rPr>
        <w:fldChar w:fldCharType="begin">
          <w:fldData xml:space="preserve">PEVuZE5vdGU+PENpdGU+PEF1dGhvcj5JbWFtdXJhPC9BdXRob3I+PFllYXI+MjAxNDwvWWVhcj48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</w:fldData>
        </w:fldChar>
      </w:r>
      <w:r w:rsidR="002456CE" w:rsidRPr="0001264F">
        <w:rPr>
          <w:rFonts w:ascii="Arial" w:hAnsi="Arial" w:cs="Arial"/>
        </w:rPr>
        <w:instrText xml:space="preserve"> ADDIN EN.CITE </w:instrText>
      </w:r>
      <w:r w:rsidR="002456CE" w:rsidRPr="0001264F">
        <w:rPr>
          <w:rFonts w:ascii="Arial" w:hAnsi="Arial" w:cs="Arial"/>
        </w:rPr>
        <w:fldChar w:fldCharType="begin">
          <w:fldData xml:space="preserve">PEVuZE5vdGU+PENpdGU+PEF1dGhvcj5JbWFtdXJhPC9BdXRob3I+PFllYXI+MjAxNDwvWWVhcj48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</w:fldData>
        </w:fldChar>
      </w:r>
      <w:r w:rsidR="002456CE" w:rsidRPr="0001264F">
        <w:rPr>
          <w:rFonts w:ascii="Arial" w:hAnsi="Arial" w:cs="Arial"/>
        </w:rPr>
        <w:instrText xml:space="preserve"> ADDIN EN.CITE.DATA </w:instrText>
      </w:r>
      <w:r w:rsidR="002456CE" w:rsidRPr="0001264F">
        <w:rPr>
          <w:rFonts w:ascii="Arial" w:hAnsi="Arial" w:cs="Arial"/>
        </w:rPr>
      </w:r>
      <w:r w:rsidR="002456CE" w:rsidRPr="0001264F">
        <w:rPr>
          <w:rFonts w:ascii="Arial" w:hAnsi="Arial" w:cs="Arial"/>
        </w:rPr>
        <w:fldChar w:fldCharType="end"/>
      </w:r>
      <w:r w:rsidRPr="0001264F">
        <w:rPr>
          <w:rFonts w:ascii="Arial" w:hAnsi="Arial" w:cs="Arial"/>
        </w:rPr>
      </w:r>
      <w:r w:rsidRPr="0001264F">
        <w:rPr>
          <w:rFonts w:ascii="Arial" w:hAnsi="Arial" w:cs="Arial"/>
        </w:rPr>
        <w:fldChar w:fldCharType="separate"/>
      </w:r>
      <w:r w:rsidR="002456CE" w:rsidRPr="0001264F">
        <w:rPr>
          <w:rFonts w:ascii="Arial" w:hAnsi="Arial" w:cs="Arial"/>
          <w:noProof/>
        </w:rPr>
        <w:t>(2)</w:t>
      </w:r>
      <w:r w:rsidRPr="0001264F">
        <w:rPr>
          <w:rFonts w:ascii="Arial" w:hAnsi="Arial" w:cs="Arial"/>
        </w:rPr>
        <w:fldChar w:fldCharType="end"/>
      </w:r>
      <w:r w:rsidRPr="0001264F">
        <w:rPr>
          <w:rFonts w:ascii="Arial" w:hAnsi="Arial" w:cs="Arial"/>
        </w:rPr>
        <w:t xml:space="preserve">. </w:t>
      </w:r>
      <w:r w:rsidRPr="0001264F">
        <w:rPr>
          <w:rFonts w:ascii="Arial" w:hAnsi="Arial" w:cs="Arial"/>
          <w:noProof/>
        </w:rPr>
        <w:t xml:space="preserve">Briefly, NK cells were cultured with luciferase-labelled SK-BR-3 with or without trastuzumab (10 </w:t>
      </w:r>
      <w:r w:rsidRPr="0001264F">
        <w:rPr>
          <w:rFonts w:ascii="Symbol" w:hAnsi="Symbol" w:cs="Arial"/>
          <w:noProof/>
        </w:rPr>
        <w:t></w:t>
      </w:r>
      <w:r w:rsidRPr="0001264F">
        <w:rPr>
          <w:rFonts w:ascii="Arial" w:hAnsi="Arial" w:cs="Arial"/>
          <w:noProof/>
        </w:rPr>
        <w:t>g/mL)</w:t>
      </w:r>
      <w:r w:rsidR="00FD5287" w:rsidRPr="0001264F">
        <w:rPr>
          <w:rFonts w:ascii="Arial" w:hAnsi="Arial" w:cs="Arial"/>
          <w:noProof/>
        </w:rPr>
        <w:t xml:space="preserve"> in triplicate</w:t>
      </w:r>
      <w:r w:rsidRPr="0001264F">
        <w:rPr>
          <w:rFonts w:ascii="Arial" w:hAnsi="Arial" w:cs="Arial"/>
          <w:noProof/>
        </w:rPr>
        <w:t xml:space="preserve">. After 4 hours, </w:t>
      </w:r>
      <w:proofErr w:type="spellStart"/>
      <w:r w:rsidRPr="0001264F">
        <w:rPr>
          <w:rFonts w:ascii="Arial" w:hAnsi="Arial" w:cs="Arial"/>
        </w:rPr>
        <w:t>BrightGlo</w:t>
      </w:r>
      <w:proofErr w:type="spellEnd"/>
      <w:r w:rsidRPr="0001264F">
        <w:rPr>
          <w:rFonts w:ascii="Arial" w:hAnsi="Arial" w:cs="Arial"/>
        </w:rPr>
        <w:t xml:space="preserve"> (</w:t>
      </w:r>
      <w:proofErr w:type="spellStart"/>
      <w:r w:rsidRPr="0001264F">
        <w:rPr>
          <w:rFonts w:ascii="Arial" w:hAnsi="Arial" w:cs="Arial"/>
        </w:rPr>
        <w:t>Promega</w:t>
      </w:r>
      <w:proofErr w:type="spellEnd"/>
      <w:r w:rsidRPr="0001264F">
        <w:rPr>
          <w:rFonts w:ascii="Arial" w:hAnsi="Arial" w:cs="Arial"/>
        </w:rPr>
        <w:t xml:space="preserve">, Fitchburg, WI) was added to the wells and luminescence from viable SK-BR-3 cells was measured using a </w:t>
      </w:r>
      <w:proofErr w:type="spellStart"/>
      <w:r w:rsidRPr="0001264F">
        <w:rPr>
          <w:rFonts w:ascii="Arial" w:hAnsi="Arial" w:cs="Arial"/>
        </w:rPr>
        <w:t>Flx</w:t>
      </w:r>
      <w:proofErr w:type="spellEnd"/>
      <w:r w:rsidRPr="0001264F">
        <w:rPr>
          <w:rFonts w:ascii="Arial" w:hAnsi="Arial" w:cs="Arial"/>
        </w:rPr>
        <w:t xml:space="preserve"> 800 plate reader (</w:t>
      </w:r>
      <w:proofErr w:type="spellStart"/>
      <w:r w:rsidRPr="0001264F">
        <w:rPr>
          <w:rFonts w:ascii="Arial" w:hAnsi="Arial" w:cs="Arial"/>
        </w:rPr>
        <w:t>BioTek</w:t>
      </w:r>
      <w:proofErr w:type="spellEnd"/>
      <w:r w:rsidRPr="0001264F">
        <w:rPr>
          <w:rFonts w:ascii="Arial" w:hAnsi="Arial" w:cs="Arial"/>
        </w:rPr>
        <w:t>, Winooski, VT).</w:t>
      </w:r>
      <w:r w:rsidRPr="0001264F">
        <w:rPr>
          <w:rFonts w:ascii="Times New Roman" w:hAnsi="Times New Roman"/>
        </w:rPr>
        <w:t xml:space="preserve"> </w:t>
      </w:r>
      <w:r w:rsidRPr="0001264F">
        <w:rPr>
          <w:rFonts w:ascii="Arial" w:hAnsi="Arial" w:cs="Arial"/>
          <w:noProof/>
        </w:rPr>
        <w:t xml:space="preserve">   </w:t>
      </w:r>
      <w:r w:rsidRPr="0001264F">
        <w:rPr>
          <w:rFonts w:ascii="Arial" w:hAnsi="Arial" w:cs="Arial"/>
        </w:rPr>
        <w:t xml:space="preserve">   </w:t>
      </w:r>
    </w:p>
    <w:p w14:paraId="4F6FF8FF" w14:textId="77777777" w:rsidR="00554FDE" w:rsidRPr="0001264F" w:rsidRDefault="00554FDE" w:rsidP="00554FDE">
      <w:pPr>
        <w:rPr>
          <w:rFonts w:ascii="Arial" w:eastAsia="Times New Roman" w:hAnsi="Arial" w:cs="Arial"/>
          <w:color w:val="000000" w:themeColor="text1"/>
          <w:shd w:val="clear" w:color="auto" w:fill="FFFFFF"/>
        </w:rPr>
      </w:pPr>
    </w:p>
    <w:p w14:paraId="035C04FC" w14:textId="77777777" w:rsidR="00EC3D8D" w:rsidRPr="0001264F" w:rsidRDefault="00554FDE" w:rsidP="00930D01">
      <w:pPr>
        <w:jc w:val="left"/>
        <w:rPr>
          <w:rFonts w:ascii="Arial" w:eastAsia="Times New Roman" w:hAnsi="Arial" w:cs="Arial"/>
          <w:b/>
          <w:color w:val="000000" w:themeColor="text1"/>
          <w:shd w:val="clear" w:color="auto" w:fill="FFFFFF"/>
        </w:rPr>
      </w:pPr>
      <w:r w:rsidRPr="0001264F">
        <w:rPr>
          <w:rFonts w:ascii="Arial" w:eastAsia="Times New Roman" w:hAnsi="Arial" w:cs="Arial"/>
          <w:b/>
          <w:color w:val="000000" w:themeColor="text1"/>
          <w:shd w:val="clear" w:color="auto" w:fill="FFFFFF"/>
        </w:rPr>
        <w:t>DNA Extraction, Nested PCR and Sanger’s sequencing</w:t>
      </w:r>
    </w:p>
    <w:p w14:paraId="2477A630" w14:textId="5EF64E1B" w:rsidR="00554FDE" w:rsidRPr="0001264F" w:rsidRDefault="00554FDE" w:rsidP="00930D01">
      <w:pPr>
        <w:jc w:val="left"/>
        <w:rPr>
          <w:rFonts w:ascii="Arial" w:eastAsia="Times New Roman" w:hAnsi="Arial" w:cs="Arial"/>
          <w:color w:val="000000" w:themeColor="text1"/>
        </w:rPr>
      </w:pPr>
      <w:r w:rsidRPr="0001264F">
        <w:rPr>
          <w:rFonts w:ascii="Arial" w:eastAsia="Times New Roman" w:hAnsi="Arial" w:cs="Arial"/>
          <w:color w:val="000000" w:themeColor="text1"/>
          <w:shd w:val="clear" w:color="auto" w:fill="FFFFFF"/>
        </w:rPr>
        <w:t xml:space="preserve">Germline DNA was extracted using </w:t>
      </w:r>
      <w:proofErr w:type="spellStart"/>
      <w:r w:rsidRPr="0001264F">
        <w:rPr>
          <w:rFonts w:ascii="Arial" w:eastAsia="Times New Roman" w:hAnsi="Arial" w:cs="Arial"/>
          <w:color w:val="000000" w:themeColor="text1"/>
          <w:shd w:val="clear" w:color="auto" w:fill="FFFFFF"/>
        </w:rPr>
        <w:t>Masterpure</w:t>
      </w:r>
      <w:proofErr w:type="spellEnd"/>
      <w:r w:rsidRPr="0001264F">
        <w:rPr>
          <w:rFonts w:ascii="Arial" w:eastAsia="Times New Roman" w:hAnsi="Arial" w:cs="Arial"/>
          <w:color w:val="000000" w:themeColor="text1"/>
          <w:shd w:val="clear" w:color="auto" w:fill="FFFFFF"/>
        </w:rPr>
        <w:t xml:space="preserve"> DNA purification Kit for Blood Version II (Illumina</w:t>
      </w:r>
      <w:r w:rsidR="006F1D78" w:rsidRPr="0001264F">
        <w:rPr>
          <w:rFonts w:ascii="Arial" w:eastAsia="Times New Roman" w:hAnsi="Arial" w:cs="Arial"/>
          <w:color w:val="000000" w:themeColor="text1"/>
          <w:shd w:val="clear" w:color="auto" w:fill="FFFFFF"/>
        </w:rPr>
        <w:t>, San Diego, CA</w:t>
      </w:r>
      <w:r w:rsidRPr="0001264F">
        <w:rPr>
          <w:rFonts w:ascii="Arial" w:eastAsia="Times New Roman" w:hAnsi="Arial" w:cs="Arial"/>
          <w:color w:val="000000" w:themeColor="text1"/>
          <w:shd w:val="clear" w:color="auto" w:fill="FFFFFF"/>
        </w:rPr>
        <w:t xml:space="preserve">) according to manufacturer’s instructions. Nested PCR was carried out with forward and reverse primers </w:t>
      </w:r>
      <w:r w:rsidR="00747D74" w:rsidRPr="0001264F">
        <w:rPr>
          <w:rFonts w:ascii="Arial" w:eastAsia="Times New Roman" w:hAnsi="Arial" w:cs="Arial"/>
          <w:color w:val="000000" w:themeColor="text1"/>
          <w:shd w:val="clear" w:color="auto" w:fill="FFFFFF"/>
        </w:rPr>
        <w:t>shown in</w:t>
      </w:r>
      <w:r w:rsidRPr="0001264F">
        <w:rPr>
          <w:rFonts w:ascii="Arial" w:eastAsia="Times New Roman" w:hAnsi="Arial" w:cs="Arial"/>
          <w:color w:val="000000" w:themeColor="text1"/>
          <w:shd w:val="clear" w:color="auto" w:fill="FFFFFF"/>
        </w:rPr>
        <w:t xml:space="preserve"> </w:t>
      </w:r>
      <w:r w:rsidR="00747D74" w:rsidRPr="0001264F">
        <w:rPr>
          <w:rFonts w:ascii="Arial" w:eastAsia="Times New Roman" w:hAnsi="Arial" w:cs="Arial"/>
          <w:color w:val="000000" w:themeColor="text1"/>
          <w:shd w:val="clear" w:color="auto" w:fill="FFFFFF"/>
        </w:rPr>
        <w:t>T</w:t>
      </w:r>
      <w:r w:rsidRPr="0001264F">
        <w:rPr>
          <w:rFonts w:ascii="Arial" w:eastAsia="Times New Roman" w:hAnsi="Arial" w:cs="Arial"/>
          <w:color w:val="000000" w:themeColor="text1"/>
          <w:shd w:val="clear" w:color="auto" w:fill="FFFFFF"/>
        </w:rPr>
        <w:t xml:space="preserve">able </w:t>
      </w:r>
      <w:r w:rsidR="00747D74" w:rsidRPr="0001264F">
        <w:rPr>
          <w:rFonts w:ascii="Arial" w:eastAsia="Times New Roman" w:hAnsi="Arial" w:cs="Arial"/>
          <w:color w:val="000000" w:themeColor="text1"/>
          <w:shd w:val="clear" w:color="auto" w:fill="FFFFFF"/>
        </w:rPr>
        <w:t>S</w:t>
      </w:r>
      <w:r w:rsidRPr="0001264F">
        <w:rPr>
          <w:rFonts w:ascii="Arial" w:eastAsia="Times New Roman" w:hAnsi="Arial" w:cs="Arial"/>
          <w:color w:val="000000" w:themeColor="text1"/>
          <w:shd w:val="clear" w:color="auto" w:fill="FFFFFF"/>
        </w:rPr>
        <w:t>1</w:t>
      </w:r>
      <w:r w:rsidR="00747D74" w:rsidRPr="0001264F">
        <w:rPr>
          <w:rFonts w:ascii="Arial" w:eastAsia="Times New Roman" w:hAnsi="Arial" w:cs="Arial"/>
          <w:color w:val="000000" w:themeColor="text1"/>
          <w:shd w:val="clear" w:color="auto" w:fill="FFFFFF"/>
        </w:rPr>
        <w:t>. Each</w:t>
      </w:r>
      <w:r w:rsidRPr="0001264F">
        <w:rPr>
          <w:rFonts w:ascii="Arial" w:eastAsia="Times New Roman" w:hAnsi="Arial" w:cs="Arial"/>
          <w:color w:val="000000" w:themeColor="text1"/>
          <w:shd w:val="clear" w:color="auto" w:fill="FFFFFF"/>
        </w:rPr>
        <w:t xml:space="preserve"> PCR reaction consisted of 2.5</w:t>
      </w:r>
      <w:r w:rsidRPr="0001264F">
        <w:rPr>
          <w:rFonts w:ascii="Arial" w:eastAsia="Times New Roman" w:hAnsi="Arial" w:cs="Arial"/>
          <w:bCs/>
          <w:color w:val="000000" w:themeColor="text1"/>
          <w:shd w:val="clear" w:color="auto" w:fill="FFFFFF"/>
        </w:rPr>
        <w:t xml:space="preserve">μl </w:t>
      </w:r>
      <w:proofErr w:type="spellStart"/>
      <w:r w:rsidRPr="0001264F">
        <w:rPr>
          <w:rFonts w:ascii="Arial" w:eastAsia="Times New Roman" w:hAnsi="Arial" w:cs="Arial"/>
          <w:bCs/>
          <w:color w:val="000000" w:themeColor="text1"/>
          <w:shd w:val="clear" w:color="auto" w:fill="FFFFFF"/>
        </w:rPr>
        <w:t>Faststart</w:t>
      </w:r>
      <w:proofErr w:type="spellEnd"/>
      <w:r w:rsidRPr="0001264F">
        <w:rPr>
          <w:rFonts w:ascii="Arial" w:eastAsia="Times New Roman" w:hAnsi="Arial" w:cs="Arial"/>
          <w:bCs/>
          <w:color w:val="000000" w:themeColor="text1"/>
          <w:shd w:val="clear" w:color="auto" w:fill="FFFFFF"/>
        </w:rPr>
        <w:t xml:space="preserve"> PCR </w:t>
      </w:r>
      <w:proofErr w:type="spellStart"/>
      <w:r w:rsidRPr="0001264F">
        <w:rPr>
          <w:rFonts w:ascii="Arial" w:eastAsia="Times New Roman" w:hAnsi="Arial" w:cs="Arial"/>
          <w:bCs/>
          <w:color w:val="000000" w:themeColor="text1"/>
          <w:shd w:val="clear" w:color="auto" w:fill="FFFFFF"/>
        </w:rPr>
        <w:t>Mastermix</w:t>
      </w:r>
      <w:proofErr w:type="spellEnd"/>
      <w:r w:rsidRPr="0001264F">
        <w:rPr>
          <w:rFonts w:ascii="Arial" w:eastAsia="Times New Roman" w:hAnsi="Arial" w:cs="Arial"/>
          <w:bCs/>
          <w:color w:val="000000" w:themeColor="text1"/>
          <w:shd w:val="clear" w:color="auto" w:fill="FFFFFF"/>
        </w:rPr>
        <w:t xml:space="preserve"> (Roche</w:t>
      </w:r>
      <w:r w:rsidR="00EE00DF" w:rsidRPr="0001264F">
        <w:rPr>
          <w:rFonts w:ascii="Arial" w:eastAsia="Times New Roman" w:hAnsi="Arial" w:cs="Arial"/>
          <w:bCs/>
          <w:color w:val="000000" w:themeColor="text1"/>
          <w:shd w:val="clear" w:color="auto" w:fill="FFFFFF"/>
        </w:rPr>
        <w:t>, Basel, Switzerland</w:t>
      </w:r>
      <w:r w:rsidRPr="0001264F">
        <w:rPr>
          <w:rFonts w:ascii="Arial" w:eastAsia="Times New Roman" w:hAnsi="Arial" w:cs="Arial"/>
          <w:bCs/>
          <w:color w:val="000000" w:themeColor="text1"/>
          <w:shd w:val="clear" w:color="auto" w:fill="FFFFFF"/>
        </w:rPr>
        <w:t>), 10</w:t>
      </w:r>
      <w:r w:rsidR="006F1D78" w:rsidRPr="0001264F">
        <w:rPr>
          <w:rFonts w:ascii="Arial" w:eastAsia="Times New Roman" w:hAnsi="Arial" w:cs="Arial"/>
          <w:bCs/>
          <w:color w:val="000000" w:themeColor="text1"/>
          <w:shd w:val="clear" w:color="auto" w:fill="FFFFFF"/>
        </w:rPr>
        <w:t xml:space="preserve"> </w:t>
      </w:r>
      <w:r w:rsidR="006F1D78" w:rsidRPr="0001264F">
        <w:rPr>
          <w:rFonts w:ascii="Symbol" w:eastAsia="Times New Roman" w:hAnsi="Symbol" w:cs="Arial"/>
          <w:bCs/>
          <w:color w:val="000000" w:themeColor="text1"/>
          <w:shd w:val="clear" w:color="auto" w:fill="FFFFFF"/>
        </w:rPr>
        <w:t></w:t>
      </w:r>
      <w:r w:rsidRPr="0001264F">
        <w:rPr>
          <w:rFonts w:ascii="Arial" w:eastAsia="Times New Roman" w:hAnsi="Arial" w:cs="Arial"/>
          <w:bCs/>
          <w:color w:val="000000" w:themeColor="text1"/>
          <w:shd w:val="clear" w:color="auto" w:fill="FFFFFF"/>
        </w:rPr>
        <w:t xml:space="preserve">M of each primer, 10mM of </w:t>
      </w:r>
      <w:proofErr w:type="spellStart"/>
      <w:r w:rsidRPr="0001264F">
        <w:rPr>
          <w:rFonts w:ascii="Arial" w:eastAsia="Times New Roman" w:hAnsi="Arial" w:cs="Arial"/>
          <w:bCs/>
          <w:color w:val="000000" w:themeColor="text1"/>
          <w:shd w:val="clear" w:color="auto" w:fill="FFFFFF"/>
        </w:rPr>
        <w:t>dNTP</w:t>
      </w:r>
      <w:proofErr w:type="spellEnd"/>
      <w:r w:rsidRPr="0001264F">
        <w:rPr>
          <w:rFonts w:ascii="Arial" w:eastAsia="Times New Roman" w:hAnsi="Arial" w:cs="Arial"/>
          <w:bCs/>
          <w:color w:val="000000" w:themeColor="text1"/>
          <w:shd w:val="clear" w:color="auto" w:fill="FFFFFF"/>
        </w:rPr>
        <w:t xml:space="preserve"> solution mix (New England </w:t>
      </w:r>
      <w:proofErr w:type="spellStart"/>
      <w:r w:rsidRPr="0001264F">
        <w:rPr>
          <w:rFonts w:ascii="Arial" w:eastAsia="Times New Roman" w:hAnsi="Arial" w:cs="Arial"/>
          <w:bCs/>
          <w:color w:val="000000" w:themeColor="text1"/>
          <w:shd w:val="clear" w:color="auto" w:fill="FFFFFF"/>
        </w:rPr>
        <w:lastRenderedPageBreak/>
        <w:t>Biolabs</w:t>
      </w:r>
      <w:proofErr w:type="spellEnd"/>
      <w:r w:rsidR="00EE00DF" w:rsidRPr="0001264F">
        <w:rPr>
          <w:rFonts w:ascii="Arial" w:eastAsia="Times New Roman" w:hAnsi="Arial" w:cs="Arial"/>
          <w:bCs/>
          <w:color w:val="000000" w:themeColor="text1"/>
          <w:shd w:val="clear" w:color="auto" w:fill="FFFFFF"/>
        </w:rPr>
        <w:t>, Ipswich, MA</w:t>
      </w:r>
      <w:r w:rsidRPr="0001264F">
        <w:rPr>
          <w:rFonts w:ascii="Arial" w:eastAsia="Times New Roman" w:hAnsi="Arial" w:cs="Arial"/>
          <w:bCs/>
          <w:color w:val="000000" w:themeColor="text1"/>
          <w:shd w:val="clear" w:color="auto" w:fill="FFFFFF"/>
        </w:rPr>
        <w:t>), 0.4</w:t>
      </w:r>
      <w:r w:rsidR="006F1D78" w:rsidRPr="0001264F">
        <w:rPr>
          <w:rFonts w:ascii="Arial" w:eastAsia="Times New Roman" w:hAnsi="Arial" w:cs="Arial"/>
          <w:bCs/>
          <w:color w:val="000000" w:themeColor="text1"/>
          <w:shd w:val="clear" w:color="auto" w:fill="FFFFFF"/>
        </w:rPr>
        <w:t xml:space="preserve"> </w:t>
      </w:r>
      <w:proofErr w:type="spellStart"/>
      <w:r w:rsidRPr="0001264F">
        <w:rPr>
          <w:rFonts w:ascii="Arial" w:eastAsia="Times New Roman" w:hAnsi="Arial" w:cs="Arial"/>
          <w:bCs/>
          <w:color w:val="000000" w:themeColor="text1"/>
          <w:shd w:val="clear" w:color="auto" w:fill="FFFFFF"/>
        </w:rPr>
        <w:t>μl</w:t>
      </w:r>
      <w:proofErr w:type="spellEnd"/>
      <w:r w:rsidRPr="0001264F">
        <w:rPr>
          <w:rFonts w:ascii="Arial" w:eastAsia="Times New Roman" w:hAnsi="Arial" w:cs="Arial"/>
          <w:bCs/>
          <w:color w:val="000000" w:themeColor="text1"/>
          <w:shd w:val="clear" w:color="auto" w:fill="FFFFFF"/>
        </w:rPr>
        <w:t xml:space="preserve"> of </w:t>
      </w:r>
      <w:proofErr w:type="spellStart"/>
      <w:r w:rsidRPr="0001264F">
        <w:rPr>
          <w:rFonts w:ascii="Arial" w:eastAsia="Times New Roman" w:hAnsi="Arial" w:cs="Arial"/>
          <w:bCs/>
          <w:color w:val="000000" w:themeColor="text1"/>
          <w:shd w:val="clear" w:color="auto" w:fill="FFFFFF"/>
        </w:rPr>
        <w:t>Taq</w:t>
      </w:r>
      <w:proofErr w:type="spellEnd"/>
      <w:r w:rsidRPr="0001264F">
        <w:rPr>
          <w:rFonts w:ascii="Arial" w:eastAsia="Times New Roman" w:hAnsi="Arial" w:cs="Arial"/>
          <w:bCs/>
          <w:color w:val="000000" w:themeColor="text1"/>
          <w:shd w:val="clear" w:color="auto" w:fill="FFFFFF"/>
        </w:rPr>
        <w:t xml:space="preserve"> DNA Polymerase (Roche) and 10</w:t>
      </w:r>
      <w:r w:rsidR="006F1D78" w:rsidRPr="0001264F">
        <w:rPr>
          <w:rFonts w:ascii="Arial" w:eastAsia="Times New Roman" w:hAnsi="Arial" w:cs="Arial"/>
          <w:bCs/>
          <w:color w:val="000000" w:themeColor="text1"/>
          <w:shd w:val="clear" w:color="auto" w:fill="FFFFFF"/>
        </w:rPr>
        <w:t xml:space="preserve"> </w:t>
      </w:r>
      <w:r w:rsidRPr="0001264F">
        <w:rPr>
          <w:rFonts w:ascii="Arial" w:eastAsia="Times New Roman" w:hAnsi="Arial" w:cs="Arial"/>
          <w:bCs/>
          <w:color w:val="000000" w:themeColor="text1"/>
          <w:shd w:val="clear" w:color="auto" w:fill="FFFFFF"/>
        </w:rPr>
        <w:t>ng of DNA in a total volume of 25</w:t>
      </w:r>
      <w:r w:rsidR="00747D74" w:rsidRPr="0001264F">
        <w:rPr>
          <w:rFonts w:ascii="Arial" w:eastAsia="Times New Roman" w:hAnsi="Arial" w:cs="Arial"/>
          <w:bCs/>
          <w:color w:val="000000" w:themeColor="text1"/>
          <w:shd w:val="clear" w:color="auto" w:fill="FFFFFF"/>
        </w:rPr>
        <w:t xml:space="preserve"> </w:t>
      </w:r>
      <w:proofErr w:type="spellStart"/>
      <w:r w:rsidRPr="0001264F">
        <w:rPr>
          <w:rFonts w:ascii="Arial" w:eastAsia="Times New Roman" w:hAnsi="Arial" w:cs="Arial"/>
          <w:bCs/>
          <w:color w:val="000000" w:themeColor="text1"/>
          <w:shd w:val="clear" w:color="auto" w:fill="FFFFFF"/>
        </w:rPr>
        <w:t>μl</w:t>
      </w:r>
      <w:proofErr w:type="spellEnd"/>
      <w:r w:rsidRPr="0001264F">
        <w:rPr>
          <w:rFonts w:ascii="Arial" w:eastAsia="Times New Roman" w:hAnsi="Arial" w:cs="Arial"/>
          <w:bCs/>
          <w:color w:val="000000" w:themeColor="text1"/>
          <w:shd w:val="clear" w:color="auto" w:fill="FFFFFF"/>
        </w:rPr>
        <w:t xml:space="preserve">. </w:t>
      </w:r>
      <w:r w:rsidR="00747D74" w:rsidRPr="0001264F">
        <w:rPr>
          <w:rFonts w:ascii="Arial" w:eastAsia="Times New Roman" w:hAnsi="Arial" w:cs="Arial"/>
          <w:bCs/>
          <w:color w:val="000000" w:themeColor="text1"/>
          <w:shd w:val="clear" w:color="auto" w:fill="FFFFFF"/>
        </w:rPr>
        <w:t xml:space="preserve">The following </w:t>
      </w:r>
      <w:r w:rsidRPr="0001264F">
        <w:rPr>
          <w:rFonts w:ascii="Arial" w:eastAsia="Times New Roman" w:hAnsi="Arial" w:cs="Arial"/>
          <w:bCs/>
          <w:color w:val="000000" w:themeColor="text1"/>
          <w:shd w:val="clear" w:color="auto" w:fill="FFFFFF"/>
        </w:rPr>
        <w:t>PCR conditions</w:t>
      </w:r>
      <w:r w:rsidR="00747D74" w:rsidRPr="0001264F">
        <w:rPr>
          <w:rFonts w:ascii="Arial" w:eastAsia="Times New Roman" w:hAnsi="Arial" w:cs="Arial"/>
          <w:bCs/>
          <w:color w:val="000000" w:themeColor="text1"/>
          <w:shd w:val="clear" w:color="auto" w:fill="FFFFFF"/>
        </w:rPr>
        <w:t xml:space="preserve"> were used</w:t>
      </w:r>
      <w:r w:rsidRPr="0001264F">
        <w:rPr>
          <w:rFonts w:ascii="Arial" w:eastAsia="Times New Roman" w:hAnsi="Arial" w:cs="Arial"/>
          <w:bCs/>
          <w:color w:val="000000" w:themeColor="text1"/>
          <w:shd w:val="clear" w:color="auto" w:fill="FFFFFF"/>
        </w:rPr>
        <w:t xml:space="preserve">: </w:t>
      </w:r>
      <w:r w:rsidR="00747D74" w:rsidRPr="0001264F">
        <w:rPr>
          <w:rFonts w:ascii="Arial" w:eastAsia="Times New Roman" w:hAnsi="Arial" w:cs="Arial"/>
          <w:bCs/>
          <w:color w:val="000000" w:themeColor="text1"/>
          <w:shd w:val="clear" w:color="auto" w:fill="FFFFFF"/>
        </w:rPr>
        <w:t>d</w:t>
      </w:r>
      <w:r w:rsidRPr="0001264F">
        <w:rPr>
          <w:rFonts w:ascii="Arial" w:eastAsia="Times New Roman" w:hAnsi="Arial" w:cs="Arial"/>
          <w:bCs/>
          <w:color w:val="000000" w:themeColor="text1"/>
          <w:shd w:val="clear" w:color="auto" w:fill="FFFFFF"/>
        </w:rPr>
        <w:t xml:space="preserve">enaturation </w:t>
      </w:r>
      <w:r w:rsidR="00747D74" w:rsidRPr="0001264F">
        <w:rPr>
          <w:rFonts w:ascii="Arial" w:eastAsia="Times New Roman" w:hAnsi="Arial" w:cs="Arial"/>
          <w:bCs/>
          <w:color w:val="000000" w:themeColor="text1"/>
          <w:shd w:val="clear" w:color="auto" w:fill="FFFFFF"/>
        </w:rPr>
        <w:t xml:space="preserve">for </w:t>
      </w:r>
      <w:r w:rsidRPr="0001264F">
        <w:rPr>
          <w:rFonts w:ascii="Arial" w:eastAsia="Times New Roman" w:hAnsi="Arial" w:cs="Arial"/>
          <w:bCs/>
          <w:color w:val="000000" w:themeColor="text1"/>
          <w:shd w:val="clear" w:color="auto" w:fill="FFFFFF"/>
        </w:rPr>
        <w:t>5 minutes at 95</w:t>
      </w:r>
      <w:r w:rsidRPr="0001264F">
        <w:rPr>
          <w:rFonts w:ascii="Arial" w:eastAsia="Times New Roman" w:hAnsi="Arial" w:cs="Arial"/>
          <w:color w:val="000000" w:themeColor="text1"/>
          <w:shd w:val="clear" w:color="auto" w:fill="FFFFFF"/>
        </w:rPr>
        <w:t xml:space="preserve">°C, followed by 34 cycles of denaturation at </w:t>
      </w:r>
      <w:r w:rsidRPr="0001264F">
        <w:rPr>
          <w:rFonts w:ascii="Arial" w:eastAsia="Times New Roman" w:hAnsi="Arial" w:cs="Arial"/>
          <w:bCs/>
          <w:color w:val="000000" w:themeColor="text1"/>
          <w:shd w:val="clear" w:color="auto" w:fill="FFFFFF"/>
        </w:rPr>
        <w:t>95</w:t>
      </w:r>
      <w:r w:rsidRPr="0001264F">
        <w:rPr>
          <w:rFonts w:ascii="Arial" w:eastAsia="Times New Roman" w:hAnsi="Arial" w:cs="Arial"/>
          <w:color w:val="000000" w:themeColor="text1"/>
          <w:shd w:val="clear" w:color="auto" w:fill="FFFFFF"/>
        </w:rPr>
        <w:t>°C for 30 seconds, primer annealing at 60°C for 30 sec</w:t>
      </w:r>
      <w:r w:rsidR="006F1D78" w:rsidRPr="0001264F">
        <w:rPr>
          <w:rFonts w:ascii="Arial" w:eastAsia="Times New Roman" w:hAnsi="Arial" w:cs="Arial"/>
          <w:color w:val="000000" w:themeColor="text1"/>
          <w:shd w:val="clear" w:color="auto" w:fill="FFFFFF"/>
        </w:rPr>
        <w:t>onds</w:t>
      </w:r>
      <w:r w:rsidRPr="0001264F">
        <w:rPr>
          <w:rFonts w:ascii="Arial" w:eastAsia="Times New Roman" w:hAnsi="Arial" w:cs="Arial"/>
          <w:color w:val="000000" w:themeColor="text1"/>
          <w:shd w:val="clear" w:color="auto" w:fill="FFFFFF"/>
        </w:rPr>
        <w:t>, and primer extension at 72°C for 1 min</w:t>
      </w:r>
      <w:r w:rsidR="006F1D78" w:rsidRPr="0001264F">
        <w:rPr>
          <w:rFonts w:ascii="Arial" w:eastAsia="Times New Roman" w:hAnsi="Arial" w:cs="Arial"/>
          <w:color w:val="000000" w:themeColor="text1"/>
          <w:shd w:val="clear" w:color="auto" w:fill="FFFFFF"/>
        </w:rPr>
        <w:t>ute</w:t>
      </w:r>
      <w:r w:rsidRPr="0001264F">
        <w:rPr>
          <w:rFonts w:ascii="Arial" w:eastAsia="Times New Roman" w:hAnsi="Arial" w:cs="Arial"/>
          <w:color w:val="000000" w:themeColor="text1"/>
          <w:shd w:val="clear" w:color="auto" w:fill="FFFFFF"/>
        </w:rPr>
        <w:t xml:space="preserve">. Upon completion of cycling steps, a final extension at </w:t>
      </w:r>
      <w:r w:rsidRPr="0001264F">
        <w:rPr>
          <w:rFonts w:ascii="Arial" w:eastAsia="Times New Roman" w:hAnsi="Arial" w:cs="Arial"/>
          <w:color w:val="000000" w:themeColor="text1"/>
        </w:rPr>
        <w:t>72°C for 5 min</w:t>
      </w:r>
      <w:r w:rsidR="00747D74" w:rsidRPr="0001264F">
        <w:rPr>
          <w:rFonts w:ascii="Arial" w:eastAsia="Times New Roman" w:hAnsi="Arial" w:cs="Arial"/>
          <w:color w:val="000000" w:themeColor="text1"/>
        </w:rPr>
        <w:t>utes</w:t>
      </w:r>
      <w:r w:rsidRPr="0001264F">
        <w:rPr>
          <w:rFonts w:ascii="Arial" w:eastAsia="Times New Roman" w:hAnsi="Arial" w:cs="Arial"/>
          <w:color w:val="000000" w:themeColor="text1"/>
        </w:rPr>
        <w:t xml:space="preserve"> was done and the reaction </w:t>
      </w:r>
      <w:r w:rsidR="00747D74" w:rsidRPr="0001264F">
        <w:rPr>
          <w:rFonts w:ascii="Arial" w:eastAsia="Times New Roman" w:hAnsi="Arial" w:cs="Arial"/>
          <w:color w:val="000000" w:themeColor="text1"/>
        </w:rPr>
        <w:t xml:space="preserve">product </w:t>
      </w:r>
      <w:r w:rsidRPr="0001264F">
        <w:rPr>
          <w:rFonts w:ascii="Arial" w:eastAsia="Times New Roman" w:hAnsi="Arial" w:cs="Arial"/>
          <w:color w:val="000000" w:themeColor="text1"/>
        </w:rPr>
        <w:t xml:space="preserve">was stored at 4°C. PCR reaction products from the first reaction were visualized by agarose gel electrophoresis and stained with </w:t>
      </w:r>
      <w:proofErr w:type="spellStart"/>
      <w:r w:rsidRPr="0001264F">
        <w:rPr>
          <w:rFonts w:ascii="Arial" w:eastAsia="Times New Roman" w:hAnsi="Arial" w:cs="Arial"/>
          <w:color w:val="000000" w:themeColor="text1"/>
        </w:rPr>
        <w:t>Florosafe</w:t>
      </w:r>
      <w:proofErr w:type="spellEnd"/>
      <w:r w:rsidRPr="0001264F">
        <w:rPr>
          <w:rFonts w:ascii="Arial" w:eastAsia="Times New Roman" w:hAnsi="Arial" w:cs="Arial"/>
          <w:color w:val="000000" w:themeColor="text1"/>
        </w:rPr>
        <w:t xml:space="preserve"> DNA stain (Base Asia</w:t>
      </w:r>
      <w:r w:rsidR="007F3CFE" w:rsidRPr="0001264F">
        <w:rPr>
          <w:rFonts w:ascii="Arial" w:eastAsia="Times New Roman" w:hAnsi="Arial" w:cs="Arial"/>
          <w:color w:val="000000" w:themeColor="text1"/>
        </w:rPr>
        <w:t>, Singapore, Singapore</w:t>
      </w:r>
      <w:r w:rsidRPr="0001264F">
        <w:rPr>
          <w:rFonts w:ascii="Arial" w:eastAsia="Times New Roman" w:hAnsi="Arial" w:cs="Arial"/>
          <w:color w:val="000000" w:themeColor="text1"/>
        </w:rPr>
        <w:t>)</w:t>
      </w:r>
      <w:r w:rsidR="00747D74" w:rsidRPr="0001264F">
        <w:rPr>
          <w:rFonts w:ascii="Arial" w:eastAsia="Times New Roman" w:hAnsi="Arial" w:cs="Arial"/>
          <w:color w:val="000000" w:themeColor="text1"/>
        </w:rPr>
        <w:t>;</w:t>
      </w:r>
      <w:r w:rsidRPr="0001264F">
        <w:rPr>
          <w:rFonts w:ascii="Arial" w:eastAsia="Times New Roman" w:hAnsi="Arial" w:cs="Arial"/>
          <w:color w:val="000000" w:themeColor="text1"/>
        </w:rPr>
        <w:t xml:space="preserve"> 1.5% agarose gel was prepared in 1x TBE buffer and 4</w:t>
      </w:r>
      <w:r w:rsidR="006F1D78" w:rsidRPr="0001264F">
        <w:rPr>
          <w:rFonts w:ascii="Arial" w:eastAsia="Times New Roman" w:hAnsi="Arial" w:cs="Arial"/>
          <w:color w:val="000000" w:themeColor="text1"/>
        </w:rPr>
        <w:t xml:space="preserve"> </w:t>
      </w:r>
      <w:proofErr w:type="spellStart"/>
      <w:r w:rsidRPr="0001264F">
        <w:rPr>
          <w:rFonts w:ascii="Arial" w:eastAsia="Times New Roman" w:hAnsi="Arial" w:cs="Arial"/>
          <w:bCs/>
          <w:color w:val="000000" w:themeColor="text1"/>
          <w:shd w:val="clear" w:color="auto" w:fill="FFFFFF"/>
        </w:rPr>
        <w:t>μl</w:t>
      </w:r>
      <w:proofErr w:type="spellEnd"/>
      <w:r w:rsidRPr="0001264F">
        <w:rPr>
          <w:rFonts w:ascii="Arial" w:eastAsia="Times New Roman" w:hAnsi="Arial" w:cs="Arial"/>
          <w:color w:val="000000" w:themeColor="text1"/>
        </w:rPr>
        <w:t xml:space="preserve"> </w:t>
      </w:r>
      <w:proofErr w:type="spellStart"/>
      <w:r w:rsidRPr="0001264F">
        <w:rPr>
          <w:rFonts w:ascii="Arial" w:eastAsia="Times New Roman" w:hAnsi="Arial" w:cs="Arial"/>
          <w:color w:val="000000" w:themeColor="text1"/>
        </w:rPr>
        <w:t>Florosafe</w:t>
      </w:r>
      <w:proofErr w:type="spellEnd"/>
      <w:r w:rsidRPr="0001264F">
        <w:rPr>
          <w:rFonts w:ascii="Arial" w:eastAsia="Times New Roman" w:hAnsi="Arial" w:cs="Arial"/>
          <w:color w:val="000000" w:themeColor="text1"/>
        </w:rPr>
        <w:t xml:space="preserve"> DNA stain (Base Asia). DNA was added to the appropriate amount of 6x loading buffer (Base Asia) and loaded together with size markers (100bp and 1kb ladders</w:t>
      </w:r>
      <w:r w:rsidR="00747D74" w:rsidRPr="0001264F">
        <w:rPr>
          <w:rFonts w:ascii="Arial" w:eastAsia="Times New Roman" w:hAnsi="Arial" w:cs="Arial"/>
          <w:color w:val="000000" w:themeColor="text1"/>
        </w:rPr>
        <w:t>;</w:t>
      </w:r>
      <w:r w:rsidRPr="0001264F">
        <w:rPr>
          <w:rFonts w:ascii="Arial" w:eastAsia="Times New Roman" w:hAnsi="Arial" w:cs="Arial"/>
          <w:color w:val="000000" w:themeColor="text1"/>
        </w:rPr>
        <w:t xml:space="preserve"> Base Asia). Gel was run at 100V for 1 hour. DNA was visualised under UV light on a </w:t>
      </w:r>
      <w:proofErr w:type="spellStart"/>
      <w:r w:rsidRPr="0001264F">
        <w:rPr>
          <w:rFonts w:ascii="Arial" w:eastAsia="Times New Roman" w:hAnsi="Arial" w:cs="Arial"/>
          <w:color w:val="000000" w:themeColor="text1"/>
        </w:rPr>
        <w:t>transilluminator</w:t>
      </w:r>
      <w:proofErr w:type="spellEnd"/>
      <w:r w:rsidRPr="0001264F">
        <w:rPr>
          <w:rFonts w:ascii="Arial" w:eastAsia="Times New Roman" w:hAnsi="Arial" w:cs="Arial"/>
          <w:color w:val="000000" w:themeColor="text1"/>
        </w:rPr>
        <w:t xml:space="preserve"> and excised using </w:t>
      </w:r>
      <w:proofErr w:type="spellStart"/>
      <w:r w:rsidRPr="0001264F">
        <w:rPr>
          <w:rFonts w:ascii="Arial" w:eastAsia="Times New Roman" w:hAnsi="Arial" w:cs="Arial"/>
          <w:color w:val="000000" w:themeColor="text1"/>
        </w:rPr>
        <w:t>QIAquick</w:t>
      </w:r>
      <w:proofErr w:type="spellEnd"/>
      <w:r w:rsidRPr="0001264F">
        <w:rPr>
          <w:rFonts w:ascii="Arial" w:eastAsia="Times New Roman" w:hAnsi="Arial" w:cs="Arial"/>
          <w:color w:val="000000" w:themeColor="text1"/>
        </w:rPr>
        <w:t xml:space="preserve"> gel extraction (</w:t>
      </w:r>
      <w:proofErr w:type="spellStart"/>
      <w:r w:rsidRPr="0001264F">
        <w:rPr>
          <w:rFonts w:ascii="Arial" w:eastAsia="Times New Roman" w:hAnsi="Arial" w:cs="Arial"/>
          <w:color w:val="000000" w:themeColor="text1"/>
        </w:rPr>
        <w:t>Qiagen</w:t>
      </w:r>
      <w:proofErr w:type="spellEnd"/>
      <w:r w:rsidR="007F3CFE" w:rsidRPr="0001264F">
        <w:rPr>
          <w:rFonts w:ascii="Arial" w:eastAsia="Times New Roman" w:hAnsi="Arial" w:cs="Arial"/>
          <w:color w:val="000000" w:themeColor="text1"/>
        </w:rPr>
        <w:t>, Hilden, Germany</w:t>
      </w:r>
      <w:r w:rsidRPr="0001264F">
        <w:rPr>
          <w:rFonts w:ascii="Arial" w:eastAsia="Times New Roman" w:hAnsi="Arial" w:cs="Arial"/>
          <w:color w:val="000000" w:themeColor="text1"/>
        </w:rPr>
        <w:t>) kit according to manufacturer’s instructions</w:t>
      </w:r>
      <w:r w:rsidR="00747D74" w:rsidRPr="0001264F">
        <w:rPr>
          <w:rFonts w:ascii="Arial" w:eastAsia="Times New Roman" w:hAnsi="Arial" w:cs="Arial"/>
          <w:color w:val="000000" w:themeColor="text1"/>
        </w:rPr>
        <w:t xml:space="preserve">; </w:t>
      </w:r>
      <w:r w:rsidRPr="0001264F">
        <w:rPr>
          <w:rFonts w:ascii="Arial" w:eastAsia="Times New Roman" w:hAnsi="Arial" w:cs="Arial"/>
          <w:color w:val="000000" w:themeColor="text1"/>
        </w:rPr>
        <w:t>1</w:t>
      </w:r>
      <w:r w:rsidR="006F1D78" w:rsidRPr="0001264F">
        <w:rPr>
          <w:rFonts w:ascii="Arial" w:eastAsia="Times New Roman" w:hAnsi="Arial" w:cs="Arial"/>
          <w:color w:val="000000" w:themeColor="text1"/>
        </w:rPr>
        <w:t xml:space="preserve"> </w:t>
      </w:r>
      <w:proofErr w:type="spellStart"/>
      <w:r w:rsidRPr="0001264F">
        <w:rPr>
          <w:rFonts w:ascii="Arial" w:eastAsia="Times New Roman" w:hAnsi="Arial" w:cs="Arial"/>
          <w:bCs/>
          <w:color w:val="000000" w:themeColor="text1"/>
          <w:shd w:val="clear" w:color="auto" w:fill="FFFFFF"/>
        </w:rPr>
        <w:t>μl</w:t>
      </w:r>
      <w:proofErr w:type="spellEnd"/>
      <w:r w:rsidRPr="0001264F">
        <w:rPr>
          <w:rFonts w:ascii="Arial" w:eastAsia="Times New Roman" w:hAnsi="Arial" w:cs="Arial"/>
          <w:bCs/>
          <w:color w:val="000000" w:themeColor="text1"/>
          <w:shd w:val="clear" w:color="auto" w:fill="FFFFFF"/>
        </w:rPr>
        <w:t xml:space="preserve"> of product from gel extraction was taken for a second PCR reaction. Second PCR reaction reagents and conditions were the same as previously, but a different reverse primer was used instead. Second PCR reaction products were purified. Each purification reaction consisted of Exonuclease (4x dilution) (GE Healthcare, </w:t>
      </w:r>
      <w:r w:rsidR="007F3CFE" w:rsidRPr="0001264F">
        <w:rPr>
          <w:rFonts w:ascii="Arial" w:eastAsia="Times New Roman" w:hAnsi="Arial" w:cs="Arial"/>
          <w:bCs/>
          <w:color w:val="000000" w:themeColor="text1"/>
          <w:shd w:val="clear" w:color="auto" w:fill="FFFFFF"/>
        </w:rPr>
        <w:t>Chicago, IL</w:t>
      </w:r>
      <w:r w:rsidRPr="0001264F">
        <w:rPr>
          <w:rFonts w:ascii="Arial" w:eastAsia="Times New Roman" w:hAnsi="Arial" w:cs="Arial"/>
          <w:bCs/>
          <w:color w:val="000000" w:themeColor="text1"/>
          <w:shd w:val="clear" w:color="auto" w:fill="FFFFFF"/>
        </w:rPr>
        <w:t xml:space="preserve">), </w:t>
      </w:r>
      <w:r w:rsidR="00747D74" w:rsidRPr="0001264F">
        <w:rPr>
          <w:rFonts w:ascii="Arial" w:eastAsia="Times New Roman" w:hAnsi="Arial" w:cs="Arial"/>
          <w:bCs/>
          <w:color w:val="000000" w:themeColor="text1"/>
          <w:shd w:val="clear" w:color="auto" w:fill="FFFFFF"/>
        </w:rPr>
        <w:t>s</w:t>
      </w:r>
      <w:r w:rsidRPr="0001264F">
        <w:rPr>
          <w:rFonts w:ascii="Arial" w:eastAsia="Times New Roman" w:hAnsi="Arial" w:cs="Arial"/>
          <w:bCs/>
          <w:color w:val="000000" w:themeColor="text1"/>
          <w:shd w:val="clear" w:color="auto" w:fill="FFFFFF"/>
        </w:rPr>
        <w:t>hrimp alkaline phosphatase (2x dilution) (GE Healthcare), 1.5</w:t>
      </w:r>
      <w:r w:rsidR="006F1D78" w:rsidRPr="0001264F">
        <w:rPr>
          <w:rFonts w:ascii="Arial" w:eastAsia="Times New Roman" w:hAnsi="Arial" w:cs="Arial"/>
          <w:bCs/>
          <w:color w:val="000000" w:themeColor="text1"/>
          <w:shd w:val="clear" w:color="auto" w:fill="FFFFFF"/>
        </w:rPr>
        <w:t xml:space="preserve"> </w:t>
      </w:r>
      <w:proofErr w:type="spellStart"/>
      <w:r w:rsidRPr="0001264F">
        <w:rPr>
          <w:rFonts w:ascii="Arial" w:eastAsia="Times New Roman" w:hAnsi="Arial" w:cs="Arial"/>
          <w:bCs/>
          <w:color w:val="000000" w:themeColor="text1"/>
          <w:shd w:val="clear" w:color="auto" w:fill="FFFFFF"/>
        </w:rPr>
        <w:t>μl</w:t>
      </w:r>
      <w:proofErr w:type="spellEnd"/>
      <w:r w:rsidRPr="0001264F">
        <w:rPr>
          <w:rFonts w:ascii="Arial" w:eastAsia="Times New Roman" w:hAnsi="Arial" w:cs="Arial"/>
          <w:bCs/>
          <w:color w:val="000000" w:themeColor="text1"/>
          <w:shd w:val="clear" w:color="auto" w:fill="FFFFFF"/>
        </w:rPr>
        <w:t xml:space="preserve"> of second PCR product in a total reaction volume of 4.5</w:t>
      </w:r>
      <w:r w:rsidR="006F1D78" w:rsidRPr="0001264F">
        <w:rPr>
          <w:rFonts w:ascii="Arial" w:eastAsia="Times New Roman" w:hAnsi="Arial" w:cs="Arial"/>
          <w:bCs/>
          <w:color w:val="000000" w:themeColor="text1"/>
          <w:shd w:val="clear" w:color="auto" w:fill="FFFFFF"/>
        </w:rPr>
        <w:t xml:space="preserve"> </w:t>
      </w:r>
      <w:proofErr w:type="spellStart"/>
      <w:r w:rsidRPr="0001264F">
        <w:rPr>
          <w:rFonts w:ascii="Arial" w:eastAsia="Times New Roman" w:hAnsi="Arial" w:cs="Arial"/>
          <w:bCs/>
          <w:color w:val="000000" w:themeColor="text1"/>
          <w:shd w:val="clear" w:color="auto" w:fill="FFFFFF"/>
        </w:rPr>
        <w:t>μl</w:t>
      </w:r>
      <w:proofErr w:type="spellEnd"/>
      <w:r w:rsidRPr="0001264F">
        <w:rPr>
          <w:rFonts w:ascii="Arial" w:eastAsia="Times New Roman" w:hAnsi="Arial" w:cs="Arial"/>
          <w:bCs/>
          <w:color w:val="000000" w:themeColor="text1"/>
          <w:shd w:val="clear" w:color="auto" w:fill="FFFFFF"/>
        </w:rPr>
        <w:t xml:space="preserve">. Purification </w:t>
      </w:r>
      <w:r w:rsidR="00747D74" w:rsidRPr="0001264F">
        <w:rPr>
          <w:rFonts w:ascii="Arial" w:eastAsia="Times New Roman" w:hAnsi="Arial" w:cs="Arial"/>
          <w:bCs/>
          <w:color w:val="000000" w:themeColor="text1"/>
          <w:shd w:val="clear" w:color="auto" w:fill="FFFFFF"/>
        </w:rPr>
        <w:t>was done</w:t>
      </w:r>
      <w:r w:rsidR="00B35F23" w:rsidRPr="0001264F">
        <w:rPr>
          <w:rFonts w:ascii="Arial" w:eastAsia="Times New Roman" w:hAnsi="Arial" w:cs="Arial"/>
          <w:bCs/>
          <w:color w:val="000000" w:themeColor="text1"/>
          <w:shd w:val="clear" w:color="auto" w:fill="FFFFFF"/>
        </w:rPr>
        <w:t xml:space="preserve"> </w:t>
      </w:r>
      <w:r w:rsidR="00747D74" w:rsidRPr="0001264F">
        <w:rPr>
          <w:rFonts w:ascii="Arial" w:eastAsia="Times New Roman" w:hAnsi="Arial" w:cs="Arial"/>
          <w:bCs/>
          <w:color w:val="000000" w:themeColor="text1"/>
          <w:shd w:val="clear" w:color="auto" w:fill="FFFFFF"/>
        </w:rPr>
        <w:t>at</w:t>
      </w:r>
      <w:r w:rsidRPr="0001264F">
        <w:rPr>
          <w:rFonts w:ascii="Arial" w:eastAsia="Times New Roman" w:hAnsi="Arial" w:cs="Arial"/>
          <w:bCs/>
          <w:color w:val="000000" w:themeColor="text1"/>
          <w:shd w:val="clear" w:color="auto" w:fill="FFFFFF"/>
        </w:rPr>
        <w:t xml:space="preserve"> 37</w:t>
      </w:r>
      <w:r w:rsidRPr="0001264F">
        <w:rPr>
          <w:rFonts w:ascii="Arial" w:eastAsia="Times New Roman" w:hAnsi="Arial" w:cs="Arial"/>
          <w:color w:val="000000" w:themeColor="text1"/>
          <w:shd w:val="clear" w:color="auto" w:fill="FFFFFF"/>
        </w:rPr>
        <w:t>°C for 30 min</w:t>
      </w:r>
      <w:r w:rsidR="00747D74" w:rsidRPr="0001264F">
        <w:rPr>
          <w:rFonts w:ascii="Arial" w:eastAsia="Times New Roman" w:hAnsi="Arial" w:cs="Arial"/>
          <w:color w:val="000000" w:themeColor="text1"/>
          <w:shd w:val="clear" w:color="auto" w:fill="FFFFFF"/>
        </w:rPr>
        <w:t xml:space="preserve"> and</w:t>
      </w:r>
      <w:r w:rsidRPr="0001264F">
        <w:rPr>
          <w:rFonts w:ascii="Arial" w:eastAsia="Times New Roman" w:hAnsi="Arial" w:cs="Arial"/>
          <w:color w:val="000000" w:themeColor="text1"/>
          <w:shd w:val="clear" w:color="auto" w:fill="FFFFFF"/>
        </w:rPr>
        <w:t xml:space="preserve"> 80°C for 15 seconds</w:t>
      </w:r>
      <w:r w:rsidRPr="0001264F">
        <w:rPr>
          <w:rFonts w:ascii="Arial" w:eastAsia="Times New Roman" w:hAnsi="Arial" w:cs="Arial"/>
          <w:color w:val="000000" w:themeColor="text1"/>
        </w:rPr>
        <w:t>. Purified product</w:t>
      </w:r>
      <w:r w:rsidR="00747D74" w:rsidRPr="0001264F">
        <w:rPr>
          <w:rFonts w:ascii="Arial" w:eastAsia="Times New Roman" w:hAnsi="Arial" w:cs="Arial"/>
          <w:color w:val="000000" w:themeColor="text1"/>
        </w:rPr>
        <w:t>s</w:t>
      </w:r>
      <w:r w:rsidRPr="0001264F">
        <w:rPr>
          <w:rFonts w:ascii="Arial" w:eastAsia="Times New Roman" w:hAnsi="Arial" w:cs="Arial"/>
          <w:color w:val="000000" w:themeColor="text1"/>
        </w:rPr>
        <w:t xml:space="preserve"> w</w:t>
      </w:r>
      <w:r w:rsidR="00747D74" w:rsidRPr="0001264F">
        <w:rPr>
          <w:rFonts w:ascii="Arial" w:eastAsia="Times New Roman" w:hAnsi="Arial" w:cs="Arial"/>
          <w:color w:val="000000" w:themeColor="text1"/>
        </w:rPr>
        <w:t>ere</w:t>
      </w:r>
      <w:r w:rsidRPr="0001264F">
        <w:rPr>
          <w:rFonts w:ascii="Arial" w:eastAsia="Times New Roman" w:hAnsi="Arial" w:cs="Arial"/>
          <w:color w:val="000000" w:themeColor="text1"/>
        </w:rPr>
        <w:t xml:space="preserve"> sent for Sanger’s Sequencing (Base Asia)</w:t>
      </w:r>
      <w:r w:rsidR="00747D74" w:rsidRPr="0001264F">
        <w:rPr>
          <w:rFonts w:ascii="Arial" w:eastAsia="Times New Roman" w:hAnsi="Arial" w:cs="Arial"/>
          <w:color w:val="000000" w:themeColor="text1"/>
        </w:rPr>
        <w:t xml:space="preserve">, and </w:t>
      </w:r>
      <w:r w:rsidRPr="0001264F">
        <w:rPr>
          <w:rFonts w:ascii="Arial" w:eastAsia="Times New Roman" w:hAnsi="Arial" w:cs="Arial"/>
          <w:color w:val="000000" w:themeColor="text1"/>
        </w:rPr>
        <w:t>results were analysed by 4</w:t>
      </w:r>
      <w:r w:rsidR="00747D74" w:rsidRPr="0001264F">
        <w:rPr>
          <w:rFonts w:ascii="Arial" w:eastAsia="Times New Roman" w:hAnsi="Arial" w:cs="Arial"/>
          <w:color w:val="000000" w:themeColor="text1"/>
        </w:rPr>
        <w:t xml:space="preserve"> </w:t>
      </w:r>
      <w:r w:rsidRPr="0001264F">
        <w:rPr>
          <w:rFonts w:ascii="Arial" w:eastAsia="Times New Roman" w:hAnsi="Arial" w:cs="Arial"/>
          <w:color w:val="000000" w:themeColor="text1"/>
        </w:rPr>
        <w:t>peaks DNA sequence trace viewer (</w:t>
      </w:r>
      <w:proofErr w:type="spellStart"/>
      <w:r w:rsidRPr="0001264F">
        <w:rPr>
          <w:rFonts w:ascii="Arial" w:eastAsia="Times New Roman" w:hAnsi="Arial" w:cs="Arial"/>
          <w:color w:val="000000" w:themeColor="text1"/>
        </w:rPr>
        <w:t>Nucleics</w:t>
      </w:r>
      <w:proofErr w:type="spellEnd"/>
      <w:r w:rsidRPr="0001264F">
        <w:rPr>
          <w:rFonts w:ascii="Arial" w:eastAsia="Times New Roman" w:hAnsi="Arial" w:cs="Arial"/>
          <w:color w:val="000000" w:themeColor="text1"/>
        </w:rPr>
        <w:t xml:space="preserve">, Sydney, Australia). </w:t>
      </w:r>
    </w:p>
    <w:p w14:paraId="0B630F11" w14:textId="77777777" w:rsidR="00554FDE" w:rsidRPr="0001264F" w:rsidRDefault="00554FDE" w:rsidP="00554FDE">
      <w:pPr>
        <w:rPr>
          <w:rFonts w:ascii="Arial" w:eastAsia="Times New Roman" w:hAnsi="Arial" w:cs="Arial"/>
          <w:b/>
          <w:color w:val="000000" w:themeColor="text1"/>
          <w:shd w:val="clear" w:color="auto" w:fill="FFFFFF"/>
        </w:rPr>
      </w:pPr>
    </w:p>
    <w:p w14:paraId="608053CF" w14:textId="334ADCDB" w:rsidR="00F165D2" w:rsidRPr="0001264F" w:rsidRDefault="00554FDE" w:rsidP="00930D01">
      <w:pPr>
        <w:shd w:val="clear" w:color="auto" w:fill="FFFFFF"/>
        <w:jc w:val="left"/>
        <w:rPr>
          <w:rFonts w:ascii="Arial" w:hAnsi="Arial" w:cs="Arial"/>
          <w:b/>
        </w:rPr>
      </w:pPr>
      <w:r w:rsidRPr="0001264F">
        <w:rPr>
          <w:rFonts w:ascii="Arial" w:hAnsi="Arial" w:cs="Arial"/>
          <w:b/>
        </w:rPr>
        <w:t>Immunohistochemistry</w:t>
      </w:r>
      <w:r w:rsidR="008B5A5C" w:rsidRPr="0001264F">
        <w:rPr>
          <w:rFonts w:ascii="Arial" w:hAnsi="Arial" w:cs="Arial"/>
          <w:b/>
        </w:rPr>
        <w:t xml:space="preserve"> (IHC)</w:t>
      </w:r>
      <w:r w:rsidRPr="0001264F">
        <w:rPr>
          <w:rFonts w:ascii="Arial" w:hAnsi="Arial" w:cs="Arial"/>
          <w:b/>
        </w:rPr>
        <w:t xml:space="preserve"> </w:t>
      </w:r>
    </w:p>
    <w:p w14:paraId="77539D4B" w14:textId="2D52E77A" w:rsidR="00554FDE" w:rsidRPr="0001264F" w:rsidRDefault="00EC3D8D" w:rsidP="00930D01">
      <w:pPr>
        <w:shd w:val="clear" w:color="auto" w:fill="FFFFFF"/>
        <w:jc w:val="left"/>
        <w:rPr>
          <w:rFonts w:ascii="Arial" w:hAnsi="Arial" w:cs="Arial"/>
          <w:b/>
        </w:rPr>
      </w:pPr>
      <w:r w:rsidRPr="0001264F">
        <w:rPr>
          <w:rFonts w:ascii="Arial" w:hAnsi="Arial" w:cs="Arial"/>
          <w:color w:val="000000"/>
          <w:shd w:val="clear" w:color="auto" w:fill="FFFFFF"/>
        </w:rPr>
        <w:t>Eight</w:t>
      </w:r>
      <w:r w:rsidR="00554FDE" w:rsidRPr="0001264F">
        <w:rPr>
          <w:rFonts w:ascii="Arial" w:hAnsi="Arial" w:cs="Arial"/>
          <w:color w:val="000000"/>
          <w:shd w:val="clear" w:color="auto" w:fill="FFFFFF"/>
        </w:rPr>
        <w:t xml:space="preserve"> pairs of </w:t>
      </w:r>
      <w:r w:rsidR="00554FDE" w:rsidRPr="0001264F">
        <w:rPr>
          <w:rFonts w:ascii="Arial" w:hAnsi="Arial" w:cs="Arial"/>
          <w:color w:val="000000"/>
          <w:shd w:val="clear" w:color="auto" w:fill="FFFFFF"/>
          <w:lang w:val="en-US"/>
        </w:rPr>
        <w:t xml:space="preserve">pre- and post-NK cell infusion tissue biopsies were received in 10% neutral buffered formalin and processed to </w:t>
      </w:r>
      <w:r w:rsidR="00554FDE" w:rsidRPr="0001264F">
        <w:rPr>
          <w:rFonts w:ascii="Arial" w:hAnsi="Arial" w:cs="Arial"/>
          <w:color w:val="000000"/>
          <w:shd w:val="clear" w:color="auto" w:fill="FFFFFF"/>
        </w:rPr>
        <w:t>paraffin blocks. Multiple 4</w:t>
      </w:r>
      <w:r w:rsidR="00EE00DF" w:rsidRPr="0001264F">
        <w:rPr>
          <w:rFonts w:ascii="Arial" w:hAnsi="Arial" w:cs="Arial"/>
          <w:color w:val="000000"/>
          <w:shd w:val="clear" w:color="auto" w:fill="FFFFFF"/>
        </w:rPr>
        <w:t xml:space="preserve"> </w:t>
      </w:r>
      <w:proofErr w:type="spellStart"/>
      <w:r w:rsidR="00554FDE" w:rsidRPr="0001264F">
        <w:rPr>
          <w:rFonts w:ascii="Arial" w:hAnsi="Arial" w:cs="Arial"/>
          <w:color w:val="000000"/>
          <w:shd w:val="clear" w:color="auto" w:fill="FFFFFF"/>
        </w:rPr>
        <w:t>μm</w:t>
      </w:r>
      <w:proofErr w:type="spellEnd"/>
      <w:r w:rsidR="00554FDE" w:rsidRPr="0001264F">
        <w:rPr>
          <w:rFonts w:ascii="Arial" w:hAnsi="Arial" w:cs="Arial"/>
          <w:color w:val="000000"/>
          <w:shd w:val="clear" w:color="auto" w:fill="FFFFFF"/>
        </w:rPr>
        <w:t xml:space="preserve"> thick sections were cut from the blocks and mounted on poly-L Lysine coated glass slides. </w:t>
      </w:r>
      <w:proofErr w:type="spellStart"/>
      <w:r w:rsidR="00554FDE" w:rsidRPr="0001264F">
        <w:rPr>
          <w:rFonts w:ascii="Arial" w:hAnsi="Arial" w:cs="Arial"/>
          <w:color w:val="000000"/>
          <w:shd w:val="clear" w:color="auto" w:fill="FFFFFF"/>
        </w:rPr>
        <w:t>Hematoxylin</w:t>
      </w:r>
      <w:proofErr w:type="spellEnd"/>
      <w:r w:rsidR="00554FDE" w:rsidRPr="0001264F">
        <w:rPr>
          <w:rFonts w:ascii="Arial" w:hAnsi="Arial" w:cs="Arial"/>
          <w:color w:val="000000"/>
          <w:shd w:val="clear" w:color="auto" w:fill="FFFFFF"/>
        </w:rPr>
        <w:t xml:space="preserve"> and Eosin (H&amp;E) staining was done in all cases. Subsequently, single IHC was performed on Leica Bond Max automated platform (Leica </w:t>
      </w:r>
      <w:proofErr w:type="spellStart"/>
      <w:r w:rsidR="00554FDE" w:rsidRPr="0001264F">
        <w:rPr>
          <w:rFonts w:ascii="Arial" w:hAnsi="Arial" w:cs="Arial"/>
          <w:color w:val="000000"/>
          <w:shd w:val="clear" w:color="auto" w:fill="FFFFFF"/>
        </w:rPr>
        <w:t>Biosystems</w:t>
      </w:r>
      <w:proofErr w:type="spellEnd"/>
      <w:r w:rsidR="00554FDE" w:rsidRPr="0001264F">
        <w:rPr>
          <w:rFonts w:ascii="Arial" w:hAnsi="Arial" w:cs="Arial"/>
          <w:color w:val="000000"/>
          <w:shd w:val="clear" w:color="auto" w:fill="FFFFFF"/>
        </w:rPr>
        <w:t>,</w:t>
      </w:r>
      <w:r w:rsidR="00554FDE" w:rsidRPr="0001264F">
        <w:rPr>
          <w:rFonts w:ascii="Arial" w:hAnsi="Arial" w:cs="Arial"/>
        </w:rPr>
        <w:t xml:space="preserve"> </w:t>
      </w:r>
      <w:proofErr w:type="spellStart"/>
      <w:r w:rsidR="00554FDE" w:rsidRPr="0001264F">
        <w:rPr>
          <w:rFonts w:ascii="Arial" w:hAnsi="Arial" w:cs="Arial"/>
          <w:color w:val="000000"/>
          <w:shd w:val="clear" w:color="auto" w:fill="FFFFFF"/>
        </w:rPr>
        <w:t>Nussloch</w:t>
      </w:r>
      <w:proofErr w:type="spellEnd"/>
      <w:r w:rsidR="00EE00DF" w:rsidRPr="0001264F">
        <w:rPr>
          <w:rFonts w:ascii="Arial" w:hAnsi="Arial" w:cs="Arial"/>
          <w:color w:val="000000"/>
          <w:shd w:val="clear" w:color="auto" w:fill="FFFFFF"/>
        </w:rPr>
        <w:t>, Germany</w:t>
      </w:r>
      <w:r w:rsidR="00554FDE" w:rsidRPr="0001264F">
        <w:rPr>
          <w:rFonts w:ascii="Arial" w:hAnsi="Arial" w:cs="Arial"/>
          <w:color w:val="000000"/>
          <w:shd w:val="clear" w:color="auto" w:fill="FFFFFF"/>
        </w:rPr>
        <w:t xml:space="preserve">) with bond polymer refine detection kit (DS9800, Leica </w:t>
      </w:r>
      <w:proofErr w:type="spellStart"/>
      <w:r w:rsidR="00554FDE" w:rsidRPr="0001264F">
        <w:rPr>
          <w:rFonts w:ascii="Arial" w:hAnsi="Arial" w:cs="Arial"/>
          <w:color w:val="000000"/>
          <w:shd w:val="clear" w:color="auto" w:fill="FFFFFF"/>
        </w:rPr>
        <w:t>Biosystems</w:t>
      </w:r>
      <w:proofErr w:type="spellEnd"/>
      <w:r w:rsidR="00554FDE" w:rsidRPr="0001264F">
        <w:rPr>
          <w:rFonts w:ascii="Arial" w:hAnsi="Arial" w:cs="Arial"/>
          <w:color w:val="000000"/>
          <w:shd w:val="clear" w:color="auto" w:fill="FFFFFF"/>
        </w:rPr>
        <w:t xml:space="preserve">) containing </w:t>
      </w:r>
      <w:proofErr w:type="spellStart"/>
      <w:r w:rsidR="00554FDE" w:rsidRPr="0001264F">
        <w:rPr>
          <w:rFonts w:ascii="Arial" w:hAnsi="Arial" w:cs="Arial"/>
          <w:color w:val="000000"/>
          <w:shd w:val="clear" w:color="auto" w:fill="FFFFFF"/>
        </w:rPr>
        <w:t>diaminobenzidine</w:t>
      </w:r>
      <w:proofErr w:type="spellEnd"/>
      <w:r w:rsidR="00554FDE" w:rsidRPr="0001264F">
        <w:rPr>
          <w:rFonts w:ascii="Arial" w:hAnsi="Arial" w:cs="Arial"/>
          <w:color w:val="000000"/>
          <w:shd w:val="clear" w:color="auto" w:fill="FFFFFF"/>
        </w:rPr>
        <w:t xml:space="preserve"> (DAB) chromogen producing a brown precipitate. Briefly, the sections were deparaffinised and dehydrated followed by antigen retrieval with citrate buffer antigen (AR9961, Leica </w:t>
      </w:r>
      <w:proofErr w:type="spellStart"/>
      <w:r w:rsidR="00554FDE" w:rsidRPr="0001264F">
        <w:rPr>
          <w:rFonts w:ascii="Arial" w:hAnsi="Arial" w:cs="Arial"/>
          <w:color w:val="000000"/>
          <w:shd w:val="clear" w:color="auto" w:fill="FFFFFF"/>
        </w:rPr>
        <w:t>Biosystems</w:t>
      </w:r>
      <w:proofErr w:type="spellEnd"/>
      <w:r w:rsidR="00554FDE" w:rsidRPr="0001264F">
        <w:rPr>
          <w:rFonts w:ascii="Arial" w:hAnsi="Arial" w:cs="Arial"/>
          <w:color w:val="000000"/>
          <w:shd w:val="clear" w:color="auto" w:fill="FFFFFF"/>
        </w:rPr>
        <w:t xml:space="preserve">) at pH 6.0. Slides were incubated with primary antibodies CD56, Cleaved Caspase 3, CD3 and </w:t>
      </w:r>
      <w:r w:rsidR="00554FDE" w:rsidRPr="0001264F">
        <w:rPr>
          <w:rFonts w:ascii="Arial" w:hAnsi="Arial" w:cs="Arial"/>
          <w:color w:val="000000"/>
          <w:shd w:val="clear" w:color="auto" w:fill="FFFFFF"/>
        </w:rPr>
        <w:lastRenderedPageBreak/>
        <w:t>CD20.</w:t>
      </w:r>
      <w:r w:rsidR="00554FDE" w:rsidRPr="0001264F">
        <w:rPr>
          <w:rFonts w:ascii="Arial" w:hAnsi="Arial" w:cs="Arial"/>
        </w:rPr>
        <w:t xml:space="preserve"> </w:t>
      </w:r>
      <w:r w:rsidR="00554FDE" w:rsidRPr="0001264F">
        <w:rPr>
          <w:rFonts w:ascii="Arial" w:hAnsi="Arial" w:cs="Arial"/>
          <w:color w:val="000000"/>
          <w:shd w:val="clear" w:color="auto" w:fill="FFFFFF"/>
        </w:rPr>
        <w:t xml:space="preserve">Counterstaining with haematoxylin was done. Information on the antibody dilution, clone and the commercial supplier are provided in </w:t>
      </w:r>
      <w:r w:rsidR="008B5A5C" w:rsidRPr="0001264F">
        <w:rPr>
          <w:rFonts w:ascii="Arial" w:hAnsi="Arial" w:cs="Arial"/>
          <w:color w:val="000000"/>
          <w:shd w:val="clear" w:color="auto" w:fill="FFFFFF"/>
        </w:rPr>
        <w:t>T</w:t>
      </w:r>
      <w:r w:rsidR="00554FDE" w:rsidRPr="0001264F">
        <w:rPr>
          <w:rFonts w:ascii="Arial" w:hAnsi="Arial" w:cs="Arial"/>
          <w:color w:val="000000"/>
          <w:shd w:val="clear" w:color="auto" w:fill="FFFFFF"/>
        </w:rPr>
        <w:t xml:space="preserve">able </w:t>
      </w:r>
      <w:r w:rsidR="008B5A5C" w:rsidRPr="0001264F">
        <w:rPr>
          <w:rFonts w:ascii="Arial" w:hAnsi="Arial" w:cs="Arial"/>
          <w:color w:val="000000"/>
          <w:shd w:val="clear" w:color="auto" w:fill="FFFFFF"/>
        </w:rPr>
        <w:t>S</w:t>
      </w:r>
      <w:r w:rsidR="00554FDE" w:rsidRPr="0001264F">
        <w:rPr>
          <w:rFonts w:ascii="Arial" w:hAnsi="Arial" w:cs="Arial"/>
          <w:color w:val="000000"/>
          <w:shd w:val="clear" w:color="auto" w:fill="FFFFFF"/>
        </w:rPr>
        <w:t>2. Double sequential IHC with CD4 and CD8 antibodies was also done using bond polymer refine detection kit (DS9800,</w:t>
      </w:r>
      <w:r w:rsidR="00EE00DF" w:rsidRPr="0001264F">
        <w:rPr>
          <w:rFonts w:ascii="Arial" w:hAnsi="Arial" w:cs="Arial"/>
          <w:color w:val="000000"/>
          <w:shd w:val="clear" w:color="auto" w:fill="FFFFFF"/>
        </w:rPr>
        <w:t xml:space="preserve"> </w:t>
      </w:r>
      <w:r w:rsidR="00554FDE" w:rsidRPr="0001264F">
        <w:rPr>
          <w:rFonts w:ascii="Arial" w:hAnsi="Arial" w:cs="Arial"/>
          <w:color w:val="000000"/>
          <w:shd w:val="clear" w:color="auto" w:fill="FFFFFF"/>
        </w:rPr>
        <w:t xml:space="preserve">Leica </w:t>
      </w:r>
      <w:proofErr w:type="spellStart"/>
      <w:r w:rsidR="00554FDE" w:rsidRPr="0001264F">
        <w:rPr>
          <w:rFonts w:ascii="Arial" w:hAnsi="Arial" w:cs="Arial"/>
          <w:color w:val="000000"/>
          <w:shd w:val="clear" w:color="auto" w:fill="FFFFFF"/>
        </w:rPr>
        <w:t>Biosystems</w:t>
      </w:r>
      <w:proofErr w:type="spellEnd"/>
      <w:r w:rsidR="00554FDE" w:rsidRPr="0001264F">
        <w:rPr>
          <w:rFonts w:ascii="Arial" w:hAnsi="Arial" w:cs="Arial"/>
          <w:color w:val="000000"/>
          <w:shd w:val="clear" w:color="auto" w:fill="FFFFFF"/>
        </w:rPr>
        <w:t xml:space="preserve">) and bond polymer refine red detection kit (DS9390, Leica </w:t>
      </w:r>
      <w:proofErr w:type="spellStart"/>
      <w:r w:rsidR="00554FDE" w:rsidRPr="0001264F">
        <w:rPr>
          <w:rFonts w:ascii="Arial" w:hAnsi="Arial" w:cs="Arial"/>
          <w:color w:val="000000"/>
          <w:shd w:val="clear" w:color="auto" w:fill="FFFFFF"/>
        </w:rPr>
        <w:t>Biosystems</w:t>
      </w:r>
      <w:proofErr w:type="spellEnd"/>
      <w:r w:rsidR="00554FDE" w:rsidRPr="0001264F">
        <w:rPr>
          <w:rFonts w:ascii="Arial" w:hAnsi="Arial" w:cs="Arial"/>
          <w:color w:val="000000"/>
          <w:shd w:val="clear" w:color="auto" w:fill="FFFFFF"/>
        </w:rPr>
        <w:t xml:space="preserve">) with antigen retrieval using EDTA buffer (AR9640, Leica </w:t>
      </w:r>
      <w:proofErr w:type="spellStart"/>
      <w:r w:rsidR="00554FDE" w:rsidRPr="0001264F">
        <w:rPr>
          <w:rFonts w:ascii="Arial" w:hAnsi="Arial" w:cs="Arial"/>
          <w:color w:val="000000"/>
          <w:shd w:val="clear" w:color="auto" w:fill="FFFFFF"/>
        </w:rPr>
        <w:t>Biosystems</w:t>
      </w:r>
      <w:proofErr w:type="spellEnd"/>
      <w:r w:rsidR="00554FDE" w:rsidRPr="0001264F">
        <w:rPr>
          <w:rFonts w:ascii="Arial" w:hAnsi="Arial" w:cs="Arial"/>
          <w:color w:val="000000"/>
          <w:shd w:val="clear" w:color="auto" w:fill="FFFFFF"/>
        </w:rPr>
        <w:t>) at pH 9.0.</w:t>
      </w:r>
    </w:p>
    <w:p w14:paraId="1ADA2EB3" w14:textId="77777777" w:rsidR="00930D01" w:rsidRPr="0001264F" w:rsidRDefault="00930D01" w:rsidP="00930D01">
      <w:pPr>
        <w:jc w:val="left"/>
        <w:rPr>
          <w:rFonts w:ascii="Arial" w:hAnsi="Arial" w:cs="Arial"/>
          <w:color w:val="000000"/>
          <w:shd w:val="clear" w:color="auto" w:fill="FFFFFF"/>
        </w:rPr>
      </w:pPr>
    </w:p>
    <w:p w14:paraId="5FEDE1CF" w14:textId="71A45DFA" w:rsidR="00EC3D8D" w:rsidRPr="0001264F" w:rsidRDefault="00554FDE" w:rsidP="00930D01">
      <w:pPr>
        <w:jc w:val="left"/>
        <w:rPr>
          <w:rFonts w:ascii="Arial" w:hAnsi="Arial" w:cs="Arial"/>
          <w:color w:val="000000"/>
          <w:shd w:val="clear" w:color="auto" w:fill="FFFFFF"/>
        </w:rPr>
      </w:pPr>
      <w:r w:rsidRPr="0001264F">
        <w:rPr>
          <w:rFonts w:ascii="Arial" w:hAnsi="Arial" w:cs="Arial"/>
          <w:color w:val="000000"/>
          <w:shd w:val="clear" w:color="auto" w:fill="FFFFFF"/>
        </w:rPr>
        <w:t xml:space="preserve">Microscopic analysis was done </w:t>
      </w:r>
      <w:r w:rsidR="00056FB7" w:rsidRPr="0001264F">
        <w:rPr>
          <w:rFonts w:ascii="Arial" w:hAnsi="Arial" w:cs="Arial"/>
          <w:color w:val="000000"/>
          <w:shd w:val="clear" w:color="auto" w:fill="FFFFFF"/>
        </w:rPr>
        <w:t xml:space="preserve">by a trained pathologist (KY) </w:t>
      </w:r>
      <w:r w:rsidRPr="0001264F">
        <w:rPr>
          <w:rFonts w:ascii="Arial" w:hAnsi="Arial" w:cs="Arial"/>
          <w:color w:val="000000"/>
          <w:shd w:val="clear" w:color="auto" w:fill="FFFFFF"/>
        </w:rPr>
        <w:t xml:space="preserve">using Olympus BX43 and digital images were acquired using Olympus </w:t>
      </w:r>
      <w:proofErr w:type="spellStart"/>
      <w:r w:rsidRPr="0001264F">
        <w:rPr>
          <w:rFonts w:ascii="Arial" w:hAnsi="Arial" w:cs="Arial"/>
          <w:color w:val="000000"/>
          <w:shd w:val="clear" w:color="auto" w:fill="FFFFFF"/>
        </w:rPr>
        <w:t>cellSens</w:t>
      </w:r>
      <w:proofErr w:type="spellEnd"/>
      <w:r w:rsidR="00EE00DF" w:rsidRPr="0001264F">
        <w:rPr>
          <w:rFonts w:ascii="Arial" w:hAnsi="Arial" w:cs="Arial"/>
          <w:color w:val="000000"/>
          <w:shd w:val="clear" w:color="auto" w:fill="FFFFFF"/>
        </w:rPr>
        <w:t xml:space="preserve"> (Olympus, Tokyo, Japan).</w:t>
      </w:r>
      <w:r w:rsidRPr="0001264F">
        <w:rPr>
          <w:rFonts w:ascii="Arial" w:hAnsi="Arial" w:cs="Arial"/>
          <w:color w:val="000000"/>
          <w:shd w:val="clear" w:color="auto" w:fill="FFFFFF"/>
        </w:rPr>
        <w:t xml:space="preserve"> Entry imaging software. H&amp;E was done to identify the </w:t>
      </w:r>
      <w:proofErr w:type="spellStart"/>
      <w:r w:rsidRPr="0001264F">
        <w:rPr>
          <w:rFonts w:ascii="Arial" w:hAnsi="Arial" w:cs="Arial"/>
          <w:color w:val="000000"/>
          <w:shd w:val="clear" w:color="auto" w:fill="FFFFFF"/>
        </w:rPr>
        <w:t>tumor</w:t>
      </w:r>
      <w:proofErr w:type="spellEnd"/>
      <w:r w:rsidRPr="0001264F">
        <w:rPr>
          <w:rFonts w:ascii="Arial" w:hAnsi="Arial" w:cs="Arial"/>
          <w:color w:val="000000"/>
          <w:shd w:val="clear" w:color="auto" w:fill="FFFFFF"/>
        </w:rPr>
        <w:t xml:space="preserve"> cells and assess the type of immune cells infiltration. </w:t>
      </w:r>
      <w:r w:rsidR="003F490B" w:rsidRPr="0001264F">
        <w:rPr>
          <w:rFonts w:ascii="Arial" w:hAnsi="Arial" w:cs="Arial"/>
          <w:color w:val="000000"/>
          <w:shd w:val="clear" w:color="auto" w:fill="FFFFFF"/>
        </w:rPr>
        <w:t xml:space="preserve">Under low power of the microscope, the </w:t>
      </w:r>
      <w:proofErr w:type="spellStart"/>
      <w:r w:rsidR="003F490B" w:rsidRPr="0001264F">
        <w:rPr>
          <w:rFonts w:ascii="Arial" w:hAnsi="Arial" w:cs="Arial"/>
          <w:color w:val="000000"/>
          <w:shd w:val="clear" w:color="auto" w:fill="FFFFFF"/>
        </w:rPr>
        <w:t>tumor</w:t>
      </w:r>
      <w:proofErr w:type="spellEnd"/>
      <w:r w:rsidR="003F490B" w:rsidRPr="0001264F">
        <w:rPr>
          <w:rFonts w:ascii="Arial" w:hAnsi="Arial" w:cs="Arial"/>
          <w:color w:val="000000"/>
          <w:shd w:val="clear" w:color="auto" w:fill="FFFFFF"/>
        </w:rPr>
        <w:t xml:space="preserve"> content was estimated as a percentage of the entire biopsy (number of </w:t>
      </w:r>
      <w:proofErr w:type="spellStart"/>
      <w:r w:rsidR="003F490B" w:rsidRPr="0001264F">
        <w:rPr>
          <w:rFonts w:ascii="Arial" w:hAnsi="Arial" w:cs="Arial"/>
          <w:color w:val="000000"/>
          <w:shd w:val="clear" w:color="auto" w:fill="FFFFFF"/>
        </w:rPr>
        <w:t>tumor</w:t>
      </w:r>
      <w:proofErr w:type="spellEnd"/>
      <w:r w:rsidR="003F490B" w:rsidRPr="0001264F">
        <w:rPr>
          <w:rFonts w:ascii="Arial" w:hAnsi="Arial" w:cs="Arial"/>
          <w:color w:val="000000"/>
          <w:shd w:val="clear" w:color="auto" w:fill="FFFFFF"/>
        </w:rPr>
        <w:t xml:space="preserve"> cells in relation to the total number of cells including </w:t>
      </w:r>
      <w:proofErr w:type="spellStart"/>
      <w:r w:rsidR="003F490B" w:rsidRPr="0001264F">
        <w:rPr>
          <w:rFonts w:ascii="Arial" w:hAnsi="Arial" w:cs="Arial"/>
          <w:color w:val="000000"/>
          <w:shd w:val="clear" w:color="auto" w:fill="FFFFFF"/>
        </w:rPr>
        <w:t>tumor</w:t>
      </w:r>
      <w:proofErr w:type="spellEnd"/>
      <w:r w:rsidR="003F490B" w:rsidRPr="0001264F">
        <w:rPr>
          <w:rFonts w:ascii="Arial" w:hAnsi="Arial" w:cs="Arial"/>
          <w:color w:val="000000"/>
          <w:shd w:val="clear" w:color="auto" w:fill="FFFFFF"/>
        </w:rPr>
        <w:t xml:space="preserve"> cells, stromal cells,  benign epithelial cells and immune cells). </w:t>
      </w:r>
      <w:r w:rsidRPr="0001264F">
        <w:rPr>
          <w:rFonts w:ascii="Arial" w:hAnsi="Arial" w:cs="Arial"/>
          <w:color w:val="000000"/>
          <w:shd w:val="clear" w:color="auto" w:fill="FFFFFF"/>
        </w:rPr>
        <w:t xml:space="preserve">In IHC stained slides, the number of CD56+ NK cells were counted manually in 5 high power fields (HPF; 400x) and the average was expressed as mean cell count in 5 HPF (Mean </w:t>
      </w:r>
      <w:r w:rsidRPr="0001264F">
        <w:rPr>
          <w:rFonts w:ascii="Arial" w:eastAsia="MS Gothic" w:hAnsi="Arial"/>
          <w:color w:val="000000"/>
        </w:rPr>
        <w:t>± SD)</w:t>
      </w:r>
      <w:r w:rsidRPr="0001264F">
        <w:rPr>
          <w:rFonts w:ascii="Arial" w:hAnsi="Arial" w:cs="Arial"/>
          <w:color w:val="000000"/>
          <w:shd w:val="clear" w:color="auto" w:fill="FFFFFF"/>
        </w:rPr>
        <w:t>.</w:t>
      </w:r>
      <w:r w:rsidRPr="0001264F">
        <w:rPr>
          <w:rFonts w:ascii="Arial" w:hAnsi="Arial" w:cs="Arial"/>
        </w:rPr>
        <w:t xml:space="preserve"> </w:t>
      </w:r>
      <w:r w:rsidR="00056FB7" w:rsidRPr="0001264F">
        <w:rPr>
          <w:rFonts w:ascii="Arial" w:hAnsi="Arial" w:cs="Arial"/>
        </w:rPr>
        <w:t>C</w:t>
      </w:r>
      <w:r w:rsidR="006F1D78" w:rsidRPr="0001264F">
        <w:rPr>
          <w:rFonts w:ascii="Arial" w:hAnsi="Arial" w:cs="Arial"/>
        </w:rPr>
        <w:t>D</w:t>
      </w:r>
      <w:r w:rsidR="00056FB7" w:rsidRPr="0001264F">
        <w:rPr>
          <w:rFonts w:ascii="Arial" w:hAnsi="Arial" w:cs="Arial"/>
        </w:rPr>
        <w:t xml:space="preserve">56+ </w:t>
      </w:r>
      <w:proofErr w:type="spellStart"/>
      <w:r w:rsidR="00056FB7" w:rsidRPr="0001264F">
        <w:rPr>
          <w:rFonts w:ascii="Arial" w:hAnsi="Arial" w:cs="Arial"/>
        </w:rPr>
        <w:t>tumor</w:t>
      </w:r>
      <w:proofErr w:type="spellEnd"/>
      <w:r w:rsidR="00056FB7" w:rsidRPr="0001264F">
        <w:rPr>
          <w:rFonts w:ascii="Arial" w:hAnsi="Arial" w:cs="Arial"/>
        </w:rPr>
        <w:t xml:space="preserve"> cells and macrophages, were excluded from the analysis</w:t>
      </w:r>
      <w:r w:rsidR="006F1D78" w:rsidRPr="0001264F">
        <w:rPr>
          <w:rFonts w:ascii="Arial" w:hAnsi="Arial" w:cs="Arial"/>
        </w:rPr>
        <w:t xml:space="preserve"> based on morphology</w:t>
      </w:r>
      <w:r w:rsidR="00056FB7" w:rsidRPr="0001264F">
        <w:rPr>
          <w:rFonts w:ascii="Arial" w:hAnsi="Arial" w:cs="Arial"/>
        </w:rPr>
        <w:t xml:space="preserve">. </w:t>
      </w:r>
      <w:r w:rsidRPr="0001264F">
        <w:rPr>
          <w:rFonts w:ascii="Arial" w:hAnsi="Arial" w:cs="Arial"/>
        </w:rPr>
        <w:t xml:space="preserve">Apoptotic index was calculated as percentage of </w:t>
      </w:r>
      <w:proofErr w:type="spellStart"/>
      <w:r w:rsidRPr="0001264F">
        <w:rPr>
          <w:rFonts w:ascii="Arial" w:hAnsi="Arial" w:cs="Arial"/>
        </w:rPr>
        <w:t>tumor</w:t>
      </w:r>
      <w:proofErr w:type="spellEnd"/>
      <w:r w:rsidRPr="0001264F">
        <w:rPr>
          <w:rFonts w:ascii="Arial" w:hAnsi="Arial" w:cs="Arial"/>
        </w:rPr>
        <w:t xml:space="preserve"> apoptotic cells and bodies per all </w:t>
      </w:r>
      <w:proofErr w:type="spellStart"/>
      <w:r w:rsidRPr="0001264F">
        <w:rPr>
          <w:rFonts w:ascii="Arial" w:hAnsi="Arial" w:cs="Arial"/>
        </w:rPr>
        <w:t>tumor</w:t>
      </w:r>
      <w:proofErr w:type="spellEnd"/>
      <w:r w:rsidRPr="0001264F">
        <w:rPr>
          <w:rFonts w:ascii="Arial" w:hAnsi="Arial" w:cs="Arial"/>
        </w:rPr>
        <w:t xml:space="preserve"> cells marked by cleaved caspase 3. </w:t>
      </w:r>
      <w:r w:rsidRPr="0001264F">
        <w:rPr>
          <w:rFonts w:ascii="Arial" w:hAnsi="Arial" w:cs="Arial"/>
          <w:color w:val="000000"/>
          <w:shd w:val="clear" w:color="auto" w:fill="FFFFFF"/>
        </w:rPr>
        <w:t xml:space="preserve">Percentage of CD3+ T lymphocytes </w:t>
      </w:r>
      <w:r w:rsidR="006F1D78" w:rsidRPr="0001264F">
        <w:rPr>
          <w:rFonts w:ascii="Arial" w:hAnsi="Arial" w:cs="Arial"/>
          <w:color w:val="000000"/>
          <w:shd w:val="clear" w:color="auto" w:fill="FFFFFF"/>
        </w:rPr>
        <w:t>and</w:t>
      </w:r>
      <w:r w:rsidRPr="0001264F">
        <w:rPr>
          <w:rFonts w:ascii="Arial" w:hAnsi="Arial" w:cs="Arial"/>
          <w:color w:val="000000"/>
          <w:shd w:val="clear" w:color="auto" w:fill="FFFFFF"/>
        </w:rPr>
        <w:t xml:space="preserve"> CD20+ B lymphocytes were also assessed in 5 HPF in sections stained with CD3 and CD20. In slides stained double sequentially with CD4 (colour-red) and CD8 (colour-brown), 100 immune cells that showed positive staining were counted and ratio of CD8+ cytotoxic T cells and CD4+ helper T cells was determined.</w:t>
      </w:r>
      <w:r w:rsidR="00EC3D8D" w:rsidRPr="0001264F">
        <w:rPr>
          <w:rFonts w:ascii="Arial" w:hAnsi="Arial" w:cs="Arial"/>
          <w:color w:val="000000"/>
          <w:shd w:val="clear" w:color="auto" w:fill="FFFFFF"/>
        </w:rPr>
        <w:br w:type="page"/>
      </w:r>
    </w:p>
    <w:p w14:paraId="43FCBEF4" w14:textId="547A2EBF" w:rsidR="00EC3D8D" w:rsidRPr="0001264F" w:rsidRDefault="00EC3D8D" w:rsidP="00EC3D8D">
      <w:pPr>
        <w:shd w:val="clear" w:color="auto" w:fill="FFFFFF"/>
        <w:rPr>
          <w:rFonts w:ascii="Arial" w:hAnsi="Arial" w:cs="Arial"/>
          <w:lang w:val="en"/>
        </w:rPr>
      </w:pPr>
      <w:r w:rsidRPr="0001264F">
        <w:rPr>
          <w:rFonts w:ascii="Arial" w:hAnsi="Arial" w:cs="Arial"/>
          <w:lang w:val="en"/>
        </w:rPr>
        <w:lastRenderedPageBreak/>
        <w:t>Table S1: P</w:t>
      </w:r>
      <w:r w:rsidR="00DB1ADF" w:rsidRPr="0001264F">
        <w:rPr>
          <w:rFonts w:ascii="Arial" w:hAnsi="Arial" w:cs="Arial"/>
          <w:lang w:val="en"/>
        </w:rPr>
        <w:t>rimers used for PCR and s</w:t>
      </w:r>
      <w:r w:rsidRPr="0001264F">
        <w:rPr>
          <w:rFonts w:ascii="Arial" w:hAnsi="Arial" w:cs="Arial"/>
          <w:lang w:val="en"/>
        </w:rPr>
        <w:t>equencing</w:t>
      </w:r>
    </w:p>
    <w:tbl>
      <w:tblPr>
        <w:tblW w:w="9039" w:type="dxa"/>
        <w:shd w:val="clear" w:color="auto" w:fill="FFFFFF"/>
        <w:tblLayout w:type="fixed"/>
        <w:tblCellMar>
          <w:left w:w="0" w:type="dxa"/>
          <w:right w:w="0" w:type="dxa"/>
        </w:tblCellMar>
        <w:tblLook w:val="04A0" w:firstRow="1" w:lastRow="0" w:firstColumn="1" w:lastColumn="0" w:noHBand="0" w:noVBand="1"/>
      </w:tblPr>
      <w:tblGrid>
        <w:gridCol w:w="1605"/>
        <w:gridCol w:w="1260"/>
        <w:gridCol w:w="1354"/>
        <w:gridCol w:w="4820"/>
      </w:tblGrid>
      <w:tr w:rsidR="00EC3D8D" w:rsidRPr="0001264F" w14:paraId="33C18CAA" w14:textId="77777777" w:rsidTr="007C00F6">
        <w:trPr>
          <w:trHeight w:val="300"/>
        </w:trPr>
        <w:tc>
          <w:tcPr>
            <w:tcW w:w="160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5236810A" w14:textId="77777777" w:rsidR="00EC3D8D" w:rsidRPr="0001264F" w:rsidRDefault="00EC3D8D" w:rsidP="007C00F6">
            <w:pPr>
              <w:rPr>
                <w:rFonts w:ascii="Arial" w:hAnsi="Arial" w:cs="Arial"/>
              </w:rPr>
            </w:pPr>
            <w:r w:rsidRPr="0001264F">
              <w:rPr>
                <w:rFonts w:ascii="Arial" w:hAnsi="Arial" w:cs="Arial"/>
              </w:rPr>
              <w:t>663</w:t>
            </w: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00133C7" w14:textId="77777777" w:rsidR="00EC3D8D" w:rsidRPr="0001264F" w:rsidRDefault="00EC3D8D" w:rsidP="007C00F6">
            <w:pPr>
              <w:rPr>
                <w:rFonts w:ascii="Arial" w:hAnsi="Arial" w:cs="Arial"/>
              </w:rPr>
            </w:pPr>
            <w:r w:rsidRPr="0001264F">
              <w:rPr>
                <w:rFonts w:ascii="Arial" w:hAnsi="Arial" w:cs="Arial"/>
              </w:rPr>
              <w:t>Forward</w:t>
            </w:r>
          </w:p>
        </w:tc>
        <w:tc>
          <w:tcPr>
            <w:tcW w:w="135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92C164A" w14:textId="77777777" w:rsidR="00EC3D8D" w:rsidRPr="0001264F" w:rsidRDefault="00EC3D8D" w:rsidP="007C00F6">
            <w:pPr>
              <w:rPr>
                <w:rFonts w:ascii="Arial" w:hAnsi="Arial" w:cs="Arial"/>
              </w:rPr>
            </w:pPr>
            <w:r w:rsidRPr="0001264F">
              <w:rPr>
                <w:rFonts w:ascii="Arial" w:hAnsi="Arial" w:cs="Arial"/>
              </w:rPr>
              <w:t>PCR, 1st and 2nd</w:t>
            </w:r>
          </w:p>
        </w:tc>
        <w:tc>
          <w:tcPr>
            <w:tcW w:w="48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B5FC2D0" w14:textId="77777777" w:rsidR="00EC3D8D" w:rsidRPr="0001264F" w:rsidRDefault="00EC3D8D" w:rsidP="007C00F6">
            <w:pPr>
              <w:rPr>
                <w:rFonts w:ascii="Arial" w:hAnsi="Arial" w:cs="Arial"/>
              </w:rPr>
            </w:pPr>
            <w:r w:rsidRPr="0001264F">
              <w:rPr>
                <w:rFonts w:ascii="Arial" w:hAnsi="Arial" w:cs="Arial"/>
              </w:rPr>
              <w:t>CGTTCGTACGAGAATCGCTAGGGTGGCACATGTCTCAC</w:t>
            </w:r>
          </w:p>
        </w:tc>
      </w:tr>
      <w:tr w:rsidR="00EC3D8D" w:rsidRPr="0001264F" w14:paraId="2EC4CDCD" w14:textId="77777777" w:rsidTr="007C00F6">
        <w:trPr>
          <w:trHeight w:val="300"/>
        </w:trPr>
        <w:tc>
          <w:tcPr>
            <w:tcW w:w="16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233E2D34" w14:textId="77777777" w:rsidR="00EC3D8D" w:rsidRPr="0001264F" w:rsidRDefault="00EC3D8D" w:rsidP="007C00F6">
            <w:pPr>
              <w:rPr>
                <w:rFonts w:ascii="Arial" w:hAnsi="Arial" w:cs="Arial"/>
              </w:rPr>
            </w:pPr>
            <w:r w:rsidRPr="0001264F">
              <w:rPr>
                <w:rFonts w:ascii="Arial" w:hAnsi="Arial" w:cs="Arial"/>
              </w:rPr>
              <w:t>664</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358D665" w14:textId="77777777" w:rsidR="00EC3D8D" w:rsidRPr="0001264F" w:rsidRDefault="00EC3D8D" w:rsidP="007C00F6">
            <w:pPr>
              <w:rPr>
                <w:rFonts w:ascii="Arial" w:hAnsi="Arial" w:cs="Arial"/>
              </w:rPr>
            </w:pPr>
            <w:r w:rsidRPr="0001264F">
              <w:rPr>
                <w:rFonts w:ascii="Arial" w:hAnsi="Arial" w:cs="Arial"/>
              </w:rPr>
              <w:t>Reverse</w:t>
            </w:r>
          </w:p>
        </w:tc>
        <w:tc>
          <w:tcPr>
            <w:tcW w:w="13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225A481" w14:textId="77777777" w:rsidR="00EC3D8D" w:rsidRPr="0001264F" w:rsidRDefault="00EC3D8D" w:rsidP="007C00F6">
            <w:pPr>
              <w:rPr>
                <w:rFonts w:ascii="Arial" w:hAnsi="Arial" w:cs="Arial"/>
              </w:rPr>
            </w:pPr>
            <w:r w:rsidRPr="0001264F">
              <w:rPr>
                <w:rFonts w:ascii="Arial" w:hAnsi="Arial" w:cs="Arial"/>
              </w:rPr>
              <w:t>PCR, 2nd</w:t>
            </w:r>
          </w:p>
        </w:tc>
        <w:tc>
          <w:tcPr>
            <w:tcW w:w="4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924AB1A" w14:textId="77777777" w:rsidR="00EC3D8D" w:rsidRPr="0001264F" w:rsidRDefault="00EC3D8D" w:rsidP="007C00F6">
            <w:pPr>
              <w:rPr>
                <w:rFonts w:ascii="Arial" w:hAnsi="Arial" w:cs="Arial"/>
              </w:rPr>
            </w:pPr>
            <w:r w:rsidRPr="0001264F">
              <w:rPr>
                <w:rFonts w:ascii="Arial" w:hAnsi="Arial" w:cs="Arial"/>
              </w:rPr>
              <w:t>GGTACGTGGCCCCTTCAC</w:t>
            </w:r>
          </w:p>
        </w:tc>
      </w:tr>
      <w:tr w:rsidR="00EC3D8D" w:rsidRPr="0001264F" w14:paraId="2397DB2C" w14:textId="77777777" w:rsidTr="007C00F6">
        <w:trPr>
          <w:trHeight w:val="300"/>
        </w:trPr>
        <w:tc>
          <w:tcPr>
            <w:tcW w:w="16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4F1804A4" w14:textId="77777777" w:rsidR="00EC3D8D" w:rsidRPr="0001264F" w:rsidRDefault="00EC3D8D" w:rsidP="007C00F6">
            <w:pPr>
              <w:rPr>
                <w:rFonts w:ascii="Arial" w:hAnsi="Arial" w:cs="Arial"/>
              </w:rPr>
            </w:pPr>
            <w:r w:rsidRPr="0001264F">
              <w:rPr>
                <w:rFonts w:ascii="Arial" w:hAnsi="Arial" w:cs="Arial"/>
              </w:rPr>
              <w:t>731</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776F93E" w14:textId="77777777" w:rsidR="00EC3D8D" w:rsidRPr="0001264F" w:rsidRDefault="00EC3D8D" w:rsidP="007C00F6">
            <w:pPr>
              <w:rPr>
                <w:rFonts w:ascii="Arial" w:hAnsi="Arial" w:cs="Arial"/>
              </w:rPr>
            </w:pPr>
            <w:r w:rsidRPr="0001264F">
              <w:rPr>
                <w:rFonts w:ascii="Arial" w:hAnsi="Arial" w:cs="Arial"/>
              </w:rPr>
              <w:t>Reverse</w:t>
            </w:r>
          </w:p>
        </w:tc>
        <w:tc>
          <w:tcPr>
            <w:tcW w:w="13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A44AE6B" w14:textId="77777777" w:rsidR="00EC3D8D" w:rsidRPr="0001264F" w:rsidRDefault="00EC3D8D" w:rsidP="007C00F6">
            <w:pPr>
              <w:rPr>
                <w:rFonts w:ascii="Arial" w:hAnsi="Arial" w:cs="Arial"/>
              </w:rPr>
            </w:pPr>
            <w:r w:rsidRPr="0001264F">
              <w:rPr>
                <w:rFonts w:ascii="Arial" w:hAnsi="Arial" w:cs="Arial"/>
              </w:rPr>
              <w:t>PCR, 1st</w:t>
            </w:r>
          </w:p>
        </w:tc>
        <w:tc>
          <w:tcPr>
            <w:tcW w:w="4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7E4121F" w14:textId="77777777" w:rsidR="00EC3D8D" w:rsidRPr="0001264F" w:rsidRDefault="00EC3D8D" w:rsidP="007C00F6">
            <w:pPr>
              <w:rPr>
                <w:rFonts w:ascii="Arial" w:hAnsi="Arial" w:cs="Arial"/>
              </w:rPr>
            </w:pPr>
            <w:r w:rsidRPr="0001264F">
              <w:rPr>
                <w:rFonts w:ascii="Arial" w:hAnsi="Arial" w:cs="Arial"/>
              </w:rPr>
              <w:t>CTTAGAAACCACGAATTGCCAGG</w:t>
            </w:r>
          </w:p>
        </w:tc>
      </w:tr>
      <w:tr w:rsidR="00EC3D8D" w:rsidRPr="0001264F" w14:paraId="6499446D" w14:textId="77777777" w:rsidTr="007C00F6">
        <w:trPr>
          <w:trHeight w:val="300"/>
        </w:trPr>
        <w:tc>
          <w:tcPr>
            <w:tcW w:w="16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3BFEB66" w14:textId="77777777" w:rsidR="00EC3D8D" w:rsidRPr="0001264F" w:rsidRDefault="00EC3D8D" w:rsidP="007C00F6">
            <w:pPr>
              <w:rPr>
                <w:rFonts w:ascii="Arial" w:hAnsi="Arial" w:cs="Arial"/>
              </w:rPr>
            </w:pPr>
            <w:r w:rsidRPr="0001264F">
              <w:rPr>
                <w:rFonts w:ascii="Arial" w:hAnsi="Arial" w:cs="Arial"/>
              </w:rPr>
              <w:t>FCGR3A-F sequence</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B65550" w14:textId="77777777" w:rsidR="00EC3D8D" w:rsidRPr="0001264F" w:rsidRDefault="00EC3D8D" w:rsidP="007C00F6">
            <w:pPr>
              <w:rPr>
                <w:rFonts w:ascii="Arial" w:hAnsi="Arial" w:cs="Arial"/>
              </w:rPr>
            </w:pPr>
            <w:r w:rsidRPr="0001264F">
              <w:rPr>
                <w:rFonts w:ascii="Arial" w:hAnsi="Arial" w:cs="Arial"/>
              </w:rPr>
              <w:t>Forward</w:t>
            </w:r>
          </w:p>
        </w:tc>
        <w:tc>
          <w:tcPr>
            <w:tcW w:w="13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1F3ACD0" w14:textId="77777777" w:rsidR="00EC3D8D" w:rsidRPr="0001264F" w:rsidRDefault="00EC3D8D" w:rsidP="007C00F6">
            <w:pPr>
              <w:rPr>
                <w:rFonts w:ascii="Arial" w:hAnsi="Arial" w:cs="Arial"/>
              </w:rPr>
            </w:pPr>
            <w:r w:rsidRPr="0001264F">
              <w:rPr>
                <w:rFonts w:ascii="Arial" w:hAnsi="Arial" w:cs="Arial"/>
              </w:rPr>
              <w:t>Sequence</w:t>
            </w:r>
          </w:p>
        </w:tc>
        <w:tc>
          <w:tcPr>
            <w:tcW w:w="4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C397DBC" w14:textId="77777777" w:rsidR="00EC3D8D" w:rsidRPr="0001264F" w:rsidRDefault="00EC3D8D" w:rsidP="007C00F6">
            <w:pPr>
              <w:rPr>
                <w:rFonts w:ascii="Arial" w:hAnsi="Arial" w:cs="Arial"/>
              </w:rPr>
            </w:pPr>
            <w:r w:rsidRPr="0001264F">
              <w:rPr>
                <w:rFonts w:ascii="Arial" w:hAnsi="Arial" w:cs="Arial"/>
              </w:rPr>
              <w:t>CTTCTACATTCCAAAAGCC</w:t>
            </w:r>
          </w:p>
        </w:tc>
      </w:tr>
      <w:tr w:rsidR="00EC3D8D" w:rsidRPr="0001264F" w14:paraId="661E93BC" w14:textId="77777777" w:rsidTr="007C00F6">
        <w:trPr>
          <w:trHeight w:val="300"/>
        </w:trPr>
        <w:tc>
          <w:tcPr>
            <w:tcW w:w="16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6E2ED1A" w14:textId="77777777" w:rsidR="00EC3D8D" w:rsidRPr="0001264F" w:rsidRDefault="00EC3D8D" w:rsidP="007C00F6">
            <w:pPr>
              <w:rPr>
                <w:rFonts w:ascii="Arial" w:hAnsi="Arial" w:cs="Arial"/>
              </w:rPr>
            </w:pPr>
            <w:r w:rsidRPr="0001264F">
              <w:rPr>
                <w:rFonts w:ascii="Arial" w:hAnsi="Arial" w:cs="Arial"/>
              </w:rPr>
              <w:t>FCGR3A-R sequence</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AAEE0AE" w14:textId="77777777" w:rsidR="00EC3D8D" w:rsidRPr="0001264F" w:rsidRDefault="00EC3D8D" w:rsidP="007C00F6">
            <w:pPr>
              <w:rPr>
                <w:rFonts w:ascii="Arial" w:hAnsi="Arial" w:cs="Arial"/>
              </w:rPr>
            </w:pPr>
            <w:r w:rsidRPr="0001264F">
              <w:rPr>
                <w:rFonts w:ascii="Arial" w:hAnsi="Arial" w:cs="Arial"/>
              </w:rPr>
              <w:t>Reverse</w:t>
            </w:r>
          </w:p>
        </w:tc>
        <w:tc>
          <w:tcPr>
            <w:tcW w:w="13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1EE2BB6" w14:textId="77777777" w:rsidR="00EC3D8D" w:rsidRPr="0001264F" w:rsidRDefault="00EC3D8D" w:rsidP="007C00F6">
            <w:pPr>
              <w:rPr>
                <w:rFonts w:ascii="Arial" w:hAnsi="Arial" w:cs="Arial"/>
              </w:rPr>
            </w:pPr>
            <w:r w:rsidRPr="0001264F">
              <w:rPr>
                <w:rFonts w:ascii="Arial" w:hAnsi="Arial" w:cs="Arial"/>
              </w:rPr>
              <w:t>Sequence</w:t>
            </w:r>
          </w:p>
        </w:tc>
        <w:tc>
          <w:tcPr>
            <w:tcW w:w="4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90F96F1" w14:textId="77777777" w:rsidR="00EC3D8D" w:rsidRPr="0001264F" w:rsidRDefault="00EC3D8D" w:rsidP="007C00F6">
            <w:pPr>
              <w:rPr>
                <w:rFonts w:ascii="Arial" w:hAnsi="Arial" w:cs="Arial"/>
              </w:rPr>
            </w:pPr>
            <w:r w:rsidRPr="0001264F">
              <w:rPr>
                <w:rFonts w:ascii="Arial" w:hAnsi="Arial" w:cs="Arial"/>
              </w:rPr>
              <w:t>GTACGAGAATCGCTAGGGTG</w:t>
            </w:r>
          </w:p>
        </w:tc>
      </w:tr>
    </w:tbl>
    <w:p w14:paraId="3E167AA0" w14:textId="7DFB79A9" w:rsidR="00EC3D8D" w:rsidRPr="0001264F" w:rsidRDefault="00EC3D8D" w:rsidP="00EC3D8D">
      <w:pPr>
        <w:rPr>
          <w:rFonts w:ascii="Arial" w:eastAsia="Times New Roman" w:hAnsi="Arial" w:cs="Arial"/>
          <w:b/>
          <w:color w:val="000000" w:themeColor="text1"/>
          <w:shd w:val="clear" w:color="auto" w:fill="FFFFFF"/>
        </w:rPr>
      </w:pPr>
    </w:p>
    <w:p w14:paraId="33774A19" w14:textId="77777777" w:rsidR="00EC3D8D" w:rsidRPr="0001264F" w:rsidRDefault="00EC3D8D">
      <w:pPr>
        <w:spacing w:line="240" w:lineRule="auto"/>
        <w:jc w:val="left"/>
        <w:rPr>
          <w:rFonts w:ascii="Arial" w:eastAsia="Times New Roman" w:hAnsi="Arial" w:cs="Arial"/>
          <w:b/>
          <w:color w:val="000000" w:themeColor="text1"/>
          <w:shd w:val="clear" w:color="auto" w:fill="FFFFFF"/>
        </w:rPr>
      </w:pPr>
      <w:r w:rsidRPr="0001264F">
        <w:rPr>
          <w:rFonts w:ascii="Arial" w:eastAsia="Times New Roman" w:hAnsi="Arial" w:cs="Arial"/>
          <w:b/>
          <w:color w:val="000000" w:themeColor="text1"/>
          <w:shd w:val="clear" w:color="auto" w:fill="FFFFFF"/>
        </w:rPr>
        <w:br w:type="page"/>
      </w:r>
    </w:p>
    <w:p w14:paraId="026264BF" w14:textId="5737264C" w:rsidR="00EC3D8D" w:rsidRPr="0001264F" w:rsidRDefault="00EC3D8D" w:rsidP="00EC3D8D">
      <w:pPr>
        <w:rPr>
          <w:rFonts w:ascii="Arial" w:hAnsi="Arial" w:cs="Arial"/>
          <w:color w:val="000000"/>
          <w:shd w:val="clear" w:color="auto" w:fill="FFFFFF"/>
        </w:rPr>
      </w:pPr>
      <w:r w:rsidRPr="0001264F">
        <w:rPr>
          <w:rFonts w:ascii="Arial" w:hAnsi="Arial" w:cs="Arial"/>
          <w:color w:val="000000"/>
          <w:shd w:val="clear" w:color="auto" w:fill="FFFFFF"/>
        </w:rPr>
        <w:lastRenderedPageBreak/>
        <w:t>Table</w:t>
      </w:r>
      <w:r w:rsidR="00DB1ADF" w:rsidRPr="0001264F">
        <w:rPr>
          <w:rFonts w:ascii="Arial" w:hAnsi="Arial" w:cs="Arial"/>
          <w:color w:val="000000"/>
          <w:shd w:val="clear" w:color="auto" w:fill="FFFFFF"/>
        </w:rPr>
        <w:t xml:space="preserve"> </w:t>
      </w:r>
      <w:r w:rsidRPr="0001264F">
        <w:rPr>
          <w:rFonts w:ascii="Arial" w:hAnsi="Arial" w:cs="Arial"/>
          <w:color w:val="000000"/>
          <w:shd w:val="clear" w:color="auto" w:fill="FFFFFF"/>
        </w:rPr>
        <w:t xml:space="preserve">S2: Details of primary antibodies </w:t>
      </w:r>
      <w:r w:rsidR="00FD5287" w:rsidRPr="0001264F">
        <w:rPr>
          <w:rFonts w:ascii="Arial" w:hAnsi="Arial" w:cs="Arial"/>
          <w:color w:val="000000"/>
          <w:shd w:val="clear" w:color="auto" w:fill="FFFFFF"/>
        </w:rPr>
        <w:t>for IHC</w:t>
      </w:r>
    </w:p>
    <w:tbl>
      <w:tblPr>
        <w:tblStyle w:val="TableGrid"/>
        <w:tblW w:w="0" w:type="auto"/>
        <w:tblLook w:val="04A0" w:firstRow="1" w:lastRow="0" w:firstColumn="1" w:lastColumn="0" w:noHBand="0" w:noVBand="1"/>
      </w:tblPr>
      <w:tblGrid>
        <w:gridCol w:w="2346"/>
        <w:gridCol w:w="1175"/>
        <w:gridCol w:w="1244"/>
        <w:gridCol w:w="2041"/>
        <w:gridCol w:w="2204"/>
      </w:tblGrid>
      <w:tr w:rsidR="002C02B2" w:rsidRPr="0001264F" w14:paraId="6568B19D" w14:textId="63492E94" w:rsidTr="00D61140">
        <w:tc>
          <w:tcPr>
            <w:tcW w:w="2497" w:type="dxa"/>
          </w:tcPr>
          <w:p w14:paraId="13BFA7B1" w14:textId="77777777" w:rsidR="00D61140" w:rsidRPr="0001264F" w:rsidRDefault="00D61140" w:rsidP="007C00F6">
            <w:pPr>
              <w:rPr>
                <w:rFonts w:ascii="Arial" w:hAnsi="Arial" w:cs="Arial"/>
                <w:b/>
                <w:color w:val="000000"/>
                <w:shd w:val="clear" w:color="auto" w:fill="FFFFFF"/>
              </w:rPr>
            </w:pPr>
            <w:r w:rsidRPr="0001264F">
              <w:rPr>
                <w:rFonts w:ascii="Arial" w:hAnsi="Arial" w:cs="Arial"/>
                <w:b/>
                <w:color w:val="000000"/>
                <w:shd w:val="clear" w:color="auto" w:fill="FFFFFF"/>
              </w:rPr>
              <w:t>Antibody</w:t>
            </w:r>
          </w:p>
        </w:tc>
        <w:tc>
          <w:tcPr>
            <w:tcW w:w="1184" w:type="dxa"/>
          </w:tcPr>
          <w:p w14:paraId="3A90DC8A" w14:textId="77777777" w:rsidR="00D61140" w:rsidRPr="0001264F" w:rsidRDefault="00D61140" w:rsidP="007C00F6">
            <w:pPr>
              <w:rPr>
                <w:rFonts w:ascii="Arial" w:hAnsi="Arial" w:cs="Arial"/>
                <w:b/>
                <w:color w:val="000000"/>
                <w:shd w:val="clear" w:color="auto" w:fill="FFFFFF"/>
              </w:rPr>
            </w:pPr>
            <w:r w:rsidRPr="0001264F">
              <w:rPr>
                <w:rFonts w:ascii="Arial" w:hAnsi="Arial" w:cs="Arial"/>
                <w:b/>
                <w:color w:val="000000"/>
                <w:shd w:val="clear" w:color="auto" w:fill="FFFFFF"/>
              </w:rPr>
              <w:t>Dilution</w:t>
            </w:r>
          </w:p>
        </w:tc>
        <w:tc>
          <w:tcPr>
            <w:tcW w:w="1244" w:type="dxa"/>
          </w:tcPr>
          <w:p w14:paraId="62695D31" w14:textId="77777777" w:rsidR="00D61140" w:rsidRPr="0001264F" w:rsidRDefault="00D61140" w:rsidP="007C00F6">
            <w:pPr>
              <w:rPr>
                <w:rFonts w:ascii="Arial" w:hAnsi="Arial" w:cs="Arial"/>
                <w:b/>
                <w:color w:val="000000"/>
                <w:shd w:val="clear" w:color="auto" w:fill="FFFFFF"/>
              </w:rPr>
            </w:pPr>
            <w:r w:rsidRPr="0001264F">
              <w:rPr>
                <w:rFonts w:ascii="Arial" w:hAnsi="Arial" w:cs="Arial"/>
                <w:b/>
                <w:color w:val="000000"/>
                <w:shd w:val="clear" w:color="auto" w:fill="FFFFFF"/>
              </w:rPr>
              <w:t>Clone</w:t>
            </w:r>
          </w:p>
        </w:tc>
        <w:tc>
          <w:tcPr>
            <w:tcW w:w="2125" w:type="dxa"/>
          </w:tcPr>
          <w:p w14:paraId="7F291071" w14:textId="77777777" w:rsidR="00D61140" w:rsidRPr="0001264F" w:rsidRDefault="00D61140" w:rsidP="007C00F6">
            <w:pPr>
              <w:rPr>
                <w:rFonts w:ascii="Arial" w:hAnsi="Arial" w:cs="Arial"/>
                <w:b/>
                <w:color w:val="000000"/>
                <w:shd w:val="clear" w:color="auto" w:fill="FFFFFF"/>
              </w:rPr>
            </w:pPr>
            <w:r w:rsidRPr="0001264F">
              <w:rPr>
                <w:rFonts w:ascii="Arial" w:hAnsi="Arial" w:cs="Arial"/>
                <w:b/>
                <w:color w:val="000000"/>
                <w:shd w:val="clear" w:color="auto" w:fill="FFFFFF"/>
              </w:rPr>
              <w:t>Supplier</w:t>
            </w:r>
          </w:p>
        </w:tc>
        <w:tc>
          <w:tcPr>
            <w:tcW w:w="1960" w:type="dxa"/>
          </w:tcPr>
          <w:p w14:paraId="098CC720" w14:textId="6F0C8E3A" w:rsidR="00D61140" w:rsidRPr="0001264F" w:rsidRDefault="00D61140" w:rsidP="007C00F6">
            <w:pPr>
              <w:rPr>
                <w:rFonts w:ascii="Arial" w:hAnsi="Arial" w:cs="Arial"/>
                <w:b/>
                <w:color w:val="000000"/>
                <w:shd w:val="clear" w:color="auto" w:fill="FFFFFF"/>
              </w:rPr>
            </w:pPr>
            <w:r w:rsidRPr="0001264F">
              <w:rPr>
                <w:rFonts w:ascii="Arial" w:hAnsi="Arial" w:cs="Arial"/>
                <w:b/>
                <w:color w:val="000000"/>
                <w:shd w:val="clear" w:color="auto" w:fill="FFFFFF"/>
              </w:rPr>
              <w:t>Cellular locali</w:t>
            </w:r>
            <w:r w:rsidR="00930D01" w:rsidRPr="0001264F">
              <w:rPr>
                <w:rFonts w:ascii="Arial" w:hAnsi="Arial" w:cs="Arial"/>
                <w:b/>
                <w:color w:val="000000"/>
                <w:shd w:val="clear" w:color="auto" w:fill="FFFFFF"/>
              </w:rPr>
              <w:t>z</w:t>
            </w:r>
            <w:r w:rsidRPr="0001264F">
              <w:rPr>
                <w:rFonts w:ascii="Arial" w:hAnsi="Arial" w:cs="Arial"/>
                <w:b/>
                <w:color w:val="000000"/>
                <w:shd w:val="clear" w:color="auto" w:fill="FFFFFF"/>
              </w:rPr>
              <w:t>ation</w:t>
            </w:r>
          </w:p>
        </w:tc>
      </w:tr>
      <w:tr w:rsidR="002C02B2" w:rsidRPr="0001264F" w14:paraId="38E406BA" w14:textId="78BFC48E" w:rsidTr="00D61140">
        <w:tc>
          <w:tcPr>
            <w:tcW w:w="2497" w:type="dxa"/>
          </w:tcPr>
          <w:p w14:paraId="7C72C9E5"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CD56</w:t>
            </w:r>
          </w:p>
        </w:tc>
        <w:tc>
          <w:tcPr>
            <w:tcW w:w="1184" w:type="dxa"/>
          </w:tcPr>
          <w:p w14:paraId="5AB84BAD"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1:50</w:t>
            </w:r>
          </w:p>
        </w:tc>
        <w:tc>
          <w:tcPr>
            <w:tcW w:w="1244" w:type="dxa"/>
          </w:tcPr>
          <w:p w14:paraId="6B3C24DB"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123C3</w:t>
            </w:r>
          </w:p>
        </w:tc>
        <w:tc>
          <w:tcPr>
            <w:tcW w:w="2125" w:type="dxa"/>
          </w:tcPr>
          <w:p w14:paraId="7D5ECCCE"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DAKO</w:t>
            </w:r>
          </w:p>
        </w:tc>
        <w:tc>
          <w:tcPr>
            <w:tcW w:w="1960" w:type="dxa"/>
          </w:tcPr>
          <w:p w14:paraId="6FE462AF" w14:textId="34855431"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Membrane</w:t>
            </w:r>
          </w:p>
        </w:tc>
      </w:tr>
      <w:tr w:rsidR="002C02B2" w:rsidRPr="0001264F" w14:paraId="4484690A" w14:textId="27AAD161" w:rsidTr="00D61140">
        <w:tc>
          <w:tcPr>
            <w:tcW w:w="2497" w:type="dxa"/>
          </w:tcPr>
          <w:p w14:paraId="1EE2EC35"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Cleaved Caspase 3</w:t>
            </w:r>
          </w:p>
        </w:tc>
        <w:tc>
          <w:tcPr>
            <w:tcW w:w="1184" w:type="dxa"/>
          </w:tcPr>
          <w:p w14:paraId="028C708B"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1:150</w:t>
            </w:r>
          </w:p>
        </w:tc>
        <w:tc>
          <w:tcPr>
            <w:tcW w:w="1244" w:type="dxa"/>
          </w:tcPr>
          <w:p w14:paraId="60C63C51"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D3E9</w:t>
            </w:r>
          </w:p>
        </w:tc>
        <w:tc>
          <w:tcPr>
            <w:tcW w:w="2125" w:type="dxa"/>
          </w:tcPr>
          <w:p w14:paraId="3004D5A2"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Cell Signalling</w:t>
            </w:r>
          </w:p>
        </w:tc>
        <w:tc>
          <w:tcPr>
            <w:tcW w:w="1960" w:type="dxa"/>
          </w:tcPr>
          <w:p w14:paraId="5F2F4F2D" w14:textId="4BD8D823"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Cytoplasm/nuclear</w:t>
            </w:r>
          </w:p>
        </w:tc>
      </w:tr>
      <w:tr w:rsidR="002C02B2" w:rsidRPr="0001264F" w14:paraId="272AE585" w14:textId="34FD627E" w:rsidTr="00D61140">
        <w:tc>
          <w:tcPr>
            <w:tcW w:w="2497" w:type="dxa"/>
          </w:tcPr>
          <w:p w14:paraId="26BE7F86"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CD3</w:t>
            </w:r>
          </w:p>
        </w:tc>
        <w:tc>
          <w:tcPr>
            <w:tcW w:w="1184" w:type="dxa"/>
          </w:tcPr>
          <w:p w14:paraId="752EF7D1"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1:300</w:t>
            </w:r>
          </w:p>
        </w:tc>
        <w:tc>
          <w:tcPr>
            <w:tcW w:w="1244" w:type="dxa"/>
          </w:tcPr>
          <w:p w14:paraId="25E5F959"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SP7</w:t>
            </w:r>
          </w:p>
        </w:tc>
        <w:tc>
          <w:tcPr>
            <w:tcW w:w="2125" w:type="dxa"/>
          </w:tcPr>
          <w:p w14:paraId="029B9EE2" w14:textId="77777777" w:rsidR="00D61140" w:rsidRPr="0001264F" w:rsidRDefault="00D61140" w:rsidP="007C00F6">
            <w:pPr>
              <w:rPr>
                <w:rFonts w:ascii="Arial" w:hAnsi="Arial" w:cs="Arial"/>
                <w:color w:val="000000"/>
                <w:shd w:val="clear" w:color="auto" w:fill="FFFFFF"/>
              </w:rPr>
            </w:pPr>
            <w:proofErr w:type="spellStart"/>
            <w:r w:rsidRPr="0001264F">
              <w:rPr>
                <w:rFonts w:ascii="Arial" w:hAnsi="Arial" w:cs="Arial"/>
                <w:color w:val="000000"/>
                <w:shd w:val="clear" w:color="auto" w:fill="FFFFFF"/>
              </w:rPr>
              <w:t>Abcam</w:t>
            </w:r>
            <w:proofErr w:type="spellEnd"/>
          </w:p>
        </w:tc>
        <w:tc>
          <w:tcPr>
            <w:tcW w:w="1960" w:type="dxa"/>
          </w:tcPr>
          <w:p w14:paraId="77B839E3" w14:textId="3BA838F8"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Membrane</w:t>
            </w:r>
          </w:p>
        </w:tc>
      </w:tr>
      <w:tr w:rsidR="002C02B2" w:rsidRPr="0001264F" w14:paraId="54CB0AD1" w14:textId="7191A98E" w:rsidTr="00D61140">
        <w:tc>
          <w:tcPr>
            <w:tcW w:w="2497" w:type="dxa"/>
          </w:tcPr>
          <w:p w14:paraId="33B3F99C"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CD20</w:t>
            </w:r>
          </w:p>
        </w:tc>
        <w:tc>
          <w:tcPr>
            <w:tcW w:w="1184" w:type="dxa"/>
          </w:tcPr>
          <w:p w14:paraId="1A7B9B6F"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1:400</w:t>
            </w:r>
          </w:p>
        </w:tc>
        <w:tc>
          <w:tcPr>
            <w:tcW w:w="1244" w:type="dxa"/>
          </w:tcPr>
          <w:p w14:paraId="1306A8ED"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L26</w:t>
            </w:r>
          </w:p>
        </w:tc>
        <w:tc>
          <w:tcPr>
            <w:tcW w:w="2125" w:type="dxa"/>
          </w:tcPr>
          <w:p w14:paraId="018B3709" w14:textId="77777777" w:rsidR="00D61140" w:rsidRPr="0001264F" w:rsidRDefault="00D61140" w:rsidP="007C00F6">
            <w:pPr>
              <w:rPr>
                <w:rFonts w:ascii="Arial" w:hAnsi="Arial" w:cs="Arial"/>
                <w:color w:val="000000"/>
                <w:shd w:val="clear" w:color="auto" w:fill="FFFFFF"/>
              </w:rPr>
            </w:pPr>
            <w:proofErr w:type="spellStart"/>
            <w:r w:rsidRPr="0001264F">
              <w:rPr>
                <w:rFonts w:ascii="Arial" w:hAnsi="Arial" w:cs="Arial"/>
                <w:color w:val="000000"/>
                <w:shd w:val="clear" w:color="auto" w:fill="FFFFFF"/>
              </w:rPr>
              <w:t>Abcam</w:t>
            </w:r>
            <w:proofErr w:type="spellEnd"/>
            <w:r w:rsidRPr="0001264F">
              <w:rPr>
                <w:rFonts w:ascii="Arial" w:hAnsi="Arial" w:cs="Arial"/>
              </w:rPr>
              <w:t xml:space="preserve"> </w:t>
            </w:r>
          </w:p>
        </w:tc>
        <w:tc>
          <w:tcPr>
            <w:tcW w:w="1960" w:type="dxa"/>
          </w:tcPr>
          <w:p w14:paraId="7C22A298" w14:textId="7F2E30BA"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Membrane</w:t>
            </w:r>
          </w:p>
        </w:tc>
      </w:tr>
      <w:tr w:rsidR="002C02B2" w:rsidRPr="0001264F" w14:paraId="4AD6CAD5" w14:textId="57C4A4B7" w:rsidTr="00D61140">
        <w:tc>
          <w:tcPr>
            <w:tcW w:w="2497" w:type="dxa"/>
          </w:tcPr>
          <w:p w14:paraId="0C6AD6C3"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CD4</w:t>
            </w:r>
          </w:p>
        </w:tc>
        <w:tc>
          <w:tcPr>
            <w:tcW w:w="1184" w:type="dxa"/>
          </w:tcPr>
          <w:p w14:paraId="79BDA5D1"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1:200</w:t>
            </w:r>
          </w:p>
        </w:tc>
        <w:tc>
          <w:tcPr>
            <w:tcW w:w="1244" w:type="dxa"/>
          </w:tcPr>
          <w:p w14:paraId="7B8F3EDB"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EPR6855</w:t>
            </w:r>
          </w:p>
        </w:tc>
        <w:tc>
          <w:tcPr>
            <w:tcW w:w="2125" w:type="dxa"/>
          </w:tcPr>
          <w:p w14:paraId="416B422F" w14:textId="77777777" w:rsidR="00D61140" w:rsidRPr="0001264F" w:rsidRDefault="00D61140" w:rsidP="007C00F6">
            <w:pPr>
              <w:rPr>
                <w:rFonts w:ascii="Arial" w:hAnsi="Arial" w:cs="Arial"/>
                <w:color w:val="000000"/>
                <w:shd w:val="clear" w:color="auto" w:fill="FFFFFF"/>
              </w:rPr>
            </w:pPr>
            <w:proofErr w:type="spellStart"/>
            <w:r w:rsidRPr="0001264F">
              <w:rPr>
                <w:rFonts w:ascii="Arial" w:hAnsi="Arial" w:cs="Arial"/>
                <w:color w:val="000000"/>
                <w:shd w:val="clear" w:color="auto" w:fill="FFFFFF"/>
              </w:rPr>
              <w:t>Abcam</w:t>
            </w:r>
            <w:proofErr w:type="spellEnd"/>
          </w:p>
        </w:tc>
        <w:tc>
          <w:tcPr>
            <w:tcW w:w="1960" w:type="dxa"/>
          </w:tcPr>
          <w:p w14:paraId="2DEFF84B" w14:textId="206B8FC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Membrane</w:t>
            </w:r>
          </w:p>
        </w:tc>
      </w:tr>
      <w:tr w:rsidR="002C02B2" w:rsidRPr="0001264F" w14:paraId="13FA20B7" w14:textId="6A1519BA" w:rsidTr="00D61140">
        <w:tc>
          <w:tcPr>
            <w:tcW w:w="2497" w:type="dxa"/>
          </w:tcPr>
          <w:p w14:paraId="2D302B57"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CD8</w:t>
            </w:r>
          </w:p>
        </w:tc>
        <w:tc>
          <w:tcPr>
            <w:tcW w:w="1184" w:type="dxa"/>
          </w:tcPr>
          <w:p w14:paraId="2BFB79E7"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1:50</w:t>
            </w:r>
          </w:p>
        </w:tc>
        <w:tc>
          <w:tcPr>
            <w:tcW w:w="1244" w:type="dxa"/>
          </w:tcPr>
          <w:p w14:paraId="69806FD4" w14:textId="77777777"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4B11</w:t>
            </w:r>
          </w:p>
        </w:tc>
        <w:tc>
          <w:tcPr>
            <w:tcW w:w="2125" w:type="dxa"/>
          </w:tcPr>
          <w:p w14:paraId="7F4EFAD8" w14:textId="77777777" w:rsidR="00D61140" w:rsidRPr="0001264F" w:rsidRDefault="00D61140" w:rsidP="007C00F6">
            <w:pPr>
              <w:rPr>
                <w:rFonts w:ascii="Arial" w:hAnsi="Arial" w:cs="Arial"/>
                <w:color w:val="000000"/>
                <w:shd w:val="clear" w:color="auto" w:fill="FFFFFF"/>
              </w:rPr>
            </w:pPr>
            <w:proofErr w:type="spellStart"/>
            <w:r w:rsidRPr="0001264F">
              <w:rPr>
                <w:rFonts w:ascii="Arial" w:hAnsi="Arial" w:cs="Arial"/>
                <w:color w:val="000000"/>
                <w:shd w:val="clear" w:color="auto" w:fill="FFFFFF"/>
              </w:rPr>
              <w:t>Novocastra</w:t>
            </w:r>
            <w:proofErr w:type="spellEnd"/>
          </w:p>
        </w:tc>
        <w:tc>
          <w:tcPr>
            <w:tcW w:w="1960" w:type="dxa"/>
          </w:tcPr>
          <w:p w14:paraId="4688F586" w14:textId="59777D1D" w:rsidR="00D61140" w:rsidRPr="0001264F" w:rsidRDefault="00D61140" w:rsidP="007C00F6">
            <w:pPr>
              <w:rPr>
                <w:rFonts w:ascii="Arial" w:hAnsi="Arial" w:cs="Arial"/>
                <w:color w:val="000000"/>
                <w:shd w:val="clear" w:color="auto" w:fill="FFFFFF"/>
              </w:rPr>
            </w:pPr>
            <w:r w:rsidRPr="0001264F">
              <w:rPr>
                <w:rFonts w:ascii="Arial" w:hAnsi="Arial" w:cs="Arial"/>
                <w:color w:val="000000"/>
                <w:shd w:val="clear" w:color="auto" w:fill="FFFFFF"/>
              </w:rPr>
              <w:t>Membrane</w:t>
            </w:r>
          </w:p>
        </w:tc>
      </w:tr>
    </w:tbl>
    <w:p w14:paraId="47ED845B" w14:textId="77777777" w:rsidR="00EC3D8D" w:rsidRPr="0001264F" w:rsidRDefault="00EC3D8D" w:rsidP="00EC3D8D">
      <w:pPr>
        <w:rPr>
          <w:rFonts w:ascii="Arial" w:eastAsia="Times New Roman" w:hAnsi="Arial" w:cs="Arial"/>
          <w:b/>
          <w:color w:val="000000" w:themeColor="text1"/>
          <w:shd w:val="clear" w:color="auto" w:fill="FFFFFF"/>
        </w:rPr>
      </w:pPr>
    </w:p>
    <w:p w14:paraId="3309A0C8" w14:textId="6761E813" w:rsidR="00F165D2" w:rsidRPr="0001264F" w:rsidRDefault="00F165D2">
      <w:pPr>
        <w:spacing w:line="240" w:lineRule="auto"/>
        <w:jc w:val="left"/>
        <w:rPr>
          <w:rFonts w:ascii="Arial" w:hAnsi="Arial" w:cs="Arial"/>
          <w:b/>
          <w:color w:val="000000"/>
          <w:shd w:val="clear" w:color="auto" w:fill="FFFFFF"/>
        </w:rPr>
      </w:pPr>
      <w:r w:rsidRPr="0001264F">
        <w:rPr>
          <w:rFonts w:ascii="Arial" w:hAnsi="Arial" w:cs="Arial"/>
          <w:b/>
          <w:color w:val="000000"/>
          <w:shd w:val="clear" w:color="auto" w:fill="FFFFFF"/>
        </w:rPr>
        <w:br w:type="page"/>
      </w:r>
    </w:p>
    <w:p w14:paraId="448876BE" w14:textId="77777777" w:rsidR="00930D01" w:rsidRPr="0001264F" w:rsidRDefault="00930D01" w:rsidP="00930D01">
      <w:pPr>
        <w:pStyle w:val="BodyText"/>
        <w:ind w:left="0" w:right="113"/>
        <w:rPr>
          <w:rFonts w:cs="Arial"/>
          <w:b/>
          <w:color w:val="000000"/>
          <w:shd w:val="clear" w:color="auto" w:fill="FFFFFF"/>
        </w:rPr>
        <w:sectPr w:rsidR="00930D01" w:rsidRPr="0001264F" w:rsidSect="004E1B11">
          <w:footerReference w:type="default" r:id="rId7"/>
          <w:pgSz w:w="11900" w:h="16840"/>
          <w:pgMar w:top="1440" w:right="1440" w:bottom="1440" w:left="1440" w:header="720" w:footer="720" w:gutter="0"/>
          <w:cols w:space="720"/>
          <w:docGrid w:linePitch="400"/>
        </w:sectPr>
      </w:pPr>
    </w:p>
    <w:p w14:paraId="35DB6639" w14:textId="77777777" w:rsidR="00930D01" w:rsidRPr="0001264F" w:rsidRDefault="00930D01" w:rsidP="00930D01">
      <w:pPr>
        <w:pStyle w:val="BodyText"/>
        <w:ind w:left="0" w:right="113"/>
        <w:rPr>
          <w:rFonts w:cs="Arial"/>
          <w:b/>
          <w:color w:val="000000"/>
          <w:shd w:val="clear" w:color="auto" w:fill="FFFFFF"/>
        </w:rPr>
      </w:pPr>
    </w:p>
    <w:p w14:paraId="7A143044" w14:textId="58076AF0" w:rsidR="00930D01" w:rsidRPr="0001264F" w:rsidRDefault="00EF23FE" w:rsidP="00A549DB">
      <w:pPr>
        <w:pStyle w:val="BodyText"/>
        <w:ind w:left="0" w:right="113"/>
        <w:jc w:val="center"/>
        <w:rPr>
          <w:rFonts w:cs="Arial"/>
          <w:b/>
          <w:color w:val="000000"/>
          <w:shd w:val="clear" w:color="auto" w:fill="FFFFFF"/>
        </w:rPr>
      </w:pPr>
      <w:r w:rsidRPr="0001264F">
        <w:rPr>
          <w:rFonts w:cs="Arial"/>
          <w:b/>
          <w:noProof/>
          <w:color w:val="000000"/>
          <w:shd w:val="clear" w:color="auto" w:fill="FFFFFF"/>
        </w:rPr>
        <w:drawing>
          <wp:inline distT="0" distB="0" distL="0" distR="0" wp14:anchorId="2F9E4C36" wp14:editId="1AC0F825">
            <wp:extent cx="7211932" cy="448575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1.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7226829" cy="4495024"/>
                    </a:xfrm>
                    <a:prstGeom prst="rect">
                      <a:avLst/>
                    </a:prstGeom>
                  </pic:spPr>
                </pic:pic>
              </a:graphicData>
            </a:graphic>
          </wp:inline>
        </w:drawing>
      </w:r>
    </w:p>
    <w:p w14:paraId="5288312F" w14:textId="77777777" w:rsidR="00EF23FE" w:rsidRPr="0001264F" w:rsidRDefault="00EF23FE" w:rsidP="00A549DB">
      <w:pPr>
        <w:pStyle w:val="BodyText"/>
        <w:ind w:left="0" w:right="113"/>
        <w:rPr>
          <w:rFonts w:cs="Arial"/>
          <w:b/>
          <w:color w:val="000000"/>
          <w:shd w:val="clear" w:color="auto" w:fill="FFFFFF"/>
        </w:rPr>
      </w:pPr>
    </w:p>
    <w:p w14:paraId="4D074D49" w14:textId="438AF0CE" w:rsidR="009D7491" w:rsidRPr="0001264F" w:rsidRDefault="00CE6BDE" w:rsidP="009D7491">
      <w:pPr>
        <w:pStyle w:val="BodyText"/>
        <w:ind w:right="113"/>
      </w:pPr>
      <w:r w:rsidRPr="0001264F">
        <w:rPr>
          <w:rFonts w:cs="Arial"/>
          <w:b/>
          <w:color w:val="000000"/>
          <w:shd w:val="clear" w:color="auto" w:fill="FFFFFF"/>
        </w:rPr>
        <w:t xml:space="preserve">Figure S1. </w:t>
      </w:r>
      <w:r w:rsidR="0016561B" w:rsidRPr="0001264F">
        <w:rPr>
          <w:rFonts w:cs="Arial"/>
          <w:color w:val="000000"/>
          <w:shd w:val="clear" w:color="auto" w:fill="FFFFFF"/>
        </w:rPr>
        <w:t>Outline of the</w:t>
      </w:r>
      <w:r w:rsidR="0016561B" w:rsidRPr="0001264F">
        <w:rPr>
          <w:rFonts w:cs="Arial"/>
          <w:b/>
          <w:color w:val="000000"/>
          <w:shd w:val="clear" w:color="auto" w:fill="FFFFFF"/>
        </w:rPr>
        <w:t xml:space="preserve"> </w:t>
      </w:r>
      <w:r w:rsidR="0016561B" w:rsidRPr="0001264F">
        <w:t>t</w:t>
      </w:r>
      <w:r w:rsidRPr="0001264F">
        <w:t xml:space="preserve">reatment </w:t>
      </w:r>
      <w:r w:rsidR="0016561B" w:rsidRPr="0001264F">
        <w:t>protocol</w:t>
      </w:r>
      <w:r w:rsidRPr="0001264F">
        <w:t>. In Phase I, subjects received trastuzumab</w:t>
      </w:r>
      <w:r w:rsidR="00B8683E" w:rsidRPr="0001264F">
        <w:t xml:space="preserve"> (orange arrow</w:t>
      </w:r>
      <w:r w:rsidR="00930D01" w:rsidRPr="0001264F">
        <w:t>s</w:t>
      </w:r>
      <w:r w:rsidR="00B8683E" w:rsidRPr="0001264F">
        <w:t>)</w:t>
      </w:r>
      <w:r w:rsidRPr="0001264F">
        <w:t xml:space="preserve"> on day 1</w:t>
      </w:r>
      <w:r w:rsidR="008B5A5C" w:rsidRPr="0001264F">
        <w:t xml:space="preserve"> </w:t>
      </w:r>
      <w:r w:rsidRPr="0001264F">
        <w:t>of</w:t>
      </w:r>
      <w:r w:rsidRPr="0001264F">
        <w:rPr>
          <w:w w:val="99"/>
        </w:rPr>
        <w:t xml:space="preserve"> </w:t>
      </w:r>
      <w:r w:rsidRPr="0001264F">
        <w:t>each cycle, followed by NK cell infusion</w:t>
      </w:r>
      <w:r w:rsidR="00B8683E" w:rsidRPr="0001264F">
        <w:t xml:space="preserve"> (blue arrow</w:t>
      </w:r>
      <w:r w:rsidR="00930D01" w:rsidRPr="0001264F">
        <w:t>s</w:t>
      </w:r>
      <w:r w:rsidR="00B8683E" w:rsidRPr="0001264F">
        <w:t>)</w:t>
      </w:r>
      <w:r w:rsidRPr="0001264F">
        <w:t xml:space="preserve"> on day 2, repeated in cycle</w:t>
      </w:r>
      <w:r w:rsidR="00930D01" w:rsidRPr="0001264F">
        <w:t>s</w:t>
      </w:r>
      <w:r w:rsidRPr="0001264F">
        <w:t xml:space="preserve"> </w:t>
      </w:r>
      <w:r w:rsidR="00930D01" w:rsidRPr="0001264F">
        <w:t xml:space="preserve">(“C”) </w:t>
      </w:r>
      <w:r w:rsidRPr="0001264F">
        <w:t>4, 6 and/or</w:t>
      </w:r>
      <w:r w:rsidRPr="0001264F">
        <w:rPr>
          <w:spacing w:val="1"/>
        </w:rPr>
        <w:t xml:space="preserve"> </w:t>
      </w:r>
      <w:r w:rsidRPr="0001264F">
        <w:t>8</w:t>
      </w:r>
      <w:r w:rsidR="008B5A5C" w:rsidRPr="0001264F">
        <w:t>,</w:t>
      </w:r>
      <w:r w:rsidRPr="0001264F">
        <w:t xml:space="preserve"> if </w:t>
      </w:r>
      <w:r w:rsidR="00930D01" w:rsidRPr="0001264F">
        <w:t xml:space="preserve">at least </w:t>
      </w:r>
      <w:r w:rsidR="008B5A5C" w:rsidRPr="0001264F">
        <w:t xml:space="preserve">a </w:t>
      </w:r>
      <w:r w:rsidR="00930D01" w:rsidRPr="0001264F">
        <w:t>pa</w:t>
      </w:r>
      <w:r w:rsidR="008B5A5C" w:rsidRPr="0001264F">
        <w:t>r</w:t>
      </w:r>
      <w:r w:rsidR="00930D01" w:rsidRPr="0001264F">
        <w:t xml:space="preserve">tial response (PR) was achieved after </w:t>
      </w:r>
      <w:r w:rsidR="00836886" w:rsidRPr="0001264F">
        <w:t xml:space="preserve">C2 or there was </w:t>
      </w:r>
      <w:r w:rsidR="00EF23FE" w:rsidRPr="0001264F">
        <w:t xml:space="preserve">sustained </w:t>
      </w:r>
      <w:r w:rsidR="00836886" w:rsidRPr="0001264F">
        <w:t xml:space="preserve">stable disease (SD) </w:t>
      </w:r>
      <w:r w:rsidR="00EF23FE" w:rsidRPr="0001264F">
        <w:t xml:space="preserve">or better </w:t>
      </w:r>
      <w:r w:rsidR="00836886" w:rsidRPr="0001264F">
        <w:t>after C4 or C6</w:t>
      </w:r>
      <w:r w:rsidRPr="0001264F">
        <w:t xml:space="preserve">. </w:t>
      </w:r>
      <w:r w:rsidR="00930D01" w:rsidRPr="0001264F">
        <w:t xml:space="preserve">An additional NK cell infusion was given at </w:t>
      </w:r>
      <w:r w:rsidRPr="0001264F">
        <w:t>cycle 2 in phase IB cohort A</w:t>
      </w:r>
      <w:r w:rsidR="009D7491" w:rsidRPr="0001264F">
        <w:t xml:space="preserve"> and B</w:t>
      </w:r>
      <w:r w:rsidR="00930D01" w:rsidRPr="0001264F">
        <w:t xml:space="preserve">. In Phase I cohort B, </w:t>
      </w:r>
      <w:r w:rsidRPr="0001264F">
        <w:t>bevacizumab</w:t>
      </w:r>
      <w:r w:rsidR="00DD2720" w:rsidRPr="0001264F">
        <w:t xml:space="preserve"> (</w:t>
      </w:r>
      <w:r w:rsidR="00930D01" w:rsidRPr="0001264F">
        <w:t>green</w:t>
      </w:r>
      <w:r w:rsidR="00DD2720" w:rsidRPr="0001264F">
        <w:t xml:space="preserve"> arrow)</w:t>
      </w:r>
      <w:r w:rsidRPr="0001264F">
        <w:t xml:space="preserve"> </w:t>
      </w:r>
      <w:r w:rsidR="00930D01" w:rsidRPr="0001264F">
        <w:t xml:space="preserve">was given </w:t>
      </w:r>
      <w:r w:rsidRPr="0001264F">
        <w:t xml:space="preserve">7 days prior to </w:t>
      </w:r>
      <w:r w:rsidR="00930D01" w:rsidRPr="0001264F">
        <w:t xml:space="preserve">trastuzumab and </w:t>
      </w:r>
      <w:r w:rsidRPr="0001264F">
        <w:t>NK cell therapy.</w:t>
      </w:r>
      <w:r w:rsidR="009D7491" w:rsidRPr="0001264F">
        <w:t xml:space="preserve"> </w:t>
      </w:r>
    </w:p>
    <w:p w14:paraId="2C2CD80A" w14:textId="77777777" w:rsidR="009D7491" w:rsidRPr="0001264F" w:rsidRDefault="009D7491" w:rsidP="009D7491">
      <w:pPr>
        <w:pStyle w:val="BodyText"/>
        <w:ind w:right="113"/>
      </w:pPr>
    </w:p>
    <w:p w14:paraId="6E1ECE60" w14:textId="447FA62B" w:rsidR="00A549DB" w:rsidRPr="0001264F" w:rsidRDefault="00A549DB" w:rsidP="009D7491">
      <w:pPr>
        <w:pStyle w:val="BodyText"/>
        <w:ind w:left="0" w:right="113"/>
        <w:rPr>
          <w:rFonts w:cs="Arial"/>
          <w:b/>
          <w:color w:val="000000"/>
          <w:shd w:val="clear" w:color="auto" w:fill="FFFFFF"/>
        </w:rPr>
      </w:pPr>
    </w:p>
    <w:p w14:paraId="45B9E199" w14:textId="1ED50B4A" w:rsidR="00C0510D" w:rsidRPr="0001264F" w:rsidRDefault="00C0510D" w:rsidP="00C0510D">
      <w:pPr>
        <w:jc w:val="center"/>
        <w:rPr>
          <w:rFonts w:ascii="Arial" w:hAnsi="Arial" w:cs="Arial"/>
          <w:b/>
          <w:color w:val="000000"/>
          <w:shd w:val="clear" w:color="auto" w:fill="FFFFFF"/>
        </w:rPr>
      </w:pPr>
      <w:r w:rsidRPr="0001264F">
        <w:rPr>
          <w:rFonts w:ascii="Arial" w:hAnsi="Arial" w:cs="Arial"/>
          <w:b/>
          <w:noProof/>
          <w:color w:val="000000"/>
          <w:shd w:val="clear" w:color="auto" w:fill="FFFFFF"/>
          <w:lang w:val="en-US" w:eastAsia="en-US"/>
        </w:rPr>
        <w:drawing>
          <wp:inline distT="0" distB="0" distL="0" distR="0" wp14:anchorId="14E9A604" wp14:editId="5FB39FD6">
            <wp:extent cx="4383034" cy="307757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2.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4410622" cy="3096941"/>
                    </a:xfrm>
                    <a:prstGeom prst="rect">
                      <a:avLst/>
                    </a:prstGeom>
                  </pic:spPr>
                </pic:pic>
              </a:graphicData>
            </a:graphic>
          </wp:inline>
        </w:drawing>
      </w:r>
    </w:p>
    <w:p w14:paraId="7DC487DB" w14:textId="77777777" w:rsidR="00C0510D" w:rsidRPr="0001264F" w:rsidRDefault="00C0510D" w:rsidP="00554FDE">
      <w:pPr>
        <w:rPr>
          <w:rFonts w:ascii="Arial" w:hAnsi="Arial" w:cs="Arial"/>
          <w:b/>
          <w:color w:val="000000"/>
          <w:shd w:val="clear" w:color="auto" w:fill="FFFFFF"/>
        </w:rPr>
      </w:pPr>
    </w:p>
    <w:p w14:paraId="1FC47D1C" w14:textId="39608154" w:rsidR="00930D01" w:rsidRPr="0001264F" w:rsidRDefault="00930D01">
      <w:pPr>
        <w:spacing w:line="240" w:lineRule="auto"/>
        <w:jc w:val="left"/>
        <w:rPr>
          <w:rFonts w:ascii="Arial" w:hAnsi="Arial" w:cs="Arial"/>
        </w:rPr>
      </w:pPr>
      <w:r w:rsidRPr="0001264F">
        <w:rPr>
          <w:rFonts w:ascii="Arial" w:hAnsi="Arial" w:cs="Arial"/>
          <w:b/>
          <w:color w:val="000000"/>
          <w:shd w:val="clear" w:color="auto" w:fill="FFFFFF"/>
        </w:rPr>
        <w:t>Figure S2</w:t>
      </w:r>
      <w:r w:rsidR="00F165D2" w:rsidRPr="0001264F">
        <w:rPr>
          <w:rFonts w:ascii="Arial" w:hAnsi="Arial" w:cs="Arial"/>
          <w:b/>
          <w:color w:val="000000"/>
          <w:shd w:val="clear" w:color="auto" w:fill="FFFFFF"/>
        </w:rPr>
        <w:t>.</w:t>
      </w:r>
      <w:r w:rsidR="0016561B" w:rsidRPr="0001264F">
        <w:rPr>
          <w:rFonts w:ascii="Arial" w:hAnsi="Arial" w:cs="Arial"/>
          <w:b/>
          <w:color w:val="000000"/>
          <w:shd w:val="clear" w:color="auto" w:fill="FFFFFF"/>
        </w:rPr>
        <w:t xml:space="preserve"> </w:t>
      </w:r>
      <w:proofErr w:type="spellStart"/>
      <w:r w:rsidR="0016561B" w:rsidRPr="0001264F">
        <w:rPr>
          <w:rFonts w:ascii="Arial" w:hAnsi="Arial" w:cs="Arial"/>
          <w:color w:val="000000"/>
          <w:shd w:val="clear" w:color="auto" w:fill="FFFFFF"/>
        </w:rPr>
        <w:t>Immunophenotypic</w:t>
      </w:r>
      <w:proofErr w:type="spellEnd"/>
      <w:r w:rsidR="0016561B" w:rsidRPr="0001264F">
        <w:rPr>
          <w:rFonts w:ascii="Arial" w:hAnsi="Arial" w:cs="Arial"/>
          <w:color w:val="000000"/>
          <w:shd w:val="clear" w:color="auto" w:fill="FFFFFF"/>
        </w:rPr>
        <w:t xml:space="preserve"> features of the infused cell products. Flow </w:t>
      </w:r>
      <w:proofErr w:type="spellStart"/>
      <w:r w:rsidR="0016561B" w:rsidRPr="0001264F">
        <w:rPr>
          <w:rFonts w:ascii="Arial" w:hAnsi="Arial" w:cs="Arial"/>
          <w:color w:val="000000"/>
          <w:shd w:val="clear" w:color="auto" w:fill="FFFFFF"/>
        </w:rPr>
        <w:t>cytometric</w:t>
      </w:r>
      <w:proofErr w:type="spellEnd"/>
      <w:r w:rsidR="0016561B" w:rsidRPr="0001264F">
        <w:rPr>
          <w:rFonts w:ascii="Arial" w:hAnsi="Arial" w:cs="Arial"/>
          <w:color w:val="000000"/>
          <w:shd w:val="clear" w:color="auto" w:fill="FFFFFF"/>
        </w:rPr>
        <w:t xml:space="preserve"> dot plots illustrate staining </w:t>
      </w:r>
      <w:r w:rsidR="0069522E" w:rsidRPr="0001264F">
        <w:rPr>
          <w:rFonts w:ascii="Arial" w:hAnsi="Arial" w:cs="Arial"/>
          <w:color w:val="000000"/>
          <w:shd w:val="clear" w:color="auto" w:fill="FFFFFF"/>
        </w:rPr>
        <w:t xml:space="preserve">of viable CD45+ cells </w:t>
      </w:r>
      <w:r w:rsidR="0016561B" w:rsidRPr="0001264F">
        <w:rPr>
          <w:rFonts w:ascii="Arial" w:hAnsi="Arial" w:cs="Arial"/>
          <w:color w:val="000000"/>
          <w:shd w:val="clear" w:color="auto" w:fill="FFFFFF"/>
        </w:rPr>
        <w:t>with anti-CD3 APC and anti-CD56</w:t>
      </w:r>
      <w:r w:rsidR="00F165D2" w:rsidRPr="0001264F">
        <w:rPr>
          <w:rFonts w:ascii="Arial" w:hAnsi="Arial" w:cs="Arial"/>
          <w:color w:val="000000"/>
          <w:shd w:val="clear" w:color="auto" w:fill="FFFFFF"/>
        </w:rPr>
        <w:t xml:space="preserve"> </w:t>
      </w:r>
      <w:r w:rsidR="0016561B" w:rsidRPr="0001264F">
        <w:rPr>
          <w:rFonts w:ascii="Arial" w:hAnsi="Arial" w:cs="Arial"/>
          <w:color w:val="000000"/>
          <w:shd w:val="clear" w:color="auto" w:fill="FFFFFF"/>
        </w:rPr>
        <w:t>PE (top row), and with anti-CD16 FITC and anti-CD56 PE (bottom row</w:t>
      </w:r>
      <w:r w:rsidR="0069522E" w:rsidRPr="0001264F">
        <w:rPr>
          <w:rFonts w:ascii="Arial" w:hAnsi="Arial" w:cs="Arial"/>
          <w:color w:val="000000"/>
          <w:shd w:val="clear" w:color="auto" w:fill="FFFFFF"/>
        </w:rPr>
        <w:t>; all from BD Biosciences</w:t>
      </w:r>
      <w:r w:rsidR="0016561B" w:rsidRPr="0001264F">
        <w:rPr>
          <w:rFonts w:ascii="Arial" w:hAnsi="Arial" w:cs="Arial"/>
          <w:color w:val="000000"/>
          <w:shd w:val="clear" w:color="auto" w:fill="FFFFFF"/>
        </w:rPr>
        <w:t>) in 3 representative cell products immediately prior to infusion, after NK cell expansion.</w:t>
      </w:r>
      <w:r w:rsidR="0069522E" w:rsidRPr="0001264F">
        <w:rPr>
          <w:rFonts w:ascii="Arial" w:hAnsi="Arial" w:cs="Arial"/>
          <w:color w:val="000000"/>
          <w:shd w:val="clear" w:color="auto" w:fill="FFFFFF"/>
        </w:rPr>
        <w:t xml:space="preserve"> Antibody staining was analysed </w:t>
      </w:r>
      <w:r w:rsidR="0016561B" w:rsidRPr="0001264F">
        <w:rPr>
          <w:rFonts w:ascii="Arial" w:hAnsi="Arial" w:cs="Arial"/>
          <w:lang w:val="en-US"/>
        </w:rPr>
        <w:t xml:space="preserve">with a </w:t>
      </w:r>
      <w:proofErr w:type="spellStart"/>
      <w:r w:rsidR="0016561B" w:rsidRPr="0001264F">
        <w:rPr>
          <w:rFonts w:ascii="Arial" w:hAnsi="Arial" w:cs="Arial"/>
          <w:lang w:val="en-US"/>
        </w:rPr>
        <w:t>FACSCanto</w:t>
      </w:r>
      <w:proofErr w:type="spellEnd"/>
      <w:r w:rsidR="0016561B" w:rsidRPr="0001264F">
        <w:rPr>
          <w:rFonts w:ascii="Arial" w:hAnsi="Arial" w:cs="Arial"/>
          <w:lang w:val="en-US"/>
        </w:rPr>
        <w:t xml:space="preserve"> II</w:t>
      </w:r>
      <w:r w:rsidR="0069522E" w:rsidRPr="0001264F">
        <w:rPr>
          <w:rFonts w:ascii="Arial" w:hAnsi="Arial" w:cs="Arial"/>
          <w:lang w:val="en-US"/>
        </w:rPr>
        <w:t xml:space="preserve"> flow cytometer and DIVA software (BD Bioscience). Quadrants were drawn based on the results of staining the same samples with isotype-matched non-reactive antibodies (from BD Biosciences). The percentage of viable CD45+ cells expressing the marker is shown.</w:t>
      </w:r>
      <w:r w:rsidRPr="0001264F">
        <w:rPr>
          <w:rFonts w:ascii="Arial" w:hAnsi="Arial" w:cs="Arial"/>
        </w:rPr>
        <w:br w:type="page"/>
      </w:r>
    </w:p>
    <w:p w14:paraId="283590E8" w14:textId="77777777" w:rsidR="0069522E" w:rsidRPr="0001264F" w:rsidRDefault="0069522E" w:rsidP="00930D01">
      <w:pPr>
        <w:pStyle w:val="EndNoteBibliography"/>
        <w:jc w:val="center"/>
        <w:rPr>
          <w:rFonts w:ascii="Arial" w:hAnsi="Arial" w:cs="Arial"/>
          <w:b/>
        </w:rPr>
        <w:sectPr w:rsidR="0069522E" w:rsidRPr="0001264F" w:rsidSect="00930D01">
          <w:pgSz w:w="16840" w:h="11900" w:orient="landscape"/>
          <w:pgMar w:top="1440" w:right="1440" w:bottom="1440" w:left="1440" w:header="720" w:footer="720" w:gutter="0"/>
          <w:cols w:space="720"/>
          <w:docGrid w:linePitch="400"/>
        </w:sectPr>
      </w:pPr>
    </w:p>
    <w:p w14:paraId="3B1A56D5" w14:textId="72C91B9F" w:rsidR="00930D01" w:rsidRPr="0001264F" w:rsidRDefault="00930D01" w:rsidP="00930D01">
      <w:pPr>
        <w:pStyle w:val="EndNoteBibliography"/>
        <w:jc w:val="center"/>
        <w:rPr>
          <w:rFonts w:ascii="Arial" w:hAnsi="Arial" w:cs="Arial"/>
          <w:b/>
        </w:rPr>
      </w:pPr>
      <w:r w:rsidRPr="0001264F">
        <w:rPr>
          <w:rFonts w:ascii="Arial" w:hAnsi="Arial" w:cs="Arial"/>
          <w:b/>
        </w:rPr>
        <w:lastRenderedPageBreak/>
        <w:t>REFERENCES</w:t>
      </w:r>
    </w:p>
    <w:p w14:paraId="23B981E5" w14:textId="77777777" w:rsidR="00930D01" w:rsidRPr="0001264F" w:rsidRDefault="00930D01" w:rsidP="002456CE">
      <w:pPr>
        <w:pStyle w:val="EndNoteBibliography"/>
        <w:rPr>
          <w:rFonts w:ascii="Arial" w:hAnsi="Arial" w:cs="Arial"/>
        </w:rPr>
      </w:pPr>
    </w:p>
    <w:p w14:paraId="3A05FD22" w14:textId="77777777" w:rsidR="00930D01" w:rsidRPr="0001264F" w:rsidRDefault="00930D01" w:rsidP="002456CE">
      <w:pPr>
        <w:pStyle w:val="EndNoteBibliography"/>
        <w:rPr>
          <w:rFonts w:ascii="Arial" w:hAnsi="Arial" w:cs="Arial"/>
        </w:rPr>
      </w:pPr>
    </w:p>
    <w:p w14:paraId="2D866A8B" w14:textId="1EB8FE71" w:rsidR="002456CE" w:rsidRPr="0001264F" w:rsidRDefault="000B4858" w:rsidP="00930D01">
      <w:pPr>
        <w:pStyle w:val="EndNoteBibliography"/>
        <w:jc w:val="left"/>
        <w:rPr>
          <w:rFonts w:ascii="Arial" w:hAnsi="Arial" w:cs="Arial"/>
          <w:noProof/>
        </w:rPr>
      </w:pPr>
      <w:r w:rsidRPr="0001264F">
        <w:rPr>
          <w:rFonts w:ascii="Arial" w:hAnsi="Arial" w:cs="Arial"/>
        </w:rPr>
        <w:fldChar w:fldCharType="begin"/>
      </w:r>
      <w:r w:rsidRPr="0001264F">
        <w:rPr>
          <w:rFonts w:ascii="Arial" w:hAnsi="Arial" w:cs="Arial"/>
        </w:rPr>
        <w:instrText xml:space="preserve"> ADDIN EN.REFLIST </w:instrText>
      </w:r>
      <w:r w:rsidRPr="0001264F">
        <w:rPr>
          <w:rFonts w:ascii="Arial" w:hAnsi="Arial" w:cs="Arial"/>
        </w:rPr>
        <w:fldChar w:fldCharType="separate"/>
      </w:r>
      <w:r w:rsidR="002456CE" w:rsidRPr="0001264F">
        <w:rPr>
          <w:rFonts w:ascii="Arial" w:hAnsi="Arial" w:cs="Arial"/>
          <w:noProof/>
        </w:rPr>
        <w:t>1.</w:t>
      </w:r>
      <w:r w:rsidR="002456CE" w:rsidRPr="0001264F">
        <w:rPr>
          <w:rFonts w:ascii="Arial" w:hAnsi="Arial" w:cs="Arial"/>
          <w:noProof/>
        </w:rPr>
        <w:tab/>
        <w:t xml:space="preserve">Imai C, Iwamoto S, Campana D. Genetic modification of primary natural killer cells overcomes inhibitory signals and induces specific killing of leukemic cells. </w:t>
      </w:r>
      <w:bookmarkStart w:id="0" w:name="_GoBack"/>
      <w:bookmarkEnd w:id="0"/>
      <w:r w:rsidR="002456CE" w:rsidRPr="0001264F">
        <w:rPr>
          <w:rFonts w:ascii="Arial" w:hAnsi="Arial" w:cs="Arial"/>
          <w:noProof/>
        </w:rPr>
        <w:t>Blood. 2005;106(1):376-83.</w:t>
      </w:r>
    </w:p>
    <w:p w14:paraId="3D64536E" w14:textId="77777777" w:rsidR="002456CE" w:rsidRPr="0001264F" w:rsidRDefault="002456CE" w:rsidP="00930D01">
      <w:pPr>
        <w:pStyle w:val="EndNoteBibliography"/>
        <w:jc w:val="left"/>
        <w:rPr>
          <w:rFonts w:ascii="Arial" w:hAnsi="Arial" w:cs="Arial"/>
          <w:noProof/>
        </w:rPr>
      </w:pPr>
      <w:r w:rsidRPr="0001264F">
        <w:rPr>
          <w:rFonts w:ascii="Arial" w:hAnsi="Arial" w:cs="Arial"/>
          <w:noProof/>
        </w:rPr>
        <w:t>2.</w:t>
      </w:r>
      <w:r w:rsidRPr="0001264F">
        <w:rPr>
          <w:rFonts w:ascii="Arial" w:hAnsi="Arial" w:cs="Arial"/>
          <w:noProof/>
        </w:rPr>
        <w:tab/>
        <w:t>Imamura M, Shook D, Kamiya T, Shimasaki N, Chai SM, Coustan-Smith E, et al. Autonomous growth and increased cytotoxicity of natural killer cells expressing membrane-bound interleukin-15. Blood. 2014;124(7):1081-8.</w:t>
      </w:r>
    </w:p>
    <w:p w14:paraId="6BE70412" w14:textId="1D686A3D" w:rsidR="008C4478" w:rsidRDefault="000B4858" w:rsidP="00930D01">
      <w:pPr>
        <w:jc w:val="left"/>
      </w:pPr>
      <w:r w:rsidRPr="0001264F">
        <w:rPr>
          <w:rFonts w:ascii="Arial" w:hAnsi="Arial" w:cs="Arial"/>
        </w:rPr>
        <w:fldChar w:fldCharType="end"/>
      </w:r>
    </w:p>
    <w:sectPr w:rsidR="008C4478" w:rsidSect="0069522E">
      <w:pgSz w:w="11900" w:h="16840"/>
      <w:pgMar w:top="1440" w:right="1440" w:bottom="1440" w:left="1440" w:header="720" w:footer="720" w:gutter="0"/>
      <w:cols w:space="720"/>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43E44" w16cid:durableId="224BC556"/>
  <w16cid:commentId w16cid:paraId="5EA9A0FF" w16cid:durableId="224BC4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398B5" w14:textId="77777777" w:rsidR="005C68CF" w:rsidRDefault="005C68CF" w:rsidP="00C0510D">
      <w:pPr>
        <w:spacing w:line="240" w:lineRule="auto"/>
      </w:pPr>
      <w:r>
        <w:separator/>
      </w:r>
    </w:p>
  </w:endnote>
  <w:endnote w:type="continuationSeparator" w:id="0">
    <w:p w14:paraId="63C4AF75" w14:textId="77777777" w:rsidR="005C68CF" w:rsidRDefault="005C68CF" w:rsidP="00C05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400688"/>
      <w:docPartObj>
        <w:docPartGallery w:val="Page Numbers (Bottom of Page)"/>
        <w:docPartUnique/>
      </w:docPartObj>
    </w:sdtPr>
    <w:sdtEndPr>
      <w:rPr>
        <w:rFonts w:ascii="Arial" w:hAnsi="Arial" w:cs="Arial"/>
        <w:noProof/>
      </w:rPr>
    </w:sdtEndPr>
    <w:sdtContent>
      <w:p w14:paraId="4EB545E7" w14:textId="2E944A6F" w:rsidR="00C0510D" w:rsidRPr="00C0510D" w:rsidRDefault="00C0510D">
        <w:pPr>
          <w:pStyle w:val="Footer"/>
          <w:jc w:val="center"/>
          <w:rPr>
            <w:rFonts w:ascii="Arial" w:hAnsi="Arial" w:cs="Arial"/>
          </w:rPr>
        </w:pPr>
        <w:r w:rsidRPr="00C0510D">
          <w:rPr>
            <w:rFonts w:ascii="Arial" w:hAnsi="Arial" w:cs="Arial"/>
          </w:rPr>
          <w:fldChar w:fldCharType="begin"/>
        </w:r>
        <w:r w:rsidRPr="00C0510D">
          <w:rPr>
            <w:rFonts w:ascii="Arial" w:hAnsi="Arial" w:cs="Arial"/>
          </w:rPr>
          <w:instrText xml:space="preserve"> PAGE   \* MERGEFORMAT </w:instrText>
        </w:r>
        <w:r w:rsidRPr="00C0510D">
          <w:rPr>
            <w:rFonts w:ascii="Arial" w:hAnsi="Arial" w:cs="Arial"/>
          </w:rPr>
          <w:fldChar w:fldCharType="separate"/>
        </w:r>
        <w:r w:rsidR="0001264F">
          <w:rPr>
            <w:rFonts w:ascii="Arial" w:hAnsi="Arial" w:cs="Arial"/>
            <w:noProof/>
          </w:rPr>
          <w:t>2</w:t>
        </w:r>
        <w:r w:rsidRPr="00C0510D">
          <w:rPr>
            <w:rFonts w:ascii="Arial" w:hAnsi="Arial" w:cs="Arial"/>
            <w:noProof/>
          </w:rPr>
          <w:fldChar w:fldCharType="end"/>
        </w:r>
      </w:p>
    </w:sdtContent>
  </w:sdt>
  <w:p w14:paraId="26065EBC" w14:textId="77777777" w:rsidR="00C0510D" w:rsidRDefault="00C05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D47C" w14:textId="77777777" w:rsidR="005C68CF" w:rsidRDefault="005C68CF" w:rsidP="00C0510D">
      <w:pPr>
        <w:spacing w:line="240" w:lineRule="auto"/>
      </w:pPr>
      <w:r>
        <w:separator/>
      </w:r>
    </w:p>
  </w:footnote>
  <w:footnote w:type="continuationSeparator" w:id="0">
    <w:p w14:paraId="79A937B0" w14:textId="77777777" w:rsidR="005C68CF" w:rsidRDefault="005C68CF" w:rsidP="00C051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zs2d0v1raz9qeaxxn5zvpt0tdwdeeeaasv&quot;&gt;My EndNote Library&lt;record-ids&gt;&lt;item&gt;587&lt;/item&gt;&lt;item&gt;618&lt;/item&gt;&lt;/record-ids&gt;&lt;/item&gt;&lt;/Libraries&gt;"/>
  </w:docVars>
  <w:rsids>
    <w:rsidRoot w:val="00554FDE"/>
    <w:rsid w:val="00005488"/>
    <w:rsid w:val="000061DF"/>
    <w:rsid w:val="000101DE"/>
    <w:rsid w:val="0001264F"/>
    <w:rsid w:val="0002037D"/>
    <w:rsid w:val="0002198F"/>
    <w:rsid w:val="000329B9"/>
    <w:rsid w:val="00032E66"/>
    <w:rsid w:val="000335EA"/>
    <w:rsid w:val="00056FB7"/>
    <w:rsid w:val="0006054B"/>
    <w:rsid w:val="000652A3"/>
    <w:rsid w:val="00070A31"/>
    <w:rsid w:val="00070FEC"/>
    <w:rsid w:val="000812F5"/>
    <w:rsid w:val="00086FB3"/>
    <w:rsid w:val="000B4858"/>
    <w:rsid w:val="000C4786"/>
    <w:rsid w:val="000F304D"/>
    <w:rsid w:val="00111608"/>
    <w:rsid w:val="0012051E"/>
    <w:rsid w:val="001229A9"/>
    <w:rsid w:val="00124708"/>
    <w:rsid w:val="00161ED5"/>
    <w:rsid w:val="00164967"/>
    <w:rsid w:val="0016561B"/>
    <w:rsid w:val="001877B1"/>
    <w:rsid w:val="001A2798"/>
    <w:rsid w:val="001B24F1"/>
    <w:rsid w:val="001B383F"/>
    <w:rsid w:val="001B6099"/>
    <w:rsid w:val="001B7445"/>
    <w:rsid w:val="001D4A86"/>
    <w:rsid w:val="001F3A57"/>
    <w:rsid w:val="00200EFD"/>
    <w:rsid w:val="00207010"/>
    <w:rsid w:val="00223CBC"/>
    <w:rsid w:val="00244146"/>
    <w:rsid w:val="002456CE"/>
    <w:rsid w:val="00253768"/>
    <w:rsid w:val="002606B8"/>
    <w:rsid w:val="00266F88"/>
    <w:rsid w:val="002C02B2"/>
    <w:rsid w:val="002C3C24"/>
    <w:rsid w:val="002C4CCE"/>
    <w:rsid w:val="002E2DAD"/>
    <w:rsid w:val="002E44EE"/>
    <w:rsid w:val="002E70AB"/>
    <w:rsid w:val="002F05A9"/>
    <w:rsid w:val="00315D12"/>
    <w:rsid w:val="00322926"/>
    <w:rsid w:val="003248E9"/>
    <w:rsid w:val="00334B09"/>
    <w:rsid w:val="003447E6"/>
    <w:rsid w:val="00345804"/>
    <w:rsid w:val="00364CAB"/>
    <w:rsid w:val="003B30C4"/>
    <w:rsid w:val="003C1130"/>
    <w:rsid w:val="003D0F81"/>
    <w:rsid w:val="003E6660"/>
    <w:rsid w:val="003F490B"/>
    <w:rsid w:val="00404338"/>
    <w:rsid w:val="004048A3"/>
    <w:rsid w:val="00416224"/>
    <w:rsid w:val="00417C6D"/>
    <w:rsid w:val="0044616C"/>
    <w:rsid w:val="00447225"/>
    <w:rsid w:val="0045535C"/>
    <w:rsid w:val="00464460"/>
    <w:rsid w:val="004835F4"/>
    <w:rsid w:val="00497F93"/>
    <w:rsid w:val="004C387B"/>
    <w:rsid w:val="004E1B11"/>
    <w:rsid w:val="004E1DA9"/>
    <w:rsid w:val="00502980"/>
    <w:rsid w:val="00505ECE"/>
    <w:rsid w:val="00506B3E"/>
    <w:rsid w:val="00530DAB"/>
    <w:rsid w:val="00541635"/>
    <w:rsid w:val="0054374B"/>
    <w:rsid w:val="00543956"/>
    <w:rsid w:val="00554FDE"/>
    <w:rsid w:val="00577850"/>
    <w:rsid w:val="00580B56"/>
    <w:rsid w:val="00597B20"/>
    <w:rsid w:val="005C68CF"/>
    <w:rsid w:val="005C714E"/>
    <w:rsid w:val="005F41A6"/>
    <w:rsid w:val="00605A14"/>
    <w:rsid w:val="006424B5"/>
    <w:rsid w:val="006448EF"/>
    <w:rsid w:val="00644ACC"/>
    <w:rsid w:val="00650A35"/>
    <w:rsid w:val="00661C54"/>
    <w:rsid w:val="006629C9"/>
    <w:rsid w:val="006671FA"/>
    <w:rsid w:val="00667C61"/>
    <w:rsid w:val="00673168"/>
    <w:rsid w:val="00682FC6"/>
    <w:rsid w:val="00683262"/>
    <w:rsid w:val="00693166"/>
    <w:rsid w:val="0069522E"/>
    <w:rsid w:val="006A2FAB"/>
    <w:rsid w:val="006A7382"/>
    <w:rsid w:val="006B178F"/>
    <w:rsid w:val="006B6D61"/>
    <w:rsid w:val="006C1D66"/>
    <w:rsid w:val="006C7B02"/>
    <w:rsid w:val="006E6676"/>
    <w:rsid w:val="006F1D78"/>
    <w:rsid w:val="006F2947"/>
    <w:rsid w:val="006F47F3"/>
    <w:rsid w:val="007015E1"/>
    <w:rsid w:val="007268BD"/>
    <w:rsid w:val="00746BA8"/>
    <w:rsid w:val="00747D74"/>
    <w:rsid w:val="00753A63"/>
    <w:rsid w:val="007541FF"/>
    <w:rsid w:val="007630A5"/>
    <w:rsid w:val="00771EFA"/>
    <w:rsid w:val="00776574"/>
    <w:rsid w:val="007870A4"/>
    <w:rsid w:val="0079695A"/>
    <w:rsid w:val="007A050E"/>
    <w:rsid w:val="007A1308"/>
    <w:rsid w:val="007C0B5D"/>
    <w:rsid w:val="007E3967"/>
    <w:rsid w:val="007E5E96"/>
    <w:rsid w:val="007F3CFE"/>
    <w:rsid w:val="008102DD"/>
    <w:rsid w:val="00825FF2"/>
    <w:rsid w:val="00836886"/>
    <w:rsid w:val="008777C7"/>
    <w:rsid w:val="00893219"/>
    <w:rsid w:val="008B2479"/>
    <w:rsid w:val="008B2AD1"/>
    <w:rsid w:val="008B5A5C"/>
    <w:rsid w:val="008C4478"/>
    <w:rsid w:val="0091182E"/>
    <w:rsid w:val="00930D01"/>
    <w:rsid w:val="00942C61"/>
    <w:rsid w:val="009610BF"/>
    <w:rsid w:val="00973F92"/>
    <w:rsid w:val="00987AB2"/>
    <w:rsid w:val="00993750"/>
    <w:rsid w:val="009B34B5"/>
    <w:rsid w:val="009D214A"/>
    <w:rsid w:val="009D7491"/>
    <w:rsid w:val="009E3AC1"/>
    <w:rsid w:val="009F69D7"/>
    <w:rsid w:val="00A01DAF"/>
    <w:rsid w:val="00A07856"/>
    <w:rsid w:val="00A549DB"/>
    <w:rsid w:val="00A57FD4"/>
    <w:rsid w:val="00A95A54"/>
    <w:rsid w:val="00AC348F"/>
    <w:rsid w:val="00AC675A"/>
    <w:rsid w:val="00AC7822"/>
    <w:rsid w:val="00AD6C55"/>
    <w:rsid w:val="00AF2CE4"/>
    <w:rsid w:val="00B055D5"/>
    <w:rsid w:val="00B25B96"/>
    <w:rsid w:val="00B35F23"/>
    <w:rsid w:val="00B449F8"/>
    <w:rsid w:val="00B53497"/>
    <w:rsid w:val="00B7130E"/>
    <w:rsid w:val="00B76285"/>
    <w:rsid w:val="00B8683E"/>
    <w:rsid w:val="00B90750"/>
    <w:rsid w:val="00B93C50"/>
    <w:rsid w:val="00BA57DA"/>
    <w:rsid w:val="00BA781E"/>
    <w:rsid w:val="00BB75A8"/>
    <w:rsid w:val="00BD1B3C"/>
    <w:rsid w:val="00BD5484"/>
    <w:rsid w:val="00BE1219"/>
    <w:rsid w:val="00BE6A2F"/>
    <w:rsid w:val="00C0510D"/>
    <w:rsid w:val="00C11E99"/>
    <w:rsid w:val="00C26490"/>
    <w:rsid w:val="00C4377C"/>
    <w:rsid w:val="00C57C62"/>
    <w:rsid w:val="00C7036F"/>
    <w:rsid w:val="00C7441F"/>
    <w:rsid w:val="00C86E87"/>
    <w:rsid w:val="00C93FD3"/>
    <w:rsid w:val="00C973BA"/>
    <w:rsid w:val="00C97A80"/>
    <w:rsid w:val="00CC0546"/>
    <w:rsid w:val="00CE261A"/>
    <w:rsid w:val="00CE6BDE"/>
    <w:rsid w:val="00D022CF"/>
    <w:rsid w:val="00D22887"/>
    <w:rsid w:val="00D340FD"/>
    <w:rsid w:val="00D54681"/>
    <w:rsid w:val="00D607CD"/>
    <w:rsid w:val="00D61140"/>
    <w:rsid w:val="00D65B19"/>
    <w:rsid w:val="00D925AE"/>
    <w:rsid w:val="00D93101"/>
    <w:rsid w:val="00DB1ADF"/>
    <w:rsid w:val="00DB2525"/>
    <w:rsid w:val="00DC1CD4"/>
    <w:rsid w:val="00DC6899"/>
    <w:rsid w:val="00DD17DD"/>
    <w:rsid w:val="00DD2720"/>
    <w:rsid w:val="00DD3EDD"/>
    <w:rsid w:val="00DD76DA"/>
    <w:rsid w:val="00DF1519"/>
    <w:rsid w:val="00DF6E60"/>
    <w:rsid w:val="00DF776F"/>
    <w:rsid w:val="00E04F17"/>
    <w:rsid w:val="00E063E0"/>
    <w:rsid w:val="00E109CB"/>
    <w:rsid w:val="00E272D0"/>
    <w:rsid w:val="00E6799D"/>
    <w:rsid w:val="00E753F2"/>
    <w:rsid w:val="00E85B91"/>
    <w:rsid w:val="00E90E95"/>
    <w:rsid w:val="00E94D91"/>
    <w:rsid w:val="00EA4DB0"/>
    <w:rsid w:val="00EC3D8D"/>
    <w:rsid w:val="00EC6C50"/>
    <w:rsid w:val="00EE00DF"/>
    <w:rsid w:val="00EF23FE"/>
    <w:rsid w:val="00EF79C1"/>
    <w:rsid w:val="00F002D6"/>
    <w:rsid w:val="00F10455"/>
    <w:rsid w:val="00F165D2"/>
    <w:rsid w:val="00F245B1"/>
    <w:rsid w:val="00F30A96"/>
    <w:rsid w:val="00F31813"/>
    <w:rsid w:val="00F61356"/>
    <w:rsid w:val="00F7449C"/>
    <w:rsid w:val="00F74C0C"/>
    <w:rsid w:val="00F77E22"/>
    <w:rsid w:val="00F829A6"/>
    <w:rsid w:val="00F83946"/>
    <w:rsid w:val="00FC48D0"/>
    <w:rsid w:val="00FC52E5"/>
    <w:rsid w:val="00FC733F"/>
    <w:rsid w:val="00FD10B6"/>
    <w:rsid w:val="00FD5287"/>
    <w:rsid w:val="00FF4C2E"/>
    <w:rsid w:val="00FF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F7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DE"/>
    <w:pPr>
      <w:spacing w:line="360" w:lineRule="auto"/>
      <w:jc w:val="both"/>
    </w:pPr>
    <w:rPr>
      <w:rFonts w:ascii="Cambria" w:eastAsia="MS Mincho" w:hAnsi="Cambria"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54FDE"/>
    <w:pPr>
      <w:spacing w:line="240" w:lineRule="auto"/>
    </w:pPr>
  </w:style>
  <w:style w:type="table" w:styleId="TableGrid">
    <w:name w:val="Table Grid"/>
    <w:basedOn w:val="TableNormal"/>
    <w:uiPriority w:val="39"/>
    <w:rsid w:val="00554FDE"/>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rsid w:val="00554FDE"/>
    <w:rPr>
      <w:rFonts w:ascii="Cambria" w:eastAsia="MS Mincho" w:hAnsi="Cambria" w:cs="Times New Roman"/>
      <w:lang w:val="en-GB" w:eastAsia="ja-JP"/>
    </w:rPr>
  </w:style>
  <w:style w:type="paragraph" w:styleId="BalloonText">
    <w:name w:val="Balloon Text"/>
    <w:basedOn w:val="Normal"/>
    <w:link w:val="BalloonTextChar"/>
    <w:uiPriority w:val="99"/>
    <w:semiHidden/>
    <w:unhideWhenUsed/>
    <w:rsid w:val="00497F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93"/>
    <w:rPr>
      <w:rFonts w:ascii="Segoe UI" w:eastAsia="MS Mincho" w:hAnsi="Segoe UI" w:cs="Segoe UI"/>
      <w:sz w:val="18"/>
      <w:szCs w:val="18"/>
      <w:lang w:val="en-GB" w:eastAsia="ja-JP"/>
    </w:rPr>
  </w:style>
  <w:style w:type="character" w:styleId="CommentReference">
    <w:name w:val="annotation reference"/>
    <w:basedOn w:val="DefaultParagraphFont"/>
    <w:uiPriority w:val="99"/>
    <w:semiHidden/>
    <w:unhideWhenUsed/>
    <w:rsid w:val="00EC3D8D"/>
    <w:rPr>
      <w:sz w:val="16"/>
      <w:szCs w:val="16"/>
    </w:rPr>
  </w:style>
  <w:style w:type="paragraph" w:styleId="CommentText">
    <w:name w:val="annotation text"/>
    <w:basedOn w:val="Normal"/>
    <w:link w:val="CommentTextChar"/>
    <w:uiPriority w:val="99"/>
    <w:semiHidden/>
    <w:unhideWhenUsed/>
    <w:rsid w:val="00EC3D8D"/>
    <w:pPr>
      <w:spacing w:line="240" w:lineRule="auto"/>
    </w:pPr>
    <w:rPr>
      <w:sz w:val="20"/>
      <w:szCs w:val="20"/>
    </w:rPr>
  </w:style>
  <w:style w:type="character" w:customStyle="1" w:styleId="CommentTextChar">
    <w:name w:val="Comment Text Char"/>
    <w:basedOn w:val="DefaultParagraphFont"/>
    <w:link w:val="CommentText"/>
    <w:uiPriority w:val="99"/>
    <w:semiHidden/>
    <w:rsid w:val="00EC3D8D"/>
    <w:rPr>
      <w:rFonts w:ascii="Cambria" w:eastAsia="MS Mincho" w:hAnsi="Cambri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EC3D8D"/>
    <w:rPr>
      <w:b/>
      <w:bCs/>
    </w:rPr>
  </w:style>
  <w:style w:type="character" w:customStyle="1" w:styleId="CommentSubjectChar">
    <w:name w:val="Comment Subject Char"/>
    <w:basedOn w:val="CommentTextChar"/>
    <w:link w:val="CommentSubject"/>
    <w:uiPriority w:val="99"/>
    <w:semiHidden/>
    <w:rsid w:val="00EC3D8D"/>
    <w:rPr>
      <w:rFonts w:ascii="Cambria" w:eastAsia="MS Mincho" w:hAnsi="Cambria" w:cs="Times New Roman"/>
      <w:b/>
      <w:bCs/>
      <w:sz w:val="20"/>
      <w:szCs w:val="20"/>
      <w:lang w:val="en-GB" w:eastAsia="ja-JP"/>
    </w:rPr>
  </w:style>
  <w:style w:type="paragraph" w:styleId="Revision">
    <w:name w:val="Revision"/>
    <w:hidden/>
    <w:uiPriority w:val="99"/>
    <w:semiHidden/>
    <w:rsid w:val="00825FF2"/>
    <w:rPr>
      <w:rFonts w:ascii="Cambria" w:eastAsia="MS Mincho" w:hAnsi="Cambria" w:cs="Times New Roman"/>
      <w:lang w:val="en-GB" w:eastAsia="ja-JP"/>
    </w:rPr>
  </w:style>
  <w:style w:type="paragraph" w:customStyle="1" w:styleId="EndNoteBibliographyTitle">
    <w:name w:val="EndNote Bibliography Title"/>
    <w:basedOn w:val="Normal"/>
    <w:rsid w:val="000B4858"/>
    <w:pPr>
      <w:jc w:val="center"/>
    </w:pPr>
  </w:style>
  <w:style w:type="paragraph" w:styleId="BodyText">
    <w:name w:val="Body Text"/>
    <w:basedOn w:val="Normal"/>
    <w:link w:val="BodyTextChar"/>
    <w:uiPriority w:val="1"/>
    <w:qFormat/>
    <w:rsid w:val="00CE6BDE"/>
    <w:pPr>
      <w:widowControl w:val="0"/>
      <w:spacing w:line="240" w:lineRule="auto"/>
      <w:ind w:left="109"/>
      <w:jc w:val="left"/>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CE6BDE"/>
    <w:rPr>
      <w:rFonts w:ascii="Arial" w:eastAsia="Arial" w:hAnsi="Arial"/>
      <w:lang w:eastAsia="en-US"/>
    </w:rPr>
  </w:style>
  <w:style w:type="paragraph" w:styleId="Header">
    <w:name w:val="header"/>
    <w:basedOn w:val="Normal"/>
    <w:link w:val="HeaderChar"/>
    <w:uiPriority w:val="99"/>
    <w:unhideWhenUsed/>
    <w:rsid w:val="00C0510D"/>
    <w:pPr>
      <w:tabs>
        <w:tab w:val="center" w:pos="4680"/>
        <w:tab w:val="right" w:pos="9360"/>
      </w:tabs>
      <w:spacing w:line="240" w:lineRule="auto"/>
    </w:pPr>
  </w:style>
  <w:style w:type="character" w:customStyle="1" w:styleId="HeaderChar">
    <w:name w:val="Header Char"/>
    <w:basedOn w:val="DefaultParagraphFont"/>
    <w:link w:val="Header"/>
    <w:uiPriority w:val="99"/>
    <w:rsid w:val="00C0510D"/>
    <w:rPr>
      <w:rFonts w:ascii="Cambria" w:eastAsia="MS Mincho" w:hAnsi="Cambria" w:cs="Times New Roman"/>
      <w:lang w:val="en-GB" w:eastAsia="ja-JP"/>
    </w:rPr>
  </w:style>
  <w:style w:type="paragraph" w:styleId="Footer">
    <w:name w:val="footer"/>
    <w:basedOn w:val="Normal"/>
    <w:link w:val="FooterChar"/>
    <w:uiPriority w:val="99"/>
    <w:unhideWhenUsed/>
    <w:rsid w:val="00C0510D"/>
    <w:pPr>
      <w:tabs>
        <w:tab w:val="center" w:pos="4680"/>
        <w:tab w:val="right" w:pos="9360"/>
      </w:tabs>
      <w:spacing w:line="240" w:lineRule="auto"/>
    </w:pPr>
  </w:style>
  <w:style w:type="character" w:customStyle="1" w:styleId="FooterChar">
    <w:name w:val="Footer Char"/>
    <w:basedOn w:val="DefaultParagraphFont"/>
    <w:link w:val="Footer"/>
    <w:uiPriority w:val="99"/>
    <w:rsid w:val="00C0510D"/>
    <w:rPr>
      <w:rFonts w:ascii="Cambria" w:eastAsia="MS Mincho" w:hAnsi="Cambria"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3C5B-032B-43B7-B7F9-D072E055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Joline Lim</dc:creator>
  <cp:keywords/>
  <dc:description/>
  <cp:lastModifiedBy>admin</cp:lastModifiedBy>
  <cp:revision>3</cp:revision>
  <dcterms:created xsi:type="dcterms:W3CDTF">2020-04-28T09:14:00Z</dcterms:created>
  <dcterms:modified xsi:type="dcterms:W3CDTF">2020-04-28T09:14:00Z</dcterms:modified>
</cp:coreProperties>
</file>