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EB58" w14:textId="4443B4BC" w:rsidR="00696BCD" w:rsidRPr="00AD6EA0" w:rsidRDefault="00696BCD" w:rsidP="00AD6E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6EA0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EB730A" w:rsidRPr="00AD6EA0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AD6EA0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EB730A" w:rsidRPr="00AD6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E7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B24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6E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6EA0">
        <w:rPr>
          <w:rFonts w:ascii="Times New Roman" w:hAnsi="Times New Roman" w:cs="Times New Roman"/>
          <w:sz w:val="24"/>
          <w:szCs w:val="24"/>
        </w:rPr>
        <w:t xml:space="preserve"> </w:t>
      </w:r>
      <w:r w:rsidRPr="00AD6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Lymphodepletion </w:t>
      </w:r>
      <w:r w:rsidR="00577984" w:rsidRPr="00AD6E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D6EA0">
        <w:rPr>
          <w:rFonts w:ascii="Times New Roman" w:eastAsia="Times New Roman" w:hAnsi="Times New Roman" w:cs="Times New Roman"/>
          <w:color w:val="000000"/>
          <w:sz w:val="24"/>
          <w:szCs w:val="24"/>
        </w:rPr>
        <w:t>egimen</w:t>
      </w:r>
      <w:r w:rsidR="00B204C9">
        <w:rPr>
          <w:rFonts w:ascii="Times New Roman" w:eastAsia="Times New Roman" w:hAnsi="Times New Roman" w:cs="Times New Roman"/>
          <w:color w:val="000000"/>
          <w:sz w:val="24"/>
          <w:szCs w:val="24"/>
        </w:rPr>
        <w:t>s received by the HCC patients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38"/>
        <w:gridCol w:w="1270"/>
        <w:gridCol w:w="1390"/>
        <w:gridCol w:w="1746"/>
        <w:gridCol w:w="1402"/>
      </w:tblGrid>
      <w:tr w:rsidR="00623A7C" w:rsidRPr="0039494A" w14:paraId="79B1F520" w14:textId="77777777" w:rsidTr="0039494A">
        <w:trPr>
          <w:trHeight w:val="564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443F4E" w14:textId="1A021938" w:rsidR="00623A7C" w:rsidRPr="0039494A" w:rsidRDefault="009A5C0B" w:rsidP="00B204C9">
            <w:pPr>
              <w:spacing w:before="20" w:after="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</w:t>
            </w:r>
            <w:r w:rsidR="00B90012"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3D80F5" w14:textId="3FB2B173" w:rsidR="00623A7C" w:rsidRPr="0039494A" w:rsidRDefault="00623A7C" w:rsidP="00AD6EA0">
            <w:pPr>
              <w:spacing w:before="20" w:after="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0012"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</w:t>
            </w: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ycle</w:t>
            </w:r>
            <w:r w:rsidR="00B90012"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8906F3" w14:textId="77777777" w:rsidR="00623A7C" w:rsidRPr="0039494A" w:rsidRDefault="00623A7C" w:rsidP="00AD6EA0">
            <w:pPr>
              <w:spacing w:before="20" w:after="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Drug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DC9135" w14:textId="77777777" w:rsidR="00623A7C" w:rsidRPr="0039494A" w:rsidRDefault="00623A7C" w:rsidP="00AD6EA0">
            <w:pPr>
              <w:spacing w:before="20" w:after="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Dose (mg/day)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8ABCE" w14:textId="025E5500" w:rsidR="00623A7C" w:rsidRPr="0039494A" w:rsidRDefault="00623A7C" w:rsidP="00AD6EA0">
            <w:pPr>
              <w:spacing w:before="20" w:after="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Dose</w:t>
            </w:r>
            <w:r w:rsidR="00EC3EDD" w:rsidRPr="003949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="00EC3EDD"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(mg/kg/day)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BA4E6" w14:textId="1BDEAF58" w:rsidR="00623A7C" w:rsidRPr="0039494A" w:rsidRDefault="00623A7C" w:rsidP="00AD6EA0">
            <w:pPr>
              <w:spacing w:before="20" w:after="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 (day</w:t>
            </w:r>
            <w:r w:rsidR="00EC3EDD"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394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23A7C" w:rsidRPr="0039494A" w14:paraId="39131F8C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14:paraId="3B15CA35" w14:textId="77777777" w:rsidR="00623A7C" w:rsidRPr="00237273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4DFB1737" w14:textId="77777777" w:rsidR="00623A7C" w:rsidRPr="00237273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34B66928" w14:textId="67E7EA1F" w:rsidR="00623A7C" w:rsidRPr="00237273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54ECE4A5" w14:textId="37DB5EBC" w:rsidR="00623A7C" w:rsidRPr="00237273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3B40"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63F267" w14:textId="0DFC84D3" w:rsidR="00623A7C" w:rsidRPr="00237273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40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F0C61DD" w14:textId="4493DBCC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A7C" w:rsidRPr="0039494A" w14:paraId="7C250BE2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2DAE038B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14:paraId="07CAC27E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hideMark/>
          </w:tcPr>
          <w:p w14:paraId="08940AD5" w14:textId="470D88E5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auto"/>
            <w:hideMark/>
          </w:tcPr>
          <w:p w14:paraId="3270438E" w14:textId="75CE13C8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3B40"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6" w:type="dxa"/>
          </w:tcPr>
          <w:p w14:paraId="428BD522" w14:textId="2B80520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17DC5E94" w14:textId="50575CB1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381C7AA9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3445DF2E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hideMark/>
          </w:tcPr>
          <w:p w14:paraId="778FA7C6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5D243C62" w14:textId="38C020E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auto"/>
            <w:hideMark/>
          </w:tcPr>
          <w:p w14:paraId="522D5358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6" w:type="dxa"/>
          </w:tcPr>
          <w:p w14:paraId="7F2C0C04" w14:textId="74D83D18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2FE32558" w14:textId="097C433C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3A7C" w:rsidRPr="0039494A" w14:paraId="15C4B628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379A6921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338" w:type="dxa"/>
            <w:vMerge w:val="restart"/>
            <w:shd w:val="clear" w:color="auto" w:fill="F2F2F2" w:themeFill="background1" w:themeFillShade="F2"/>
            <w:hideMark/>
          </w:tcPr>
          <w:p w14:paraId="39BFF89F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14B1B93E" w14:textId="3DBBA645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011C2BF6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457D685E" w14:textId="26ACBE6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30CF24D4" w14:textId="57D5F0A2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5FA9BCAB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368CD30B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2F2F2" w:themeFill="background1" w:themeFillShade="F2"/>
            <w:hideMark/>
          </w:tcPr>
          <w:p w14:paraId="53891929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4D97190E" w14:textId="41292A3C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38A8FBCA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31C54A4C" w14:textId="4C11327C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45D035B8" w14:textId="7719BF1A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549E" w:rsidRPr="0039494A" w14:paraId="38A44D3A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0DB7CA62" w14:textId="542A3A37" w:rsidR="0055549E" w:rsidRPr="0039494A" w:rsidRDefault="0055549E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14:paraId="5EDBD868" w14:textId="77777777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hideMark/>
          </w:tcPr>
          <w:p w14:paraId="330A0093" w14:textId="6346240D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auto"/>
            <w:hideMark/>
          </w:tcPr>
          <w:p w14:paraId="21C4C55F" w14:textId="7DD9D66A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46" w:type="dxa"/>
          </w:tcPr>
          <w:p w14:paraId="7C471EAC" w14:textId="4ACA9A4F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14D4894F" w14:textId="78C01734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549E" w:rsidRPr="0039494A" w14:paraId="3278CFA1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shd w:val="clear" w:color="auto" w:fill="auto"/>
            <w:hideMark/>
          </w:tcPr>
          <w:p w14:paraId="12338663" w14:textId="77777777" w:rsidR="0055549E" w:rsidRPr="0039494A" w:rsidRDefault="0055549E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hideMark/>
          </w:tcPr>
          <w:p w14:paraId="5DB72F0C" w14:textId="77777777" w:rsidR="0055549E" w:rsidRPr="0039494A" w:rsidRDefault="0055549E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5794CA35" w14:textId="38A483A8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auto"/>
            <w:hideMark/>
          </w:tcPr>
          <w:p w14:paraId="021E2DD9" w14:textId="77777777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6" w:type="dxa"/>
          </w:tcPr>
          <w:p w14:paraId="2F7E3A9E" w14:textId="598EABAE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5AD18219" w14:textId="484A434D" w:rsidR="0055549E" w:rsidRPr="0039494A" w:rsidRDefault="0055549E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A7C" w:rsidRPr="0039494A" w14:paraId="250397B9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1F877DDE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1338" w:type="dxa"/>
            <w:vMerge w:val="restart"/>
            <w:shd w:val="clear" w:color="auto" w:fill="F2F2F2" w:themeFill="background1" w:themeFillShade="F2"/>
            <w:hideMark/>
          </w:tcPr>
          <w:p w14:paraId="2BF47CED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5D694A51" w14:textId="5E2AA759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2B54E470" w14:textId="0AA97E55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3B40"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6D121CCE" w14:textId="0A536918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72CC5C73" w14:textId="18AAD74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A7C" w:rsidRPr="0039494A" w14:paraId="4747040E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15E05612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2F2F2" w:themeFill="background1" w:themeFillShade="F2"/>
            <w:hideMark/>
          </w:tcPr>
          <w:p w14:paraId="5A52BD6A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33397349" w14:textId="2562DB8C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3E0880F3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5E64A559" w14:textId="3CF36E59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6747C46A" w14:textId="6AE7EC64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A7C" w:rsidRPr="0039494A" w14:paraId="01973990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0A7355FF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14:paraId="05B6C100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hideMark/>
          </w:tcPr>
          <w:p w14:paraId="4F16DAAA" w14:textId="5C8D5802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auto"/>
            <w:hideMark/>
          </w:tcPr>
          <w:p w14:paraId="3ACF9868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46" w:type="dxa"/>
          </w:tcPr>
          <w:p w14:paraId="5E36D384" w14:textId="61DD21C0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49168FCB" w14:textId="56282C42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3F38E6DD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2188027C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hideMark/>
          </w:tcPr>
          <w:p w14:paraId="79D41939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58D8A4AB" w14:textId="1217747A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auto"/>
            <w:hideMark/>
          </w:tcPr>
          <w:p w14:paraId="0A320738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6" w:type="dxa"/>
          </w:tcPr>
          <w:p w14:paraId="2E429F78" w14:textId="7B649F48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3C4BB3AE" w14:textId="785D4C3C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3A7C" w:rsidRPr="0039494A" w14:paraId="272A5255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04FD7F29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1338" w:type="dxa"/>
            <w:vMerge w:val="restart"/>
            <w:shd w:val="clear" w:color="auto" w:fill="F2F2F2" w:themeFill="background1" w:themeFillShade="F2"/>
          </w:tcPr>
          <w:p w14:paraId="0C03F754" w14:textId="21BE228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0F34042C" w14:textId="28DC26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5990B75E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2BE5A8E5" w14:textId="5E3F99DF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1FD77182" w14:textId="4CEC9A3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7673CB77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1DA55302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2F2F2" w:themeFill="background1" w:themeFillShade="F2"/>
            <w:hideMark/>
          </w:tcPr>
          <w:p w14:paraId="6A6E3C2E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2207A35A" w14:textId="79D1F050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1A128A17" w14:textId="5936EEC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548772A2" w14:textId="48FEDEA5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54485864" w14:textId="248D1C6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4FDF9767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53519DF3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14:paraId="7D2547B8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hideMark/>
          </w:tcPr>
          <w:p w14:paraId="1A3D52E2" w14:textId="05FD1CA2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auto"/>
            <w:hideMark/>
          </w:tcPr>
          <w:p w14:paraId="3DA17773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46" w:type="dxa"/>
          </w:tcPr>
          <w:p w14:paraId="685EDD85" w14:textId="74B04996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76705E53" w14:textId="2437B278" w:rsidR="00623A7C" w:rsidRPr="0039494A" w:rsidRDefault="00282E2F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3A7C" w:rsidRPr="0039494A" w14:paraId="47A26C33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4FC030FF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hideMark/>
          </w:tcPr>
          <w:p w14:paraId="1B2473AA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6076101B" w14:textId="6CB75768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auto"/>
            <w:hideMark/>
          </w:tcPr>
          <w:p w14:paraId="2C54C35C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6" w:type="dxa"/>
          </w:tcPr>
          <w:p w14:paraId="3460E568" w14:textId="2A04040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4AD77B4F" w14:textId="1A651EF2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F13" w:rsidRPr="0039494A" w14:paraId="433A4360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</w:tcPr>
          <w:p w14:paraId="79B7C8EA" w14:textId="649F613F" w:rsidR="00064F13" w:rsidRPr="00237273" w:rsidRDefault="00064F13" w:rsidP="00064F13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22155"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8" w:type="dxa"/>
            <w:vMerge w:val="restart"/>
            <w:shd w:val="clear" w:color="auto" w:fill="F2F2F2" w:themeFill="background1" w:themeFillShade="F2"/>
          </w:tcPr>
          <w:p w14:paraId="1AA3A462" w14:textId="5CC75397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12E60252" w14:textId="6D2DAA58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1CF3B88B" w14:textId="0BECF459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4CFB5B2D" w14:textId="1C66AFE9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</w:tcPr>
          <w:p w14:paraId="61E5AD67" w14:textId="2A772C40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F13" w:rsidRPr="0039494A" w14:paraId="34A54FA6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shd w:val="clear" w:color="auto" w:fill="auto"/>
          </w:tcPr>
          <w:p w14:paraId="1A57EAD6" w14:textId="77777777" w:rsidR="00064F13" w:rsidRPr="00237273" w:rsidRDefault="00064F13" w:rsidP="00064F13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2F2F2" w:themeFill="background1" w:themeFillShade="F2"/>
          </w:tcPr>
          <w:p w14:paraId="39D8C293" w14:textId="77777777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4BAD4909" w14:textId="38E96C57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51D7AA9F" w14:textId="6DEE1E51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59B9731F" w14:textId="630E0C06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</w:tcPr>
          <w:p w14:paraId="3A82528A" w14:textId="2CF03319" w:rsidR="00064F13" w:rsidRPr="0039494A" w:rsidRDefault="00064F13" w:rsidP="00064F13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A7C" w:rsidRPr="0039494A" w14:paraId="73B356E6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3D1DCCF3" w14:textId="51196910" w:rsidR="00623A7C" w:rsidRPr="00237273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22155"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14:paraId="3B4C59C0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hideMark/>
          </w:tcPr>
          <w:p w14:paraId="7B1BDB8F" w14:textId="50A11ACE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auto"/>
            <w:hideMark/>
          </w:tcPr>
          <w:p w14:paraId="76C301B8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46" w:type="dxa"/>
            <w:shd w:val="clear" w:color="auto" w:fill="auto"/>
          </w:tcPr>
          <w:p w14:paraId="325F76B1" w14:textId="771BD9E8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3225EAF4" w14:textId="044DA92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A7C" w:rsidRPr="0039494A" w14:paraId="12D9E64C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4219A19A" w14:textId="77777777" w:rsidR="00623A7C" w:rsidRPr="00226D77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hideMark/>
          </w:tcPr>
          <w:p w14:paraId="6C596816" w14:textId="77777777" w:rsidR="00623A7C" w:rsidRPr="0039494A" w:rsidRDefault="00623A7C" w:rsidP="0055549E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3CFAF759" w14:textId="1C2A7EF8" w:rsidR="00623A7C" w:rsidRPr="0039494A" w:rsidRDefault="00623A7C" w:rsidP="0055549E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auto"/>
            <w:hideMark/>
          </w:tcPr>
          <w:p w14:paraId="02EFE5C8" w14:textId="77777777" w:rsidR="00623A7C" w:rsidRPr="0039494A" w:rsidRDefault="00623A7C" w:rsidP="0055549E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6" w:type="dxa"/>
            <w:shd w:val="clear" w:color="auto" w:fill="auto"/>
          </w:tcPr>
          <w:p w14:paraId="60364DD2" w14:textId="0283972A" w:rsidR="00623A7C" w:rsidRPr="0039494A" w:rsidRDefault="00623A7C" w:rsidP="0055549E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484ED1F8" w14:textId="13593441" w:rsidR="00623A7C" w:rsidRPr="0039494A" w:rsidRDefault="00623A7C" w:rsidP="0055549E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A7C" w:rsidRPr="0039494A" w14:paraId="44286601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4C64BBDD" w14:textId="7D0303FD" w:rsidR="00623A7C" w:rsidRPr="00237273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P1</w:t>
            </w:r>
            <w:r w:rsidR="00B22155"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vMerge w:val="restart"/>
            <w:shd w:val="clear" w:color="auto" w:fill="F2F2F2" w:themeFill="background1" w:themeFillShade="F2"/>
            <w:hideMark/>
          </w:tcPr>
          <w:p w14:paraId="4F87E759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2BC327E9" w14:textId="2555BE65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78DEE2AB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23CA378A" w14:textId="0D4ADFB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19AAAFD6" w14:textId="1E545193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07734223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</w:tcBorders>
            <w:hideMark/>
          </w:tcPr>
          <w:p w14:paraId="5CDE1638" w14:textId="77777777" w:rsidR="00623A7C" w:rsidRPr="00237273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F2F2F2" w:themeFill="background1" w:themeFillShade="F2"/>
            <w:hideMark/>
          </w:tcPr>
          <w:p w14:paraId="4F0744B9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hideMark/>
          </w:tcPr>
          <w:p w14:paraId="64E45A00" w14:textId="7A3AD95C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shd w:val="clear" w:color="auto" w:fill="F2F2F2" w:themeFill="background1" w:themeFillShade="F2"/>
            <w:hideMark/>
          </w:tcPr>
          <w:p w14:paraId="275DA850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5C5A6CAE" w14:textId="0C75C8A1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4F0ED7A2" w14:textId="1FC17962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A7C" w:rsidRPr="0039494A" w14:paraId="71CD8A04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6BBCFBD9" w14:textId="25D86A34" w:rsidR="00623A7C" w:rsidRPr="00237273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  <w:r w:rsidR="00B22155"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14:paraId="4C16AA71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hideMark/>
          </w:tcPr>
          <w:p w14:paraId="1C959F93" w14:textId="3EB1A60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shd w:val="clear" w:color="auto" w:fill="auto"/>
            <w:hideMark/>
          </w:tcPr>
          <w:p w14:paraId="33177ACF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46" w:type="dxa"/>
            <w:shd w:val="clear" w:color="auto" w:fill="auto"/>
          </w:tcPr>
          <w:p w14:paraId="1C5A3883" w14:textId="1D9E7BB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402" w:type="dxa"/>
            <w:tcBorders>
              <w:right w:val="nil"/>
            </w:tcBorders>
            <w:shd w:val="clear" w:color="auto" w:fill="auto"/>
            <w:hideMark/>
          </w:tcPr>
          <w:p w14:paraId="26CF17B7" w14:textId="14084560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7592A1AE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left w:val="nil"/>
              <w:bottom w:val="nil"/>
            </w:tcBorders>
            <w:hideMark/>
          </w:tcPr>
          <w:p w14:paraId="7534A0AE" w14:textId="77777777" w:rsidR="00623A7C" w:rsidRPr="00237273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nil"/>
            </w:tcBorders>
            <w:shd w:val="clear" w:color="auto" w:fill="auto"/>
            <w:hideMark/>
          </w:tcPr>
          <w:p w14:paraId="7F051C55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hideMark/>
          </w:tcPr>
          <w:p w14:paraId="021CE317" w14:textId="7C1BA9B1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  <w:r w:rsidR="00282E2F"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hideMark/>
          </w:tcPr>
          <w:p w14:paraId="2940A6B9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6ACD9D7F" w14:textId="63FD88CE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02" w:type="dxa"/>
            <w:tcBorders>
              <w:bottom w:val="nil"/>
              <w:right w:val="nil"/>
            </w:tcBorders>
            <w:shd w:val="clear" w:color="auto" w:fill="auto"/>
            <w:hideMark/>
          </w:tcPr>
          <w:p w14:paraId="3048D7FC" w14:textId="4C36BBC0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3A7C" w:rsidRPr="0039494A" w14:paraId="42079622" w14:textId="77777777" w:rsidTr="0039494A">
        <w:trPr>
          <w:trHeight w:val="281"/>
          <w:jc w:val="center"/>
        </w:trPr>
        <w:tc>
          <w:tcPr>
            <w:tcW w:w="134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55186D3" w14:textId="10709C2F" w:rsidR="00623A7C" w:rsidRPr="00237273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  <w:r w:rsidR="00B22155" w:rsidRPr="0023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73AE14CE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78611FF7" w14:textId="34822C95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41142DC2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E44CC1" w14:textId="107631E9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E2C3C06" w14:textId="6D200ECA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A7C" w:rsidRPr="0039494A" w14:paraId="5124837A" w14:textId="77777777" w:rsidTr="0039494A">
        <w:trPr>
          <w:trHeight w:val="281"/>
          <w:jc w:val="center"/>
        </w:trPr>
        <w:tc>
          <w:tcPr>
            <w:tcW w:w="1345" w:type="dxa"/>
            <w:vMerge/>
            <w:tcBorders>
              <w:top w:val="nil"/>
              <w:left w:val="nil"/>
              <w:bottom w:val="single" w:sz="4" w:space="0" w:color="auto"/>
            </w:tcBorders>
            <w:hideMark/>
          </w:tcPr>
          <w:p w14:paraId="38177C08" w14:textId="77777777" w:rsidR="00623A7C" w:rsidRPr="0039494A" w:rsidRDefault="00623A7C" w:rsidP="00B204C9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7FE0509" w14:textId="77777777" w:rsidR="00623A7C" w:rsidRPr="0039494A" w:rsidRDefault="00623A7C" w:rsidP="00AD6EA0">
            <w:pPr>
              <w:spacing w:after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7142B12" w14:textId="55D6DD9B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BC534AC" w14:textId="7777777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352D2B" w14:textId="216580C7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MYingHei_18030_C-Medium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78269E0" w14:textId="2E6134D9" w:rsidR="00623A7C" w:rsidRPr="0039494A" w:rsidRDefault="00623A7C" w:rsidP="00AD6EA0">
            <w:pPr>
              <w:spacing w:after="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1481" w:rsidRPr="0039494A" w14:paraId="3A33BFEB" w14:textId="77777777" w:rsidTr="0039494A">
        <w:trPr>
          <w:trHeight w:val="370"/>
          <w:jc w:val="center"/>
        </w:trPr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42D02" w14:textId="1A2E0D04" w:rsidR="004A498B" w:rsidRPr="0039494A" w:rsidRDefault="00AD6EA0" w:rsidP="00B204C9">
            <w:pPr>
              <w:spacing w:before="20" w:after="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Abbreviations: Cy, </w:t>
            </w:r>
            <w:r w:rsidRPr="00394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cyclophosphamide; Flu, fludarabine</w:t>
            </w:r>
            <w:r w:rsidR="00EC3EDD" w:rsidRPr="00394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A5BDEEF" w14:textId="77EFA555" w:rsidR="00A15191" w:rsidRPr="0039494A" w:rsidRDefault="00EC3EDD" w:rsidP="00B204C9">
            <w:pPr>
              <w:spacing w:before="20" w:after="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A15191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</w:t>
            </w:r>
            <w:proofErr w:type="spellEnd"/>
            <w:r w:rsidR="00A15191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on body weight</w:t>
            </w:r>
            <w:r w:rsidR="00AD6EA0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1ABF90" w14:textId="519B7BC2" w:rsidR="003C1481" w:rsidRPr="0039494A" w:rsidRDefault="00EC3EDD" w:rsidP="00B204C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>NOTE: The l</w:t>
            </w:r>
            <w:r w:rsidR="00AD6EA0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ymphodepletion dose and duration </w:t>
            </w: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were </w:t>
            </w:r>
            <w:r w:rsidR="00AD6EA0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determined by the investigators based on the patients’ clinical conditions.</w:t>
            </w:r>
            <w:r w:rsidR="009A5C0B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Patient P5 was determined to be unfit for lymphodepletion due to poor clinical condition, with a heavy tumor burden and extremely elevated </w:t>
            </w:r>
            <w:r w:rsidR="0053262B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>AFP</w:t>
            </w:r>
            <w:r w:rsidR="009A5C0B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of 60,500 ng/</w:t>
            </w:r>
            <w:proofErr w:type="spellStart"/>
            <w:r w:rsidR="009A5C0B" w:rsidRPr="0039494A">
              <w:rPr>
                <w:rFonts w:ascii="Times New Roman" w:eastAsia="Times New Roman" w:hAnsi="Times New Roman" w:cs="Times New Roman"/>
                <w:sz w:val="24"/>
                <w:szCs w:val="24"/>
              </w:rPr>
              <w:t>mL.</w:t>
            </w:r>
            <w:proofErr w:type="spellEnd"/>
          </w:p>
        </w:tc>
      </w:tr>
    </w:tbl>
    <w:p w14:paraId="055C2E6A" w14:textId="77777777" w:rsidR="00F12627" w:rsidRPr="00AD6EA0" w:rsidRDefault="00F12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627" w:rsidRPr="00AD6EA0" w:rsidSect="009F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BE1B" w14:textId="77777777" w:rsidR="00BE4F58" w:rsidRDefault="00BE4F58" w:rsidP="001F3C7A">
      <w:pPr>
        <w:spacing w:after="0" w:line="240" w:lineRule="auto"/>
      </w:pPr>
      <w:r>
        <w:separator/>
      </w:r>
    </w:p>
  </w:endnote>
  <w:endnote w:type="continuationSeparator" w:id="0">
    <w:p w14:paraId="4F8F5755" w14:textId="77777777" w:rsidR="00BE4F58" w:rsidRDefault="00BE4F58" w:rsidP="001F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-Medium">
    <w:altName w:val="SimSun"/>
    <w:charset w:val="86"/>
    <w:family w:val="roman"/>
    <w:pitch w:val="variable"/>
    <w:sig w:usb0="800002BF" w:usb1="38CF7CFA" w:usb2="0000001E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677A" w14:textId="77777777" w:rsidR="00BE4F58" w:rsidRDefault="00BE4F58" w:rsidP="001F3C7A">
      <w:pPr>
        <w:spacing w:after="0" w:line="240" w:lineRule="auto"/>
      </w:pPr>
      <w:r>
        <w:separator/>
      </w:r>
    </w:p>
  </w:footnote>
  <w:footnote w:type="continuationSeparator" w:id="0">
    <w:p w14:paraId="4136B439" w14:textId="77777777" w:rsidR="00BE4F58" w:rsidRDefault="00BE4F58" w:rsidP="001F3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9"/>
    <w:rsid w:val="00002DE1"/>
    <w:rsid w:val="00002DF9"/>
    <w:rsid w:val="00064F13"/>
    <w:rsid w:val="000A251E"/>
    <w:rsid w:val="000A6522"/>
    <w:rsid w:val="000D5AEB"/>
    <w:rsid w:val="000F5703"/>
    <w:rsid w:val="00113E0F"/>
    <w:rsid w:val="0015405E"/>
    <w:rsid w:val="001A6A50"/>
    <w:rsid w:val="001A71E8"/>
    <w:rsid w:val="001F3C7A"/>
    <w:rsid w:val="00226D77"/>
    <w:rsid w:val="00230D3A"/>
    <w:rsid w:val="00237273"/>
    <w:rsid w:val="00245288"/>
    <w:rsid w:val="002650AE"/>
    <w:rsid w:val="00282E2F"/>
    <w:rsid w:val="002C1398"/>
    <w:rsid w:val="00321B93"/>
    <w:rsid w:val="003766B8"/>
    <w:rsid w:val="0039494A"/>
    <w:rsid w:val="003C1481"/>
    <w:rsid w:val="00431E30"/>
    <w:rsid w:val="004354C2"/>
    <w:rsid w:val="004A498B"/>
    <w:rsid w:val="004B24DC"/>
    <w:rsid w:val="0053262B"/>
    <w:rsid w:val="00542E93"/>
    <w:rsid w:val="0055549E"/>
    <w:rsid w:val="00577984"/>
    <w:rsid w:val="00591839"/>
    <w:rsid w:val="005C31D1"/>
    <w:rsid w:val="0061461C"/>
    <w:rsid w:val="00623A7C"/>
    <w:rsid w:val="0065289E"/>
    <w:rsid w:val="00696BCD"/>
    <w:rsid w:val="006B0A6D"/>
    <w:rsid w:val="006E062F"/>
    <w:rsid w:val="00777D4A"/>
    <w:rsid w:val="007C57DE"/>
    <w:rsid w:val="008A7DCF"/>
    <w:rsid w:val="008B1CBC"/>
    <w:rsid w:val="008E597E"/>
    <w:rsid w:val="009246A0"/>
    <w:rsid w:val="00924E78"/>
    <w:rsid w:val="009708C8"/>
    <w:rsid w:val="00973B40"/>
    <w:rsid w:val="009A5C0B"/>
    <w:rsid w:val="009C7F40"/>
    <w:rsid w:val="009D1647"/>
    <w:rsid w:val="009F6725"/>
    <w:rsid w:val="00A15191"/>
    <w:rsid w:val="00A2233F"/>
    <w:rsid w:val="00A26A7D"/>
    <w:rsid w:val="00A808CC"/>
    <w:rsid w:val="00A8677A"/>
    <w:rsid w:val="00AD6EA0"/>
    <w:rsid w:val="00B204C9"/>
    <w:rsid w:val="00B22155"/>
    <w:rsid w:val="00B33218"/>
    <w:rsid w:val="00B6253D"/>
    <w:rsid w:val="00B90012"/>
    <w:rsid w:val="00BE4F58"/>
    <w:rsid w:val="00C11361"/>
    <w:rsid w:val="00C14F9D"/>
    <w:rsid w:val="00C65A3F"/>
    <w:rsid w:val="00C8264F"/>
    <w:rsid w:val="00CA1BD9"/>
    <w:rsid w:val="00CD5135"/>
    <w:rsid w:val="00D25D5A"/>
    <w:rsid w:val="00DC3143"/>
    <w:rsid w:val="00E773F6"/>
    <w:rsid w:val="00E847B8"/>
    <w:rsid w:val="00EA103B"/>
    <w:rsid w:val="00EB1211"/>
    <w:rsid w:val="00EB1E1A"/>
    <w:rsid w:val="00EB730A"/>
    <w:rsid w:val="00EC338A"/>
    <w:rsid w:val="00EC3EDD"/>
    <w:rsid w:val="00ED2269"/>
    <w:rsid w:val="00ED34D4"/>
    <w:rsid w:val="00EE0E09"/>
    <w:rsid w:val="00F12627"/>
    <w:rsid w:val="00F24582"/>
    <w:rsid w:val="00F26777"/>
    <w:rsid w:val="00F4714B"/>
    <w:rsid w:val="00F83B89"/>
    <w:rsid w:val="00FD37F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5695"/>
  <w15:chartTrackingRefBased/>
  <w15:docId w15:val="{8A1761E2-6628-4406-9B02-7696949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002D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F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7A"/>
  </w:style>
  <w:style w:type="paragraph" w:styleId="Footer">
    <w:name w:val="footer"/>
    <w:basedOn w:val="Normal"/>
    <w:link w:val="FooterChar"/>
    <w:uiPriority w:val="99"/>
    <w:unhideWhenUsed/>
    <w:rsid w:val="001F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7A"/>
  </w:style>
  <w:style w:type="paragraph" w:styleId="BalloonText">
    <w:name w:val="Balloon Text"/>
    <w:basedOn w:val="Normal"/>
    <w:link w:val="BalloonTextChar"/>
    <w:uiPriority w:val="99"/>
    <w:semiHidden/>
    <w:unhideWhenUsed/>
    <w:rsid w:val="003C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04CD-DA8E-4D93-8EAA-3456125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Askew</dc:creator>
  <cp:keywords/>
  <dc:description/>
  <cp:lastModifiedBy>Linnette</cp:lastModifiedBy>
  <cp:revision>13</cp:revision>
  <dcterms:created xsi:type="dcterms:W3CDTF">2019-10-01T21:37:00Z</dcterms:created>
  <dcterms:modified xsi:type="dcterms:W3CDTF">2020-02-17T19:36:00Z</dcterms:modified>
</cp:coreProperties>
</file>