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11" w:rsidRDefault="005E1611" w:rsidP="00534AF0">
      <w:pPr>
        <w:spacing w:line="480" w:lineRule="auto"/>
        <w:rPr>
          <w:rFonts w:ascii="Arial" w:hAnsi="Arial" w:cs="Arial"/>
          <w:b/>
        </w:rPr>
      </w:pPr>
      <w:r w:rsidRPr="00DD263D">
        <w:rPr>
          <w:rFonts w:ascii="Arial" w:hAnsi="Arial" w:cs="Arial"/>
          <w:b/>
        </w:rPr>
        <w:t>Supplemental Methods</w:t>
      </w:r>
    </w:p>
    <w:p w:rsidR="005E1611" w:rsidRDefault="005E1611" w:rsidP="00534AF0">
      <w:pPr>
        <w:spacing w:line="480" w:lineRule="auto"/>
        <w:rPr>
          <w:rFonts w:ascii="Arial" w:hAnsi="Arial" w:cs="Arial"/>
        </w:rPr>
      </w:pPr>
      <w:proofErr w:type="spellStart"/>
      <w:r w:rsidRPr="0047359F">
        <w:rPr>
          <w:rFonts w:ascii="Arial" w:hAnsi="Arial" w:cs="Arial"/>
        </w:rPr>
        <w:t>CyTOF</w:t>
      </w:r>
      <w:proofErr w:type="spellEnd"/>
      <w:r w:rsidRPr="0047359F">
        <w:rPr>
          <w:rFonts w:ascii="Arial" w:hAnsi="Arial" w:cs="Arial"/>
        </w:rPr>
        <w:t>: Cryopreserved PBMC samples were thawed and stained as described previously</w:t>
      </w:r>
      <w:r w:rsidR="00534AF0">
        <w:rPr>
          <w:rFonts w:ascii="Arial" w:hAnsi="Arial" w:cs="Arial"/>
        </w:rPr>
        <w:t xml:space="preserve"> (</w:t>
      </w:r>
      <w:r w:rsidR="00534AF0" w:rsidRPr="00534AF0">
        <w:rPr>
          <w:rFonts w:ascii="Arial" w:hAnsi="Arial" w:cs="Arial"/>
        </w:rPr>
        <w:t>Subrahmanyam</w:t>
      </w:r>
      <w:r w:rsidR="00534AF0">
        <w:rPr>
          <w:rFonts w:ascii="Arial" w:hAnsi="Arial" w:cs="Arial"/>
        </w:rPr>
        <w:t xml:space="preserve"> </w:t>
      </w:r>
      <w:proofErr w:type="spellStart"/>
      <w:proofErr w:type="gramStart"/>
      <w:r w:rsidR="00534AF0" w:rsidRPr="00534AF0">
        <w:rPr>
          <w:rFonts w:ascii="Arial" w:hAnsi="Arial" w:cs="Arial"/>
        </w:rPr>
        <w:t>PB,Maecker</w:t>
      </w:r>
      <w:proofErr w:type="spellEnd"/>
      <w:proofErr w:type="gramEnd"/>
      <w:r w:rsidR="00534AF0" w:rsidRPr="00534AF0">
        <w:rPr>
          <w:rFonts w:ascii="Arial" w:hAnsi="Arial" w:cs="Arial"/>
        </w:rPr>
        <w:t xml:space="preserve"> HT. </w:t>
      </w:r>
      <w:proofErr w:type="spellStart"/>
      <w:r w:rsidR="00534AF0" w:rsidRPr="00534AF0">
        <w:rPr>
          <w:rFonts w:ascii="Arial" w:hAnsi="Arial" w:cs="Arial"/>
        </w:rPr>
        <w:t>CyTOF</w:t>
      </w:r>
      <w:proofErr w:type="spellEnd"/>
      <w:r w:rsidR="00534AF0">
        <w:rPr>
          <w:rFonts w:ascii="Arial" w:hAnsi="Arial" w:cs="Arial"/>
        </w:rPr>
        <w:t xml:space="preserve"> </w:t>
      </w:r>
      <w:r w:rsidR="00534AF0" w:rsidRPr="00534AF0">
        <w:rPr>
          <w:rFonts w:ascii="Arial" w:hAnsi="Arial" w:cs="Arial"/>
        </w:rPr>
        <w:t>measurement of immunocompetence</w:t>
      </w:r>
      <w:r w:rsidR="00534AF0">
        <w:rPr>
          <w:rFonts w:ascii="Arial" w:hAnsi="Arial" w:cs="Arial"/>
        </w:rPr>
        <w:t xml:space="preserve"> </w:t>
      </w:r>
      <w:r w:rsidR="00534AF0" w:rsidRPr="00534AF0">
        <w:rPr>
          <w:rFonts w:ascii="Arial" w:hAnsi="Arial" w:cs="Arial"/>
        </w:rPr>
        <w:t xml:space="preserve">across major immune cell types. </w:t>
      </w:r>
      <w:proofErr w:type="spellStart"/>
      <w:r w:rsidR="00534AF0" w:rsidRPr="00534AF0">
        <w:rPr>
          <w:rFonts w:ascii="Arial" w:hAnsi="Arial" w:cs="Arial"/>
        </w:rPr>
        <w:t>Curr</w:t>
      </w:r>
      <w:proofErr w:type="spellEnd"/>
      <w:r w:rsidR="00534AF0" w:rsidRPr="00534AF0">
        <w:rPr>
          <w:rFonts w:ascii="Arial" w:hAnsi="Arial" w:cs="Arial"/>
        </w:rPr>
        <w:t xml:space="preserve"> </w:t>
      </w:r>
      <w:proofErr w:type="spellStart"/>
      <w:r w:rsidR="00534AF0" w:rsidRPr="00534AF0">
        <w:rPr>
          <w:rFonts w:ascii="Arial" w:hAnsi="Arial" w:cs="Arial"/>
        </w:rPr>
        <w:t>Protoc</w:t>
      </w:r>
      <w:proofErr w:type="spellEnd"/>
      <w:r w:rsidR="00534AF0" w:rsidRPr="00534AF0">
        <w:rPr>
          <w:rFonts w:ascii="Arial" w:hAnsi="Arial" w:cs="Arial"/>
        </w:rPr>
        <w:t xml:space="preserve"> </w:t>
      </w:r>
      <w:proofErr w:type="spellStart"/>
      <w:r w:rsidR="00534AF0" w:rsidRPr="00534AF0">
        <w:rPr>
          <w:rFonts w:ascii="Arial" w:hAnsi="Arial" w:cs="Arial"/>
        </w:rPr>
        <w:t>Cytom</w:t>
      </w:r>
      <w:proofErr w:type="spellEnd"/>
      <w:r w:rsidR="00534AF0" w:rsidRPr="00534AF0">
        <w:rPr>
          <w:rFonts w:ascii="Arial" w:hAnsi="Arial" w:cs="Arial"/>
        </w:rPr>
        <w:t xml:space="preserve"> </w:t>
      </w:r>
      <w:proofErr w:type="gramStart"/>
      <w:r w:rsidR="00534AF0" w:rsidRPr="00534AF0">
        <w:rPr>
          <w:rFonts w:ascii="Arial" w:hAnsi="Arial" w:cs="Arial"/>
        </w:rPr>
        <w:t>2017;82:9</w:t>
      </w:r>
      <w:proofErr w:type="gramEnd"/>
      <w:r w:rsidR="00534AF0" w:rsidRPr="00534AF0">
        <w:rPr>
          <w:rFonts w:ascii="Arial" w:hAnsi="Arial" w:cs="Arial"/>
        </w:rPr>
        <w:t>.54.1–9.54.12</w:t>
      </w:r>
      <w:r w:rsidR="00534AF0">
        <w:rPr>
          <w:rFonts w:ascii="Arial" w:hAnsi="Arial" w:cs="Arial"/>
        </w:rPr>
        <w:t>).</w:t>
      </w:r>
      <w:r w:rsidRPr="0047359F">
        <w:rPr>
          <w:rFonts w:ascii="Arial" w:hAnsi="Arial" w:cs="Arial"/>
        </w:rPr>
        <w:t xml:space="preserve"> Briefly, frozen PBMC were thawed in a 37</w:t>
      </w:r>
      <w:r w:rsidRPr="0047359F">
        <w:rPr>
          <w:rFonts w:ascii="Arial" w:hAnsi="Arial" w:cs="Arial"/>
          <w:vertAlign w:val="superscript"/>
        </w:rPr>
        <w:t>0</w:t>
      </w:r>
      <w:r w:rsidRPr="0047359F">
        <w:rPr>
          <w:rFonts w:ascii="Arial" w:hAnsi="Arial" w:cs="Arial"/>
        </w:rPr>
        <w:t xml:space="preserve">C water bath and washed twice in complete medium (RPMI with 10% FBS, </w:t>
      </w:r>
      <w:proofErr w:type="spellStart"/>
      <w:r w:rsidRPr="0047359F">
        <w:rPr>
          <w:rFonts w:ascii="Arial" w:hAnsi="Arial" w:cs="Arial"/>
        </w:rPr>
        <w:t>PennStrep</w:t>
      </w:r>
      <w:proofErr w:type="spellEnd"/>
      <w:r w:rsidRPr="0047359F">
        <w:rPr>
          <w:rFonts w:ascii="Arial" w:hAnsi="Arial" w:cs="Arial"/>
        </w:rPr>
        <w:t xml:space="preserve"> and L-glutamine) with </w:t>
      </w:r>
      <w:proofErr w:type="spellStart"/>
      <w:r w:rsidRPr="0047359F">
        <w:rPr>
          <w:rFonts w:ascii="Arial" w:hAnsi="Arial" w:cs="Arial"/>
        </w:rPr>
        <w:t>benzonase</w:t>
      </w:r>
      <w:proofErr w:type="spellEnd"/>
      <w:r w:rsidRPr="0047359F">
        <w:rPr>
          <w:rFonts w:ascii="Arial" w:hAnsi="Arial" w:cs="Arial"/>
        </w:rPr>
        <w:t xml:space="preserve"> (</w:t>
      </w:r>
      <w:proofErr w:type="spellStart"/>
      <w:r w:rsidRPr="0047359F">
        <w:rPr>
          <w:rFonts w:ascii="Arial" w:hAnsi="Arial" w:cs="Arial"/>
        </w:rPr>
        <w:t>Pierce</w:t>
      </w:r>
      <w:r w:rsidRPr="0047359F">
        <w:rPr>
          <w:rFonts w:ascii="Arial" w:hAnsi="Arial" w:cs="Arial"/>
          <w:vertAlign w:val="superscript"/>
        </w:rPr>
        <w:t>TM</w:t>
      </w:r>
      <w:proofErr w:type="spellEnd"/>
      <w:r w:rsidRPr="0047359F">
        <w:rPr>
          <w:rFonts w:ascii="Arial" w:hAnsi="Arial" w:cs="Arial"/>
        </w:rPr>
        <w:t xml:space="preserve"> Universal Nuclease, Thermo Fisher Scientific). Cells were re-suspended in complete medium without </w:t>
      </w:r>
      <w:proofErr w:type="spellStart"/>
      <w:r w:rsidRPr="0047359F">
        <w:rPr>
          <w:rFonts w:ascii="Arial" w:hAnsi="Arial" w:cs="Arial"/>
        </w:rPr>
        <w:t>benzonase</w:t>
      </w:r>
      <w:proofErr w:type="spellEnd"/>
      <w:r w:rsidRPr="0047359F">
        <w:rPr>
          <w:rFonts w:ascii="Arial" w:hAnsi="Arial" w:cs="Arial"/>
        </w:rPr>
        <w:t>, counted, and 2 × 10</w:t>
      </w:r>
      <w:r w:rsidRPr="0047359F">
        <w:rPr>
          <w:rFonts w:ascii="Arial" w:hAnsi="Arial" w:cs="Arial"/>
          <w:vertAlign w:val="superscript"/>
        </w:rPr>
        <w:t>6</w:t>
      </w:r>
      <w:r w:rsidRPr="0047359F">
        <w:rPr>
          <w:rFonts w:ascii="Arial" w:hAnsi="Arial" w:cs="Arial"/>
        </w:rPr>
        <w:t xml:space="preserve"> or maximum available cells were placed in each well</w:t>
      </w:r>
      <w:r>
        <w:rPr>
          <w:rFonts w:ascii="Arial" w:hAnsi="Arial" w:cs="Arial"/>
        </w:rPr>
        <w:t xml:space="preserve"> </w:t>
      </w:r>
      <w:r w:rsidRPr="0047359F">
        <w:rPr>
          <w:rFonts w:ascii="Arial" w:hAnsi="Arial" w:cs="Arial"/>
        </w:rPr>
        <w:t>of a 96-well U-bottom plate. The cells were rested overnight at 37</w:t>
      </w:r>
      <w:r w:rsidRPr="0047359F">
        <w:rPr>
          <w:rFonts w:ascii="Arial" w:hAnsi="Arial" w:cs="Arial"/>
          <w:vertAlign w:val="superscript"/>
        </w:rPr>
        <w:t>0</w:t>
      </w:r>
      <w:r w:rsidRPr="0047359F">
        <w:rPr>
          <w:rFonts w:ascii="Arial" w:hAnsi="Arial" w:cs="Arial"/>
        </w:rPr>
        <w:t>C, 5% CO</w:t>
      </w:r>
      <w:r w:rsidRPr="0047359F">
        <w:rPr>
          <w:rFonts w:ascii="Arial" w:hAnsi="Arial" w:cs="Arial"/>
          <w:vertAlign w:val="subscript"/>
        </w:rPr>
        <w:t>2</w:t>
      </w:r>
      <w:r w:rsidRPr="0047359F">
        <w:rPr>
          <w:rFonts w:ascii="Arial" w:hAnsi="Arial" w:cs="Arial"/>
        </w:rPr>
        <w:t xml:space="preserve">. After resting, secretion inhibitors brefeldin A and </w:t>
      </w:r>
      <w:proofErr w:type="spellStart"/>
      <w:r w:rsidRPr="0047359F">
        <w:rPr>
          <w:rFonts w:ascii="Arial" w:hAnsi="Arial" w:cs="Arial"/>
        </w:rPr>
        <w:t>monensin</w:t>
      </w:r>
      <w:proofErr w:type="spellEnd"/>
      <w:r w:rsidRPr="0047359F">
        <w:rPr>
          <w:rFonts w:ascii="Arial" w:hAnsi="Arial" w:cs="Arial"/>
        </w:rPr>
        <w:t>, and stimulating agents phorbol 12-myristate 13-acetate (PMA) and ionomycin were added for 4 hours (Sigma-Aldrich). Anti-CD107a-</w:t>
      </w:r>
      <w:r w:rsidRPr="0047359F">
        <w:rPr>
          <w:rFonts w:ascii="Arial" w:hAnsi="Arial" w:cs="Arial"/>
          <w:vertAlign w:val="superscript"/>
        </w:rPr>
        <w:t>151</w:t>
      </w:r>
      <w:r w:rsidRPr="0047359F">
        <w:rPr>
          <w:rFonts w:ascii="Arial" w:hAnsi="Arial" w:cs="Arial"/>
        </w:rPr>
        <w:t>Eu (</w:t>
      </w:r>
      <w:proofErr w:type="spellStart"/>
      <w:r w:rsidRPr="0047359F">
        <w:rPr>
          <w:rFonts w:ascii="Arial" w:hAnsi="Arial" w:cs="Arial"/>
        </w:rPr>
        <w:t>Fluidigm</w:t>
      </w:r>
      <w:proofErr w:type="spellEnd"/>
      <w:r w:rsidRPr="0047359F">
        <w:rPr>
          <w:rFonts w:ascii="Arial" w:hAnsi="Arial" w:cs="Arial"/>
        </w:rPr>
        <w:t xml:space="preserve">) was also added during stimulation. After stimulation, samples were washed twice in staining buffer (Ca/Mg-free PBS, 0.1% BSA, 2 mM EDTA, and 0.05% Sodium </w:t>
      </w:r>
      <w:proofErr w:type="spellStart"/>
      <w:r w:rsidRPr="0047359F">
        <w:rPr>
          <w:rFonts w:ascii="Arial" w:hAnsi="Arial" w:cs="Arial"/>
        </w:rPr>
        <w:t>azide</w:t>
      </w:r>
      <w:proofErr w:type="spellEnd"/>
      <w:r w:rsidRPr="0047359F">
        <w:rPr>
          <w:rFonts w:ascii="Arial" w:hAnsi="Arial" w:cs="Arial"/>
        </w:rPr>
        <w:t xml:space="preserve">). The surface staining antibody cocktail prepared in staining buffer was added for 45 min on ice (Table 1). Cells were washed twice and </w:t>
      </w:r>
      <w:r w:rsidRPr="0047359F">
        <w:rPr>
          <w:rFonts w:ascii="Arial" w:hAnsi="Arial" w:cs="Arial"/>
          <w:vertAlign w:val="superscript"/>
        </w:rPr>
        <w:t>115</w:t>
      </w:r>
      <w:r w:rsidRPr="0047359F">
        <w:rPr>
          <w:rFonts w:ascii="Arial" w:hAnsi="Arial" w:cs="Arial"/>
        </w:rPr>
        <w:t>In-DOTA Maleimide live/dead stain diluted 1:3000 in Ca/Mg-free PBS was added for 30 min on ice. Cells were washed three times and fixed in 2% paraformaldehyde overnight at 4</w:t>
      </w:r>
      <w:r w:rsidRPr="0047359F">
        <w:rPr>
          <w:rFonts w:ascii="Arial" w:hAnsi="Arial" w:cs="Arial"/>
          <w:vertAlign w:val="superscript"/>
        </w:rPr>
        <w:t>0</w:t>
      </w:r>
      <w:r w:rsidRPr="0047359F">
        <w:rPr>
          <w:rFonts w:ascii="Arial" w:hAnsi="Arial" w:cs="Arial"/>
        </w:rPr>
        <w:t>C. The fixed cells were washed twice in 1× permeabilization buffer (</w:t>
      </w:r>
      <w:proofErr w:type="spellStart"/>
      <w:r w:rsidRPr="0047359F">
        <w:rPr>
          <w:rFonts w:ascii="Arial" w:hAnsi="Arial" w:cs="Arial"/>
        </w:rPr>
        <w:t>eBioscience</w:t>
      </w:r>
      <w:proofErr w:type="spellEnd"/>
      <w:r w:rsidRPr="0047359F">
        <w:rPr>
          <w:rFonts w:ascii="Arial" w:hAnsi="Arial" w:cs="Arial"/>
        </w:rPr>
        <w:t>). Intracellular staining cocktail prepared in permeabilization buffer was added for 45 min on ice, and then washed three times in staining buffer (</w:t>
      </w:r>
      <w:r>
        <w:rPr>
          <w:rFonts w:ascii="Arial" w:hAnsi="Arial" w:cs="Arial"/>
        </w:rPr>
        <w:t xml:space="preserve">Below </w:t>
      </w:r>
      <w:r w:rsidRPr="0047359F">
        <w:rPr>
          <w:rFonts w:ascii="Arial" w:hAnsi="Arial" w:cs="Arial"/>
        </w:rPr>
        <w:t xml:space="preserve">Table). For DNA staining, </w:t>
      </w:r>
      <w:proofErr w:type="spellStart"/>
      <w:r w:rsidRPr="0047359F">
        <w:rPr>
          <w:rFonts w:ascii="Arial" w:hAnsi="Arial" w:cs="Arial"/>
        </w:rPr>
        <w:t>Ir</w:t>
      </w:r>
      <w:proofErr w:type="spellEnd"/>
      <w:r w:rsidRPr="0047359F">
        <w:rPr>
          <w:rFonts w:ascii="Arial" w:hAnsi="Arial" w:cs="Arial"/>
        </w:rPr>
        <w:t xml:space="preserve"> Intercalator (</w:t>
      </w:r>
      <w:proofErr w:type="spellStart"/>
      <w:r w:rsidRPr="0047359F">
        <w:rPr>
          <w:rFonts w:ascii="Arial" w:hAnsi="Arial" w:cs="Arial"/>
        </w:rPr>
        <w:t>Fluidigm</w:t>
      </w:r>
      <w:proofErr w:type="spellEnd"/>
      <w:r w:rsidRPr="0047359F">
        <w:rPr>
          <w:rFonts w:ascii="Arial" w:hAnsi="Arial" w:cs="Arial"/>
        </w:rPr>
        <w:t xml:space="preserve">) was added per the manufacturer’s instructions for 20 min at room temperature. Cells were washed twice in staining buffer and three times in 18.2 Ω </w:t>
      </w:r>
      <w:proofErr w:type="spellStart"/>
      <w:r w:rsidRPr="0047359F">
        <w:rPr>
          <w:rFonts w:ascii="Arial" w:hAnsi="Arial" w:cs="Arial"/>
        </w:rPr>
        <w:t>MilliQ</w:t>
      </w:r>
      <w:proofErr w:type="spellEnd"/>
      <w:r w:rsidRPr="0047359F">
        <w:rPr>
          <w:rFonts w:ascii="Arial" w:hAnsi="Arial" w:cs="Arial"/>
        </w:rPr>
        <w:t xml:space="preserve">-grade water. Finally, cells were resuspended in </w:t>
      </w:r>
      <w:proofErr w:type="spellStart"/>
      <w:r w:rsidRPr="0047359F">
        <w:rPr>
          <w:rFonts w:ascii="Arial" w:hAnsi="Arial" w:cs="Arial"/>
        </w:rPr>
        <w:t>MilliQ</w:t>
      </w:r>
      <w:proofErr w:type="spellEnd"/>
      <w:r w:rsidRPr="0047359F">
        <w:rPr>
          <w:rFonts w:ascii="Arial" w:hAnsi="Arial" w:cs="Arial"/>
        </w:rPr>
        <w:t xml:space="preserve">-grade water with EQ Four Element Calibration beads, and data were acquired on a </w:t>
      </w:r>
      <w:proofErr w:type="spellStart"/>
      <w:r w:rsidRPr="0047359F">
        <w:rPr>
          <w:rFonts w:ascii="Arial" w:hAnsi="Arial" w:cs="Arial"/>
        </w:rPr>
        <w:t>Helios</w:t>
      </w:r>
      <w:r w:rsidRPr="0047359F">
        <w:rPr>
          <w:rFonts w:ascii="Arial" w:hAnsi="Arial" w:cs="Arial"/>
          <w:vertAlign w:val="superscript"/>
        </w:rPr>
        <w:t>TM</w:t>
      </w:r>
      <w:proofErr w:type="spellEnd"/>
      <w:r w:rsidRPr="0047359F">
        <w:rPr>
          <w:rFonts w:ascii="Arial" w:hAnsi="Arial" w:cs="Arial"/>
        </w:rPr>
        <w:t xml:space="preserve"> version mass cytometer (</w:t>
      </w:r>
      <w:proofErr w:type="spellStart"/>
      <w:r w:rsidRPr="0047359F">
        <w:rPr>
          <w:rFonts w:ascii="Arial" w:hAnsi="Arial" w:cs="Arial"/>
        </w:rPr>
        <w:t>Fluidigm</w:t>
      </w:r>
      <w:proofErr w:type="spellEnd"/>
      <w:r w:rsidRPr="0047359F">
        <w:rPr>
          <w:rFonts w:ascii="Arial" w:hAnsi="Arial" w:cs="Arial"/>
        </w:rPr>
        <w:t>).</w:t>
      </w:r>
      <w:r>
        <w:rPr>
          <w:rFonts w:ascii="Arial" w:hAnsi="Arial" w:cs="Arial"/>
        </w:rPr>
        <w:t xml:space="preserve"> </w:t>
      </w:r>
    </w:p>
    <w:p w:rsidR="00534AF0" w:rsidRDefault="00534AF0" w:rsidP="00534AF0">
      <w:pPr>
        <w:widowControl w:val="0"/>
        <w:autoSpaceDE w:val="0"/>
        <w:autoSpaceDN w:val="0"/>
        <w:adjustRightInd w:val="0"/>
        <w:rPr>
          <w:rFonts w:ascii="Arial" w:hAnsi="Arial" w:cs="Arial"/>
          <w:b/>
        </w:rPr>
        <w:sectPr w:rsidR="00534AF0" w:rsidSect="003E64B6">
          <w:pgSz w:w="12240" w:h="15840"/>
          <w:pgMar w:top="1440" w:right="1440" w:bottom="1440" w:left="1440" w:header="720" w:footer="720" w:gutter="0"/>
          <w:cols w:space="720"/>
          <w:docGrid w:linePitch="360"/>
        </w:sectPr>
      </w:pPr>
    </w:p>
    <w:p w:rsidR="005E1611" w:rsidRPr="00AF0F46" w:rsidRDefault="005E1611" w:rsidP="00534AF0">
      <w:pPr>
        <w:widowControl w:val="0"/>
        <w:autoSpaceDE w:val="0"/>
        <w:autoSpaceDN w:val="0"/>
        <w:adjustRightInd w:val="0"/>
        <w:rPr>
          <w:rFonts w:ascii="Arial" w:hAnsi="Arial" w:cs="Arial"/>
          <w:b/>
        </w:rPr>
      </w:pPr>
      <w:bookmarkStart w:id="0" w:name="_GoBack"/>
      <w:bookmarkEnd w:id="0"/>
      <w:proofErr w:type="spellStart"/>
      <w:r w:rsidRPr="00AF0F46">
        <w:rPr>
          <w:rFonts w:ascii="Arial" w:hAnsi="Arial" w:cs="Arial"/>
          <w:b/>
        </w:rPr>
        <w:lastRenderedPageBreak/>
        <w:t>CyTOF</w:t>
      </w:r>
      <w:proofErr w:type="spellEnd"/>
      <w:r w:rsidRPr="00AF0F46">
        <w:rPr>
          <w:rFonts w:ascii="Arial" w:hAnsi="Arial" w:cs="Arial"/>
          <w:b/>
        </w:rPr>
        <w:t xml:space="preserve"> Surface and Intracellular Staining Panel</w:t>
      </w:r>
    </w:p>
    <w:tbl>
      <w:tblPr>
        <w:tblStyle w:val="LightShading"/>
        <w:tblW w:w="0" w:type="auto"/>
        <w:tblLook w:val="04A0" w:firstRow="1" w:lastRow="0" w:firstColumn="1" w:lastColumn="0" w:noHBand="0" w:noVBand="1"/>
      </w:tblPr>
      <w:tblGrid>
        <w:gridCol w:w="1519"/>
        <w:gridCol w:w="1877"/>
        <w:gridCol w:w="1572"/>
        <w:gridCol w:w="2430"/>
      </w:tblGrid>
      <w:tr w:rsidR="005E1611" w:rsidRPr="00AF0F46" w:rsidTr="005D34E3">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color w:val="auto"/>
                <w:sz w:val="22"/>
                <w:szCs w:val="22"/>
              </w:rPr>
            </w:pPr>
            <w:r w:rsidRPr="00AF0F46">
              <w:rPr>
                <w:rFonts w:ascii="Arial" w:hAnsi="Arial" w:cs="Arial"/>
                <w:color w:val="auto"/>
                <w:sz w:val="22"/>
                <w:szCs w:val="22"/>
              </w:rPr>
              <w:t>Metal Tag</w:t>
            </w:r>
          </w:p>
        </w:tc>
        <w:tc>
          <w:tcPr>
            <w:tcW w:w="1877" w:type="dxa"/>
            <w:shd w:val="clear" w:color="auto" w:fill="auto"/>
          </w:tcPr>
          <w:p w:rsidR="005E1611" w:rsidRPr="00AF0F46" w:rsidRDefault="005E1611" w:rsidP="00534AF0">
            <w:pPr>
              <w:ind w:right="29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AF0F46">
              <w:rPr>
                <w:rFonts w:ascii="Arial" w:hAnsi="Arial" w:cs="Arial"/>
                <w:color w:val="auto"/>
                <w:sz w:val="22"/>
                <w:szCs w:val="22"/>
              </w:rPr>
              <w:t>Specificity</w:t>
            </w:r>
          </w:p>
        </w:tc>
        <w:tc>
          <w:tcPr>
            <w:tcW w:w="1572" w:type="dxa"/>
            <w:shd w:val="clear" w:color="auto" w:fill="auto"/>
          </w:tcPr>
          <w:p w:rsidR="005E1611" w:rsidRPr="00AF0F46" w:rsidRDefault="005E1611" w:rsidP="00534AF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AF0F46">
              <w:rPr>
                <w:rFonts w:ascii="Arial" w:hAnsi="Arial" w:cs="Arial"/>
                <w:color w:val="auto"/>
                <w:sz w:val="22"/>
                <w:szCs w:val="22"/>
              </w:rPr>
              <w:t>Clone</w:t>
            </w:r>
          </w:p>
        </w:tc>
        <w:tc>
          <w:tcPr>
            <w:tcW w:w="2430" w:type="dxa"/>
            <w:shd w:val="clear" w:color="auto" w:fill="auto"/>
          </w:tcPr>
          <w:p w:rsidR="005E1611" w:rsidRPr="00AF0F46" w:rsidRDefault="005E1611" w:rsidP="00534AF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AF0F46">
              <w:rPr>
                <w:rFonts w:ascii="Arial" w:hAnsi="Arial" w:cs="Arial"/>
                <w:color w:val="auto"/>
                <w:sz w:val="22"/>
                <w:szCs w:val="22"/>
              </w:rPr>
              <w:t>Source (</w:t>
            </w:r>
            <w:proofErr w:type="spellStart"/>
            <w:r w:rsidRPr="00AF0F46">
              <w:rPr>
                <w:rFonts w:ascii="Arial" w:hAnsi="Arial" w:cs="Arial"/>
                <w:color w:val="auto"/>
                <w:sz w:val="22"/>
                <w:szCs w:val="22"/>
              </w:rPr>
              <w:t>Fluidigm</w:t>
            </w:r>
            <w:proofErr w:type="spellEnd"/>
            <w:r w:rsidRPr="00AF0F46">
              <w:rPr>
                <w:rFonts w:ascii="Arial" w:hAnsi="Arial" w:cs="Arial"/>
                <w:color w:val="auto"/>
                <w:sz w:val="22"/>
                <w:szCs w:val="22"/>
              </w:rPr>
              <w:t xml:space="preserve"> or in-house conjugated)</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113In</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CD57</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HCD57</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115In</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Dead*</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140Ce</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Beads*</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r>
      <w:tr w:rsidR="005E1611" w:rsidRPr="00AF0F46" w:rsidTr="005D34E3">
        <w:trPr>
          <w:trHeight w:val="339"/>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141Pr</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HLA-DR</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G46-6</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142Nd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CD19</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HIB19</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143Nd</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IL-10</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JES3-9D7</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144Nd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IL-4</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MP4-25D2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145Nd</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CD4</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RPA-T4</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146Nd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CD8</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RPA-T8</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147Sm</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CD20</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2H7</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148Nd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CD40</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5C3</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149Sm</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CTLA-4</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14D3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150Nd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MIP1β</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D21-1351</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151Eu</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CD107a</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H4A3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152Sm</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TNFα</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Mab11</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153Eu</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CD45RA</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HI100</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154Sm</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CD3</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UCHT1</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155Gd</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CD28</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L293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156Gd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CD38</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HB-7</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157Gd</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CD25</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MA251</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158Gd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CD33</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WM53</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159Tb</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GM-CSF</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BVD2-21C11</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160Gd</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CD14</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M5E2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161Dy</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IFNγ</w:t>
            </w:r>
            <w:proofErr w:type="spellEnd"/>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4</w:t>
            </w:r>
            <w:proofErr w:type="gramStart"/>
            <w:r w:rsidRPr="00AF0F46">
              <w:rPr>
                <w:rFonts w:ascii="Arial" w:hAnsi="Arial" w:cs="Arial"/>
                <w:sz w:val="22"/>
                <w:szCs w:val="22"/>
              </w:rPr>
              <w:t>S.B</w:t>
            </w:r>
            <w:proofErr w:type="gramEnd"/>
            <w:r w:rsidRPr="00AF0F46">
              <w:rPr>
                <w:rFonts w:ascii="Arial" w:hAnsi="Arial" w:cs="Arial"/>
                <w:sz w:val="22"/>
                <w:szCs w:val="22"/>
              </w:rPr>
              <w:t>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162Dy</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CD69</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FN50</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163Dy</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TCRγδ</w:t>
            </w:r>
            <w:proofErr w:type="spellEnd"/>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B1</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164Dy</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IL-17</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N49-853</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165Ho</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CD127</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A019D5</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166Er</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IL-2</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MQ1-17h12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167Er</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CD27</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L128</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168Er</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CD40L (CD154)</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24-31</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169Tm</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CCR7</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150503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170Er</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PD-1</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EH12.1</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171Yb</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Granzyme B</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GB11</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172Yb</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PD-L2</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24F.10C12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lastRenderedPageBreak/>
              <w:t>173Yb</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Perforin</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B-D48</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174Yb</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CD21</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Bu32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in-house</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175Lu</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PD-L1</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29E.2A3</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176Yb</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CD56</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NCAM16.2</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193Ir</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DNA1*</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r>
      <w:tr w:rsidR="005E1611" w:rsidRPr="00AF0F46" w:rsidTr="005D34E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195Ir</w:t>
            </w:r>
          </w:p>
        </w:tc>
        <w:tc>
          <w:tcPr>
            <w:tcW w:w="1877"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DNA2*</w:t>
            </w:r>
          </w:p>
        </w:tc>
        <w:tc>
          <w:tcPr>
            <w:tcW w:w="1572"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c>
          <w:tcPr>
            <w:tcW w:w="2430" w:type="dxa"/>
            <w:shd w:val="clear" w:color="auto" w:fill="auto"/>
          </w:tcPr>
          <w:p w:rsidR="005E1611" w:rsidRPr="00AF0F46" w:rsidRDefault="005E1611" w:rsidP="00534A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0F46">
              <w:rPr>
                <w:rFonts w:ascii="Arial" w:hAnsi="Arial" w:cs="Arial"/>
                <w:sz w:val="22"/>
                <w:szCs w:val="22"/>
              </w:rPr>
              <w:t>-</w:t>
            </w:r>
          </w:p>
        </w:tc>
      </w:tr>
      <w:tr w:rsidR="005E1611" w:rsidRPr="00AF0F46" w:rsidTr="005D34E3">
        <w:trPr>
          <w:trHeight w:val="323"/>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rsidR="005E1611" w:rsidRPr="00AF0F46" w:rsidRDefault="005E1611" w:rsidP="00534AF0">
            <w:pPr>
              <w:rPr>
                <w:rFonts w:ascii="Arial" w:hAnsi="Arial" w:cs="Arial"/>
                <w:b w:val="0"/>
                <w:sz w:val="22"/>
                <w:szCs w:val="22"/>
              </w:rPr>
            </w:pPr>
            <w:r w:rsidRPr="00AF0F46">
              <w:rPr>
                <w:rFonts w:ascii="Arial" w:hAnsi="Arial" w:cs="Arial"/>
                <w:b w:val="0"/>
                <w:sz w:val="22"/>
                <w:szCs w:val="22"/>
              </w:rPr>
              <w:t>209Bi</w:t>
            </w:r>
          </w:p>
        </w:tc>
        <w:tc>
          <w:tcPr>
            <w:tcW w:w="1877"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CD16</w:t>
            </w:r>
          </w:p>
        </w:tc>
        <w:tc>
          <w:tcPr>
            <w:tcW w:w="1572"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0F46">
              <w:rPr>
                <w:rFonts w:ascii="Arial" w:hAnsi="Arial" w:cs="Arial"/>
                <w:sz w:val="22"/>
                <w:szCs w:val="22"/>
              </w:rPr>
              <w:t>3G8</w:t>
            </w:r>
          </w:p>
        </w:tc>
        <w:tc>
          <w:tcPr>
            <w:tcW w:w="2430" w:type="dxa"/>
            <w:shd w:val="clear" w:color="auto" w:fill="auto"/>
          </w:tcPr>
          <w:p w:rsidR="005E1611" w:rsidRPr="00AF0F46" w:rsidRDefault="005E1611" w:rsidP="00534A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0F46">
              <w:rPr>
                <w:rFonts w:ascii="Arial" w:hAnsi="Arial" w:cs="Arial"/>
                <w:sz w:val="22"/>
                <w:szCs w:val="22"/>
              </w:rPr>
              <w:t>Fluidigm</w:t>
            </w:r>
            <w:proofErr w:type="spellEnd"/>
          </w:p>
        </w:tc>
      </w:tr>
    </w:tbl>
    <w:p w:rsidR="005E1611" w:rsidRPr="00AF0F46" w:rsidRDefault="005E1611" w:rsidP="00534AF0">
      <w:pPr>
        <w:widowControl w:val="0"/>
        <w:autoSpaceDE w:val="0"/>
        <w:autoSpaceDN w:val="0"/>
        <w:adjustRightInd w:val="0"/>
        <w:rPr>
          <w:rFonts w:ascii="Arial" w:hAnsi="Arial" w:cs="Arial"/>
        </w:rPr>
      </w:pPr>
      <w:r w:rsidRPr="00AF0F46">
        <w:rPr>
          <w:rFonts w:ascii="Arial" w:hAnsi="Arial" w:cs="Arial"/>
        </w:rPr>
        <w:t>* Non-protein subjects</w:t>
      </w:r>
    </w:p>
    <w:p w:rsidR="005E1611" w:rsidRPr="0047359F" w:rsidRDefault="005E1611" w:rsidP="00534AF0">
      <w:pPr>
        <w:spacing w:line="480" w:lineRule="auto"/>
        <w:rPr>
          <w:rFonts w:ascii="Arial" w:hAnsi="Arial" w:cs="Arial"/>
        </w:rPr>
      </w:pPr>
    </w:p>
    <w:p w:rsidR="005E1611" w:rsidRDefault="005E1611" w:rsidP="00534AF0">
      <w:pPr>
        <w:rPr>
          <w:rFonts w:ascii="Arial" w:hAnsi="Arial" w:cs="Arial"/>
        </w:rPr>
      </w:pPr>
      <w:r>
        <w:rPr>
          <w:rFonts w:ascii="Arial" w:hAnsi="Arial" w:cs="Arial"/>
        </w:rPr>
        <w:br w:type="page"/>
      </w:r>
    </w:p>
    <w:p w:rsidR="005E1611" w:rsidRPr="0012043A" w:rsidRDefault="005E1611" w:rsidP="00534AF0">
      <w:pPr>
        <w:spacing w:line="480" w:lineRule="auto"/>
        <w:rPr>
          <w:rFonts w:ascii="Arial" w:hAnsi="Arial" w:cs="Arial"/>
        </w:rPr>
      </w:pPr>
      <w:r w:rsidRPr="0012043A">
        <w:rPr>
          <w:rFonts w:ascii="Arial" w:hAnsi="Arial" w:cs="Arial"/>
        </w:rPr>
        <w:lastRenderedPageBreak/>
        <w:t xml:space="preserve">Flow Cytometry: </w:t>
      </w:r>
      <w:r w:rsidRPr="0012043A">
        <w:rPr>
          <w:rFonts w:ascii="Arial" w:hAnsi="Arial" w:cs="Arial"/>
          <w:color w:val="222222"/>
          <w:lang w:val="en"/>
        </w:rPr>
        <w:t>PBMC samples at the indicated visits pre- and post-treatment initiation were thawed and stained with a fixable Aqua viability dye (Invitrogen) and a cocktail of antibodies to the following surface markers: CD8–Qdot605 (Invitrogen, 3B5), CD4–Qdot655 (Invitrogen, S3.5), PD-1–PE (BD, MIH4), LAG-3–FITC (Enzo, 17B4), ICOS–PE-Cy7 (</w:t>
      </w:r>
      <w:proofErr w:type="spellStart"/>
      <w:r w:rsidRPr="0012043A">
        <w:rPr>
          <w:rFonts w:ascii="Arial" w:hAnsi="Arial" w:cs="Arial"/>
          <w:color w:val="222222"/>
          <w:lang w:val="en"/>
        </w:rPr>
        <w:t>eBioscience</w:t>
      </w:r>
      <w:proofErr w:type="spellEnd"/>
      <w:r w:rsidRPr="0012043A">
        <w:rPr>
          <w:rFonts w:ascii="Arial" w:hAnsi="Arial" w:cs="Arial"/>
          <w:color w:val="222222"/>
          <w:lang w:val="en"/>
        </w:rPr>
        <w:t>, ISA-3), TIM-3–APC (R&amp;D Systems, 344823). Cells were next fixed and permeabilized with the FOXP3/Ki67 Fixation/Permeabilization Concentrate and Diluent (</w:t>
      </w:r>
      <w:proofErr w:type="spellStart"/>
      <w:r w:rsidRPr="0012043A">
        <w:rPr>
          <w:rFonts w:ascii="Arial" w:hAnsi="Arial" w:cs="Arial"/>
          <w:color w:val="222222"/>
          <w:lang w:val="en"/>
        </w:rPr>
        <w:t>eBioscience</w:t>
      </w:r>
      <w:proofErr w:type="spellEnd"/>
      <w:r w:rsidRPr="0012043A">
        <w:rPr>
          <w:rFonts w:ascii="Arial" w:hAnsi="Arial" w:cs="Arial"/>
          <w:color w:val="222222"/>
          <w:lang w:val="en"/>
        </w:rPr>
        <w:t>), and subsequently stained intracellularly with CD3–BV570 (</w:t>
      </w:r>
      <w:proofErr w:type="spellStart"/>
      <w:r w:rsidRPr="0012043A">
        <w:rPr>
          <w:rFonts w:ascii="Arial" w:hAnsi="Arial" w:cs="Arial"/>
          <w:color w:val="222222"/>
          <w:lang w:val="en"/>
        </w:rPr>
        <w:t>Biolegend</w:t>
      </w:r>
      <w:proofErr w:type="spellEnd"/>
      <w:r w:rsidRPr="0012043A">
        <w:rPr>
          <w:rFonts w:ascii="Arial" w:hAnsi="Arial" w:cs="Arial"/>
          <w:color w:val="222222"/>
          <w:lang w:val="en"/>
        </w:rPr>
        <w:t>, UCHT1), Ki67–AlexaFluor700 (BD), FOXP3-eFluor450 (</w:t>
      </w:r>
      <w:proofErr w:type="spellStart"/>
      <w:r w:rsidRPr="0012043A">
        <w:rPr>
          <w:rFonts w:ascii="Arial" w:hAnsi="Arial" w:cs="Arial"/>
          <w:color w:val="222222"/>
          <w:lang w:val="en"/>
        </w:rPr>
        <w:t>eBioscience</w:t>
      </w:r>
      <w:proofErr w:type="spellEnd"/>
      <w:r w:rsidRPr="0012043A">
        <w:rPr>
          <w:rFonts w:ascii="Arial" w:hAnsi="Arial" w:cs="Arial"/>
          <w:color w:val="222222"/>
          <w:lang w:val="en"/>
        </w:rPr>
        <w:t>), and CTLA-4–</w:t>
      </w:r>
      <w:proofErr w:type="spellStart"/>
      <w:r w:rsidRPr="0012043A">
        <w:rPr>
          <w:rFonts w:ascii="Arial" w:hAnsi="Arial" w:cs="Arial"/>
          <w:color w:val="222222"/>
          <w:lang w:val="en"/>
        </w:rPr>
        <w:t>PerCP</w:t>
      </w:r>
      <w:proofErr w:type="spellEnd"/>
      <w:r w:rsidRPr="0012043A">
        <w:rPr>
          <w:rFonts w:ascii="Arial" w:hAnsi="Arial" w:cs="Arial"/>
          <w:color w:val="222222"/>
          <w:lang w:val="en"/>
        </w:rPr>
        <w:t>–eFluor710 (</w:t>
      </w:r>
      <w:proofErr w:type="spellStart"/>
      <w:r w:rsidRPr="0012043A">
        <w:rPr>
          <w:rFonts w:ascii="Arial" w:hAnsi="Arial" w:cs="Arial"/>
          <w:color w:val="222222"/>
          <w:lang w:val="en"/>
        </w:rPr>
        <w:t>eBioscience</w:t>
      </w:r>
      <w:proofErr w:type="spellEnd"/>
      <w:r w:rsidRPr="0012043A">
        <w:rPr>
          <w:rFonts w:ascii="Arial" w:hAnsi="Arial" w:cs="Arial"/>
          <w:color w:val="222222"/>
          <w:lang w:val="en"/>
        </w:rPr>
        <w:t xml:space="preserve">). Stained cells were acquired on a BD Biosciences </w:t>
      </w:r>
      <w:proofErr w:type="spellStart"/>
      <w:r w:rsidRPr="0012043A">
        <w:rPr>
          <w:rFonts w:ascii="Arial" w:hAnsi="Arial" w:cs="Arial"/>
          <w:color w:val="222222"/>
          <w:lang w:val="en"/>
        </w:rPr>
        <w:t>LSRFortessa</w:t>
      </w:r>
      <w:proofErr w:type="spellEnd"/>
      <w:r w:rsidRPr="0012043A">
        <w:rPr>
          <w:rFonts w:ascii="Arial" w:hAnsi="Arial" w:cs="Arial"/>
          <w:color w:val="222222"/>
          <w:lang w:val="en"/>
        </w:rPr>
        <w:t xml:space="preserve"> and </w:t>
      </w:r>
      <w:proofErr w:type="spellStart"/>
      <w:r w:rsidRPr="0012043A">
        <w:rPr>
          <w:rFonts w:ascii="Arial" w:hAnsi="Arial" w:cs="Arial"/>
          <w:color w:val="222222"/>
          <w:lang w:val="en"/>
        </w:rPr>
        <w:t>analysed</w:t>
      </w:r>
      <w:proofErr w:type="spellEnd"/>
      <w:r w:rsidRPr="0012043A">
        <w:rPr>
          <w:rFonts w:ascii="Arial" w:hAnsi="Arial" w:cs="Arial"/>
          <w:color w:val="222222"/>
          <w:lang w:val="en"/>
        </w:rPr>
        <w:t xml:space="preserve"> using </w:t>
      </w:r>
      <w:proofErr w:type="spellStart"/>
      <w:r w:rsidRPr="0012043A">
        <w:rPr>
          <w:rFonts w:ascii="Arial" w:hAnsi="Arial" w:cs="Arial"/>
          <w:color w:val="222222"/>
          <w:lang w:val="en"/>
        </w:rPr>
        <w:t>FlowJo</w:t>
      </w:r>
      <w:proofErr w:type="spellEnd"/>
      <w:r w:rsidRPr="0012043A">
        <w:rPr>
          <w:rFonts w:ascii="Arial" w:hAnsi="Arial" w:cs="Arial"/>
          <w:color w:val="222222"/>
          <w:lang w:val="en"/>
        </w:rPr>
        <w:t xml:space="preserve"> software (</w:t>
      </w:r>
      <w:proofErr w:type="spellStart"/>
      <w:r w:rsidRPr="0012043A">
        <w:rPr>
          <w:rFonts w:ascii="Arial" w:hAnsi="Arial" w:cs="Arial"/>
          <w:color w:val="222222"/>
          <w:lang w:val="en"/>
        </w:rPr>
        <w:t>FlowJo</w:t>
      </w:r>
      <w:proofErr w:type="spellEnd"/>
      <w:r w:rsidRPr="0012043A">
        <w:rPr>
          <w:rFonts w:ascii="Arial" w:hAnsi="Arial" w:cs="Arial"/>
          <w:color w:val="222222"/>
          <w:lang w:val="en"/>
        </w:rPr>
        <w:t xml:space="preserve">, LLC). </w:t>
      </w:r>
      <w:r w:rsidRPr="0012043A">
        <w:rPr>
          <w:rFonts w:ascii="Arial" w:hAnsi="Arial" w:cs="Arial"/>
        </w:rPr>
        <w:t xml:space="preserve">Percentages of gated CD4 and CD8 T cell subsets within CD3+ lymphocytes expressing the various markers in the panel were determined using the appropriate fluorescence-conjugated isotype control antibodies after exclusion of non-viable cells and doublets. </w:t>
      </w:r>
    </w:p>
    <w:p w:rsidR="005E1611" w:rsidRPr="003D37A1" w:rsidRDefault="005E1611" w:rsidP="00534AF0">
      <w:pPr>
        <w:spacing w:line="480" w:lineRule="auto"/>
        <w:rPr>
          <w:rFonts w:ascii="Arial" w:hAnsi="Arial" w:cs="Arial"/>
        </w:rPr>
      </w:pPr>
      <w:r w:rsidRPr="003D37A1">
        <w:rPr>
          <w:rFonts w:ascii="Arial" w:hAnsi="Arial" w:cs="Arial"/>
        </w:rPr>
        <w:t xml:space="preserve">TCR Sequencing:  </w:t>
      </w:r>
      <w:r w:rsidRPr="003D37A1">
        <w:rPr>
          <w:rFonts w:ascii="Arial" w:hAnsi="Arial" w:cs="Arial"/>
          <w:color w:val="222222"/>
          <w:lang w:val="en"/>
        </w:rPr>
        <w:t xml:space="preserve"> </w:t>
      </w:r>
      <w:r>
        <w:rPr>
          <w:rFonts w:ascii="Arial" w:hAnsi="Arial" w:cs="Arial"/>
          <w:color w:val="222222"/>
          <w:lang w:val="en"/>
        </w:rPr>
        <w:t xml:space="preserve">Peripheral blood CD8 T cells were purified and isolated from PBMCs using BD Aria Sorter. DNA extraction, amplification, library preparation, sequencing, and preliminary bioinformatics analysis was performed by Adaptive Biotechnologies. Amplification and sequencing of TCRB CDR3 was performed at a survey level resolution using the </w:t>
      </w:r>
      <w:proofErr w:type="spellStart"/>
      <w:r>
        <w:rPr>
          <w:rFonts w:ascii="Arial" w:hAnsi="Arial" w:cs="Arial"/>
          <w:color w:val="222222"/>
          <w:lang w:val="en"/>
        </w:rPr>
        <w:t>immunoSEQ</w:t>
      </w:r>
      <w:proofErr w:type="spellEnd"/>
      <w:r>
        <w:rPr>
          <w:rFonts w:ascii="Arial" w:hAnsi="Arial" w:cs="Arial"/>
          <w:color w:val="222222"/>
          <w:lang w:val="en"/>
        </w:rPr>
        <w:t xml:space="preserve"> Platform (Adaptive Biotechnologies). Clone frequencies were then calculated by dividing the total count of each TCRB CDR3 amino acid sequence by the overall counts. The clone frequencies were used to assess individual TCR diversity, specifically the Simpson index on any sample as the sum of the all frequencies squared in the sample. </w:t>
      </w:r>
      <w:r>
        <w:rPr>
          <w:rFonts w:ascii="Arial" w:hAnsi="Arial" w:cs="Arial"/>
          <w:color w:val="222222"/>
          <w:lang w:bidi="he-IL"/>
        </w:rPr>
        <w:t>The Simpson index, which is the probability of choosing the same sequence twice when sampling from a population, was chosen as a diversity measure since it is less sensitive to sample depth. Strictly, it is a measure of clonality, with higher Simpson index for samples which are more dominated by large clones.</w:t>
      </w:r>
    </w:p>
    <w:p w:rsidR="005E1611" w:rsidRDefault="005E1611" w:rsidP="00534AF0">
      <w:pPr>
        <w:spacing w:line="480" w:lineRule="auto"/>
        <w:rPr>
          <w:rFonts w:ascii="Arial" w:hAnsi="Arial" w:cs="Arial"/>
        </w:rPr>
      </w:pPr>
      <w:r>
        <w:rPr>
          <w:rFonts w:ascii="Arial" w:hAnsi="Arial" w:cs="Arial"/>
        </w:rPr>
        <w:lastRenderedPageBreak/>
        <w:t xml:space="preserve">Luminex:  Human 62-plex kits were purchased from </w:t>
      </w:r>
      <w:proofErr w:type="spellStart"/>
      <w:r>
        <w:rPr>
          <w:rFonts w:ascii="Arial" w:hAnsi="Arial" w:cs="Arial"/>
        </w:rPr>
        <w:t>eBiosciences</w:t>
      </w:r>
      <w:proofErr w:type="spellEnd"/>
      <w:r>
        <w:rPr>
          <w:rFonts w:ascii="Arial" w:hAnsi="Arial" w:cs="Arial"/>
        </w:rPr>
        <w:t xml:space="preserve">/Affymetrix and used according to the manufacturer’s recommendations with modifications as described below. In brief, beads were added to a 96 well plate and washed in a </w:t>
      </w:r>
      <w:proofErr w:type="spellStart"/>
      <w:r>
        <w:rPr>
          <w:rFonts w:ascii="Arial" w:hAnsi="Arial" w:cs="Arial"/>
        </w:rPr>
        <w:t>Biotek</w:t>
      </w:r>
      <w:proofErr w:type="spellEnd"/>
      <w:r>
        <w:rPr>
          <w:rFonts w:ascii="Arial" w:hAnsi="Arial" w:cs="Arial"/>
        </w:rPr>
        <w:t xml:space="preserve"> ELx405 washer. Samples were added to the plate containing the mixed antibody-linked beads and incubated at room temperature for 1 hour, followed by overnight incubation at 4° C with shaking. Cold and room temperature incubation steps were performed on an orbital shaker at 500-600 rpm. Following the overnight incubation plates were washed in a </w:t>
      </w:r>
      <w:proofErr w:type="spellStart"/>
      <w:r>
        <w:rPr>
          <w:rFonts w:ascii="Arial" w:hAnsi="Arial" w:cs="Arial"/>
        </w:rPr>
        <w:t>Biotek</w:t>
      </w:r>
      <w:proofErr w:type="spellEnd"/>
      <w:r>
        <w:rPr>
          <w:rFonts w:ascii="Arial" w:hAnsi="Arial" w:cs="Arial"/>
        </w:rPr>
        <w:t xml:space="preserve"> ELx405 washer and then a biotinylated detection antibody was added for 75 minutes at room temperature with shaking. Plates were washed as above, and streptavidin-PE was added. After incubation for 30 minutes at room temperature, washing was performed as above and reading buffer was added to the wells. Each sample was measured in duplicate. Plates were read using a Luminex 200 instrument with a lower bound of 50 beads per sample per cytokine. Custom assay control beads by Radix </w:t>
      </w:r>
      <w:proofErr w:type="spellStart"/>
      <w:r>
        <w:rPr>
          <w:rFonts w:ascii="Arial" w:hAnsi="Arial" w:cs="Arial"/>
        </w:rPr>
        <w:t>Biosolutions</w:t>
      </w:r>
      <w:proofErr w:type="spellEnd"/>
      <w:r>
        <w:rPr>
          <w:rFonts w:ascii="Arial" w:hAnsi="Arial" w:cs="Arial"/>
        </w:rPr>
        <w:t xml:space="preserve"> were added to all wells. </w:t>
      </w:r>
    </w:p>
    <w:p w:rsidR="005E1611" w:rsidRDefault="005E1611" w:rsidP="00534AF0">
      <w:pPr>
        <w:spacing w:line="480" w:lineRule="auto"/>
        <w:rPr>
          <w:rFonts w:ascii="Arial" w:hAnsi="Arial" w:cs="Arial"/>
        </w:rPr>
      </w:pPr>
      <w:r>
        <w:rPr>
          <w:rFonts w:ascii="Arial" w:hAnsi="Arial" w:cs="Arial"/>
        </w:rPr>
        <w:t>List of cytokines tested: EGF, ENA7B, EOTAXIN, FGFB, GCSF, GMCSF, GROA, HGF, IFNA, IFNB, IFNG, IL10, IL12P40, IL12P70, IL13, IL15, IL17A, IL17F, IL18, IL1A, IL1B, IL1RA, IL2, IL21, IL22, IL23, IL27, IL31, IL4, IL5, IL6, IL7, IL8, IL9, IL10, LEPTIN, LIF, MCSF, MCP1, MCP3, MIG, MIP1A, MIP1B, PAI1, PGDFBB, RANTES, RESISTIN, CD40L, SCF, SDF1A, FASL, ICAM1, VCAM1, TGFA, TNFA, TNFB, TRAIL, VEGF, VEGFD</w:t>
      </w:r>
    </w:p>
    <w:p w:rsidR="00741BF6" w:rsidRDefault="00534AF0" w:rsidP="00534AF0"/>
    <w:sectPr w:rsidR="00741BF6" w:rsidSect="003E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11"/>
    <w:rsid w:val="00231E87"/>
    <w:rsid w:val="002D298E"/>
    <w:rsid w:val="00374147"/>
    <w:rsid w:val="003D6D03"/>
    <w:rsid w:val="003E64B6"/>
    <w:rsid w:val="00534AF0"/>
    <w:rsid w:val="005E1611"/>
    <w:rsid w:val="007E217A"/>
    <w:rsid w:val="007E4613"/>
    <w:rsid w:val="00BC3C3E"/>
    <w:rsid w:val="00E1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B976"/>
  <w15:chartTrackingRefBased/>
  <w15:docId w15:val="{6271BD3D-8B16-4FB8-A380-686C21B6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E1611"/>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3FE3-670B-4407-8D24-D2395112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Postow, Michael A./Medicine</dc:creator>
  <cp:keywords/>
  <dc:description/>
  <cp:lastModifiedBy>Mackey, Kimberly</cp:lastModifiedBy>
  <cp:revision>2</cp:revision>
  <dcterms:created xsi:type="dcterms:W3CDTF">2020-04-29T15:00:00Z</dcterms:created>
  <dcterms:modified xsi:type="dcterms:W3CDTF">2020-04-29T15:00:00Z</dcterms:modified>
</cp:coreProperties>
</file>