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9A" w:rsidRDefault="0022209A" w:rsidP="0022209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Supplemental Figure 1. Gene expression signatures for PRF1, CCR5, GZMA, CXCL9-11, IDO1, IFN-g, STAT1, HLA-DRA (10-gene set) were computed into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IFN-g score as shown by Ayers et al. The hashed line marks the mean score of non-responders. </w:t>
      </w:r>
    </w:p>
    <w:p w:rsidR="0022209A" w:rsidRDefault="0022209A" w:rsidP="0022209A">
      <w:pPr>
        <w:spacing w:line="360" w:lineRule="auto"/>
        <w:rPr>
          <w:rFonts w:cstheme="minorHAnsi"/>
        </w:rPr>
      </w:pPr>
      <w:r>
        <w:rPr>
          <w:rFonts w:cstheme="minorHAnsi"/>
        </w:rPr>
        <w:t>Supplemental Figure 2. Combination therapy causes treatment-related changes in cell type scores.</w:t>
      </w:r>
    </w:p>
    <w:p w:rsidR="0022209A" w:rsidRDefault="0022209A" w:rsidP="0022209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Supplementary Figure 3. Gating strategy for flow cytometry. Proliferating </w:t>
      </w:r>
      <w:proofErr w:type="spellStart"/>
      <w:r>
        <w:rPr>
          <w:rFonts w:cstheme="minorHAnsi"/>
        </w:rPr>
        <w:t>Temra</w:t>
      </w:r>
      <w:proofErr w:type="spellEnd"/>
      <w:r>
        <w:rPr>
          <w:rFonts w:cstheme="minorHAnsi"/>
        </w:rPr>
        <w:t>= Live, CD3+, CD8+, CD45RA+, CCR7</w:t>
      </w:r>
      <w:proofErr w:type="gramStart"/>
      <w:r>
        <w:rPr>
          <w:rFonts w:cstheme="minorHAnsi"/>
        </w:rPr>
        <w:t>-,Ki</w:t>
      </w:r>
      <w:proofErr w:type="gramEnd"/>
      <w:r>
        <w:rPr>
          <w:rFonts w:cstheme="minorHAnsi"/>
        </w:rPr>
        <w:t>-67+ cells. Proliferating PD-1+ cells = Live, CD3+, PD-1+ CTLA-4+, Ki-67+ cells.</w:t>
      </w:r>
    </w:p>
    <w:p w:rsidR="00E5594E" w:rsidRDefault="00E5594E" w:rsidP="0022209A">
      <w:pPr>
        <w:spacing w:line="360" w:lineRule="auto"/>
        <w:rPr>
          <w:rFonts w:cstheme="minorHAnsi"/>
        </w:rPr>
      </w:pPr>
    </w:p>
    <w:p w:rsidR="00E5594E" w:rsidRDefault="00E5594E" w:rsidP="0022209A">
      <w:pPr>
        <w:spacing w:line="36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Supplementary Tables 1. </w:t>
      </w:r>
      <w:r w:rsidRPr="00E5594E">
        <w:rPr>
          <w:rFonts w:cstheme="minorHAnsi"/>
        </w:rPr>
        <w:t>Fluorescence-conjugated antibody used for flow cytometry</w:t>
      </w:r>
      <w:r>
        <w:rPr>
          <w:rFonts w:cstheme="minorHAnsi"/>
        </w:rPr>
        <w:t>.</w:t>
      </w:r>
    </w:p>
    <w:p w:rsidR="00D23383" w:rsidRDefault="0022209A" w:rsidP="0022209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Supplementary Table 2. Objective response rate broken down by site and lesion. All measurements are by unidimensional measurements (RECIST).  </w:t>
      </w:r>
    </w:p>
    <w:p w:rsidR="00E5594E" w:rsidRDefault="00E5594E" w:rsidP="00E5594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Supplementary Table 3. All treatment related adverse events seen in at least 10% of all patients and all Grade 3 or higher adverse events. Higher grade (≥3) adverse events were uncommon. </w:t>
      </w:r>
    </w:p>
    <w:p w:rsidR="00E5594E" w:rsidRDefault="00E5594E" w:rsidP="0022209A">
      <w:pPr>
        <w:spacing w:line="360" w:lineRule="auto"/>
      </w:pPr>
    </w:p>
    <w:sectPr w:rsidR="00E5594E" w:rsidSect="001D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09A"/>
    <w:rsid w:val="001D67EC"/>
    <w:rsid w:val="0022209A"/>
    <w:rsid w:val="003A5D8C"/>
    <w:rsid w:val="007F4E02"/>
    <w:rsid w:val="00AD772A"/>
    <w:rsid w:val="00DD7EAF"/>
    <w:rsid w:val="00E5594E"/>
    <w:rsid w:val="00E967BE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0AFE"/>
  <w15:docId w15:val="{F3BBDA15-E5D9-4F7E-B48D-1CA6318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Mackey, Kimberly</cp:lastModifiedBy>
  <cp:revision>2</cp:revision>
  <dcterms:created xsi:type="dcterms:W3CDTF">2020-04-20T11:59:00Z</dcterms:created>
  <dcterms:modified xsi:type="dcterms:W3CDTF">2020-04-20T11:59:00Z</dcterms:modified>
</cp:coreProperties>
</file>