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6CC5A" w14:textId="77777777" w:rsidR="00F97939" w:rsidRPr="006D7385" w:rsidRDefault="00F97939" w:rsidP="00192654">
      <w:pPr>
        <w:spacing w:before="120" w:after="120" w:line="480" w:lineRule="auto"/>
        <w:jc w:val="both"/>
        <w:rPr>
          <w:rFonts w:ascii="Arial" w:hAnsi="Arial" w:cs="Arial"/>
          <w:b/>
          <w:caps/>
        </w:rPr>
      </w:pPr>
      <w:bookmarkStart w:id="0" w:name="_Hlk5208528"/>
      <w:bookmarkStart w:id="1" w:name="_GoBack"/>
      <w:bookmarkEnd w:id="1"/>
      <w:r w:rsidRPr="006D7385">
        <w:rPr>
          <w:rFonts w:ascii="Arial" w:hAnsi="Arial" w:cs="Arial"/>
          <w:b/>
          <w:caps/>
        </w:rPr>
        <w:t>Supplementa</w:t>
      </w:r>
      <w:r w:rsidR="001117C4">
        <w:rPr>
          <w:rFonts w:ascii="Arial" w:hAnsi="Arial" w:cs="Arial"/>
          <w:b/>
          <w:caps/>
        </w:rPr>
        <w:t xml:space="preserve">l </w:t>
      </w:r>
      <w:r w:rsidR="001555DA">
        <w:rPr>
          <w:rFonts w:ascii="Arial" w:hAnsi="Arial" w:cs="Arial"/>
          <w:b/>
          <w:caps/>
        </w:rPr>
        <w:t>F</w:t>
      </w:r>
      <w:r w:rsidR="000A7B7B">
        <w:rPr>
          <w:rFonts w:ascii="Arial" w:hAnsi="Arial" w:cs="Arial"/>
          <w:b/>
          <w:caps/>
        </w:rPr>
        <w:t>IGURE legends</w:t>
      </w:r>
    </w:p>
    <w:p w14:paraId="520A954D" w14:textId="6871D126" w:rsidR="00F97939" w:rsidRPr="0055126E" w:rsidRDefault="00F97939" w:rsidP="00192654">
      <w:p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Pr="0055126E">
        <w:rPr>
          <w:rFonts w:ascii="Arial" w:hAnsi="Arial" w:cs="Arial"/>
          <w:b/>
        </w:rPr>
        <w:t xml:space="preserve">igure </w:t>
      </w:r>
      <w:r>
        <w:rPr>
          <w:rFonts w:ascii="Arial" w:hAnsi="Arial" w:cs="Arial"/>
          <w:b/>
        </w:rPr>
        <w:t>S</w:t>
      </w:r>
      <w:r w:rsidRPr="0055126E">
        <w:rPr>
          <w:rFonts w:ascii="Arial" w:hAnsi="Arial" w:cs="Arial"/>
          <w:b/>
        </w:rPr>
        <w:t>1. Additional data from high content screening. A)</w:t>
      </w:r>
      <w:r w:rsidRPr="0055126E">
        <w:rPr>
          <w:rFonts w:ascii="Arial" w:hAnsi="Arial" w:cs="Arial"/>
        </w:rPr>
        <w:t xml:space="preserve"> Representative image acquisition by </w:t>
      </w:r>
      <w:proofErr w:type="spellStart"/>
      <w:r>
        <w:rPr>
          <w:rFonts w:ascii="Arial" w:hAnsi="Arial" w:cs="Arial"/>
        </w:rPr>
        <w:t>I</w:t>
      </w:r>
      <w:r w:rsidRPr="0055126E">
        <w:rPr>
          <w:rFonts w:ascii="Arial" w:hAnsi="Arial" w:cs="Arial"/>
        </w:rPr>
        <w:t>mageXpress</w:t>
      </w:r>
      <w:proofErr w:type="spellEnd"/>
      <w:r w:rsidRPr="0055126E">
        <w:rPr>
          <w:rFonts w:ascii="Arial" w:hAnsi="Arial" w:cs="Arial"/>
        </w:rPr>
        <w:t xml:space="preserve"> microscope</w:t>
      </w:r>
      <w:r>
        <w:rPr>
          <w:rFonts w:ascii="Arial" w:hAnsi="Arial" w:cs="Arial"/>
        </w:rPr>
        <w:t xml:space="preserve"> of a well (four images)</w:t>
      </w:r>
      <w:r w:rsidRPr="0055126E">
        <w:rPr>
          <w:rFonts w:ascii="Arial" w:hAnsi="Arial" w:cs="Arial"/>
        </w:rPr>
        <w:t xml:space="preserve"> from 384 well plates. Left, negative control well. Right, </w:t>
      </w:r>
      <w:proofErr w:type="spellStart"/>
      <w:r w:rsidRPr="0055126E">
        <w:rPr>
          <w:rFonts w:ascii="Arial" w:hAnsi="Arial" w:cs="Arial"/>
        </w:rPr>
        <w:t>epirubicin</w:t>
      </w:r>
      <w:proofErr w:type="spellEnd"/>
      <w:r w:rsidRPr="0055126E">
        <w:rPr>
          <w:rFonts w:ascii="Arial" w:hAnsi="Arial" w:cs="Arial"/>
        </w:rPr>
        <w:t xml:space="preserve"> treatment</w:t>
      </w:r>
      <w:r>
        <w:rPr>
          <w:rFonts w:ascii="Arial" w:hAnsi="Arial" w:cs="Arial"/>
        </w:rPr>
        <w:t>. Blue, yellow and red dots represent separated nuclei from cells identified by cell profiler software</w:t>
      </w:r>
      <w:r w:rsidRPr="0055126E">
        <w:rPr>
          <w:rFonts w:ascii="Arial" w:hAnsi="Arial" w:cs="Arial"/>
        </w:rPr>
        <w:t>.</w:t>
      </w:r>
      <w:r w:rsidRPr="0055126E">
        <w:rPr>
          <w:rFonts w:ascii="Arial" w:hAnsi="Arial" w:cs="Arial"/>
          <w:b/>
        </w:rPr>
        <w:t xml:space="preserve"> B-F)</w:t>
      </w:r>
      <w:r w:rsidRPr="0055126E">
        <w:rPr>
          <w:rFonts w:ascii="Arial" w:hAnsi="Arial" w:cs="Arial"/>
        </w:rPr>
        <w:t xml:space="preserve"> Survival assays in FA cells (FA primary fibroblasts, and three different FA HNSCC cell lines) for AEE788 (B), </w:t>
      </w:r>
      <w:proofErr w:type="spellStart"/>
      <w:r w:rsidRPr="0055126E">
        <w:rPr>
          <w:rFonts w:ascii="Arial" w:hAnsi="Arial" w:cs="Arial"/>
        </w:rPr>
        <w:t>vandetanib</w:t>
      </w:r>
      <w:proofErr w:type="spellEnd"/>
      <w:r w:rsidRPr="0055126E">
        <w:rPr>
          <w:rFonts w:ascii="Arial" w:hAnsi="Arial" w:cs="Arial"/>
        </w:rPr>
        <w:t xml:space="preserve"> (C), AZD9291 (D), CO1686 (E) and </w:t>
      </w:r>
      <w:proofErr w:type="spellStart"/>
      <w:r w:rsidRPr="0055126E">
        <w:rPr>
          <w:rFonts w:ascii="Arial" w:hAnsi="Arial" w:cs="Arial"/>
        </w:rPr>
        <w:t>ceritinib</w:t>
      </w:r>
      <w:proofErr w:type="spellEnd"/>
      <w:r w:rsidRPr="0055126E">
        <w:rPr>
          <w:rFonts w:ascii="Arial" w:hAnsi="Arial" w:cs="Arial"/>
        </w:rPr>
        <w:t xml:space="preserve"> (F). Graphs show mean +/- SEM of at least three independent experiments with similar results.</w:t>
      </w:r>
      <w:r>
        <w:rPr>
          <w:rFonts w:ascii="Arial" w:hAnsi="Arial" w:cs="Arial"/>
        </w:rPr>
        <w:t xml:space="preserve"> Cell line legend shown in the upper right.</w:t>
      </w:r>
      <w:r w:rsidRPr="0055126E">
        <w:rPr>
          <w:rFonts w:ascii="Arial" w:hAnsi="Arial" w:cs="Arial"/>
          <w:b/>
        </w:rPr>
        <w:t xml:space="preserve"> </w:t>
      </w:r>
      <w:r w:rsidR="00D3607F">
        <w:rPr>
          <w:rFonts w:ascii="Arial" w:hAnsi="Arial" w:cs="Arial"/>
        </w:rPr>
        <w:t xml:space="preserve"> G) Survival assay in cells treated with cetuximab (10 µg/ml). Graph shows mean +/- SEM of at least three independent experiments. H) Survival assay in non-FA HNSCC cell lines treated with </w:t>
      </w:r>
      <w:proofErr w:type="spellStart"/>
      <w:r w:rsidR="00D3607F">
        <w:rPr>
          <w:rFonts w:ascii="Arial" w:hAnsi="Arial" w:cs="Arial"/>
        </w:rPr>
        <w:t>afatinib</w:t>
      </w:r>
      <w:proofErr w:type="spellEnd"/>
      <w:r w:rsidR="00D3607F">
        <w:rPr>
          <w:rFonts w:ascii="Arial" w:hAnsi="Arial" w:cs="Arial"/>
        </w:rPr>
        <w:t>. Graph shows mean +/- SD of two independent experiments.</w:t>
      </w:r>
    </w:p>
    <w:p w14:paraId="7B0E8781" w14:textId="77777777" w:rsidR="00F97939" w:rsidRDefault="00F97939" w:rsidP="00192654">
      <w:pPr>
        <w:pStyle w:val="Default"/>
        <w:spacing w:before="120" w:after="120" w:line="48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F</w:t>
      </w:r>
      <w:r w:rsidRPr="0055126E">
        <w:rPr>
          <w:rFonts w:ascii="Arial" w:hAnsi="Arial" w:cs="Arial"/>
          <w:b/>
          <w:sz w:val="22"/>
          <w:szCs w:val="22"/>
          <w:lang w:val="en-US"/>
        </w:rPr>
        <w:t xml:space="preserve">igure </w:t>
      </w:r>
      <w:r>
        <w:rPr>
          <w:rFonts w:ascii="Arial" w:hAnsi="Arial" w:cs="Arial"/>
          <w:b/>
          <w:sz w:val="22"/>
          <w:szCs w:val="22"/>
          <w:lang w:val="en-US"/>
        </w:rPr>
        <w:t>S</w:t>
      </w:r>
      <w:r w:rsidRPr="0055126E">
        <w:rPr>
          <w:rFonts w:ascii="Arial" w:hAnsi="Arial" w:cs="Arial"/>
          <w:b/>
          <w:sz w:val="22"/>
          <w:szCs w:val="22"/>
          <w:lang w:val="en-US"/>
        </w:rPr>
        <w:t xml:space="preserve">2. Additional data on gefitinib and </w:t>
      </w:r>
      <w:proofErr w:type="spellStart"/>
      <w:r w:rsidRPr="0055126E">
        <w:rPr>
          <w:rFonts w:ascii="Arial" w:hAnsi="Arial" w:cs="Arial"/>
          <w:b/>
          <w:sz w:val="22"/>
          <w:szCs w:val="22"/>
          <w:lang w:val="en-US"/>
        </w:rPr>
        <w:t>afatinib</w:t>
      </w:r>
      <w:proofErr w:type="spellEnd"/>
      <w:r w:rsidRPr="0055126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55126E">
        <w:rPr>
          <w:rFonts w:ascii="Arial" w:hAnsi="Arial" w:cs="Arial"/>
          <w:b/>
          <w:i/>
          <w:sz w:val="22"/>
          <w:szCs w:val="22"/>
          <w:lang w:val="en-US"/>
        </w:rPr>
        <w:t>in vivo</w:t>
      </w:r>
      <w:r w:rsidRPr="0055126E">
        <w:rPr>
          <w:rFonts w:ascii="Arial" w:hAnsi="Arial" w:cs="Arial"/>
          <w:b/>
          <w:sz w:val="22"/>
          <w:szCs w:val="22"/>
          <w:lang w:val="en-US"/>
        </w:rPr>
        <w:t xml:space="preserve"> mouse xenograft experiments. Weight control. A</w:t>
      </w:r>
      <w:r>
        <w:rPr>
          <w:rFonts w:ascii="Arial" w:hAnsi="Arial" w:cs="Arial"/>
          <w:b/>
          <w:bCs/>
          <w:color w:val="auto"/>
          <w:sz w:val="22"/>
          <w:szCs w:val="22"/>
          <w:lang w:val="en-US"/>
        </w:rPr>
        <w:t>-D</w:t>
      </w:r>
      <w:r w:rsidRPr="0055126E">
        <w:rPr>
          <w:rFonts w:ascii="Arial" w:hAnsi="Arial" w:cs="Arial"/>
          <w:b/>
          <w:bCs/>
          <w:color w:val="auto"/>
          <w:sz w:val="22"/>
          <w:szCs w:val="22"/>
          <w:lang w:val="en-US"/>
        </w:rPr>
        <w:t xml:space="preserve">) </w:t>
      </w:r>
      <w:r w:rsidRPr="0055126E">
        <w:rPr>
          <w:rFonts w:ascii="Arial" w:hAnsi="Arial" w:cs="Arial"/>
          <w:color w:val="auto"/>
          <w:sz w:val="22"/>
          <w:szCs w:val="22"/>
          <w:lang w:val="en-US"/>
        </w:rPr>
        <w:t>Body weight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(upper panel) an</w:t>
      </w:r>
      <w:r w:rsidRPr="0055126E">
        <w:rPr>
          <w:rFonts w:ascii="Arial" w:hAnsi="Arial" w:cs="Arial"/>
          <w:color w:val="auto"/>
          <w:sz w:val="22"/>
          <w:szCs w:val="22"/>
          <w:lang w:val="en-US"/>
        </w:rPr>
        <w:t xml:space="preserve">d 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percentage </w:t>
      </w:r>
      <w:r w:rsidRPr="0055126E">
        <w:rPr>
          <w:rFonts w:ascii="Arial" w:hAnsi="Arial" w:cs="Arial"/>
          <w:color w:val="auto"/>
          <w:sz w:val="22"/>
          <w:szCs w:val="22"/>
          <w:lang w:val="en-US"/>
        </w:rPr>
        <w:t xml:space="preserve">body weight </w:t>
      </w:r>
      <w:r>
        <w:rPr>
          <w:rFonts w:ascii="Arial" w:hAnsi="Arial" w:cs="Arial"/>
          <w:color w:val="auto"/>
          <w:sz w:val="22"/>
          <w:szCs w:val="22"/>
          <w:lang w:val="en-US"/>
        </w:rPr>
        <w:t>(lower panel). A-B</w:t>
      </w:r>
      <w:r w:rsidRPr="0055126E">
        <w:rPr>
          <w:rFonts w:ascii="Arial" w:hAnsi="Arial" w:cs="Arial"/>
          <w:color w:val="auto"/>
          <w:sz w:val="22"/>
          <w:szCs w:val="22"/>
          <w:lang w:val="en-US"/>
        </w:rPr>
        <w:t xml:space="preserve">) Gefitinib treatment. 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C-D) </w:t>
      </w:r>
      <w:proofErr w:type="spellStart"/>
      <w:r>
        <w:rPr>
          <w:rFonts w:ascii="Arial" w:hAnsi="Arial" w:cs="Arial"/>
          <w:color w:val="auto"/>
          <w:sz w:val="22"/>
          <w:szCs w:val="22"/>
          <w:lang w:val="en-US"/>
        </w:rPr>
        <w:t>Afatinib</w:t>
      </w:r>
      <w:proofErr w:type="spellEnd"/>
      <w:r>
        <w:rPr>
          <w:rFonts w:ascii="Arial" w:hAnsi="Arial" w:cs="Arial"/>
          <w:color w:val="auto"/>
          <w:sz w:val="22"/>
          <w:szCs w:val="22"/>
          <w:lang w:val="en-US"/>
        </w:rPr>
        <w:t xml:space="preserve"> treatment. A, C</w:t>
      </w:r>
      <w:r w:rsidRPr="0055126E">
        <w:rPr>
          <w:rFonts w:ascii="Arial" w:hAnsi="Arial" w:cs="Arial"/>
          <w:color w:val="auto"/>
          <w:sz w:val="22"/>
          <w:szCs w:val="22"/>
          <w:lang w:val="en-US"/>
        </w:rPr>
        <w:t xml:space="preserve">) FA HNSCC 1604 cell line. </w:t>
      </w:r>
      <w:r>
        <w:rPr>
          <w:rFonts w:ascii="Arial" w:hAnsi="Arial" w:cs="Arial"/>
          <w:color w:val="auto"/>
          <w:sz w:val="22"/>
          <w:szCs w:val="22"/>
          <w:lang w:val="en-US"/>
        </w:rPr>
        <w:t>B, D</w:t>
      </w:r>
      <w:r w:rsidRPr="0055126E">
        <w:rPr>
          <w:rFonts w:ascii="Arial" w:hAnsi="Arial" w:cs="Arial"/>
          <w:color w:val="auto"/>
          <w:sz w:val="22"/>
          <w:szCs w:val="22"/>
          <w:lang w:val="en-US"/>
        </w:rPr>
        <w:t xml:space="preserve">) FA HNSCC 1131 cell line. </w:t>
      </w:r>
      <w:r w:rsidRPr="00010918">
        <w:rPr>
          <w:rFonts w:ascii="Arial" w:hAnsi="Arial" w:cs="Arial"/>
          <w:b/>
          <w:color w:val="auto"/>
          <w:sz w:val="22"/>
          <w:szCs w:val="22"/>
          <w:lang w:val="en-US"/>
        </w:rPr>
        <w:t>E-L)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Tumor weight mean at end-point (E, G, I, K) and percentage of tumor volume change at baseline (start of treatment) (F, H, J, L) for individual tumors (from Figures 4A-B and 5A-B). E-H) Gefitinib treatment. I-L) </w:t>
      </w:r>
      <w:proofErr w:type="spellStart"/>
      <w:r>
        <w:rPr>
          <w:rFonts w:ascii="Arial" w:hAnsi="Arial" w:cs="Arial"/>
          <w:color w:val="auto"/>
          <w:sz w:val="22"/>
          <w:szCs w:val="22"/>
          <w:lang w:val="en-US"/>
        </w:rPr>
        <w:t>Afatinib</w:t>
      </w:r>
      <w:proofErr w:type="spellEnd"/>
      <w:r>
        <w:rPr>
          <w:rFonts w:ascii="Arial" w:hAnsi="Arial" w:cs="Arial"/>
          <w:color w:val="auto"/>
          <w:sz w:val="22"/>
          <w:szCs w:val="22"/>
          <w:lang w:val="en-US"/>
        </w:rPr>
        <w:t xml:space="preserve"> treatment. E, F, I, J) FA HNSCC 1604 cell line. (G, H, K, L) FA HNSCC 1131 cell line. </w:t>
      </w:r>
      <w:r w:rsidRPr="0055126E">
        <w:rPr>
          <w:rFonts w:ascii="Arial" w:hAnsi="Arial" w:cs="Arial"/>
          <w:color w:val="auto"/>
          <w:sz w:val="22"/>
          <w:szCs w:val="22"/>
          <w:lang w:val="en-US"/>
        </w:rPr>
        <w:t>The arrow</w:t>
      </w:r>
      <w:r>
        <w:rPr>
          <w:rFonts w:ascii="Arial" w:hAnsi="Arial" w:cs="Arial"/>
          <w:color w:val="auto"/>
          <w:sz w:val="22"/>
          <w:szCs w:val="22"/>
          <w:lang w:val="en-US"/>
        </w:rPr>
        <w:t>s</w:t>
      </w:r>
      <w:r w:rsidRPr="0055126E">
        <w:rPr>
          <w:rFonts w:ascii="Arial" w:hAnsi="Arial" w:cs="Arial"/>
          <w:color w:val="auto"/>
          <w:sz w:val="22"/>
          <w:szCs w:val="22"/>
          <w:lang w:val="en-US"/>
        </w:rPr>
        <w:t xml:space="preserve"> indicate the start of the treatment.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Dashed lines indicate transitions between RECIST categories. </w:t>
      </w:r>
      <w:r w:rsidRPr="008009C7">
        <w:rPr>
          <w:rFonts w:ascii="Arial" w:hAnsi="Arial" w:cs="Arial"/>
          <w:color w:val="auto"/>
          <w:sz w:val="22"/>
          <w:szCs w:val="22"/>
          <w:lang w:val="en-US"/>
        </w:rPr>
        <w:t xml:space="preserve">Dashed lines 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in F, H, J and L </w:t>
      </w:r>
      <w:r w:rsidRPr="008009C7">
        <w:rPr>
          <w:rFonts w:ascii="Arial" w:hAnsi="Arial" w:cs="Arial"/>
          <w:color w:val="auto"/>
          <w:sz w:val="22"/>
          <w:szCs w:val="22"/>
          <w:lang w:val="en-US"/>
        </w:rPr>
        <w:t>represent 20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Pr="008009C7">
        <w:rPr>
          <w:rFonts w:ascii="Arial" w:hAnsi="Arial" w:cs="Arial"/>
          <w:color w:val="auto"/>
          <w:sz w:val="22"/>
          <w:szCs w:val="22"/>
          <w:lang w:val="en-US"/>
        </w:rPr>
        <w:t xml:space="preserve">% volume above and 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- </w:t>
      </w:r>
      <w:r w:rsidRPr="008009C7">
        <w:rPr>
          <w:rFonts w:ascii="Arial" w:hAnsi="Arial" w:cs="Arial"/>
          <w:color w:val="auto"/>
          <w:sz w:val="22"/>
          <w:szCs w:val="22"/>
          <w:lang w:val="en-US"/>
        </w:rPr>
        <w:t>30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Pr="008009C7">
        <w:rPr>
          <w:rFonts w:ascii="Arial" w:hAnsi="Arial" w:cs="Arial"/>
          <w:color w:val="auto"/>
          <w:sz w:val="22"/>
          <w:szCs w:val="22"/>
          <w:lang w:val="en-US"/>
        </w:rPr>
        <w:t>% below the X axis.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All graphs show</w:t>
      </w:r>
      <w:r w:rsidRPr="000B2A22">
        <w:t xml:space="preserve"> </w:t>
      </w:r>
      <w:r w:rsidRPr="000B2A22">
        <w:rPr>
          <w:rFonts w:ascii="Arial" w:hAnsi="Arial" w:cs="Arial"/>
          <w:color w:val="auto"/>
          <w:sz w:val="22"/>
          <w:szCs w:val="22"/>
          <w:lang w:val="en-US"/>
        </w:rPr>
        <w:t>mean +/- SEM</w:t>
      </w:r>
      <w:r>
        <w:rPr>
          <w:rFonts w:ascii="Arial" w:hAnsi="Arial" w:cs="Arial"/>
          <w:color w:val="auto"/>
          <w:sz w:val="22"/>
          <w:szCs w:val="22"/>
          <w:lang w:val="en-US"/>
        </w:rPr>
        <w:t>.  Student’s T-test:</w:t>
      </w:r>
      <w:r w:rsidRPr="0055126E">
        <w:rPr>
          <w:rFonts w:ascii="Arial" w:hAnsi="Arial" w:cs="Arial"/>
          <w:color w:val="auto"/>
          <w:sz w:val="22"/>
          <w:szCs w:val="22"/>
          <w:lang w:val="en-US"/>
        </w:rPr>
        <w:t xml:space="preserve"> * p&lt;0.05, ** p&lt;0.01, *</w:t>
      </w:r>
      <w:r>
        <w:rPr>
          <w:rFonts w:ascii="Arial" w:hAnsi="Arial" w:cs="Arial"/>
          <w:color w:val="auto"/>
          <w:sz w:val="22"/>
          <w:szCs w:val="22"/>
          <w:lang w:val="en-US"/>
        </w:rPr>
        <w:t>*</w:t>
      </w:r>
      <w:r w:rsidRPr="0055126E">
        <w:rPr>
          <w:rFonts w:ascii="Arial" w:hAnsi="Arial" w:cs="Arial"/>
          <w:color w:val="auto"/>
          <w:sz w:val="22"/>
          <w:szCs w:val="22"/>
          <w:lang w:val="en-US"/>
        </w:rPr>
        <w:t>* p&lt;0.</w:t>
      </w:r>
      <w:r>
        <w:rPr>
          <w:rFonts w:ascii="Arial" w:hAnsi="Arial" w:cs="Arial"/>
          <w:color w:val="auto"/>
          <w:sz w:val="22"/>
          <w:szCs w:val="22"/>
          <w:lang w:val="en-US"/>
        </w:rPr>
        <w:t>0</w:t>
      </w:r>
      <w:r w:rsidRPr="0055126E">
        <w:rPr>
          <w:rFonts w:ascii="Arial" w:hAnsi="Arial" w:cs="Arial"/>
          <w:color w:val="auto"/>
          <w:sz w:val="22"/>
          <w:szCs w:val="22"/>
          <w:lang w:val="en-US"/>
        </w:rPr>
        <w:t>01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, </w:t>
      </w:r>
      <w:r w:rsidRPr="0055126E">
        <w:rPr>
          <w:rFonts w:ascii="Arial" w:hAnsi="Arial" w:cs="Arial"/>
          <w:color w:val="auto"/>
          <w:sz w:val="22"/>
          <w:szCs w:val="22"/>
          <w:lang w:val="en-US"/>
        </w:rPr>
        <w:t>**** p&lt;0.0001.</w:t>
      </w:r>
    </w:p>
    <w:p w14:paraId="77716C93" w14:textId="77777777" w:rsidR="00F97939" w:rsidRPr="0055126E" w:rsidRDefault="00F97939" w:rsidP="00192654">
      <w:pPr>
        <w:pStyle w:val="Default"/>
        <w:spacing w:before="120" w:after="120" w:line="480" w:lineRule="auto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F</w:t>
      </w:r>
      <w:r w:rsidRPr="0055126E">
        <w:rPr>
          <w:rFonts w:ascii="Arial" w:hAnsi="Arial" w:cs="Arial"/>
          <w:b/>
          <w:sz w:val="22"/>
          <w:szCs w:val="22"/>
          <w:lang w:val="en-US"/>
        </w:rPr>
        <w:t xml:space="preserve">igure </w:t>
      </w:r>
      <w:r>
        <w:rPr>
          <w:rFonts w:ascii="Arial" w:hAnsi="Arial" w:cs="Arial"/>
          <w:b/>
          <w:sz w:val="22"/>
          <w:szCs w:val="22"/>
          <w:lang w:val="en-US"/>
        </w:rPr>
        <w:t>S3</w:t>
      </w:r>
      <w:r w:rsidRPr="0055126E">
        <w:rPr>
          <w:rFonts w:ascii="Arial" w:hAnsi="Arial" w:cs="Arial"/>
          <w:b/>
          <w:sz w:val="22"/>
          <w:szCs w:val="22"/>
          <w:lang w:val="en-US"/>
        </w:rPr>
        <w:t>. Additional immunoh</w:t>
      </w:r>
      <w:r>
        <w:rPr>
          <w:rFonts w:ascii="Arial" w:hAnsi="Arial" w:cs="Arial"/>
          <w:b/>
          <w:sz w:val="22"/>
          <w:szCs w:val="22"/>
          <w:lang w:val="en-US"/>
        </w:rPr>
        <w:t>i</w:t>
      </w:r>
      <w:r w:rsidRPr="0055126E">
        <w:rPr>
          <w:rFonts w:ascii="Arial" w:hAnsi="Arial" w:cs="Arial"/>
          <w:b/>
          <w:sz w:val="22"/>
          <w:szCs w:val="22"/>
          <w:lang w:val="en-US"/>
        </w:rPr>
        <w:t xml:space="preserve">stochemistry images from tumor xenografts. </w:t>
      </w:r>
      <w:r w:rsidRPr="0055126E">
        <w:rPr>
          <w:rFonts w:ascii="Arial" w:hAnsi="Arial" w:cs="Arial"/>
          <w:color w:val="auto"/>
          <w:sz w:val="22"/>
          <w:szCs w:val="22"/>
          <w:lang w:val="en-US"/>
        </w:rPr>
        <w:t xml:space="preserve">Immunohistochemistry of phospho-ERK activation in representative </w:t>
      </w:r>
      <w:r>
        <w:rPr>
          <w:rFonts w:ascii="Arial" w:hAnsi="Arial" w:cs="Arial"/>
          <w:color w:val="auto"/>
          <w:sz w:val="22"/>
          <w:szCs w:val="22"/>
          <w:lang w:val="en-US"/>
        </w:rPr>
        <w:t>FFPE</w:t>
      </w:r>
      <w:r w:rsidRPr="0055126E">
        <w:rPr>
          <w:rFonts w:ascii="Arial" w:hAnsi="Arial" w:cs="Arial"/>
          <w:color w:val="auto"/>
          <w:sz w:val="22"/>
          <w:szCs w:val="22"/>
          <w:lang w:val="en-US"/>
        </w:rPr>
        <w:t xml:space="preserve"> tumors from xenografts treated with vehicles or gefitinib (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left) and </w:t>
      </w:r>
      <w:proofErr w:type="spellStart"/>
      <w:r>
        <w:rPr>
          <w:rFonts w:ascii="Arial" w:hAnsi="Arial" w:cs="Arial"/>
          <w:color w:val="auto"/>
          <w:sz w:val="22"/>
          <w:szCs w:val="22"/>
          <w:lang w:val="en-US"/>
        </w:rPr>
        <w:t>afatinib</w:t>
      </w:r>
      <w:proofErr w:type="spellEnd"/>
      <w:r>
        <w:rPr>
          <w:rFonts w:ascii="Arial" w:hAnsi="Arial" w:cs="Arial"/>
          <w:color w:val="auto"/>
          <w:sz w:val="22"/>
          <w:szCs w:val="22"/>
          <w:lang w:val="en-US"/>
        </w:rPr>
        <w:t xml:space="preserve"> (right) in 1604 (A) or </w:t>
      </w:r>
      <w:r w:rsidRPr="0055126E">
        <w:rPr>
          <w:rFonts w:ascii="Arial" w:hAnsi="Arial" w:cs="Arial"/>
          <w:color w:val="auto"/>
          <w:sz w:val="22"/>
          <w:szCs w:val="22"/>
          <w:lang w:val="en-US"/>
        </w:rPr>
        <w:t>1131 (B) FA HNSCCs.</w:t>
      </w:r>
    </w:p>
    <w:p w14:paraId="555F4866" w14:textId="77777777" w:rsidR="00F97939" w:rsidRPr="0055126E" w:rsidRDefault="00F97939" w:rsidP="00192654">
      <w:pPr>
        <w:autoSpaceDE w:val="0"/>
        <w:autoSpaceDN w:val="0"/>
        <w:adjustRightInd w:val="0"/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Figure S4</w:t>
      </w:r>
      <w:r w:rsidRPr="0055126E">
        <w:rPr>
          <w:rFonts w:ascii="Arial" w:hAnsi="Arial" w:cs="Arial"/>
          <w:b/>
        </w:rPr>
        <w:t xml:space="preserve">. Additional data on toxicity experiments in </w:t>
      </w:r>
      <w:proofErr w:type="spellStart"/>
      <w:r w:rsidRPr="00290D59">
        <w:rPr>
          <w:rFonts w:ascii="Arial" w:hAnsi="Arial" w:cs="Arial"/>
          <w:b/>
          <w:i/>
        </w:rPr>
        <w:t>Fanca</w:t>
      </w:r>
      <w:proofErr w:type="spellEnd"/>
      <w:r w:rsidRPr="0055126E">
        <w:rPr>
          <w:rFonts w:ascii="Arial" w:hAnsi="Arial" w:cs="Arial"/>
          <w:b/>
        </w:rPr>
        <w:t xml:space="preserve">-deficient mice. </w:t>
      </w:r>
      <w:r w:rsidRPr="0055126E">
        <w:rPr>
          <w:rFonts w:ascii="Arial" w:hAnsi="Arial" w:cs="Arial"/>
        </w:rPr>
        <w:t xml:space="preserve">White blood cells (A, E), hemoglobin (B, F), hematocrit (C, G) at 0 and 14 days of vehicle, gefitinib or </w:t>
      </w:r>
      <w:proofErr w:type="spellStart"/>
      <w:r w:rsidRPr="0055126E">
        <w:rPr>
          <w:rFonts w:ascii="Arial" w:hAnsi="Arial" w:cs="Arial"/>
        </w:rPr>
        <w:t>afatinib</w:t>
      </w:r>
      <w:proofErr w:type="spellEnd"/>
      <w:r w:rsidRPr="0055126E">
        <w:rPr>
          <w:rFonts w:ascii="Arial" w:hAnsi="Arial" w:cs="Arial"/>
        </w:rPr>
        <w:t xml:space="preserve"> treatment. D) Percentage body weight from day 7 after</w:t>
      </w:r>
      <w:r>
        <w:rPr>
          <w:rFonts w:ascii="Arial" w:hAnsi="Arial" w:cs="Arial"/>
        </w:rPr>
        <w:t xml:space="preserve"> reducing</w:t>
      </w:r>
      <w:r w:rsidRPr="0055126E">
        <w:rPr>
          <w:rFonts w:ascii="Arial" w:hAnsi="Arial" w:cs="Arial"/>
        </w:rPr>
        <w:t xml:space="preserve"> </w:t>
      </w:r>
      <w:proofErr w:type="spellStart"/>
      <w:r w:rsidRPr="0055126E">
        <w:rPr>
          <w:rFonts w:ascii="Arial" w:hAnsi="Arial" w:cs="Arial"/>
        </w:rPr>
        <w:t>afatinib</w:t>
      </w:r>
      <w:proofErr w:type="spellEnd"/>
      <w:r w:rsidRPr="0055126E">
        <w:rPr>
          <w:rFonts w:ascii="Arial" w:hAnsi="Arial" w:cs="Arial"/>
        </w:rPr>
        <w:t xml:space="preserve"> dos</w:t>
      </w:r>
      <w:r>
        <w:rPr>
          <w:rFonts w:ascii="Arial" w:hAnsi="Arial" w:cs="Arial"/>
        </w:rPr>
        <w:t>age</w:t>
      </w:r>
      <w:r w:rsidRPr="0055126E">
        <w:rPr>
          <w:rFonts w:ascii="Arial" w:hAnsi="Arial" w:cs="Arial"/>
        </w:rPr>
        <w:t>. Dashed blue lines show physiologic range of white blood cells, hemoglobin or hematocrit.</w:t>
      </w:r>
      <w:r>
        <w:rPr>
          <w:rFonts w:ascii="Arial" w:hAnsi="Arial" w:cs="Arial"/>
        </w:rPr>
        <w:t xml:space="preserve"> Graphs </w:t>
      </w:r>
      <w:r w:rsidRPr="003218B3">
        <w:rPr>
          <w:rFonts w:ascii="Arial" w:hAnsi="Arial" w:cs="Arial"/>
        </w:rPr>
        <w:t xml:space="preserve">show </w:t>
      </w:r>
      <w:r>
        <w:rPr>
          <w:rFonts w:ascii="Arial" w:hAnsi="Arial" w:cs="Arial"/>
        </w:rPr>
        <w:t xml:space="preserve">data for individual mouse (green dots, wild type, red dots, </w:t>
      </w:r>
      <w:proofErr w:type="spellStart"/>
      <w:r w:rsidRPr="00A162DF">
        <w:rPr>
          <w:rFonts w:ascii="Arial" w:hAnsi="Arial" w:cs="Arial"/>
          <w:i/>
        </w:rPr>
        <w:t>Fanca</w:t>
      </w:r>
      <w:proofErr w:type="spellEnd"/>
      <w:r>
        <w:rPr>
          <w:rFonts w:ascii="Arial" w:hAnsi="Arial" w:cs="Arial"/>
        </w:rPr>
        <w:t xml:space="preserve">-deficient) and </w:t>
      </w:r>
      <w:r w:rsidRPr="000B2A22">
        <w:rPr>
          <w:rFonts w:ascii="Arial" w:hAnsi="Arial" w:cs="Arial"/>
        </w:rPr>
        <w:t>mean +/- SEM</w:t>
      </w:r>
      <w:r>
        <w:rPr>
          <w:rFonts w:ascii="Arial" w:hAnsi="Arial" w:cs="Arial"/>
        </w:rPr>
        <w:t>.  Student’s T-test: ns: not significant,</w:t>
      </w:r>
      <w:r w:rsidRPr="0055126E">
        <w:rPr>
          <w:rFonts w:ascii="Arial" w:hAnsi="Arial" w:cs="Arial"/>
        </w:rPr>
        <w:t xml:space="preserve"> * p&lt;0.05, ** p&lt;0.01</w:t>
      </w:r>
      <w:r>
        <w:rPr>
          <w:rFonts w:ascii="Arial" w:hAnsi="Arial" w:cs="Arial"/>
        </w:rPr>
        <w:t>.</w:t>
      </w:r>
    </w:p>
    <w:p w14:paraId="43695AC7" w14:textId="77777777" w:rsidR="00F97939" w:rsidRPr="0055126E" w:rsidRDefault="00F97939" w:rsidP="00192654">
      <w:pPr>
        <w:pStyle w:val="Default"/>
        <w:spacing w:before="120" w:after="120"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F</w:t>
      </w:r>
      <w:r w:rsidRPr="0055126E">
        <w:rPr>
          <w:rFonts w:ascii="Arial" w:hAnsi="Arial" w:cs="Arial"/>
          <w:b/>
          <w:sz w:val="22"/>
          <w:szCs w:val="22"/>
          <w:lang w:val="en-US"/>
        </w:rPr>
        <w:t xml:space="preserve">igure </w:t>
      </w:r>
      <w:r>
        <w:rPr>
          <w:rFonts w:ascii="Arial" w:hAnsi="Arial" w:cs="Arial"/>
          <w:b/>
          <w:sz w:val="22"/>
          <w:szCs w:val="22"/>
          <w:lang w:val="en-US"/>
        </w:rPr>
        <w:t>S5</w:t>
      </w:r>
      <w:r w:rsidRPr="0055126E">
        <w:rPr>
          <w:rFonts w:ascii="Arial" w:hAnsi="Arial" w:cs="Arial"/>
          <w:b/>
          <w:sz w:val="22"/>
          <w:szCs w:val="22"/>
          <w:lang w:val="en-US"/>
        </w:rPr>
        <w:t>. FACS gating</w:t>
      </w:r>
      <w:r>
        <w:rPr>
          <w:rFonts w:ascii="Arial" w:hAnsi="Arial" w:cs="Arial"/>
          <w:b/>
          <w:sz w:val="22"/>
          <w:szCs w:val="22"/>
          <w:lang w:val="en-US"/>
        </w:rPr>
        <w:t xml:space="preserve"> strategy</w:t>
      </w:r>
      <w:r w:rsidRPr="0055126E">
        <w:rPr>
          <w:rFonts w:ascii="Arial" w:hAnsi="Arial" w:cs="Arial"/>
          <w:b/>
          <w:sz w:val="22"/>
          <w:szCs w:val="22"/>
          <w:lang w:val="en-US"/>
        </w:rPr>
        <w:t xml:space="preserve"> to analyze white blood cell population in</w:t>
      </w:r>
      <w:r>
        <w:rPr>
          <w:rFonts w:ascii="Arial" w:hAnsi="Arial" w:cs="Arial"/>
          <w:b/>
          <w:sz w:val="22"/>
          <w:szCs w:val="22"/>
          <w:lang w:val="en-US"/>
        </w:rPr>
        <w:t xml:space="preserve"> WT and</w:t>
      </w:r>
      <w:r w:rsidRPr="0055126E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290D59">
        <w:rPr>
          <w:rFonts w:ascii="Arial" w:hAnsi="Arial" w:cs="Arial"/>
          <w:b/>
          <w:i/>
          <w:sz w:val="22"/>
          <w:szCs w:val="22"/>
          <w:lang w:val="en-US"/>
        </w:rPr>
        <w:t>Fanca</w:t>
      </w:r>
      <w:proofErr w:type="spellEnd"/>
      <w:r w:rsidRPr="0055126E">
        <w:rPr>
          <w:rFonts w:ascii="Arial" w:hAnsi="Arial" w:cs="Arial"/>
          <w:b/>
          <w:sz w:val="22"/>
          <w:szCs w:val="22"/>
          <w:lang w:val="en-US"/>
        </w:rPr>
        <w:t xml:space="preserve">-deficient mice. </w:t>
      </w:r>
      <w:r>
        <w:rPr>
          <w:rFonts w:ascii="Arial" w:hAnsi="Arial" w:cs="Arial"/>
          <w:sz w:val="22"/>
          <w:szCs w:val="22"/>
          <w:lang w:val="en-US"/>
        </w:rPr>
        <w:t>Cells were</w:t>
      </w:r>
      <w:r w:rsidRPr="0055126E">
        <w:rPr>
          <w:rFonts w:ascii="Arial" w:hAnsi="Arial" w:cs="Arial"/>
          <w:sz w:val="22"/>
          <w:szCs w:val="22"/>
          <w:lang w:val="en-US"/>
        </w:rPr>
        <w:t xml:space="preserve"> gated (upper left dot plot) from FSC (forward scatter, cell size) and SSC (side scatter, cell complexity). Life cells were gated by DAPI exclusion (upper right dot plot). CD4</w:t>
      </w:r>
      <w:r w:rsidRPr="0055126E">
        <w:rPr>
          <w:rFonts w:ascii="Arial" w:hAnsi="Arial" w:cs="Arial"/>
          <w:sz w:val="22"/>
          <w:szCs w:val="22"/>
          <w:vertAlign w:val="superscript"/>
          <w:lang w:val="en-US"/>
        </w:rPr>
        <w:t>+</w:t>
      </w:r>
      <w:r w:rsidRPr="0055126E">
        <w:rPr>
          <w:rFonts w:ascii="Arial" w:hAnsi="Arial" w:cs="Arial"/>
          <w:sz w:val="22"/>
          <w:szCs w:val="22"/>
          <w:lang w:val="en-US"/>
        </w:rPr>
        <w:t xml:space="preserve"> and CD8</w:t>
      </w:r>
      <w:r w:rsidRPr="0055126E">
        <w:rPr>
          <w:rFonts w:ascii="Arial" w:hAnsi="Arial" w:cs="Arial"/>
          <w:sz w:val="22"/>
          <w:szCs w:val="22"/>
          <w:vertAlign w:val="superscript"/>
          <w:lang w:val="en-US"/>
        </w:rPr>
        <w:t>+</w:t>
      </w:r>
      <w:r w:rsidRPr="0055126E">
        <w:rPr>
          <w:rFonts w:ascii="Arial" w:hAnsi="Arial" w:cs="Arial"/>
          <w:sz w:val="22"/>
          <w:szCs w:val="22"/>
          <w:lang w:val="en-US"/>
        </w:rPr>
        <w:t xml:space="preserve"> T cells (medium left dot plot) were gated from CD3</w:t>
      </w:r>
      <w:r w:rsidRPr="0055126E">
        <w:rPr>
          <w:rFonts w:ascii="Arial" w:hAnsi="Arial" w:cs="Arial"/>
          <w:sz w:val="22"/>
          <w:szCs w:val="22"/>
          <w:vertAlign w:val="superscript"/>
          <w:lang w:val="en-US"/>
        </w:rPr>
        <w:t>+</w:t>
      </w:r>
      <w:r w:rsidRPr="0055126E">
        <w:rPr>
          <w:rFonts w:ascii="Arial" w:hAnsi="Arial" w:cs="Arial"/>
          <w:sz w:val="22"/>
          <w:szCs w:val="22"/>
          <w:lang w:val="en-US"/>
        </w:rPr>
        <w:t xml:space="preserve"> cells (medium right dot plot). Monocytes (MAC1</w:t>
      </w:r>
      <w:r w:rsidRPr="0055126E">
        <w:rPr>
          <w:rFonts w:ascii="Arial" w:hAnsi="Arial" w:cs="Arial"/>
          <w:sz w:val="22"/>
          <w:szCs w:val="22"/>
          <w:vertAlign w:val="superscript"/>
          <w:lang w:val="en-US"/>
        </w:rPr>
        <w:t>+</w:t>
      </w:r>
      <w:r w:rsidRPr="0055126E">
        <w:rPr>
          <w:rFonts w:ascii="Arial" w:hAnsi="Arial" w:cs="Arial"/>
          <w:sz w:val="22"/>
          <w:szCs w:val="22"/>
          <w:lang w:val="en-US"/>
        </w:rPr>
        <w:t xml:space="preserve"> GR1</w:t>
      </w:r>
      <w:r w:rsidRPr="0055126E">
        <w:rPr>
          <w:rFonts w:ascii="Arial" w:hAnsi="Arial" w:cs="Arial"/>
          <w:sz w:val="22"/>
          <w:szCs w:val="22"/>
          <w:vertAlign w:val="superscript"/>
          <w:lang w:val="en-US"/>
        </w:rPr>
        <w:t>+</w:t>
      </w:r>
      <w:r w:rsidRPr="0055126E">
        <w:rPr>
          <w:rFonts w:ascii="Arial" w:hAnsi="Arial" w:cs="Arial"/>
          <w:sz w:val="22"/>
          <w:szCs w:val="22"/>
          <w:lang w:val="en-US"/>
        </w:rPr>
        <w:t>) and granulocytes (MAC1</w:t>
      </w:r>
      <w:r w:rsidRPr="0055126E">
        <w:rPr>
          <w:rFonts w:ascii="Arial" w:hAnsi="Arial" w:cs="Arial"/>
          <w:sz w:val="22"/>
          <w:szCs w:val="22"/>
          <w:vertAlign w:val="superscript"/>
          <w:lang w:val="en-US"/>
        </w:rPr>
        <w:t>-</w:t>
      </w:r>
      <w:r w:rsidRPr="0055126E">
        <w:rPr>
          <w:rFonts w:ascii="Arial" w:hAnsi="Arial" w:cs="Arial"/>
          <w:sz w:val="22"/>
          <w:szCs w:val="22"/>
          <w:lang w:val="en-US"/>
        </w:rPr>
        <w:t xml:space="preserve"> GR1</w:t>
      </w:r>
      <w:r w:rsidRPr="0055126E">
        <w:rPr>
          <w:rFonts w:ascii="Arial" w:hAnsi="Arial" w:cs="Arial"/>
          <w:sz w:val="22"/>
          <w:szCs w:val="22"/>
          <w:vertAlign w:val="superscript"/>
          <w:lang w:val="en-US"/>
        </w:rPr>
        <w:t>+</w:t>
      </w:r>
      <w:r w:rsidRPr="0055126E">
        <w:rPr>
          <w:rFonts w:ascii="Arial" w:hAnsi="Arial" w:cs="Arial"/>
          <w:sz w:val="22"/>
          <w:szCs w:val="22"/>
          <w:lang w:val="en-US"/>
        </w:rPr>
        <w:t>), in lower left dot plot, were gated from CD3</w:t>
      </w:r>
      <w:r w:rsidRPr="0055126E">
        <w:rPr>
          <w:rFonts w:ascii="Arial" w:hAnsi="Arial" w:cs="Arial"/>
          <w:sz w:val="22"/>
          <w:szCs w:val="22"/>
          <w:vertAlign w:val="superscript"/>
          <w:lang w:val="en-US"/>
        </w:rPr>
        <w:t>-</w:t>
      </w:r>
      <w:r w:rsidRPr="0055126E">
        <w:rPr>
          <w:rFonts w:ascii="Arial" w:hAnsi="Arial" w:cs="Arial"/>
          <w:sz w:val="22"/>
          <w:szCs w:val="22"/>
          <w:lang w:val="en-US"/>
        </w:rPr>
        <w:t xml:space="preserve"> B220</w:t>
      </w:r>
      <w:r w:rsidRPr="0055126E">
        <w:rPr>
          <w:rFonts w:ascii="Arial" w:hAnsi="Arial" w:cs="Arial"/>
          <w:sz w:val="22"/>
          <w:szCs w:val="22"/>
          <w:vertAlign w:val="superscript"/>
          <w:lang w:val="en-US"/>
        </w:rPr>
        <w:t>-</w:t>
      </w:r>
      <w:r w:rsidRPr="0055126E">
        <w:rPr>
          <w:rFonts w:ascii="Arial" w:hAnsi="Arial" w:cs="Arial"/>
          <w:sz w:val="22"/>
          <w:szCs w:val="22"/>
          <w:lang w:val="en-US"/>
        </w:rPr>
        <w:t xml:space="preserve"> cells (myeloid cells, medium right dot plot). </w:t>
      </w:r>
    </w:p>
    <w:p w14:paraId="3BCC6972" w14:textId="77777777" w:rsidR="00F97939" w:rsidRDefault="00F97939" w:rsidP="00192654">
      <w:p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Pr="0055126E">
        <w:rPr>
          <w:rFonts w:ascii="Arial" w:hAnsi="Arial" w:cs="Arial"/>
          <w:b/>
        </w:rPr>
        <w:t xml:space="preserve">igure </w:t>
      </w:r>
      <w:r>
        <w:rPr>
          <w:rFonts w:ascii="Arial" w:hAnsi="Arial" w:cs="Arial"/>
          <w:b/>
        </w:rPr>
        <w:t>S6</w:t>
      </w:r>
      <w:r w:rsidRPr="0055126E">
        <w:rPr>
          <w:rFonts w:ascii="Arial" w:hAnsi="Arial" w:cs="Arial"/>
          <w:b/>
        </w:rPr>
        <w:t>. Additional data on gefiti</w:t>
      </w:r>
      <w:r>
        <w:rPr>
          <w:rFonts w:ascii="Arial" w:hAnsi="Arial" w:cs="Arial"/>
          <w:b/>
        </w:rPr>
        <w:t>ni</w:t>
      </w:r>
      <w:r w:rsidRPr="0055126E">
        <w:rPr>
          <w:rFonts w:ascii="Arial" w:hAnsi="Arial" w:cs="Arial"/>
          <w:b/>
        </w:rPr>
        <w:t xml:space="preserve">b </w:t>
      </w:r>
      <w:r>
        <w:rPr>
          <w:rFonts w:ascii="Arial" w:hAnsi="Arial" w:cs="Arial"/>
          <w:b/>
        </w:rPr>
        <w:t xml:space="preserve">and </w:t>
      </w:r>
      <w:proofErr w:type="spellStart"/>
      <w:r>
        <w:rPr>
          <w:rFonts w:ascii="Arial" w:hAnsi="Arial" w:cs="Arial"/>
          <w:b/>
        </w:rPr>
        <w:t>afatinib</w:t>
      </w:r>
      <w:proofErr w:type="spellEnd"/>
      <w:r>
        <w:rPr>
          <w:rFonts w:ascii="Arial" w:hAnsi="Arial" w:cs="Arial"/>
          <w:b/>
        </w:rPr>
        <w:t xml:space="preserve"> </w:t>
      </w:r>
      <w:r w:rsidRPr="0055126E">
        <w:rPr>
          <w:rFonts w:ascii="Arial" w:hAnsi="Arial" w:cs="Arial"/>
          <w:b/>
        </w:rPr>
        <w:t>toxicity analysis in</w:t>
      </w:r>
      <w:r>
        <w:rPr>
          <w:rFonts w:ascii="Arial" w:hAnsi="Arial" w:cs="Arial"/>
          <w:b/>
        </w:rPr>
        <w:t xml:space="preserve"> WT and</w:t>
      </w:r>
      <w:r w:rsidRPr="0055126E">
        <w:rPr>
          <w:rFonts w:ascii="Arial" w:hAnsi="Arial" w:cs="Arial"/>
          <w:b/>
        </w:rPr>
        <w:t xml:space="preserve"> </w:t>
      </w:r>
      <w:proofErr w:type="spellStart"/>
      <w:r w:rsidRPr="00290D59">
        <w:rPr>
          <w:rFonts w:ascii="Arial" w:hAnsi="Arial" w:cs="Arial"/>
          <w:b/>
          <w:i/>
        </w:rPr>
        <w:t>Fanca</w:t>
      </w:r>
      <w:proofErr w:type="spellEnd"/>
      <w:r w:rsidRPr="0055126E">
        <w:rPr>
          <w:rFonts w:ascii="Arial" w:hAnsi="Arial" w:cs="Arial"/>
          <w:b/>
        </w:rPr>
        <w:t xml:space="preserve">-deficient mice. </w:t>
      </w:r>
      <w:bookmarkStart w:id="2" w:name="OLE_LINK1"/>
      <w:r w:rsidRPr="006B309D">
        <w:rPr>
          <w:rFonts w:ascii="Arial" w:hAnsi="Arial" w:cs="Arial"/>
          <w:b/>
        </w:rPr>
        <w:t>A-B)</w:t>
      </w:r>
      <w:r w:rsidRPr="0055126E">
        <w:rPr>
          <w:rFonts w:ascii="Arial" w:hAnsi="Arial" w:cs="Arial"/>
        </w:rPr>
        <w:t xml:space="preserve"> </w:t>
      </w:r>
      <w:bookmarkEnd w:id="2"/>
      <w:r w:rsidRPr="0055126E">
        <w:rPr>
          <w:rFonts w:ascii="Arial" w:hAnsi="Arial" w:cs="Arial"/>
        </w:rPr>
        <w:t>B cells (B220</w:t>
      </w:r>
      <w:r w:rsidRPr="0055126E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). </w:t>
      </w:r>
      <w:r w:rsidRPr="006B309D">
        <w:rPr>
          <w:rFonts w:ascii="Arial" w:hAnsi="Arial" w:cs="Arial"/>
          <w:b/>
        </w:rPr>
        <w:t>C-D)</w:t>
      </w:r>
      <w:r>
        <w:rPr>
          <w:rFonts w:ascii="Arial" w:hAnsi="Arial" w:cs="Arial"/>
        </w:rPr>
        <w:t xml:space="preserve"> </w:t>
      </w:r>
      <w:r w:rsidRPr="0055126E">
        <w:rPr>
          <w:rFonts w:ascii="Arial" w:hAnsi="Arial" w:cs="Arial"/>
        </w:rPr>
        <w:t>T cells (CD3</w:t>
      </w:r>
      <w:r w:rsidRPr="0055126E">
        <w:rPr>
          <w:rFonts w:ascii="Arial" w:hAnsi="Arial" w:cs="Arial"/>
          <w:vertAlign w:val="superscript"/>
        </w:rPr>
        <w:t>+</w:t>
      </w:r>
      <w:r w:rsidRPr="005512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Pr="006B309D">
        <w:rPr>
          <w:rFonts w:ascii="Arial" w:hAnsi="Arial" w:cs="Arial"/>
          <w:b/>
        </w:rPr>
        <w:t>E-F)</w:t>
      </w:r>
      <w:r w:rsidRPr="0055126E">
        <w:rPr>
          <w:rFonts w:ascii="Arial" w:hAnsi="Arial" w:cs="Arial"/>
        </w:rPr>
        <w:t xml:space="preserve"> CD4</w:t>
      </w:r>
      <w:r w:rsidRPr="0055126E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T cells. </w:t>
      </w:r>
      <w:r w:rsidRPr="006B309D">
        <w:rPr>
          <w:rFonts w:ascii="Arial" w:hAnsi="Arial" w:cs="Arial"/>
          <w:b/>
        </w:rPr>
        <w:t>G-H)</w:t>
      </w:r>
      <w:r w:rsidRPr="0055126E">
        <w:rPr>
          <w:rFonts w:ascii="Arial" w:hAnsi="Arial" w:cs="Arial"/>
        </w:rPr>
        <w:t xml:space="preserve"> CD8</w:t>
      </w:r>
      <w:r w:rsidRPr="0055126E">
        <w:rPr>
          <w:rFonts w:ascii="Arial" w:hAnsi="Arial" w:cs="Arial"/>
          <w:vertAlign w:val="superscript"/>
        </w:rPr>
        <w:t>+</w:t>
      </w:r>
      <w:r w:rsidRPr="0055126E">
        <w:rPr>
          <w:rFonts w:ascii="Arial" w:hAnsi="Arial" w:cs="Arial"/>
        </w:rPr>
        <w:t xml:space="preserve"> T cells</w:t>
      </w:r>
      <w:r>
        <w:rPr>
          <w:rFonts w:ascii="Arial" w:hAnsi="Arial" w:cs="Arial"/>
        </w:rPr>
        <w:t xml:space="preserve">. Cells were </w:t>
      </w:r>
      <w:r w:rsidRPr="0055126E">
        <w:rPr>
          <w:rFonts w:ascii="Arial" w:hAnsi="Arial" w:cs="Arial"/>
        </w:rPr>
        <w:t xml:space="preserve">from blood of WT and </w:t>
      </w:r>
      <w:proofErr w:type="spellStart"/>
      <w:r w:rsidRPr="00290D59">
        <w:rPr>
          <w:rFonts w:ascii="Arial" w:hAnsi="Arial" w:cs="Arial"/>
          <w:i/>
        </w:rPr>
        <w:t>Fanca</w:t>
      </w:r>
      <w:proofErr w:type="spellEnd"/>
      <w:r w:rsidRPr="0055126E">
        <w:rPr>
          <w:rFonts w:ascii="Arial" w:hAnsi="Arial" w:cs="Arial"/>
        </w:rPr>
        <w:t>-de</w:t>
      </w:r>
      <w:r>
        <w:rPr>
          <w:rFonts w:ascii="Arial" w:hAnsi="Arial" w:cs="Arial"/>
        </w:rPr>
        <w:t xml:space="preserve">ficient mice, </w:t>
      </w:r>
      <w:r w:rsidRPr="0055126E">
        <w:rPr>
          <w:rFonts w:ascii="Arial" w:hAnsi="Arial" w:cs="Arial"/>
        </w:rPr>
        <w:t xml:space="preserve">counted at 0 </w:t>
      </w:r>
      <w:r>
        <w:rPr>
          <w:rFonts w:ascii="Arial" w:hAnsi="Arial" w:cs="Arial"/>
        </w:rPr>
        <w:t xml:space="preserve">and 14 days of vehicle, gefitinib (A, C, E, G) or </w:t>
      </w:r>
      <w:proofErr w:type="spellStart"/>
      <w:r>
        <w:rPr>
          <w:rFonts w:ascii="Arial" w:hAnsi="Arial" w:cs="Arial"/>
        </w:rPr>
        <w:t>afatinib</w:t>
      </w:r>
      <w:proofErr w:type="spellEnd"/>
      <w:r>
        <w:rPr>
          <w:rFonts w:ascii="Arial" w:hAnsi="Arial" w:cs="Arial"/>
        </w:rPr>
        <w:t xml:space="preserve"> (B, D, F, H) </w:t>
      </w:r>
      <w:r w:rsidRPr="0055126E">
        <w:rPr>
          <w:rFonts w:ascii="Arial" w:hAnsi="Arial" w:cs="Arial"/>
        </w:rPr>
        <w:t>treatment</w:t>
      </w:r>
      <w:r>
        <w:rPr>
          <w:rFonts w:ascii="Arial" w:hAnsi="Arial" w:cs="Arial"/>
        </w:rPr>
        <w:t>s</w:t>
      </w:r>
      <w:r w:rsidRPr="0055126E">
        <w:rPr>
          <w:rFonts w:ascii="Arial" w:hAnsi="Arial" w:cs="Arial"/>
        </w:rPr>
        <w:t>.</w:t>
      </w:r>
      <w:r w:rsidRPr="00681B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Graphs </w:t>
      </w:r>
      <w:r w:rsidRPr="003218B3">
        <w:rPr>
          <w:rFonts w:ascii="Arial" w:hAnsi="Arial" w:cs="Arial"/>
        </w:rPr>
        <w:t xml:space="preserve">show </w:t>
      </w:r>
      <w:r>
        <w:rPr>
          <w:rFonts w:ascii="Arial" w:hAnsi="Arial" w:cs="Arial"/>
        </w:rPr>
        <w:t xml:space="preserve">data for individual mouse (green dots, wild type, red dots, </w:t>
      </w:r>
      <w:proofErr w:type="spellStart"/>
      <w:r w:rsidRPr="00A162DF">
        <w:rPr>
          <w:rFonts w:ascii="Arial" w:hAnsi="Arial" w:cs="Arial"/>
          <w:i/>
        </w:rPr>
        <w:t>Fanca</w:t>
      </w:r>
      <w:proofErr w:type="spellEnd"/>
      <w:r>
        <w:rPr>
          <w:rFonts w:ascii="Arial" w:hAnsi="Arial" w:cs="Arial"/>
        </w:rPr>
        <w:t xml:space="preserve">-deficient) and </w:t>
      </w:r>
      <w:r w:rsidRPr="000B2A22">
        <w:rPr>
          <w:rFonts w:ascii="Arial" w:hAnsi="Arial" w:cs="Arial"/>
        </w:rPr>
        <w:t>mean +/- SEM</w:t>
      </w:r>
      <w:r>
        <w:rPr>
          <w:rFonts w:ascii="Arial" w:hAnsi="Arial" w:cs="Arial"/>
        </w:rPr>
        <w:t xml:space="preserve">.  </w:t>
      </w:r>
    </w:p>
    <w:p w14:paraId="2BF61C7F" w14:textId="77777777" w:rsidR="00F97939" w:rsidRDefault="00F97939" w:rsidP="00192654">
      <w:p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Pr="0055126E">
        <w:rPr>
          <w:rFonts w:ascii="Arial" w:hAnsi="Arial" w:cs="Arial"/>
          <w:b/>
        </w:rPr>
        <w:t xml:space="preserve">igure </w:t>
      </w:r>
      <w:r>
        <w:rPr>
          <w:rFonts w:ascii="Arial" w:hAnsi="Arial" w:cs="Arial"/>
          <w:b/>
        </w:rPr>
        <w:t>S7</w:t>
      </w:r>
      <w:r w:rsidRPr="0055126E">
        <w:rPr>
          <w:rFonts w:ascii="Arial" w:hAnsi="Arial" w:cs="Arial"/>
          <w:b/>
        </w:rPr>
        <w:t>. Additional data on gef</w:t>
      </w:r>
      <w:r>
        <w:rPr>
          <w:rFonts w:ascii="Arial" w:hAnsi="Arial" w:cs="Arial"/>
          <w:b/>
        </w:rPr>
        <w:t>itinib</w:t>
      </w:r>
      <w:r w:rsidRPr="005512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and </w:t>
      </w:r>
      <w:proofErr w:type="spellStart"/>
      <w:r>
        <w:rPr>
          <w:rFonts w:ascii="Arial" w:hAnsi="Arial" w:cs="Arial"/>
          <w:b/>
        </w:rPr>
        <w:t>afatinib</w:t>
      </w:r>
      <w:proofErr w:type="spellEnd"/>
      <w:r>
        <w:rPr>
          <w:rFonts w:ascii="Arial" w:hAnsi="Arial" w:cs="Arial"/>
          <w:b/>
        </w:rPr>
        <w:t xml:space="preserve"> </w:t>
      </w:r>
      <w:r w:rsidRPr="0055126E">
        <w:rPr>
          <w:rFonts w:ascii="Arial" w:hAnsi="Arial" w:cs="Arial"/>
          <w:b/>
        </w:rPr>
        <w:t>toxicity analysis in</w:t>
      </w:r>
      <w:r>
        <w:rPr>
          <w:rFonts w:ascii="Arial" w:hAnsi="Arial" w:cs="Arial"/>
          <w:b/>
        </w:rPr>
        <w:t xml:space="preserve"> WT and</w:t>
      </w:r>
      <w:r w:rsidRPr="0055126E">
        <w:rPr>
          <w:rFonts w:ascii="Arial" w:hAnsi="Arial" w:cs="Arial"/>
          <w:b/>
        </w:rPr>
        <w:t xml:space="preserve"> </w:t>
      </w:r>
      <w:proofErr w:type="spellStart"/>
      <w:r w:rsidRPr="00290D59">
        <w:rPr>
          <w:rFonts w:ascii="Arial" w:hAnsi="Arial" w:cs="Arial"/>
          <w:b/>
          <w:i/>
        </w:rPr>
        <w:t>Fanca</w:t>
      </w:r>
      <w:proofErr w:type="spellEnd"/>
      <w:r w:rsidRPr="0055126E">
        <w:rPr>
          <w:rFonts w:ascii="Arial" w:hAnsi="Arial" w:cs="Arial"/>
          <w:b/>
        </w:rPr>
        <w:t>-deficient mice.</w:t>
      </w:r>
      <w:r>
        <w:rPr>
          <w:rFonts w:ascii="Arial" w:hAnsi="Arial" w:cs="Arial"/>
          <w:b/>
        </w:rPr>
        <w:t xml:space="preserve"> </w:t>
      </w:r>
      <w:r w:rsidRPr="006B309D">
        <w:rPr>
          <w:rFonts w:ascii="Arial" w:hAnsi="Arial" w:cs="Arial"/>
          <w:b/>
        </w:rPr>
        <w:t>A-B)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My</w:t>
      </w:r>
      <w:r w:rsidRPr="0055126E">
        <w:rPr>
          <w:rFonts w:ascii="Arial" w:hAnsi="Arial" w:cs="Arial"/>
        </w:rPr>
        <w:t>eloid cells (CD3</w:t>
      </w:r>
      <w:r w:rsidRPr="0055126E">
        <w:rPr>
          <w:rFonts w:ascii="Arial" w:hAnsi="Arial" w:cs="Arial"/>
          <w:vertAlign w:val="superscript"/>
        </w:rPr>
        <w:t>-</w:t>
      </w:r>
      <w:r w:rsidRPr="0055126E">
        <w:rPr>
          <w:rFonts w:ascii="Arial" w:hAnsi="Arial" w:cs="Arial"/>
        </w:rPr>
        <w:t xml:space="preserve"> and B220</w:t>
      </w:r>
      <w:r w:rsidRPr="0055126E">
        <w:rPr>
          <w:rFonts w:ascii="Arial" w:hAnsi="Arial" w:cs="Arial"/>
          <w:vertAlign w:val="superscript"/>
        </w:rPr>
        <w:t>-</w:t>
      </w:r>
      <w:r w:rsidRPr="005512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Pr="00925BF8">
        <w:rPr>
          <w:rFonts w:ascii="Arial" w:hAnsi="Arial" w:cs="Arial"/>
          <w:b/>
        </w:rPr>
        <w:t>C-D)</w:t>
      </w:r>
      <w:r>
        <w:rPr>
          <w:rFonts w:ascii="Arial" w:hAnsi="Arial" w:cs="Arial"/>
        </w:rPr>
        <w:t xml:space="preserve"> Monocytes (CD3</w:t>
      </w:r>
      <w:r w:rsidRPr="006B309D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B220</w:t>
      </w:r>
      <w:r w:rsidRPr="006B309D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GR1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MAC1</w:t>
      </w:r>
      <w:r w:rsidRPr="00153B7E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). </w:t>
      </w:r>
      <w:r w:rsidRPr="00925BF8">
        <w:rPr>
          <w:rFonts w:ascii="Arial" w:hAnsi="Arial" w:cs="Arial"/>
          <w:b/>
        </w:rPr>
        <w:t>E-F)</w:t>
      </w:r>
      <w:r>
        <w:rPr>
          <w:rFonts w:ascii="Arial" w:hAnsi="Arial" w:cs="Arial"/>
        </w:rPr>
        <w:t xml:space="preserve"> Granulocytes (CD3</w:t>
      </w:r>
      <w:r w:rsidRPr="006B309D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B220</w:t>
      </w:r>
      <w:r w:rsidRPr="006B309D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GR1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MAC1</w:t>
      </w:r>
      <w:r w:rsidRPr="00153B7E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). </w:t>
      </w:r>
      <w:r w:rsidRPr="005512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Cells were </w:t>
      </w:r>
      <w:r w:rsidRPr="0055126E">
        <w:rPr>
          <w:rFonts w:ascii="Arial" w:hAnsi="Arial" w:cs="Arial"/>
        </w:rPr>
        <w:t xml:space="preserve">from blood of WT and </w:t>
      </w:r>
      <w:proofErr w:type="spellStart"/>
      <w:r w:rsidRPr="00290D59">
        <w:rPr>
          <w:rFonts w:ascii="Arial" w:hAnsi="Arial" w:cs="Arial"/>
          <w:i/>
        </w:rPr>
        <w:t>Fanca</w:t>
      </w:r>
      <w:proofErr w:type="spellEnd"/>
      <w:r w:rsidRPr="0055126E">
        <w:rPr>
          <w:rFonts w:ascii="Arial" w:hAnsi="Arial" w:cs="Arial"/>
        </w:rPr>
        <w:t>-de</w:t>
      </w:r>
      <w:r>
        <w:rPr>
          <w:rFonts w:ascii="Arial" w:hAnsi="Arial" w:cs="Arial"/>
        </w:rPr>
        <w:t xml:space="preserve">ficient mice, </w:t>
      </w:r>
      <w:r w:rsidRPr="0055126E">
        <w:rPr>
          <w:rFonts w:ascii="Arial" w:hAnsi="Arial" w:cs="Arial"/>
        </w:rPr>
        <w:t xml:space="preserve">counted at 0 </w:t>
      </w:r>
      <w:r>
        <w:rPr>
          <w:rFonts w:ascii="Arial" w:hAnsi="Arial" w:cs="Arial"/>
        </w:rPr>
        <w:t xml:space="preserve">and 14 days of vehicle, gefitinib (A, C, E) or </w:t>
      </w:r>
      <w:proofErr w:type="spellStart"/>
      <w:r>
        <w:rPr>
          <w:rFonts w:ascii="Arial" w:hAnsi="Arial" w:cs="Arial"/>
        </w:rPr>
        <w:t>afatinib</w:t>
      </w:r>
      <w:proofErr w:type="spellEnd"/>
      <w:r>
        <w:rPr>
          <w:rFonts w:ascii="Arial" w:hAnsi="Arial" w:cs="Arial"/>
        </w:rPr>
        <w:t xml:space="preserve"> (B, D, F) </w:t>
      </w:r>
      <w:r w:rsidRPr="0055126E">
        <w:rPr>
          <w:rFonts w:ascii="Arial" w:hAnsi="Arial" w:cs="Arial"/>
        </w:rPr>
        <w:t>treatment</w:t>
      </w:r>
      <w:r>
        <w:rPr>
          <w:rFonts w:ascii="Arial" w:hAnsi="Arial" w:cs="Arial"/>
        </w:rPr>
        <w:t>s</w:t>
      </w:r>
      <w:r w:rsidRPr="005512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Graphs </w:t>
      </w:r>
      <w:r w:rsidRPr="003218B3">
        <w:rPr>
          <w:rFonts w:ascii="Arial" w:hAnsi="Arial" w:cs="Arial"/>
        </w:rPr>
        <w:t xml:space="preserve">show </w:t>
      </w:r>
      <w:r>
        <w:rPr>
          <w:rFonts w:ascii="Arial" w:hAnsi="Arial" w:cs="Arial"/>
        </w:rPr>
        <w:t xml:space="preserve">data for individual mouse (green dots, wild type, red dots, </w:t>
      </w:r>
      <w:proofErr w:type="spellStart"/>
      <w:r w:rsidRPr="00A162DF">
        <w:rPr>
          <w:rFonts w:ascii="Arial" w:hAnsi="Arial" w:cs="Arial"/>
          <w:i/>
        </w:rPr>
        <w:t>Fanca</w:t>
      </w:r>
      <w:proofErr w:type="spellEnd"/>
      <w:r>
        <w:rPr>
          <w:rFonts w:ascii="Arial" w:hAnsi="Arial" w:cs="Arial"/>
        </w:rPr>
        <w:t xml:space="preserve">-deficient) and </w:t>
      </w:r>
      <w:r w:rsidRPr="000B2A22">
        <w:rPr>
          <w:rFonts w:ascii="Arial" w:hAnsi="Arial" w:cs="Arial"/>
        </w:rPr>
        <w:t>mean +/- SEM</w:t>
      </w:r>
      <w:r>
        <w:rPr>
          <w:rFonts w:ascii="Arial" w:hAnsi="Arial" w:cs="Arial"/>
        </w:rPr>
        <w:t xml:space="preserve">. Student’s T-test: </w:t>
      </w:r>
      <w:r w:rsidRPr="0055126E">
        <w:rPr>
          <w:rFonts w:ascii="Arial" w:hAnsi="Arial" w:cs="Arial"/>
        </w:rPr>
        <w:t>* p&lt;0.05, ** p&lt;0.01</w:t>
      </w:r>
      <w:r>
        <w:rPr>
          <w:rFonts w:ascii="Arial" w:hAnsi="Arial" w:cs="Arial"/>
        </w:rPr>
        <w:t>.</w:t>
      </w:r>
    </w:p>
    <w:p w14:paraId="1BB00510" w14:textId="77777777" w:rsidR="00F97939" w:rsidRDefault="00F97939" w:rsidP="00192654">
      <w:p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F</w:t>
      </w:r>
      <w:r w:rsidRPr="0055126E">
        <w:rPr>
          <w:rFonts w:ascii="Arial" w:hAnsi="Arial" w:cs="Arial"/>
          <w:b/>
        </w:rPr>
        <w:t xml:space="preserve">igure </w:t>
      </w:r>
      <w:r>
        <w:rPr>
          <w:rFonts w:ascii="Arial" w:hAnsi="Arial" w:cs="Arial"/>
          <w:b/>
        </w:rPr>
        <w:t>S8</w:t>
      </w:r>
      <w:r w:rsidRPr="0055126E">
        <w:rPr>
          <w:rFonts w:ascii="Arial" w:hAnsi="Arial" w:cs="Arial"/>
          <w:b/>
        </w:rPr>
        <w:t xml:space="preserve">. Additional data on genotoxicity in blood samples from WT or </w:t>
      </w:r>
      <w:proofErr w:type="spellStart"/>
      <w:r w:rsidRPr="00290D59">
        <w:rPr>
          <w:rFonts w:ascii="Arial" w:hAnsi="Arial" w:cs="Arial"/>
          <w:b/>
          <w:i/>
        </w:rPr>
        <w:t>Fanca</w:t>
      </w:r>
      <w:proofErr w:type="spellEnd"/>
      <w:r w:rsidRPr="0055126E">
        <w:rPr>
          <w:rFonts w:ascii="Arial" w:hAnsi="Arial" w:cs="Arial"/>
          <w:b/>
        </w:rPr>
        <w:t xml:space="preserve">-deficient mice, by gefitinib and </w:t>
      </w:r>
      <w:proofErr w:type="spellStart"/>
      <w:r w:rsidRPr="0055126E">
        <w:rPr>
          <w:rFonts w:ascii="Arial" w:hAnsi="Arial" w:cs="Arial"/>
          <w:b/>
        </w:rPr>
        <w:t>afatinib</w:t>
      </w:r>
      <w:proofErr w:type="spellEnd"/>
      <w:r w:rsidRPr="0055126E">
        <w:rPr>
          <w:rFonts w:ascii="Arial" w:hAnsi="Arial" w:cs="Arial"/>
          <w:b/>
        </w:rPr>
        <w:t xml:space="preserve"> treatment. A-B)</w:t>
      </w:r>
      <w:r w:rsidRPr="0055126E">
        <w:rPr>
          <w:rFonts w:ascii="Arial" w:hAnsi="Arial" w:cs="Arial"/>
        </w:rPr>
        <w:t xml:space="preserve"> Percentage of reticulocytes (A) and reticulocytes with </w:t>
      </w:r>
      <w:r>
        <w:rPr>
          <w:rFonts w:ascii="Arial" w:hAnsi="Arial" w:cs="Arial"/>
        </w:rPr>
        <w:t>MN</w:t>
      </w:r>
      <w:r w:rsidRPr="0055126E">
        <w:rPr>
          <w:rFonts w:ascii="Arial" w:hAnsi="Arial" w:cs="Arial"/>
        </w:rPr>
        <w:t xml:space="preserve"> (B) in </w:t>
      </w:r>
      <w:r>
        <w:rPr>
          <w:rFonts w:ascii="Arial" w:hAnsi="Arial" w:cs="Arial"/>
        </w:rPr>
        <w:t>WT</w:t>
      </w:r>
      <w:r w:rsidRPr="0055126E">
        <w:rPr>
          <w:rFonts w:ascii="Arial" w:hAnsi="Arial" w:cs="Arial"/>
        </w:rPr>
        <w:t xml:space="preserve"> </w:t>
      </w:r>
      <w:r w:rsidRPr="00664F47">
        <w:rPr>
          <w:rFonts w:ascii="Arial" w:hAnsi="Arial" w:cs="Arial"/>
          <w:i/>
        </w:rPr>
        <w:t>vs</w:t>
      </w:r>
      <w:r w:rsidRPr="0055126E">
        <w:rPr>
          <w:rFonts w:ascii="Arial" w:hAnsi="Arial" w:cs="Arial"/>
        </w:rPr>
        <w:t xml:space="preserve"> </w:t>
      </w:r>
      <w:proofErr w:type="spellStart"/>
      <w:r w:rsidRPr="00290D59">
        <w:rPr>
          <w:rFonts w:ascii="Arial" w:hAnsi="Arial" w:cs="Arial"/>
          <w:i/>
        </w:rPr>
        <w:t>Fanca</w:t>
      </w:r>
      <w:proofErr w:type="spellEnd"/>
      <w:r w:rsidRPr="0055126E">
        <w:rPr>
          <w:rFonts w:ascii="Arial" w:hAnsi="Arial" w:cs="Arial"/>
        </w:rPr>
        <w:t xml:space="preserve">-deficient mice. </w:t>
      </w:r>
      <w:r w:rsidRPr="0055126E">
        <w:rPr>
          <w:rFonts w:ascii="Arial" w:hAnsi="Arial" w:cs="Arial"/>
          <w:b/>
        </w:rPr>
        <w:t>C-F)</w:t>
      </w:r>
      <w:r w:rsidRPr="0055126E">
        <w:rPr>
          <w:rFonts w:ascii="Arial" w:hAnsi="Arial" w:cs="Arial"/>
        </w:rPr>
        <w:t xml:space="preserve"> Percentage of reticulocytes (C-D), and reticulocytes with </w:t>
      </w:r>
      <w:r>
        <w:rPr>
          <w:rFonts w:ascii="Arial" w:hAnsi="Arial" w:cs="Arial"/>
        </w:rPr>
        <w:t>MN</w:t>
      </w:r>
      <w:r w:rsidRPr="0055126E">
        <w:rPr>
          <w:rFonts w:ascii="Arial" w:hAnsi="Arial" w:cs="Arial"/>
        </w:rPr>
        <w:t xml:space="preserve"> (E-F) in WT and </w:t>
      </w:r>
      <w:proofErr w:type="spellStart"/>
      <w:r w:rsidRPr="00290D59">
        <w:rPr>
          <w:rFonts w:ascii="Arial" w:hAnsi="Arial" w:cs="Arial"/>
          <w:i/>
        </w:rPr>
        <w:t>Fanca</w:t>
      </w:r>
      <w:proofErr w:type="spellEnd"/>
      <w:r w:rsidRPr="0055126E">
        <w:rPr>
          <w:rFonts w:ascii="Arial" w:hAnsi="Arial" w:cs="Arial"/>
        </w:rPr>
        <w:t xml:space="preserve">-deficient mice treated with vehicle, gefitinib or </w:t>
      </w:r>
      <w:proofErr w:type="spellStart"/>
      <w:r w:rsidRPr="0055126E">
        <w:rPr>
          <w:rFonts w:ascii="Arial" w:hAnsi="Arial" w:cs="Arial"/>
        </w:rPr>
        <w:t>afatinib</w:t>
      </w:r>
      <w:proofErr w:type="spellEnd"/>
      <w:r w:rsidRPr="005512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Graphs </w:t>
      </w:r>
      <w:r w:rsidRPr="003218B3">
        <w:rPr>
          <w:rFonts w:ascii="Arial" w:hAnsi="Arial" w:cs="Arial"/>
        </w:rPr>
        <w:t xml:space="preserve">show </w:t>
      </w:r>
      <w:r>
        <w:rPr>
          <w:rFonts w:ascii="Arial" w:hAnsi="Arial" w:cs="Arial"/>
        </w:rPr>
        <w:t xml:space="preserve">data for individual mouse (green dots, wild type, red dots, </w:t>
      </w:r>
      <w:proofErr w:type="spellStart"/>
      <w:r w:rsidRPr="00A162DF">
        <w:rPr>
          <w:rFonts w:ascii="Arial" w:hAnsi="Arial" w:cs="Arial"/>
          <w:i/>
        </w:rPr>
        <w:t>Fanca</w:t>
      </w:r>
      <w:proofErr w:type="spellEnd"/>
      <w:r>
        <w:rPr>
          <w:rFonts w:ascii="Arial" w:hAnsi="Arial" w:cs="Arial"/>
        </w:rPr>
        <w:t xml:space="preserve">-deficient) and </w:t>
      </w:r>
      <w:r w:rsidRPr="000B2A22">
        <w:rPr>
          <w:rFonts w:ascii="Arial" w:hAnsi="Arial" w:cs="Arial"/>
        </w:rPr>
        <w:t>mean +/- SEM</w:t>
      </w:r>
      <w:r>
        <w:rPr>
          <w:rFonts w:ascii="Arial" w:hAnsi="Arial" w:cs="Arial"/>
        </w:rPr>
        <w:t>. Student’s T-test: ns: not significant,</w:t>
      </w:r>
      <w:r w:rsidRPr="0055126E">
        <w:rPr>
          <w:rFonts w:ascii="Arial" w:hAnsi="Arial" w:cs="Arial"/>
        </w:rPr>
        <w:t xml:space="preserve"> * p&lt;0.05, ***p&lt;0.001.</w:t>
      </w:r>
    </w:p>
    <w:p w14:paraId="4ABEF0E2" w14:textId="77777777" w:rsidR="00F97939" w:rsidRDefault="00F97939" w:rsidP="00192654">
      <w:pPr>
        <w:spacing w:before="120" w:after="120" w:line="480" w:lineRule="auto"/>
        <w:jc w:val="both"/>
        <w:rPr>
          <w:rFonts w:ascii="Arial" w:hAnsi="Arial" w:cs="Arial"/>
        </w:rPr>
      </w:pPr>
    </w:p>
    <w:p w14:paraId="1A2BDF2D" w14:textId="77777777" w:rsidR="00F97939" w:rsidRPr="006D7385" w:rsidRDefault="00F97939" w:rsidP="00192654">
      <w:pPr>
        <w:pStyle w:val="Default"/>
        <w:spacing w:before="120" w:after="120" w:line="480" w:lineRule="auto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14:paraId="201D895B" w14:textId="77777777" w:rsidR="00F97939" w:rsidRPr="006D7385" w:rsidRDefault="00F97939" w:rsidP="00192654">
      <w:pPr>
        <w:pStyle w:val="Default"/>
        <w:spacing w:before="120" w:after="120" w:line="480" w:lineRule="auto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bookmarkEnd w:id="0"/>
    <w:p w14:paraId="282B30E4" w14:textId="77777777" w:rsidR="002A2C20" w:rsidRDefault="002A2C20"/>
    <w:sectPr w:rsidR="002A2C20" w:rsidSect="001C23B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EF4A6" w14:textId="77777777" w:rsidR="00D1626B" w:rsidRDefault="00446CB8">
      <w:pPr>
        <w:spacing w:after="0" w:line="240" w:lineRule="auto"/>
      </w:pPr>
      <w:r>
        <w:separator/>
      </w:r>
    </w:p>
  </w:endnote>
  <w:endnote w:type="continuationSeparator" w:id="0">
    <w:p w14:paraId="596F81F7" w14:textId="77777777" w:rsidR="00D1626B" w:rsidRDefault="0044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160829"/>
      <w:docPartObj>
        <w:docPartGallery w:val="Page Numbers (Bottom of Page)"/>
        <w:docPartUnique/>
      </w:docPartObj>
    </w:sdtPr>
    <w:sdtEndPr/>
    <w:sdtContent>
      <w:p w14:paraId="2DF6B7C8" w14:textId="77777777" w:rsidR="002273ED" w:rsidRDefault="00393D8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654" w:rsidRPr="00192654">
          <w:rPr>
            <w:noProof/>
            <w:lang w:val="es-ES"/>
          </w:rPr>
          <w:t>9</w:t>
        </w:r>
        <w:r>
          <w:fldChar w:fldCharType="end"/>
        </w:r>
      </w:p>
    </w:sdtContent>
  </w:sdt>
  <w:p w14:paraId="6CF53092" w14:textId="77777777" w:rsidR="002273ED" w:rsidRDefault="00A17C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C3348" w14:textId="77777777" w:rsidR="00D1626B" w:rsidRDefault="00446CB8">
      <w:pPr>
        <w:spacing w:after="0" w:line="240" w:lineRule="auto"/>
      </w:pPr>
      <w:r>
        <w:separator/>
      </w:r>
    </w:p>
  </w:footnote>
  <w:footnote w:type="continuationSeparator" w:id="0">
    <w:p w14:paraId="3249ACB6" w14:textId="77777777" w:rsidR="00D1626B" w:rsidRDefault="00446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939"/>
    <w:rsid w:val="000A7B7B"/>
    <w:rsid w:val="000D7A35"/>
    <w:rsid w:val="001117C4"/>
    <w:rsid w:val="001555DA"/>
    <w:rsid w:val="00192654"/>
    <w:rsid w:val="002A2C20"/>
    <w:rsid w:val="002F3803"/>
    <w:rsid w:val="00393D83"/>
    <w:rsid w:val="00446CB8"/>
    <w:rsid w:val="005104E8"/>
    <w:rsid w:val="00733F87"/>
    <w:rsid w:val="007E03E2"/>
    <w:rsid w:val="008D3CC2"/>
    <w:rsid w:val="00911984"/>
    <w:rsid w:val="00C34CB3"/>
    <w:rsid w:val="00D030F2"/>
    <w:rsid w:val="00D03371"/>
    <w:rsid w:val="00D1626B"/>
    <w:rsid w:val="00D3607F"/>
    <w:rsid w:val="00E62314"/>
    <w:rsid w:val="00E96436"/>
    <w:rsid w:val="00F841D5"/>
    <w:rsid w:val="00F9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A1EFF4"/>
  <w15:chartTrackingRefBased/>
  <w15:docId w15:val="{08B6BEB2-74F1-48C5-B192-B579244F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939"/>
    <w:pPr>
      <w:spacing w:after="200" w:line="276" w:lineRule="auto"/>
    </w:pPr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0A7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97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9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939"/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0A7B7B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3E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05293-12A7-43D2-AAED-FE7E2713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Minguillon Pedreño</dc:creator>
  <cp:keywords/>
  <dc:description/>
  <cp:lastModifiedBy>Jordi Minguillon Pedreño</cp:lastModifiedBy>
  <cp:revision>3</cp:revision>
  <cp:lastPrinted>2019-11-18T00:38:00Z</cp:lastPrinted>
  <dcterms:created xsi:type="dcterms:W3CDTF">2019-11-29T15:33:00Z</dcterms:created>
  <dcterms:modified xsi:type="dcterms:W3CDTF">2019-11-29T15:49:00Z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http://www.zotero.org/styles/american-association-for-cancer-research</vt:lpwstr>
  </property>
  <property fmtid="{D5CDD505-2E9C-101B-9397-08002B2CF9AE}" pid="3" name="Mendeley Recent Style Name 0_1">
    <vt:lpwstr>American Association for Cancer Research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http://www.zotero.org/styles/cancer-research</vt:lpwstr>
  </property>
  <property fmtid="{D5CDD505-2E9C-101B-9397-08002B2CF9AE}" pid="9" name="Mendeley Recent Style Name 3_1">
    <vt:lpwstr>Cancer Research</vt:lpwstr>
  </property>
  <property fmtid="{D5CDD505-2E9C-101B-9397-08002B2CF9AE}" pid="10" name="Mendeley Recent Style Id 4_1">
    <vt:lpwstr>http://www.zotero.org/styles/clinical-cancer-research</vt:lpwstr>
  </property>
  <property fmtid="{D5CDD505-2E9C-101B-9397-08002B2CF9AE}" pid="11" name="Mendeley Recent Style Name 4_1">
    <vt:lpwstr>Clinical Cancer Research</vt:lpwstr>
  </property>
  <property fmtid="{D5CDD505-2E9C-101B-9397-08002B2CF9AE}" pid="12" name="Mendeley Recent Style Id 5_1">
    <vt:lpwstr>http://www.zotero.org/styles/elsevier-vancouver</vt:lpwstr>
  </property>
  <property fmtid="{D5CDD505-2E9C-101B-9397-08002B2CF9AE}" pid="13" name="Mendeley Recent Style Name 5_1">
    <vt:lpwstr>Elsevier - Vancouver</vt:lpwstr>
  </property>
  <property fmtid="{D5CDD505-2E9C-101B-9397-08002B2CF9AE}" pid="14" name="Mendeley Recent Style Id 6_1">
    <vt:lpwstr>http://www.zotero.org/styles/journal-of-the-national-cancer-institute</vt:lpwstr>
  </property>
  <property fmtid="{D5CDD505-2E9C-101B-9397-08002B2CF9AE}" pid="15" name="Mendeley Recent Style Name 6_1">
    <vt:lpwstr>Journal of the National Cancer Institute</vt:lpwstr>
  </property>
  <property fmtid="{D5CDD505-2E9C-101B-9397-08002B2CF9AE}" pid="16" name="Mendeley Recent Style Id 7_1">
    <vt:lpwstr>http://www.zotero.org/styles/nucleic-acids-research</vt:lpwstr>
  </property>
  <property fmtid="{D5CDD505-2E9C-101B-9397-08002B2CF9AE}" pid="17" name="Mendeley Recent Style Name 7_1">
    <vt:lpwstr>Nucleic Acids Research</vt:lpwstr>
  </property>
  <property fmtid="{D5CDD505-2E9C-101B-9397-08002B2CF9AE}" pid="18" name="Mendeley Recent Style Id 8_1">
    <vt:lpwstr>http://www.zotero.org/styles/science-translational-medicine</vt:lpwstr>
  </property>
  <property fmtid="{D5CDD505-2E9C-101B-9397-08002B2CF9AE}" pid="19" name="Mendeley Recent Style Name 8_1">
    <vt:lpwstr>Science Translational Medicine</vt:lpwstr>
  </property>
  <property fmtid="{D5CDD505-2E9C-101B-9397-08002B2CF9AE}" pid="20" name="Mendeley Recent Style Id 9_1">
    <vt:lpwstr>http://www.zotero.org/styles/the-embo-journal</vt:lpwstr>
  </property>
  <property fmtid="{D5CDD505-2E9C-101B-9397-08002B2CF9AE}" pid="21" name="Mendeley Recent Style Name 9_1">
    <vt:lpwstr>The EMBO Journal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d2226b3a-debb-39ba-a871-aed7dd193b7b</vt:lpwstr>
  </property>
  <property fmtid="{D5CDD505-2E9C-101B-9397-08002B2CF9AE}" pid="24" name="Mendeley Citation Style_1">
    <vt:lpwstr>http://www.zotero.org/styles/clinical-cancer-research</vt:lpwstr>
  </property>
</Properties>
</file>