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966" w:rsidRDefault="004E6966" w:rsidP="004E6966">
      <w:pPr>
        <w:pStyle w:val="Heading1"/>
        <w:rPr>
          <w:b/>
        </w:rPr>
      </w:pPr>
      <w:bookmarkStart w:id="0" w:name="_GoBack"/>
      <w:bookmarkEnd w:id="0"/>
      <w:r w:rsidRPr="00DB7E1B">
        <w:rPr>
          <w:b/>
        </w:rPr>
        <w:t>Supplementary Material</w:t>
      </w:r>
    </w:p>
    <w:p w:rsidR="004E6966" w:rsidRDefault="004E6966" w:rsidP="004E6966">
      <w:pPr>
        <w:tabs>
          <w:tab w:val="left" w:pos="-3600"/>
          <w:tab w:val="left" w:pos="0"/>
        </w:tabs>
        <w:autoSpaceDE w:val="0"/>
        <w:autoSpaceDN w:val="0"/>
        <w:adjustRightInd w:val="0"/>
        <w:spacing w:after="0" w:line="480" w:lineRule="auto"/>
        <w:contextualSpacing/>
        <w:rPr>
          <w:rFonts w:ascii="Arial" w:hAnsi="Arial" w:cs="Arial"/>
          <w:sz w:val="24"/>
          <w:szCs w:val="24"/>
        </w:rPr>
      </w:pPr>
    </w:p>
    <w:p w:rsidR="004E6966" w:rsidRDefault="004E6966" w:rsidP="004E6966">
      <w:pPr>
        <w:spacing w:after="120" w:line="480" w:lineRule="auto"/>
        <w:contextualSpacing/>
        <w:rPr>
          <w:rFonts w:ascii="Arial" w:hAnsi="Arial"/>
          <w:sz w:val="24"/>
        </w:rPr>
      </w:pPr>
      <w:r w:rsidRPr="009D6FF0">
        <w:rPr>
          <w:rFonts w:ascii="Arial" w:hAnsi="Arial"/>
          <w:sz w:val="24"/>
        </w:rPr>
        <w:t xml:space="preserve">At the discretion of the investigator, </w:t>
      </w:r>
      <w:r>
        <w:rPr>
          <w:rFonts w:ascii="Arial" w:hAnsi="Arial"/>
          <w:sz w:val="24"/>
        </w:rPr>
        <w:t xml:space="preserve">eligible </w:t>
      </w:r>
      <w:r w:rsidRPr="009D6FF0">
        <w:rPr>
          <w:rFonts w:ascii="Arial" w:hAnsi="Arial"/>
          <w:sz w:val="24"/>
        </w:rPr>
        <w:t xml:space="preserve">patients who had completed the </w:t>
      </w:r>
      <w:r>
        <w:rPr>
          <w:rFonts w:ascii="Arial" w:hAnsi="Arial"/>
          <w:sz w:val="24"/>
        </w:rPr>
        <w:t xml:space="preserve">initial </w:t>
      </w:r>
      <w:r w:rsidRPr="009D6FF0">
        <w:rPr>
          <w:rFonts w:ascii="Arial" w:hAnsi="Arial"/>
          <w:sz w:val="24"/>
        </w:rPr>
        <w:t>course of tremelimumab monotherapy</w:t>
      </w:r>
      <w:r>
        <w:rPr>
          <w:rFonts w:ascii="Arial" w:hAnsi="Arial"/>
          <w:sz w:val="24"/>
        </w:rPr>
        <w:t xml:space="preserve"> </w:t>
      </w:r>
      <w:r w:rsidRPr="00D92533">
        <w:rPr>
          <w:rFonts w:ascii="Arial" w:hAnsi="Arial"/>
          <w:sz w:val="24"/>
        </w:rPr>
        <w:t xml:space="preserve">(750 mg via </w:t>
      </w:r>
      <w:r>
        <w:rPr>
          <w:rFonts w:ascii="Arial" w:hAnsi="Arial"/>
          <w:sz w:val="24"/>
        </w:rPr>
        <w:t>intravenous [IV]</w:t>
      </w:r>
      <w:r w:rsidRPr="00D92533">
        <w:rPr>
          <w:rFonts w:ascii="Arial" w:hAnsi="Arial"/>
          <w:sz w:val="24"/>
        </w:rPr>
        <w:t xml:space="preserve"> infusion every 4 weeks for </w:t>
      </w:r>
      <w:r>
        <w:rPr>
          <w:rFonts w:ascii="Arial" w:hAnsi="Arial"/>
          <w:sz w:val="24"/>
        </w:rPr>
        <w:t>seven</w:t>
      </w:r>
      <w:r w:rsidRPr="00D92533">
        <w:rPr>
          <w:rFonts w:ascii="Arial" w:hAnsi="Arial"/>
          <w:sz w:val="24"/>
        </w:rPr>
        <w:t xml:space="preserve"> cycles, then every 12 weeks for two additional cycles)</w:t>
      </w:r>
      <w:r>
        <w:rPr>
          <w:rFonts w:ascii="Arial" w:hAnsi="Arial"/>
          <w:sz w:val="24"/>
        </w:rPr>
        <w:t xml:space="preserve"> </w:t>
      </w:r>
      <w:r w:rsidRPr="009D6FF0">
        <w:rPr>
          <w:rFonts w:ascii="Arial" w:hAnsi="Arial"/>
          <w:sz w:val="24"/>
        </w:rPr>
        <w:t xml:space="preserve">or </w:t>
      </w:r>
      <w:r>
        <w:rPr>
          <w:rFonts w:ascii="Arial" w:hAnsi="Arial"/>
          <w:sz w:val="24"/>
        </w:rPr>
        <w:t>who were in the</w:t>
      </w:r>
      <w:r w:rsidRPr="009D6FF0">
        <w:rPr>
          <w:rFonts w:ascii="Arial" w:hAnsi="Arial"/>
          <w:sz w:val="24"/>
        </w:rPr>
        <w:t xml:space="preserve"> tremelimumab monotherapy</w:t>
      </w:r>
      <w:r>
        <w:rPr>
          <w:rFonts w:ascii="Arial" w:hAnsi="Arial"/>
          <w:sz w:val="24"/>
        </w:rPr>
        <w:t xml:space="preserve"> </w:t>
      </w:r>
      <w:r w:rsidRPr="009D6FF0">
        <w:rPr>
          <w:rFonts w:ascii="Arial" w:hAnsi="Arial"/>
          <w:sz w:val="24"/>
        </w:rPr>
        <w:t>follow-up period</w:t>
      </w:r>
      <w:r>
        <w:rPr>
          <w:rFonts w:ascii="Arial" w:hAnsi="Arial"/>
          <w:sz w:val="24"/>
        </w:rPr>
        <w:t>,</w:t>
      </w:r>
      <w:r w:rsidRPr="009D6FF0">
        <w:rPr>
          <w:rFonts w:ascii="Arial" w:hAnsi="Arial"/>
          <w:sz w:val="24"/>
        </w:rPr>
        <w:t xml:space="preserve"> with confirmed disease progression were given the option of being retreated with tremelimumab monotherapy or being sequenced to either </w:t>
      </w:r>
    </w:p>
    <w:p w:rsidR="004E6966" w:rsidRDefault="004E6966" w:rsidP="004E6966">
      <w:pPr>
        <w:pStyle w:val="ListParagraph"/>
        <w:numPr>
          <w:ilvl w:val="0"/>
          <w:numId w:val="1"/>
        </w:numPr>
        <w:spacing w:after="120" w:line="480" w:lineRule="auto"/>
        <w:rPr>
          <w:rFonts w:ascii="Arial" w:hAnsi="Arial"/>
          <w:sz w:val="24"/>
        </w:rPr>
      </w:pPr>
      <w:r w:rsidRPr="00654966">
        <w:rPr>
          <w:rFonts w:ascii="Arial" w:hAnsi="Arial"/>
          <w:sz w:val="24"/>
        </w:rPr>
        <w:t xml:space="preserve">durvalumab monotherapy (1.5 g via IV infusion every 4 weeks for up to 12 months) </w:t>
      </w:r>
      <w:r>
        <w:rPr>
          <w:rFonts w:ascii="Arial" w:hAnsi="Arial"/>
          <w:sz w:val="24"/>
        </w:rPr>
        <w:t>or</w:t>
      </w:r>
    </w:p>
    <w:p w:rsidR="004E6966" w:rsidRPr="00654966" w:rsidRDefault="004E6966" w:rsidP="004E6966">
      <w:pPr>
        <w:pStyle w:val="ListParagraph"/>
        <w:numPr>
          <w:ilvl w:val="0"/>
          <w:numId w:val="1"/>
        </w:numPr>
        <w:spacing w:after="120" w:line="480" w:lineRule="auto"/>
        <w:rPr>
          <w:rFonts w:ascii="Arial" w:hAnsi="Arial"/>
          <w:sz w:val="24"/>
        </w:rPr>
      </w:pPr>
      <w:r w:rsidRPr="00654966">
        <w:rPr>
          <w:rFonts w:ascii="Arial" w:hAnsi="Arial"/>
          <w:sz w:val="24"/>
        </w:rPr>
        <w:t xml:space="preserve">durvalumab + tremelimumab combination therapy (durvalumab 1.5 g via IV infusion every 4 weeks + tremelimumab 75 mg via IV infusion every 4 weeks for up to </w:t>
      </w:r>
      <w:r>
        <w:rPr>
          <w:rFonts w:ascii="Arial" w:hAnsi="Arial"/>
          <w:sz w:val="24"/>
        </w:rPr>
        <w:t>four</w:t>
      </w:r>
      <w:r w:rsidRPr="00654966">
        <w:rPr>
          <w:rFonts w:ascii="Arial" w:hAnsi="Arial"/>
          <w:sz w:val="24"/>
        </w:rPr>
        <w:t xml:space="preserve"> cycles each, followed by durvalumab via IV infusion every 4 weeks for up to 8 months (up to 12 months total) or until </w:t>
      </w:r>
      <w:r>
        <w:rPr>
          <w:rFonts w:ascii="Arial" w:hAnsi="Arial"/>
          <w:sz w:val="24"/>
        </w:rPr>
        <w:t xml:space="preserve">progressive disease (PD; </w:t>
      </w:r>
      <w:r w:rsidRPr="00654966">
        <w:rPr>
          <w:rFonts w:ascii="Arial" w:hAnsi="Arial"/>
          <w:sz w:val="24"/>
        </w:rPr>
        <w:t xml:space="preserve">whichever occurred first). </w:t>
      </w:r>
    </w:p>
    <w:p w:rsidR="004E6966" w:rsidRDefault="004E6966" w:rsidP="004E6966">
      <w:pPr>
        <w:spacing w:after="120" w:line="480" w:lineRule="auto"/>
        <w:contextualSpacing/>
        <w:rPr>
          <w:rFonts w:ascii="Arial" w:hAnsi="Arial"/>
          <w:sz w:val="24"/>
        </w:rPr>
      </w:pPr>
    </w:p>
    <w:p w:rsidR="004E6966" w:rsidRPr="00D92533" w:rsidRDefault="004E6966" w:rsidP="004E6966">
      <w:pPr>
        <w:spacing w:after="120" w:line="480" w:lineRule="auto"/>
        <w:contextualSpacing/>
        <w:rPr>
          <w:rFonts w:ascii="Arial" w:hAnsi="Arial"/>
          <w:sz w:val="24"/>
        </w:rPr>
      </w:pPr>
      <w:r>
        <w:rPr>
          <w:rFonts w:ascii="Arial" w:hAnsi="Arial"/>
          <w:sz w:val="24"/>
        </w:rPr>
        <w:t>S</w:t>
      </w:r>
      <w:r w:rsidRPr="00D92533">
        <w:rPr>
          <w:rFonts w:ascii="Arial" w:hAnsi="Arial"/>
          <w:sz w:val="24"/>
        </w:rPr>
        <w:t>econdary objective</w:t>
      </w:r>
      <w:r>
        <w:rPr>
          <w:rFonts w:ascii="Arial" w:hAnsi="Arial"/>
          <w:sz w:val="24"/>
        </w:rPr>
        <w:t xml:space="preserve">s were </w:t>
      </w:r>
      <w:r w:rsidRPr="00D92533">
        <w:rPr>
          <w:rFonts w:ascii="Arial" w:hAnsi="Arial"/>
          <w:sz w:val="24"/>
        </w:rPr>
        <w:t>to assess the safety and efficacy of durvalumab monotherapy and durvalumab + tremelimumab combination therapy after confirmed PD on tremelimumab monotherapy using the criteria as set for tremelimumab monotherapy</w:t>
      </w:r>
      <w:r>
        <w:rPr>
          <w:rFonts w:ascii="Arial" w:hAnsi="Arial"/>
          <w:sz w:val="24"/>
        </w:rPr>
        <w:t>; these outcomes are reported here in the supplementary material.</w:t>
      </w:r>
    </w:p>
    <w:p w:rsidR="004E6966" w:rsidRPr="00D92533" w:rsidRDefault="004E6966" w:rsidP="004E6966">
      <w:pPr>
        <w:rPr>
          <w:rFonts w:ascii="Arial" w:hAnsi="Arial" w:cs="Arial"/>
          <w:sz w:val="24"/>
          <w:szCs w:val="24"/>
        </w:rPr>
      </w:pPr>
    </w:p>
    <w:p w:rsidR="004E6966" w:rsidRPr="00385B4E" w:rsidRDefault="004E6966" w:rsidP="004E6966">
      <w:pPr>
        <w:pStyle w:val="Heading2"/>
        <w:rPr>
          <w:b/>
        </w:rPr>
      </w:pPr>
      <w:r>
        <w:rPr>
          <w:b/>
        </w:rPr>
        <w:t>Durvalumab</w:t>
      </w:r>
      <w:r w:rsidRPr="009C425D">
        <w:rPr>
          <w:b/>
        </w:rPr>
        <w:t xml:space="preserve"> analysis set,</w:t>
      </w:r>
      <w:r w:rsidRPr="009C425D">
        <w:rPr>
          <w:b/>
          <w:i/>
        </w:rPr>
        <w:t xml:space="preserve"> n</w:t>
      </w:r>
      <w:r w:rsidRPr="009C425D">
        <w:rPr>
          <w:b/>
        </w:rPr>
        <w:t xml:space="preserve"> = 4</w:t>
      </w:r>
    </w:p>
    <w:p w:rsidR="004E6966" w:rsidRDefault="004E6966" w:rsidP="004E6966">
      <w:pPr>
        <w:spacing w:after="120" w:line="480" w:lineRule="auto"/>
        <w:contextualSpacing/>
        <w:rPr>
          <w:rFonts w:ascii="Arial" w:hAnsi="Arial"/>
          <w:sz w:val="24"/>
        </w:rPr>
      </w:pPr>
      <w:r w:rsidRPr="00D92533">
        <w:rPr>
          <w:rFonts w:ascii="Arial" w:hAnsi="Arial"/>
          <w:sz w:val="24"/>
        </w:rPr>
        <w:t>The median total treatment duration of patients sequenc</w:t>
      </w:r>
      <w:r>
        <w:rPr>
          <w:rFonts w:ascii="Arial" w:hAnsi="Arial"/>
          <w:sz w:val="24"/>
        </w:rPr>
        <w:t>ed</w:t>
      </w:r>
      <w:r w:rsidRPr="00D92533">
        <w:rPr>
          <w:rFonts w:ascii="Arial" w:hAnsi="Arial"/>
          <w:sz w:val="24"/>
        </w:rPr>
        <w:t xml:space="preserve"> to durvalumab monotherapy was 3.7 months. </w:t>
      </w:r>
      <w:r w:rsidRPr="00910ED9">
        <w:rPr>
          <w:rFonts w:ascii="Arial" w:hAnsi="Arial" w:cs="Arial"/>
          <w:sz w:val="24"/>
        </w:rPr>
        <w:t xml:space="preserve">Confirmed ORR was </w:t>
      </w:r>
      <w:r>
        <w:rPr>
          <w:rFonts w:ascii="Arial" w:hAnsi="Arial" w:cs="Arial"/>
          <w:sz w:val="24"/>
        </w:rPr>
        <w:t>25</w:t>
      </w:r>
      <w:r w:rsidRPr="00910ED9">
        <w:rPr>
          <w:rFonts w:ascii="Arial" w:hAnsi="Arial" w:cs="Arial"/>
          <w:sz w:val="24"/>
        </w:rPr>
        <w:t>% (</w:t>
      </w:r>
      <w:r w:rsidRPr="00192EA0">
        <w:rPr>
          <w:rFonts w:ascii="Arial" w:hAnsi="Arial" w:cs="Arial"/>
          <w:i/>
          <w:sz w:val="24"/>
        </w:rPr>
        <w:t>n</w:t>
      </w:r>
      <w:r w:rsidRPr="00910ED9">
        <w:rPr>
          <w:rFonts w:ascii="Arial" w:hAnsi="Arial" w:cs="Arial"/>
          <w:sz w:val="24"/>
        </w:rPr>
        <w:t xml:space="preserve"> = </w:t>
      </w:r>
      <w:r>
        <w:rPr>
          <w:rFonts w:ascii="Arial" w:hAnsi="Arial" w:cs="Arial"/>
          <w:sz w:val="24"/>
        </w:rPr>
        <w:t>1</w:t>
      </w:r>
      <w:r w:rsidRPr="00910ED9">
        <w:rPr>
          <w:rFonts w:ascii="Arial" w:hAnsi="Arial" w:cs="Arial"/>
          <w:sz w:val="24"/>
        </w:rPr>
        <w:t xml:space="preserve">) (95% CI, </w:t>
      </w:r>
      <w:r>
        <w:rPr>
          <w:rFonts w:ascii="Arial" w:hAnsi="Arial" w:cs="Arial"/>
          <w:sz w:val="24"/>
        </w:rPr>
        <w:t>0.6</w:t>
      </w:r>
      <w:r w:rsidRPr="00910ED9">
        <w:rPr>
          <w:rFonts w:ascii="Arial" w:hAnsi="Arial" w:cs="Arial"/>
          <w:sz w:val="24"/>
        </w:rPr>
        <w:t>–</w:t>
      </w:r>
      <w:r>
        <w:rPr>
          <w:rFonts w:ascii="Arial" w:hAnsi="Arial" w:cs="Arial"/>
          <w:sz w:val="24"/>
        </w:rPr>
        <w:t>80.6); the patient</w:t>
      </w:r>
      <w:r w:rsidRPr="00D92533">
        <w:rPr>
          <w:rFonts w:ascii="Arial" w:hAnsi="Arial" w:cs="Arial"/>
          <w:sz w:val="24"/>
        </w:rPr>
        <w:t xml:space="preserve"> had </w:t>
      </w:r>
      <w:r w:rsidRPr="00D92533">
        <w:rPr>
          <w:rFonts w:ascii="Arial" w:hAnsi="Arial" w:cs="Arial"/>
          <w:sz w:val="24"/>
          <w:szCs w:val="24"/>
        </w:rPr>
        <w:lastRenderedPageBreak/>
        <w:t>partial response</w:t>
      </w:r>
      <w:r w:rsidRPr="00D92533">
        <w:rPr>
          <w:rFonts w:ascii="Arial" w:hAnsi="Arial" w:cs="Arial"/>
          <w:sz w:val="24"/>
        </w:rPr>
        <w:t xml:space="preserve"> </w:t>
      </w:r>
      <w:r>
        <w:rPr>
          <w:rFonts w:ascii="Arial" w:hAnsi="Arial" w:cs="Arial"/>
          <w:sz w:val="24"/>
        </w:rPr>
        <w:t>(</w:t>
      </w:r>
      <w:r w:rsidRPr="00D92533">
        <w:rPr>
          <w:rFonts w:ascii="Arial" w:hAnsi="Arial" w:cs="Arial"/>
          <w:sz w:val="24"/>
        </w:rPr>
        <w:t>PR</w:t>
      </w:r>
      <w:r>
        <w:rPr>
          <w:rFonts w:ascii="Arial" w:hAnsi="Arial" w:cs="Arial"/>
          <w:sz w:val="24"/>
        </w:rPr>
        <w:t>)</w:t>
      </w:r>
      <w:r w:rsidRPr="00D92533">
        <w:rPr>
          <w:rFonts w:ascii="Arial" w:hAnsi="Arial" w:cs="Arial"/>
          <w:sz w:val="24"/>
        </w:rPr>
        <w:t xml:space="preserve">. </w:t>
      </w:r>
      <w:r>
        <w:rPr>
          <w:rFonts w:ascii="Arial" w:hAnsi="Arial" w:cs="Arial"/>
          <w:sz w:val="24"/>
        </w:rPr>
        <w:t>The</w:t>
      </w:r>
      <w:r w:rsidRPr="00D92533">
        <w:rPr>
          <w:rFonts w:ascii="Arial" w:hAnsi="Arial" w:cs="Arial"/>
          <w:sz w:val="24"/>
        </w:rPr>
        <w:t xml:space="preserve"> other </w:t>
      </w:r>
      <w:r>
        <w:rPr>
          <w:rFonts w:ascii="Arial" w:hAnsi="Arial" w:cs="Arial"/>
          <w:sz w:val="24"/>
        </w:rPr>
        <w:t>durvalumab</w:t>
      </w:r>
      <w:r w:rsidRPr="00D92533">
        <w:rPr>
          <w:rFonts w:ascii="Arial" w:hAnsi="Arial" w:cs="Arial"/>
          <w:sz w:val="24"/>
        </w:rPr>
        <w:t xml:space="preserve"> patients</w:t>
      </w:r>
      <w:r>
        <w:rPr>
          <w:rFonts w:ascii="Arial" w:hAnsi="Arial" w:cs="Arial"/>
          <w:sz w:val="24"/>
        </w:rPr>
        <w:t xml:space="preserve"> </w:t>
      </w:r>
      <w:r w:rsidRPr="00D92533">
        <w:rPr>
          <w:rFonts w:ascii="Arial" w:hAnsi="Arial" w:cs="Arial"/>
          <w:sz w:val="24"/>
        </w:rPr>
        <w:t>(</w:t>
      </w:r>
      <w:r w:rsidRPr="009C425D">
        <w:rPr>
          <w:rFonts w:ascii="Arial" w:hAnsi="Arial" w:cs="Arial"/>
          <w:i/>
          <w:sz w:val="24"/>
        </w:rPr>
        <w:t>n</w:t>
      </w:r>
      <w:r>
        <w:rPr>
          <w:rFonts w:ascii="Arial" w:hAnsi="Arial" w:cs="Arial"/>
          <w:sz w:val="24"/>
        </w:rPr>
        <w:t xml:space="preserve"> </w:t>
      </w:r>
      <w:r w:rsidRPr="00D92533">
        <w:rPr>
          <w:rFonts w:ascii="Arial" w:hAnsi="Arial" w:cs="Arial"/>
          <w:sz w:val="24"/>
        </w:rPr>
        <w:t>=</w:t>
      </w:r>
      <w:r>
        <w:rPr>
          <w:rFonts w:ascii="Arial" w:hAnsi="Arial" w:cs="Arial"/>
          <w:sz w:val="24"/>
        </w:rPr>
        <w:t xml:space="preserve"> </w:t>
      </w:r>
      <w:r w:rsidRPr="00D92533">
        <w:rPr>
          <w:rFonts w:ascii="Arial" w:hAnsi="Arial" w:cs="Arial"/>
          <w:sz w:val="24"/>
        </w:rPr>
        <w:t>3)</w:t>
      </w:r>
      <w:r w:rsidRPr="00D92533">
        <w:rPr>
          <w:rFonts w:ascii="Arial" w:hAnsi="Arial"/>
          <w:sz w:val="24"/>
        </w:rPr>
        <w:t xml:space="preserve"> </w:t>
      </w:r>
      <w:r>
        <w:rPr>
          <w:rFonts w:ascii="Arial" w:hAnsi="Arial" w:cs="Arial"/>
          <w:sz w:val="24"/>
        </w:rPr>
        <w:t>h</w:t>
      </w:r>
      <w:r w:rsidRPr="00D92533">
        <w:rPr>
          <w:rFonts w:ascii="Arial" w:hAnsi="Arial" w:cs="Arial"/>
          <w:sz w:val="24"/>
        </w:rPr>
        <w:t xml:space="preserve">ad </w:t>
      </w:r>
      <w:r>
        <w:rPr>
          <w:rFonts w:ascii="Arial" w:hAnsi="Arial" w:cs="Arial"/>
          <w:sz w:val="24"/>
        </w:rPr>
        <w:t xml:space="preserve">PD and there were none with stable disease. </w:t>
      </w:r>
      <w:r w:rsidRPr="00D92533">
        <w:rPr>
          <w:rFonts w:ascii="Arial" w:hAnsi="Arial"/>
          <w:sz w:val="24"/>
        </w:rPr>
        <w:t xml:space="preserve">The </w:t>
      </w:r>
      <w:r w:rsidRPr="00D92533">
        <w:rPr>
          <w:rFonts w:ascii="Arial" w:hAnsi="Arial" w:cs="Arial"/>
          <w:sz w:val="24"/>
          <w:szCs w:val="24"/>
        </w:rPr>
        <w:t>duration of response</w:t>
      </w:r>
      <w:r w:rsidRPr="00D92533">
        <w:rPr>
          <w:rFonts w:ascii="Arial" w:hAnsi="Arial"/>
          <w:sz w:val="24"/>
        </w:rPr>
        <w:t xml:space="preserve"> </w:t>
      </w:r>
      <w:r>
        <w:rPr>
          <w:rFonts w:ascii="Arial" w:hAnsi="Arial"/>
          <w:sz w:val="24"/>
        </w:rPr>
        <w:t>(</w:t>
      </w:r>
      <w:proofErr w:type="spellStart"/>
      <w:r>
        <w:rPr>
          <w:rFonts w:ascii="Arial" w:hAnsi="Arial"/>
          <w:sz w:val="24"/>
        </w:rPr>
        <w:t>DoR</w:t>
      </w:r>
      <w:proofErr w:type="spellEnd"/>
      <w:r>
        <w:rPr>
          <w:rFonts w:ascii="Arial" w:hAnsi="Arial"/>
          <w:sz w:val="24"/>
        </w:rPr>
        <w:t>)</w:t>
      </w:r>
      <w:r w:rsidRPr="00D92533">
        <w:rPr>
          <w:rFonts w:ascii="Arial" w:hAnsi="Arial"/>
          <w:sz w:val="24"/>
        </w:rPr>
        <w:t xml:space="preserve"> for the one responder was 7.3 months and the </w:t>
      </w:r>
      <w:r w:rsidRPr="00D92533">
        <w:rPr>
          <w:rFonts w:ascii="Arial" w:hAnsi="Arial" w:cs="Arial"/>
          <w:sz w:val="24"/>
          <w:szCs w:val="24"/>
        </w:rPr>
        <w:t>disease control rate</w:t>
      </w:r>
      <w:r w:rsidRPr="00D92533">
        <w:rPr>
          <w:rFonts w:ascii="Arial" w:hAnsi="Arial"/>
          <w:sz w:val="24"/>
        </w:rPr>
        <w:t xml:space="preserve"> </w:t>
      </w:r>
      <w:r>
        <w:rPr>
          <w:rFonts w:ascii="Arial" w:hAnsi="Arial"/>
          <w:sz w:val="24"/>
        </w:rPr>
        <w:t>(</w:t>
      </w:r>
      <w:r w:rsidRPr="00D92533">
        <w:rPr>
          <w:rFonts w:ascii="Arial" w:hAnsi="Arial"/>
          <w:sz w:val="24"/>
        </w:rPr>
        <w:t>DCR</w:t>
      </w:r>
      <w:r>
        <w:rPr>
          <w:rFonts w:ascii="Arial" w:hAnsi="Arial"/>
          <w:sz w:val="24"/>
        </w:rPr>
        <w:t>)</w:t>
      </w:r>
      <w:r w:rsidRPr="00D92533">
        <w:rPr>
          <w:rFonts w:ascii="Arial" w:hAnsi="Arial"/>
          <w:sz w:val="24"/>
        </w:rPr>
        <w:t xml:space="preserve"> at 4 months was 25.0% (</w:t>
      </w:r>
      <w:r w:rsidRPr="009C425D">
        <w:rPr>
          <w:rFonts w:ascii="Arial" w:hAnsi="Arial"/>
          <w:i/>
          <w:sz w:val="24"/>
        </w:rPr>
        <w:t>n</w:t>
      </w:r>
      <w:r>
        <w:rPr>
          <w:rFonts w:ascii="Arial" w:hAnsi="Arial"/>
          <w:sz w:val="24"/>
        </w:rPr>
        <w:t xml:space="preserve"> </w:t>
      </w:r>
      <w:r w:rsidRPr="00D92533">
        <w:rPr>
          <w:rFonts w:ascii="Arial" w:hAnsi="Arial"/>
          <w:sz w:val="24"/>
        </w:rPr>
        <w:t>=</w:t>
      </w:r>
      <w:r>
        <w:rPr>
          <w:rFonts w:ascii="Arial" w:hAnsi="Arial"/>
          <w:sz w:val="24"/>
        </w:rPr>
        <w:t xml:space="preserve"> </w:t>
      </w:r>
      <w:r w:rsidRPr="00D92533">
        <w:rPr>
          <w:rFonts w:ascii="Arial" w:hAnsi="Arial"/>
          <w:sz w:val="24"/>
        </w:rPr>
        <w:t xml:space="preserve">1). Due to </w:t>
      </w:r>
      <w:r>
        <w:rPr>
          <w:rFonts w:ascii="Arial" w:hAnsi="Arial"/>
          <w:sz w:val="24"/>
        </w:rPr>
        <w:t xml:space="preserve">the small </w:t>
      </w:r>
      <w:r w:rsidRPr="00D92533">
        <w:rPr>
          <w:rFonts w:ascii="Arial" w:hAnsi="Arial"/>
          <w:sz w:val="24"/>
        </w:rPr>
        <w:t xml:space="preserve">sample size, </w:t>
      </w:r>
      <w:r>
        <w:rPr>
          <w:rFonts w:ascii="Arial" w:hAnsi="Arial"/>
          <w:sz w:val="24"/>
        </w:rPr>
        <w:t>overall survival (</w:t>
      </w:r>
      <w:r w:rsidRPr="00D92533">
        <w:rPr>
          <w:rFonts w:ascii="Arial" w:hAnsi="Arial"/>
          <w:sz w:val="24"/>
        </w:rPr>
        <w:t>OS</w:t>
      </w:r>
      <w:r>
        <w:rPr>
          <w:rFonts w:ascii="Arial" w:hAnsi="Arial"/>
          <w:sz w:val="24"/>
        </w:rPr>
        <w:t>)</w:t>
      </w:r>
      <w:r w:rsidRPr="00D92533">
        <w:rPr>
          <w:rFonts w:ascii="Arial" w:hAnsi="Arial"/>
          <w:sz w:val="24"/>
        </w:rPr>
        <w:t xml:space="preserve"> was not estimable; the estimated survival rate at 12 months was 50.0%. The 25%, 50%, and 75% </w:t>
      </w:r>
      <w:r w:rsidRPr="00D92533">
        <w:rPr>
          <w:rFonts w:ascii="Arial" w:hAnsi="Arial" w:cs="Arial"/>
          <w:sz w:val="24"/>
          <w:szCs w:val="24"/>
        </w:rPr>
        <w:t>progression-free survival</w:t>
      </w:r>
      <w:r w:rsidRPr="00D92533">
        <w:rPr>
          <w:rFonts w:ascii="Arial" w:hAnsi="Arial"/>
          <w:sz w:val="24"/>
        </w:rPr>
        <w:t xml:space="preserve"> </w:t>
      </w:r>
      <w:r>
        <w:rPr>
          <w:rFonts w:ascii="Arial" w:hAnsi="Arial"/>
          <w:sz w:val="24"/>
        </w:rPr>
        <w:t>(</w:t>
      </w:r>
      <w:r w:rsidRPr="00D92533">
        <w:rPr>
          <w:rFonts w:ascii="Arial" w:hAnsi="Arial"/>
          <w:sz w:val="24"/>
        </w:rPr>
        <w:t>PFS</w:t>
      </w:r>
      <w:r>
        <w:rPr>
          <w:rFonts w:ascii="Arial" w:hAnsi="Arial"/>
          <w:sz w:val="24"/>
        </w:rPr>
        <w:t>)</w:t>
      </w:r>
      <w:r w:rsidRPr="00D92533">
        <w:rPr>
          <w:rFonts w:ascii="Arial" w:hAnsi="Arial"/>
          <w:sz w:val="24"/>
        </w:rPr>
        <w:t xml:space="preserve"> was 1.81 months, 2.86 months, and 6.62 months, respectively.</w:t>
      </w:r>
    </w:p>
    <w:p w:rsidR="004E6966" w:rsidRDefault="004E6966" w:rsidP="004E6966">
      <w:pPr>
        <w:spacing w:after="120" w:line="480" w:lineRule="auto"/>
        <w:contextualSpacing/>
        <w:rPr>
          <w:rFonts w:ascii="Arial" w:hAnsi="Arial"/>
          <w:sz w:val="24"/>
        </w:rPr>
      </w:pPr>
    </w:p>
    <w:p w:rsidR="004E6966" w:rsidRPr="00D92533" w:rsidRDefault="004E6966" w:rsidP="004E6966">
      <w:pPr>
        <w:spacing w:after="120" w:line="480" w:lineRule="auto"/>
        <w:contextualSpacing/>
        <w:rPr>
          <w:rFonts w:ascii="Arial" w:hAnsi="Arial"/>
          <w:sz w:val="24"/>
        </w:rPr>
      </w:pPr>
      <w:r w:rsidRPr="00FF3BB9">
        <w:rPr>
          <w:rFonts w:ascii="Arial" w:hAnsi="Arial"/>
          <w:sz w:val="24"/>
        </w:rPr>
        <w:t xml:space="preserve">No deaths </w:t>
      </w:r>
      <w:r>
        <w:rPr>
          <w:rFonts w:ascii="Arial" w:hAnsi="Arial"/>
          <w:sz w:val="24"/>
        </w:rPr>
        <w:t xml:space="preserve">in this subgroup </w:t>
      </w:r>
      <w:r w:rsidRPr="00FF3BB9">
        <w:rPr>
          <w:rFonts w:ascii="Arial" w:hAnsi="Arial"/>
          <w:sz w:val="24"/>
        </w:rPr>
        <w:t xml:space="preserve">were considered related to treatment by the </w:t>
      </w:r>
      <w:r>
        <w:rPr>
          <w:rFonts w:ascii="Arial" w:hAnsi="Arial"/>
          <w:sz w:val="24"/>
        </w:rPr>
        <w:t>i</w:t>
      </w:r>
      <w:r w:rsidRPr="00FF3BB9">
        <w:rPr>
          <w:rFonts w:ascii="Arial" w:hAnsi="Arial"/>
          <w:sz w:val="24"/>
        </w:rPr>
        <w:t>nvestigator</w:t>
      </w:r>
      <w:r>
        <w:rPr>
          <w:rFonts w:ascii="Arial" w:hAnsi="Arial"/>
          <w:sz w:val="24"/>
        </w:rPr>
        <w:t xml:space="preserve">. The most </w:t>
      </w:r>
      <w:r w:rsidRPr="00FF3BB9">
        <w:rPr>
          <w:rFonts w:ascii="Arial" w:hAnsi="Arial"/>
          <w:sz w:val="24"/>
        </w:rPr>
        <w:t>common reason for death was disease under study</w:t>
      </w:r>
      <w:r>
        <w:rPr>
          <w:rFonts w:ascii="Arial" w:hAnsi="Arial"/>
          <w:sz w:val="24"/>
        </w:rPr>
        <w:t xml:space="preserve"> (</w:t>
      </w:r>
      <w:r w:rsidRPr="00192EA0">
        <w:rPr>
          <w:rFonts w:ascii="Arial" w:hAnsi="Arial"/>
          <w:i/>
          <w:sz w:val="24"/>
        </w:rPr>
        <w:t>n</w:t>
      </w:r>
      <w:r>
        <w:rPr>
          <w:rFonts w:ascii="Arial" w:hAnsi="Arial"/>
          <w:sz w:val="24"/>
        </w:rPr>
        <w:t xml:space="preserve"> = 2, 50%). Adverse events (</w:t>
      </w:r>
      <w:r w:rsidRPr="00D92533">
        <w:rPr>
          <w:rFonts w:ascii="Arial" w:hAnsi="Arial"/>
          <w:sz w:val="24"/>
        </w:rPr>
        <w:t>AE</w:t>
      </w:r>
      <w:r>
        <w:rPr>
          <w:rFonts w:ascii="Arial" w:hAnsi="Arial"/>
          <w:sz w:val="24"/>
        </w:rPr>
        <w:t>s)</w:t>
      </w:r>
      <w:r w:rsidRPr="00D92533">
        <w:rPr>
          <w:rFonts w:ascii="Arial" w:hAnsi="Arial"/>
          <w:sz w:val="24"/>
        </w:rPr>
        <w:t xml:space="preserve"> were reported in </w:t>
      </w:r>
      <w:r>
        <w:rPr>
          <w:rFonts w:ascii="Arial" w:hAnsi="Arial"/>
          <w:sz w:val="24"/>
        </w:rPr>
        <w:t>all four patients</w:t>
      </w:r>
      <w:r w:rsidRPr="00D92533">
        <w:rPr>
          <w:rFonts w:ascii="Arial" w:hAnsi="Arial"/>
          <w:sz w:val="24"/>
        </w:rPr>
        <w:t xml:space="preserve"> (100%)</w:t>
      </w:r>
      <w:r>
        <w:rPr>
          <w:rFonts w:ascii="Arial" w:hAnsi="Arial"/>
          <w:sz w:val="24"/>
        </w:rPr>
        <w:t xml:space="preserve">; AEs were </w:t>
      </w:r>
      <w:r w:rsidRPr="00D92533">
        <w:rPr>
          <w:rFonts w:ascii="Arial" w:hAnsi="Arial"/>
          <w:sz w:val="24"/>
        </w:rPr>
        <w:t>causally related to durvalumab</w:t>
      </w:r>
      <w:r>
        <w:rPr>
          <w:rFonts w:ascii="Arial" w:hAnsi="Arial"/>
          <w:sz w:val="24"/>
        </w:rPr>
        <w:t xml:space="preserve"> in one instance</w:t>
      </w:r>
      <w:r w:rsidRPr="00D92533">
        <w:rPr>
          <w:rFonts w:ascii="Arial" w:hAnsi="Arial"/>
          <w:sz w:val="24"/>
        </w:rPr>
        <w:t>.</w:t>
      </w:r>
      <w:r>
        <w:rPr>
          <w:rFonts w:ascii="Arial" w:hAnsi="Arial"/>
          <w:sz w:val="24"/>
        </w:rPr>
        <w:t xml:space="preserve"> </w:t>
      </w:r>
      <w:r w:rsidRPr="00D92533">
        <w:rPr>
          <w:rFonts w:ascii="Arial" w:hAnsi="Arial"/>
          <w:sz w:val="24"/>
        </w:rPr>
        <w:t xml:space="preserve">No </w:t>
      </w:r>
      <w:r>
        <w:rPr>
          <w:rFonts w:ascii="Arial" w:hAnsi="Arial"/>
          <w:sz w:val="24"/>
        </w:rPr>
        <w:t>immune-mediated AEs (</w:t>
      </w:r>
      <w:proofErr w:type="spellStart"/>
      <w:r w:rsidRPr="00D92533">
        <w:rPr>
          <w:rFonts w:ascii="Arial" w:hAnsi="Arial"/>
          <w:sz w:val="24"/>
        </w:rPr>
        <w:t>imAEs</w:t>
      </w:r>
      <w:proofErr w:type="spellEnd"/>
      <w:r>
        <w:rPr>
          <w:rFonts w:ascii="Arial" w:hAnsi="Arial"/>
          <w:sz w:val="24"/>
        </w:rPr>
        <w:t>)</w:t>
      </w:r>
      <w:r w:rsidRPr="00D92533">
        <w:rPr>
          <w:rFonts w:ascii="Arial" w:hAnsi="Arial"/>
          <w:sz w:val="24"/>
        </w:rPr>
        <w:t xml:space="preserve"> were reported during </w:t>
      </w:r>
      <w:r>
        <w:rPr>
          <w:rFonts w:ascii="Arial" w:hAnsi="Arial"/>
          <w:sz w:val="24"/>
        </w:rPr>
        <w:t xml:space="preserve">treatment with </w:t>
      </w:r>
      <w:r w:rsidRPr="00D92533">
        <w:rPr>
          <w:rFonts w:ascii="Arial" w:hAnsi="Arial"/>
          <w:sz w:val="24"/>
        </w:rPr>
        <w:t>durvalumab monotherapy.</w:t>
      </w:r>
      <w:r w:rsidRPr="00594E43">
        <w:rPr>
          <w:rFonts w:ascii="Arial" w:hAnsi="Arial"/>
          <w:sz w:val="24"/>
        </w:rPr>
        <w:t xml:space="preserve"> </w:t>
      </w:r>
      <w:r>
        <w:rPr>
          <w:rFonts w:ascii="Arial" w:hAnsi="Arial"/>
          <w:sz w:val="24"/>
        </w:rPr>
        <w:t>T</w:t>
      </w:r>
      <w:r w:rsidRPr="00D92533">
        <w:rPr>
          <w:rFonts w:ascii="Arial" w:hAnsi="Arial"/>
          <w:sz w:val="24"/>
        </w:rPr>
        <w:t xml:space="preserve">he most common reason for treatment discontinuation was </w:t>
      </w:r>
      <w:r>
        <w:rPr>
          <w:rFonts w:ascii="Arial" w:hAnsi="Arial"/>
          <w:sz w:val="24"/>
        </w:rPr>
        <w:t>worsening of the condition under investigation</w:t>
      </w:r>
      <w:r w:rsidRPr="00D92533">
        <w:rPr>
          <w:rFonts w:ascii="Arial" w:hAnsi="Arial"/>
          <w:sz w:val="24"/>
        </w:rPr>
        <w:t xml:space="preserve"> (</w:t>
      </w:r>
      <w:r w:rsidRPr="009C425D">
        <w:rPr>
          <w:rFonts w:ascii="Arial" w:hAnsi="Arial"/>
          <w:i/>
          <w:sz w:val="24"/>
        </w:rPr>
        <w:t>n</w:t>
      </w:r>
      <w:r>
        <w:rPr>
          <w:rFonts w:ascii="Arial" w:hAnsi="Arial"/>
          <w:sz w:val="24"/>
        </w:rPr>
        <w:t xml:space="preserve"> </w:t>
      </w:r>
      <w:r w:rsidRPr="00D92533">
        <w:rPr>
          <w:rFonts w:ascii="Arial" w:hAnsi="Arial"/>
          <w:sz w:val="24"/>
        </w:rPr>
        <w:t>=</w:t>
      </w:r>
      <w:r>
        <w:rPr>
          <w:rFonts w:ascii="Arial" w:hAnsi="Arial"/>
          <w:sz w:val="24"/>
        </w:rPr>
        <w:t xml:space="preserve"> </w:t>
      </w:r>
      <w:r w:rsidRPr="00D92533">
        <w:rPr>
          <w:rFonts w:ascii="Arial" w:hAnsi="Arial"/>
          <w:sz w:val="24"/>
        </w:rPr>
        <w:t>3, 75%).</w:t>
      </w:r>
      <w:r>
        <w:rPr>
          <w:rFonts w:ascii="Arial" w:hAnsi="Arial"/>
          <w:sz w:val="24"/>
        </w:rPr>
        <w:t xml:space="preserve"> I</w:t>
      </w:r>
      <w:r w:rsidRPr="00D92533">
        <w:rPr>
          <w:rFonts w:ascii="Arial" w:hAnsi="Arial"/>
          <w:sz w:val="24"/>
        </w:rPr>
        <w:t xml:space="preserve">mmunogenicity data </w:t>
      </w:r>
      <w:r>
        <w:rPr>
          <w:rFonts w:ascii="Arial" w:hAnsi="Arial"/>
          <w:sz w:val="24"/>
        </w:rPr>
        <w:t>are</w:t>
      </w:r>
      <w:r w:rsidRPr="00D92533">
        <w:rPr>
          <w:rFonts w:ascii="Arial" w:hAnsi="Arial"/>
          <w:sz w:val="24"/>
        </w:rPr>
        <w:t xml:space="preserve"> </w:t>
      </w:r>
      <w:r>
        <w:rPr>
          <w:rFonts w:ascii="Arial" w:hAnsi="Arial"/>
          <w:sz w:val="24"/>
        </w:rPr>
        <w:t xml:space="preserve">not </w:t>
      </w:r>
      <w:r w:rsidRPr="00D92533">
        <w:rPr>
          <w:rFonts w:ascii="Arial" w:hAnsi="Arial"/>
          <w:sz w:val="24"/>
        </w:rPr>
        <w:t>available</w:t>
      </w:r>
      <w:r>
        <w:rPr>
          <w:rFonts w:ascii="Arial" w:hAnsi="Arial"/>
          <w:sz w:val="24"/>
        </w:rPr>
        <w:t xml:space="preserve"> for the durvalumab group.</w:t>
      </w:r>
    </w:p>
    <w:p w:rsidR="004E6966" w:rsidRPr="00D92533" w:rsidRDefault="004E6966" w:rsidP="004E6966">
      <w:pPr>
        <w:tabs>
          <w:tab w:val="left" w:pos="-3600"/>
          <w:tab w:val="left" w:pos="0"/>
        </w:tabs>
        <w:autoSpaceDE w:val="0"/>
        <w:autoSpaceDN w:val="0"/>
        <w:adjustRightInd w:val="0"/>
        <w:spacing w:after="0" w:line="480" w:lineRule="auto"/>
        <w:contextualSpacing/>
        <w:rPr>
          <w:rFonts w:ascii="Arial" w:hAnsi="Arial" w:cs="Arial"/>
          <w:sz w:val="24"/>
          <w:szCs w:val="24"/>
        </w:rPr>
      </w:pPr>
    </w:p>
    <w:p w:rsidR="004E6966" w:rsidRDefault="004E6966" w:rsidP="004E6966">
      <w:pPr>
        <w:pStyle w:val="Heading2"/>
        <w:rPr>
          <w:b/>
        </w:rPr>
      </w:pPr>
      <w:r w:rsidRPr="00385B4E">
        <w:rPr>
          <w:b/>
        </w:rPr>
        <w:t>Durvalumab + tremelimumab</w:t>
      </w:r>
      <w:r>
        <w:rPr>
          <w:b/>
        </w:rPr>
        <w:t xml:space="preserve"> combination therapy</w:t>
      </w:r>
      <w:r w:rsidRPr="009C425D">
        <w:rPr>
          <w:b/>
        </w:rPr>
        <w:t xml:space="preserve"> analysis set, </w:t>
      </w:r>
      <w:r w:rsidRPr="009C425D">
        <w:rPr>
          <w:b/>
          <w:i/>
        </w:rPr>
        <w:t>n</w:t>
      </w:r>
      <w:r w:rsidRPr="009C425D">
        <w:rPr>
          <w:b/>
        </w:rPr>
        <w:t xml:space="preserve"> = 7</w:t>
      </w:r>
    </w:p>
    <w:p w:rsidR="004E6966" w:rsidRDefault="004E6966" w:rsidP="004E6966">
      <w:pPr>
        <w:spacing w:after="120" w:line="480" w:lineRule="auto"/>
        <w:contextualSpacing/>
        <w:rPr>
          <w:rFonts w:ascii="Arial" w:hAnsi="Arial"/>
          <w:sz w:val="24"/>
        </w:rPr>
      </w:pPr>
      <w:r w:rsidRPr="00DB7E1B">
        <w:rPr>
          <w:rFonts w:ascii="Arial" w:hAnsi="Arial"/>
          <w:sz w:val="24"/>
        </w:rPr>
        <w:t>The median duration of exposure to durvalumab and tremelimumab during combination therapy was 2.8 months</w:t>
      </w:r>
      <w:r>
        <w:rPr>
          <w:rFonts w:ascii="Arial" w:hAnsi="Arial"/>
          <w:sz w:val="24"/>
        </w:rPr>
        <w:t xml:space="preserve">. </w:t>
      </w:r>
      <w:r w:rsidRPr="00D92533">
        <w:rPr>
          <w:rFonts w:ascii="Arial" w:hAnsi="Arial"/>
          <w:sz w:val="24"/>
        </w:rPr>
        <w:t xml:space="preserve">There were no confirmed responses in </w:t>
      </w:r>
      <w:r>
        <w:rPr>
          <w:rFonts w:ascii="Arial" w:hAnsi="Arial"/>
          <w:sz w:val="24"/>
        </w:rPr>
        <w:t>this subset of patients</w:t>
      </w:r>
      <w:r w:rsidRPr="00D92533">
        <w:rPr>
          <w:rFonts w:ascii="Arial" w:hAnsi="Arial"/>
          <w:sz w:val="24"/>
        </w:rPr>
        <w:t xml:space="preserve">. </w:t>
      </w:r>
      <w:r>
        <w:rPr>
          <w:rFonts w:ascii="Arial" w:hAnsi="Arial"/>
          <w:sz w:val="24"/>
        </w:rPr>
        <w:t>O</w:t>
      </w:r>
      <w:r w:rsidRPr="00DB7E1B">
        <w:rPr>
          <w:rFonts w:ascii="Arial" w:hAnsi="Arial"/>
          <w:sz w:val="24"/>
        </w:rPr>
        <w:t>ne patient</w:t>
      </w:r>
      <w:r>
        <w:rPr>
          <w:rFonts w:ascii="Arial" w:hAnsi="Arial"/>
          <w:sz w:val="24"/>
        </w:rPr>
        <w:t xml:space="preserve"> had stable disease (14.3%)</w:t>
      </w:r>
      <w:r w:rsidRPr="00DB7E1B">
        <w:rPr>
          <w:rFonts w:ascii="Arial" w:hAnsi="Arial"/>
          <w:sz w:val="24"/>
        </w:rPr>
        <w:t xml:space="preserve">. </w:t>
      </w:r>
      <w:r w:rsidRPr="00D92533">
        <w:rPr>
          <w:rFonts w:ascii="Arial" w:hAnsi="Arial"/>
          <w:sz w:val="24"/>
        </w:rPr>
        <w:t>The DCR at 4 months was 28.6% (</w:t>
      </w:r>
      <w:r w:rsidRPr="009C425D">
        <w:rPr>
          <w:rFonts w:ascii="Arial" w:hAnsi="Arial"/>
          <w:i/>
          <w:sz w:val="24"/>
        </w:rPr>
        <w:t>n</w:t>
      </w:r>
      <w:r>
        <w:rPr>
          <w:rFonts w:ascii="Arial" w:hAnsi="Arial"/>
          <w:sz w:val="24"/>
        </w:rPr>
        <w:t xml:space="preserve"> </w:t>
      </w:r>
      <w:r w:rsidRPr="00D92533">
        <w:rPr>
          <w:rFonts w:ascii="Arial" w:hAnsi="Arial"/>
          <w:sz w:val="24"/>
        </w:rPr>
        <w:t>=</w:t>
      </w:r>
      <w:r>
        <w:rPr>
          <w:rFonts w:ascii="Arial" w:hAnsi="Arial"/>
          <w:sz w:val="24"/>
        </w:rPr>
        <w:t xml:space="preserve"> </w:t>
      </w:r>
      <w:r w:rsidRPr="00D92533">
        <w:rPr>
          <w:rFonts w:ascii="Arial" w:hAnsi="Arial"/>
          <w:sz w:val="24"/>
        </w:rPr>
        <w:t xml:space="preserve">2). Median OS was 11.86 months. The estimated survival rate at 12 months was 34.0%. </w:t>
      </w:r>
      <w:r>
        <w:rPr>
          <w:rFonts w:ascii="Arial" w:hAnsi="Arial"/>
          <w:sz w:val="24"/>
        </w:rPr>
        <w:t xml:space="preserve">The </w:t>
      </w:r>
      <w:r w:rsidRPr="00D92533">
        <w:rPr>
          <w:rFonts w:ascii="Arial" w:hAnsi="Arial"/>
          <w:sz w:val="24"/>
        </w:rPr>
        <w:t>25%, 50%, and 75% PFS was 1.81 months, 2.83 months, and 3.65 months, respectively</w:t>
      </w:r>
      <w:r>
        <w:rPr>
          <w:rFonts w:ascii="Arial" w:hAnsi="Arial"/>
          <w:sz w:val="24"/>
        </w:rPr>
        <w:t>.</w:t>
      </w:r>
    </w:p>
    <w:p w:rsidR="004E6966" w:rsidRDefault="004E6966" w:rsidP="004E6966">
      <w:pPr>
        <w:spacing w:after="120" w:line="480" w:lineRule="auto"/>
        <w:contextualSpacing/>
        <w:rPr>
          <w:rFonts w:ascii="Arial" w:hAnsi="Arial"/>
          <w:sz w:val="24"/>
        </w:rPr>
      </w:pPr>
    </w:p>
    <w:p w:rsidR="004E6966" w:rsidRDefault="004E6966" w:rsidP="004E6966">
      <w:pPr>
        <w:spacing w:after="120" w:line="480" w:lineRule="auto"/>
        <w:contextualSpacing/>
        <w:rPr>
          <w:rFonts w:ascii="Arial" w:hAnsi="Arial"/>
          <w:sz w:val="24"/>
        </w:rPr>
      </w:pPr>
      <w:r w:rsidRPr="00D92533">
        <w:rPr>
          <w:rFonts w:ascii="Arial" w:hAnsi="Arial"/>
          <w:sz w:val="24"/>
        </w:rPr>
        <w:lastRenderedPageBreak/>
        <w:t>AE</w:t>
      </w:r>
      <w:r>
        <w:rPr>
          <w:rFonts w:ascii="Arial" w:hAnsi="Arial"/>
          <w:sz w:val="24"/>
        </w:rPr>
        <w:t>s</w:t>
      </w:r>
      <w:r w:rsidRPr="00D92533">
        <w:rPr>
          <w:rFonts w:ascii="Arial" w:hAnsi="Arial"/>
          <w:sz w:val="24"/>
        </w:rPr>
        <w:t xml:space="preserve"> were reported in </w:t>
      </w:r>
      <w:r>
        <w:rPr>
          <w:rFonts w:ascii="Arial" w:hAnsi="Arial"/>
          <w:sz w:val="24"/>
        </w:rPr>
        <w:t>all seven patients</w:t>
      </w:r>
      <w:r w:rsidRPr="00D92533">
        <w:rPr>
          <w:rFonts w:ascii="Arial" w:hAnsi="Arial"/>
          <w:sz w:val="24"/>
        </w:rPr>
        <w:t xml:space="preserve"> (100%), with </w:t>
      </w:r>
      <w:r w:rsidRPr="00D92533">
        <w:rPr>
          <w:rFonts w:ascii="Arial" w:hAnsi="Arial" w:cs="Arial"/>
          <w:sz w:val="24"/>
          <w:szCs w:val="24"/>
        </w:rPr>
        <w:t>Common Terminology Criteria for Adverse Event</w:t>
      </w:r>
      <w:r w:rsidRPr="00D92533">
        <w:rPr>
          <w:rFonts w:ascii="Arial" w:hAnsi="Arial"/>
          <w:sz w:val="24"/>
        </w:rPr>
        <w:t xml:space="preserve"> </w:t>
      </w:r>
      <w:r>
        <w:rPr>
          <w:rFonts w:ascii="Arial" w:hAnsi="Arial"/>
          <w:sz w:val="24"/>
        </w:rPr>
        <w:t>(</w:t>
      </w:r>
      <w:r w:rsidRPr="00D92533">
        <w:rPr>
          <w:rFonts w:ascii="Arial" w:hAnsi="Arial"/>
          <w:sz w:val="24"/>
        </w:rPr>
        <w:t>CTCAE</w:t>
      </w:r>
      <w:r>
        <w:rPr>
          <w:rFonts w:ascii="Arial" w:hAnsi="Arial"/>
          <w:sz w:val="24"/>
        </w:rPr>
        <w:t>) g</w:t>
      </w:r>
      <w:r w:rsidRPr="006D547F">
        <w:rPr>
          <w:rFonts w:ascii="Arial" w:hAnsi="Arial"/>
          <w:sz w:val="24"/>
        </w:rPr>
        <w:t xml:space="preserve">rade ≥3 </w:t>
      </w:r>
      <w:r>
        <w:rPr>
          <w:rFonts w:ascii="Arial" w:hAnsi="Arial"/>
          <w:sz w:val="24"/>
        </w:rPr>
        <w:t xml:space="preserve">AEs </w:t>
      </w:r>
      <w:r w:rsidRPr="00D92533">
        <w:rPr>
          <w:rFonts w:ascii="Arial" w:hAnsi="Arial"/>
          <w:sz w:val="24"/>
        </w:rPr>
        <w:t>reported in</w:t>
      </w:r>
      <w:r>
        <w:rPr>
          <w:rFonts w:ascii="Arial" w:hAnsi="Arial"/>
          <w:sz w:val="24"/>
        </w:rPr>
        <w:t xml:space="preserve"> two patients (</w:t>
      </w:r>
      <w:r w:rsidRPr="00D92533">
        <w:rPr>
          <w:rFonts w:ascii="Arial" w:hAnsi="Arial"/>
          <w:sz w:val="24"/>
        </w:rPr>
        <w:t>28.6%</w:t>
      </w:r>
      <w:r>
        <w:rPr>
          <w:rFonts w:ascii="Arial" w:hAnsi="Arial"/>
          <w:sz w:val="24"/>
        </w:rPr>
        <w:t>)</w:t>
      </w:r>
      <w:r w:rsidRPr="00D92533">
        <w:rPr>
          <w:rFonts w:ascii="Arial" w:hAnsi="Arial"/>
          <w:sz w:val="24"/>
        </w:rPr>
        <w:t xml:space="preserve">. </w:t>
      </w:r>
      <w:r>
        <w:rPr>
          <w:rFonts w:ascii="Arial" w:hAnsi="Arial"/>
          <w:sz w:val="24"/>
        </w:rPr>
        <w:t xml:space="preserve">In two patients, </w:t>
      </w:r>
      <w:r w:rsidRPr="00D92533">
        <w:rPr>
          <w:rFonts w:ascii="Arial" w:hAnsi="Arial"/>
          <w:sz w:val="24"/>
        </w:rPr>
        <w:t>AE</w:t>
      </w:r>
      <w:r>
        <w:rPr>
          <w:rFonts w:ascii="Arial" w:hAnsi="Arial"/>
          <w:sz w:val="24"/>
        </w:rPr>
        <w:t>s were determined to be</w:t>
      </w:r>
      <w:r w:rsidRPr="00D92533">
        <w:rPr>
          <w:rFonts w:ascii="Arial" w:hAnsi="Arial"/>
          <w:sz w:val="24"/>
        </w:rPr>
        <w:t xml:space="preserve"> causally related to either durvalumab </w:t>
      </w:r>
      <w:r>
        <w:rPr>
          <w:rFonts w:ascii="Arial" w:hAnsi="Arial"/>
          <w:sz w:val="24"/>
        </w:rPr>
        <w:t xml:space="preserve">or </w:t>
      </w:r>
      <w:r w:rsidRPr="00D92533">
        <w:rPr>
          <w:rFonts w:ascii="Arial" w:hAnsi="Arial"/>
          <w:sz w:val="24"/>
        </w:rPr>
        <w:t>tremelimumab.</w:t>
      </w:r>
      <w:r>
        <w:rPr>
          <w:rFonts w:ascii="Arial" w:hAnsi="Arial"/>
          <w:sz w:val="24"/>
        </w:rPr>
        <w:t xml:space="preserve"> While undergoing combination</w:t>
      </w:r>
      <w:r w:rsidRPr="00D92533">
        <w:rPr>
          <w:rFonts w:ascii="Arial" w:hAnsi="Arial"/>
          <w:sz w:val="24"/>
        </w:rPr>
        <w:t xml:space="preserve"> therapy, </w:t>
      </w:r>
      <w:r>
        <w:rPr>
          <w:rFonts w:ascii="Arial" w:hAnsi="Arial"/>
          <w:sz w:val="24"/>
        </w:rPr>
        <w:t>one patient (</w:t>
      </w:r>
      <w:r w:rsidRPr="00D92533">
        <w:rPr>
          <w:rFonts w:ascii="Arial" w:hAnsi="Arial"/>
          <w:sz w:val="24"/>
        </w:rPr>
        <w:t>14.3%</w:t>
      </w:r>
      <w:r>
        <w:rPr>
          <w:rFonts w:ascii="Arial" w:hAnsi="Arial"/>
          <w:sz w:val="24"/>
        </w:rPr>
        <w:t>)</w:t>
      </w:r>
      <w:r w:rsidRPr="00D92533">
        <w:rPr>
          <w:rFonts w:ascii="Arial" w:hAnsi="Arial"/>
          <w:sz w:val="24"/>
        </w:rPr>
        <w:t xml:space="preserve"> had </w:t>
      </w:r>
      <w:r>
        <w:rPr>
          <w:rFonts w:ascii="Arial" w:hAnsi="Arial"/>
          <w:sz w:val="24"/>
        </w:rPr>
        <w:t>an</w:t>
      </w:r>
      <w:r w:rsidRPr="00D92533">
        <w:rPr>
          <w:rFonts w:ascii="Arial" w:hAnsi="Arial"/>
          <w:sz w:val="24"/>
        </w:rPr>
        <w:t xml:space="preserve"> </w:t>
      </w:r>
      <w:proofErr w:type="spellStart"/>
      <w:r w:rsidRPr="00D92533">
        <w:rPr>
          <w:rFonts w:ascii="Arial" w:hAnsi="Arial"/>
          <w:sz w:val="24"/>
        </w:rPr>
        <w:t>imAE</w:t>
      </w:r>
      <w:proofErr w:type="spellEnd"/>
      <w:r>
        <w:rPr>
          <w:rFonts w:ascii="Arial" w:hAnsi="Arial"/>
          <w:sz w:val="24"/>
        </w:rPr>
        <w:t xml:space="preserve"> (not classed as g</w:t>
      </w:r>
      <w:r w:rsidRPr="00C12374">
        <w:rPr>
          <w:rFonts w:ascii="Arial" w:hAnsi="Arial"/>
          <w:sz w:val="24"/>
        </w:rPr>
        <w:t>rade</w:t>
      </w:r>
      <w:r>
        <w:rPr>
          <w:rFonts w:ascii="Arial" w:hAnsi="Arial"/>
          <w:sz w:val="24"/>
        </w:rPr>
        <w:t xml:space="preserve"> </w:t>
      </w:r>
      <w:r w:rsidRPr="006D547F">
        <w:rPr>
          <w:rFonts w:ascii="Arial" w:hAnsi="Arial"/>
          <w:sz w:val="24"/>
        </w:rPr>
        <w:t>≥3</w:t>
      </w:r>
      <w:r>
        <w:rPr>
          <w:rFonts w:ascii="Arial" w:hAnsi="Arial"/>
          <w:sz w:val="24"/>
        </w:rPr>
        <w:t>). One</w:t>
      </w:r>
      <w:r w:rsidRPr="00D92533">
        <w:rPr>
          <w:rFonts w:ascii="Arial" w:hAnsi="Arial"/>
          <w:sz w:val="24"/>
        </w:rPr>
        <w:t xml:space="preserve"> patient died as a result of their disease </w:t>
      </w:r>
      <w:r>
        <w:rPr>
          <w:rFonts w:ascii="Arial" w:hAnsi="Arial"/>
          <w:sz w:val="24"/>
        </w:rPr>
        <w:t xml:space="preserve">from </w:t>
      </w:r>
      <w:r w:rsidRPr="00D92533">
        <w:rPr>
          <w:rFonts w:ascii="Arial" w:hAnsi="Arial"/>
          <w:sz w:val="24"/>
        </w:rPr>
        <w:t xml:space="preserve">an unrelated AE </w:t>
      </w:r>
      <w:r>
        <w:rPr>
          <w:rFonts w:ascii="Arial" w:hAnsi="Arial"/>
          <w:sz w:val="24"/>
        </w:rPr>
        <w:t xml:space="preserve">(as </w:t>
      </w:r>
      <w:r w:rsidRPr="001100D5">
        <w:rPr>
          <w:rFonts w:ascii="Arial" w:hAnsi="Arial"/>
          <w:sz w:val="24"/>
        </w:rPr>
        <w:t xml:space="preserve">considered by the </w:t>
      </w:r>
      <w:r>
        <w:rPr>
          <w:rFonts w:ascii="Arial" w:hAnsi="Arial"/>
          <w:sz w:val="24"/>
        </w:rPr>
        <w:t>i</w:t>
      </w:r>
      <w:r w:rsidRPr="001100D5">
        <w:rPr>
          <w:rFonts w:ascii="Arial" w:hAnsi="Arial"/>
          <w:sz w:val="24"/>
        </w:rPr>
        <w:t>nvestigator</w:t>
      </w:r>
      <w:r>
        <w:rPr>
          <w:rFonts w:ascii="Arial" w:hAnsi="Arial"/>
          <w:sz w:val="24"/>
        </w:rPr>
        <w:t>)</w:t>
      </w:r>
      <w:r w:rsidRPr="00D92533">
        <w:rPr>
          <w:rFonts w:ascii="Arial" w:hAnsi="Arial"/>
          <w:sz w:val="24"/>
        </w:rPr>
        <w:t xml:space="preserve"> of hypovolemic shock leading to death.</w:t>
      </w:r>
      <w:r>
        <w:rPr>
          <w:rFonts w:ascii="Arial" w:hAnsi="Arial"/>
          <w:sz w:val="24"/>
        </w:rPr>
        <w:t xml:space="preserve"> T</w:t>
      </w:r>
      <w:r w:rsidRPr="00D92533">
        <w:rPr>
          <w:rFonts w:ascii="Arial" w:hAnsi="Arial"/>
          <w:sz w:val="24"/>
        </w:rPr>
        <w:t xml:space="preserve">he most common reason for treatment discontinuation was </w:t>
      </w:r>
      <w:r>
        <w:rPr>
          <w:rFonts w:ascii="Arial" w:hAnsi="Arial"/>
          <w:sz w:val="24"/>
        </w:rPr>
        <w:t xml:space="preserve">worsening of the </w:t>
      </w:r>
      <w:r w:rsidRPr="00D92533">
        <w:rPr>
          <w:rFonts w:ascii="Arial" w:hAnsi="Arial"/>
          <w:sz w:val="24"/>
        </w:rPr>
        <w:t>condition under investigation (</w:t>
      </w:r>
      <w:r w:rsidRPr="009C425D">
        <w:rPr>
          <w:rFonts w:ascii="Arial" w:hAnsi="Arial"/>
          <w:i/>
          <w:sz w:val="24"/>
        </w:rPr>
        <w:t>n</w:t>
      </w:r>
      <w:r>
        <w:rPr>
          <w:rFonts w:ascii="Arial" w:hAnsi="Arial"/>
          <w:sz w:val="24"/>
        </w:rPr>
        <w:t xml:space="preserve"> </w:t>
      </w:r>
      <w:r w:rsidRPr="00D92533">
        <w:rPr>
          <w:rFonts w:ascii="Arial" w:hAnsi="Arial"/>
          <w:sz w:val="24"/>
        </w:rPr>
        <w:t>=</w:t>
      </w:r>
      <w:r>
        <w:rPr>
          <w:rFonts w:ascii="Arial" w:hAnsi="Arial"/>
          <w:sz w:val="24"/>
        </w:rPr>
        <w:t xml:space="preserve"> </w:t>
      </w:r>
      <w:r w:rsidRPr="00D92533">
        <w:rPr>
          <w:rFonts w:ascii="Arial" w:hAnsi="Arial"/>
          <w:sz w:val="24"/>
        </w:rPr>
        <w:t>6, 85.7%), followed by withdrawal by patient (</w:t>
      </w:r>
      <w:r w:rsidRPr="009C425D">
        <w:rPr>
          <w:rFonts w:ascii="Arial" w:hAnsi="Arial"/>
          <w:i/>
          <w:sz w:val="24"/>
        </w:rPr>
        <w:t>n</w:t>
      </w:r>
      <w:r>
        <w:rPr>
          <w:rFonts w:ascii="Arial" w:hAnsi="Arial"/>
          <w:sz w:val="24"/>
        </w:rPr>
        <w:t xml:space="preserve"> </w:t>
      </w:r>
      <w:r w:rsidRPr="00D92533">
        <w:rPr>
          <w:rFonts w:ascii="Arial" w:hAnsi="Arial"/>
          <w:sz w:val="24"/>
        </w:rPr>
        <w:t>=</w:t>
      </w:r>
      <w:r>
        <w:rPr>
          <w:rFonts w:ascii="Arial" w:hAnsi="Arial"/>
          <w:sz w:val="24"/>
        </w:rPr>
        <w:t xml:space="preserve"> </w:t>
      </w:r>
      <w:r w:rsidRPr="00D92533">
        <w:rPr>
          <w:rFonts w:ascii="Arial" w:hAnsi="Arial"/>
          <w:sz w:val="24"/>
        </w:rPr>
        <w:t xml:space="preserve">1, 14.3%). </w:t>
      </w:r>
    </w:p>
    <w:p w:rsidR="004E6966" w:rsidRDefault="004E6966" w:rsidP="004E6966">
      <w:pPr>
        <w:spacing w:after="120" w:line="480" w:lineRule="auto"/>
        <w:contextualSpacing/>
        <w:rPr>
          <w:rFonts w:ascii="Arial" w:hAnsi="Arial" w:cs="Arial"/>
          <w:sz w:val="24"/>
          <w:szCs w:val="24"/>
        </w:rPr>
      </w:pPr>
    </w:p>
    <w:p w:rsidR="004E6966" w:rsidRPr="00D92533" w:rsidRDefault="004E6966" w:rsidP="004E6966">
      <w:pPr>
        <w:spacing w:after="120" w:line="480" w:lineRule="auto"/>
        <w:contextualSpacing/>
        <w:rPr>
          <w:rFonts w:ascii="Arial" w:hAnsi="Arial"/>
          <w:sz w:val="24"/>
        </w:rPr>
      </w:pPr>
      <w:r w:rsidRPr="00D92533">
        <w:rPr>
          <w:rFonts w:ascii="Arial" w:hAnsi="Arial" w:cs="Arial"/>
          <w:sz w:val="24"/>
          <w:szCs w:val="24"/>
        </w:rPr>
        <w:t xml:space="preserve">For the </w:t>
      </w:r>
      <w:r>
        <w:rPr>
          <w:rFonts w:ascii="Arial" w:hAnsi="Arial" w:cs="Arial"/>
          <w:sz w:val="24"/>
          <w:szCs w:val="24"/>
        </w:rPr>
        <w:t xml:space="preserve">combination therapy </w:t>
      </w:r>
      <w:r w:rsidRPr="00D92533">
        <w:rPr>
          <w:rFonts w:ascii="Arial" w:hAnsi="Arial" w:cs="Arial"/>
          <w:sz w:val="24"/>
          <w:szCs w:val="24"/>
        </w:rPr>
        <w:t>analysis set,</w:t>
      </w:r>
      <w:r>
        <w:rPr>
          <w:rFonts w:ascii="Arial" w:hAnsi="Arial" w:cs="Arial"/>
          <w:color w:val="000000"/>
          <w:sz w:val="24"/>
          <w:szCs w:val="24"/>
        </w:rPr>
        <w:t xml:space="preserve"> </w:t>
      </w:r>
      <w:r w:rsidRPr="00D92533">
        <w:rPr>
          <w:rFonts w:ascii="Arial" w:hAnsi="Arial"/>
          <w:sz w:val="24"/>
        </w:rPr>
        <w:t xml:space="preserve">immunogenicity data were available for </w:t>
      </w:r>
      <w:r>
        <w:rPr>
          <w:rFonts w:ascii="Arial" w:hAnsi="Arial"/>
          <w:sz w:val="24"/>
        </w:rPr>
        <w:t>six</w:t>
      </w:r>
      <w:r w:rsidRPr="00D92533">
        <w:rPr>
          <w:rFonts w:ascii="Arial" w:hAnsi="Arial"/>
          <w:sz w:val="24"/>
        </w:rPr>
        <w:t xml:space="preserve"> </w:t>
      </w:r>
      <w:r>
        <w:rPr>
          <w:rFonts w:ascii="Arial" w:hAnsi="Arial"/>
          <w:sz w:val="24"/>
        </w:rPr>
        <w:t>anti-drug antibody (</w:t>
      </w:r>
      <w:r w:rsidRPr="00D92533">
        <w:rPr>
          <w:rFonts w:ascii="Arial" w:hAnsi="Arial"/>
          <w:sz w:val="24"/>
        </w:rPr>
        <w:t>ADA</w:t>
      </w:r>
      <w:r>
        <w:rPr>
          <w:rFonts w:ascii="Arial" w:hAnsi="Arial"/>
          <w:sz w:val="24"/>
        </w:rPr>
        <w:t>)</w:t>
      </w:r>
      <w:r w:rsidRPr="00D92533">
        <w:rPr>
          <w:rFonts w:ascii="Arial" w:hAnsi="Arial"/>
          <w:sz w:val="24"/>
        </w:rPr>
        <w:t xml:space="preserve">-evaluable </w:t>
      </w:r>
      <w:r>
        <w:rPr>
          <w:rFonts w:ascii="Arial" w:hAnsi="Arial"/>
          <w:sz w:val="24"/>
        </w:rPr>
        <w:t xml:space="preserve">patients with </w:t>
      </w:r>
      <w:r w:rsidRPr="00D92533">
        <w:rPr>
          <w:rFonts w:ascii="Arial" w:hAnsi="Arial" w:cs="Arial"/>
          <w:sz w:val="24"/>
          <w:szCs w:val="24"/>
        </w:rPr>
        <w:t>urothelial carcinoma</w:t>
      </w:r>
      <w:r w:rsidRPr="00D92533">
        <w:rPr>
          <w:rFonts w:ascii="Arial" w:hAnsi="Arial"/>
          <w:sz w:val="24"/>
        </w:rPr>
        <w:t xml:space="preserve"> </w:t>
      </w:r>
      <w:r>
        <w:rPr>
          <w:rFonts w:ascii="Arial" w:hAnsi="Arial"/>
          <w:sz w:val="24"/>
        </w:rPr>
        <w:t>(</w:t>
      </w:r>
      <w:r w:rsidRPr="00D92533">
        <w:rPr>
          <w:rFonts w:ascii="Arial" w:hAnsi="Arial"/>
          <w:sz w:val="24"/>
        </w:rPr>
        <w:t>UC</w:t>
      </w:r>
      <w:r>
        <w:rPr>
          <w:rFonts w:ascii="Arial" w:hAnsi="Arial"/>
          <w:sz w:val="24"/>
        </w:rPr>
        <w:t>)</w:t>
      </w:r>
      <w:r w:rsidRPr="00D92533">
        <w:rPr>
          <w:rFonts w:ascii="Arial" w:hAnsi="Arial"/>
          <w:sz w:val="24"/>
        </w:rPr>
        <w:t xml:space="preserve"> </w:t>
      </w:r>
      <w:r>
        <w:rPr>
          <w:rFonts w:ascii="Arial" w:hAnsi="Arial"/>
          <w:sz w:val="24"/>
        </w:rPr>
        <w:t>(</w:t>
      </w:r>
      <w:r w:rsidRPr="00D92533">
        <w:rPr>
          <w:rFonts w:ascii="Arial" w:hAnsi="Arial"/>
          <w:sz w:val="24"/>
        </w:rPr>
        <w:t xml:space="preserve">Supplementary Table 1). The treatment-emergent ADA-positive patient in the tremelimumab monotherapy arm was </w:t>
      </w:r>
      <w:proofErr w:type="spellStart"/>
      <w:r w:rsidRPr="00D92533">
        <w:rPr>
          <w:rFonts w:ascii="Arial" w:hAnsi="Arial"/>
          <w:sz w:val="24"/>
        </w:rPr>
        <w:t>resequenced</w:t>
      </w:r>
      <w:proofErr w:type="spellEnd"/>
      <w:r w:rsidRPr="00D92533">
        <w:rPr>
          <w:rFonts w:ascii="Arial" w:hAnsi="Arial"/>
          <w:sz w:val="24"/>
        </w:rPr>
        <w:t xml:space="preserve"> to the combination therapy arm. This patient was also classified as treatment-emergent ADA-positive (ADA incidence was 16.7%) and was the only patient in the combination therapy arm who tested positive for the presence of </w:t>
      </w:r>
      <w:r>
        <w:rPr>
          <w:rFonts w:ascii="Arial" w:hAnsi="Arial"/>
          <w:sz w:val="24"/>
        </w:rPr>
        <w:t>neutralizing antibody (</w:t>
      </w:r>
      <w:proofErr w:type="spellStart"/>
      <w:r w:rsidRPr="00D92533">
        <w:rPr>
          <w:rFonts w:ascii="Arial" w:hAnsi="Arial"/>
          <w:sz w:val="24"/>
        </w:rPr>
        <w:t>nAb</w:t>
      </w:r>
      <w:proofErr w:type="spellEnd"/>
      <w:r>
        <w:rPr>
          <w:rFonts w:ascii="Arial" w:hAnsi="Arial"/>
          <w:sz w:val="24"/>
        </w:rPr>
        <w:t>)</w:t>
      </w:r>
      <w:r w:rsidRPr="00D92533">
        <w:rPr>
          <w:rFonts w:ascii="Arial" w:hAnsi="Arial"/>
          <w:sz w:val="24"/>
        </w:rPr>
        <w:t xml:space="preserve"> at any visit (</w:t>
      </w:r>
      <w:proofErr w:type="spellStart"/>
      <w:r w:rsidRPr="00D92533">
        <w:rPr>
          <w:rFonts w:ascii="Arial" w:hAnsi="Arial"/>
          <w:sz w:val="24"/>
        </w:rPr>
        <w:t>nAb</w:t>
      </w:r>
      <w:proofErr w:type="spellEnd"/>
      <w:r w:rsidRPr="00D92533">
        <w:rPr>
          <w:rFonts w:ascii="Arial" w:hAnsi="Arial"/>
          <w:sz w:val="24"/>
        </w:rPr>
        <w:t xml:space="preserve"> prevalence was 16.7%). </w:t>
      </w:r>
    </w:p>
    <w:p w:rsidR="004E6966" w:rsidRPr="00D92533" w:rsidRDefault="004E6966" w:rsidP="004E6966">
      <w:pPr>
        <w:spacing w:after="120" w:line="480" w:lineRule="auto"/>
        <w:contextualSpacing/>
        <w:rPr>
          <w:rFonts w:ascii="Arial" w:hAnsi="Arial"/>
          <w:sz w:val="24"/>
        </w:rPr>
      </w:pPr>
    </w:p>
    <w:p w:rsidR="004E6966" w:rsidRPr="009C425D" w:rsidRDefault="004E6966" w:rsidP="004E6966">
      <w:pPr>
        <w:pStyle w:val="Heading2"/>
        <w:rPr>
          <w:b/>
        </w:rPr>
      </w:pPr>
      <w:r w:rsidRPr="009C425D">
        <w:rPr>
          <w:b/>
        </w:rPr>
        <w:t>Pharmacokinetics</w:t>
      </w:r>
      <w:r>
        <w:rPr>
          <w:b/>
        </w:rPr>
        <w:t xml:space="preserve"> (PK)</w:t>
      </w:r>
      <w:r w:rsidRPr="009C425D">
        <w:rPr>
          <w:b/>
        </w:rPr>
        <w:t xml:space="preserve"> </w:t>
      </w:r>
    </w:p>
    <w:p w:rsidR="004E6966" w:rsidRPr="00D92533" w:rsidRDefault="004E6966" w:rsidP="004E6966"/>
    <w:p w:rsidR="004E6966" w:rsidRDefault="004E6966" w:rsidP="004E6966">
      <w:pPr>
        <w:spacing w:line="480" w:lineRule="auto"/>
        <w:rPr>
          <w:rFonts w:ascii="Arial" w:hAnsi="Arial"/>
          <w:sz w:val="24"/>
        </w:rPr>
      </w:pPr>
      <w:r w:rsidRPr="00D92533">
        <w:rPr>
          <w:rFonts w:ascii="Arial" w:hAnsi="Arial"/>
          <w:sz w:val="24"/>
        </w:rPr>
        <w:t>To compare the exposure of tremelimumab in UC with other solid tumors, a population PK model (built in NONMEM, version 7.3</w:t>
      </w:r>
      <w:r>
        <w:rPr>
          <w:rFonts w:ascii="Arial" w:hAnsi="Arial"/>
          <w:sz w:val="24"/>
        </w:rPr>
        <w:t>;</w:t>
      </w:r>
      <w:r w:rsidRPr="00D92533">
        <w:rPr>
          <w:rFonts w:ascii="Arial" w:hAnsi="Arial"/>
          <w:sz w:val="24"/>
        </w:rPr>
        <w:t xml:space="preserve"> ICON, </w:t>
      </w:r>
      <w:r>
        <w:rPr>
          <w:rFonts w:ascii="Arial" w:hAnsi="Arial"/>
          <w:sz w:val="24"/>
        </w:rPr>
        <w:t>Gaithersburg, MD</w:t>
      </w:r>
      <w:r w:rsidRPr="00D92533">
        <w:rPr>
          <w:rFonts w:ascii="Arial" w:hAnsi="Arial"/>
          <w:sz w:val="24"/>
        </w:rPr>
        <w:t xml:space="preserve">) was utilized. The final </w:t>
      </w:r>
      <w:r>
        <w:rPr>
          <w:rFonts w:ascii="Arial" w:hAnsi="Arial"/>
          <w:sz w:val="24"/>
        </w:rPr>
        <w:t>p</w:t>
      </w:r>
      <w:r w:rsidRPr="00D92533">
        <w:rPr>
          <w:rFonts w:ascii="Arial" w:hAnsi="Arial"/>
          <w:sz w:val="24"/>
        </w:rPr>
        <w:t>op</w:t>
      </w:r>
      <w:r>
        <w:rPr>
          <w:rFonts w:ascii="Arial" w:hAnsi="Arial"/>
          <w:sz w:val="24"/>
        </w:rPr>
        <w:t xml:space="preserve">ulation </w:t>
      </w:r>
      <w:r w:rsidRPr="00D92533">
        <w:rPr>
          <w:rFonts w:ascii="Arial" w:hAnsi="Arial"/>
          <w:sz w:val="24"/>
        </w:rPr>
        <w:t xml:space="preserve">PK model was developed from a dataset of 746 subjects treated with tremelimumab (1 mg/kg: 637 subjects with 1600 measurable concentrations; 3 mg/kg: </w:t>
      </w:r>
      <w:r w:rsidRPr="00D92533">
        <w:rPr>
          <w:rFonts w:ascii="Arial" w:hAnsi="Arial"/>
          <w:sz w:val="24"/>
        </w:rPr>
        <w:lastRenderedPageBreak/>
        <w:t xml:space="preserve">40 subjects with 275 measurable concentrations; and 10 mg/kg: 69 subjects with 168 measurable concentrations) enrolled in three legacy clinical studies (D4193C00003 </w:t>
      </w:r>
      <w:r>
        <w:rPr>
          <w:rFonts w:ascii="Arial" w:hAnsi="Arial"/>
          <w:sz w:val="24"/>
        </w:rPr>
        <w:t>[</w:t>
      </w:r>
      <w:r w:rsidRPr="00D92533">
        <w:rPr>
          <w:rFonts w:ascii="Arial" w:hAnsi="Arial"/>
          <w:sz w:val="24"/>
        </w:rPr>
        <w:t>CONDOR</w:t>
      </w:r>
      <w:r>
        <w:rPr>
          <w:rFonts w:ascii="Arial" w:hAnsi="Arial"/>
          <w:sz w:val="24"/>
        </w:rPr>
        <w:t>]</w:t>
      </w:r>
      <w:r w:rsidRPr="00D92533">
        <w:rPr>
          <w:rFonts w:ascii="Arial" w:hAnsi="Arial"/>
          <w:sz w:val="24"/>
        </w:rPr>
        <w:t xml:space="preserve">, D4190C00006 </w:t>
      </w:r>
      <w:r>
        <w:rPr>
          <w:rFonts w:ascii="Arial" w:hAnsi="Arial"/>
          <w:sz w:val="24"/>
        </w:rPr>
        <w:t>[</w:t>
      </w:r>
      <w:r w:rsidRPr="00D92533">
        <w:rPr>
          <w:rFonts w:ascii="Arial" w:hAnsi="Arial"/>
          <w:sz w:val="24"/>
        </w:rPr>
        <w:t>Study 006</w:t>
      </w:r>
      <w:r>
        <w:rPr>
          <w:rFonts w:ascii="Arial" w:hAnsi="Arial"/>
          <w:sz w:val="24"/>
        </w:rPr>
        <w:t>]</w:t>
      </w:r>
      <w:r w:rsidRPr="00D92533">
        <w:rPr>
          <w:rFonts w:ascii="Arial" w:hAnsi="Arial"/>
          <w:sz w:val="24"/>
        </w:rPr>
        <w:t xml:space="preserve">, and D4190C0010 </w:t>
      </w:r>
      <w:r>
        <w:rPr>
          <w:rFonts w:ascii="Arial" w:hAnsi="Arial"/>
          <w:sz w:val="24"/>
        </w:rPr>
        <w:t>[</w:t>
      </w:r>
      <w:r w:rsidRPr="00D92533">
        <w:rPr>
          <w:rFonts w:ascii="Arial" w:hAnsi="Arial"/>
          <w:sz w:val="24"/>
        </w:rPr>
        <w:t>Study 10</w:t>
      </w:r>
      <w:r>
        <w:rPr>
          <w:rFonts w:ascii="Arial" w:hAnsi="Arial"/>
          <w:sz w:val="24"/>
        </w:rPr>
        <w:t>]</w:t>
      </w:r>
      <w:r w:rsidRPr="00D92533">
        <w:rPr>
          <w:rFonts w:ascii="Arial" w:hAnsi="Arial"/>
          <w:sz w:val="24"/>
        </w:rPr>
        <w:t xml:space="preserve">) of </w:t>
      </w:r>
      <w:r>
        <w:rPr>
          <w:rFonts w:ascii="Arial" w:hAnsi="Arial"/>
          <w:sz w:val="24"/>
        </w:rPr>
        <w:t>h</w:t>
      </w:r>
      <w:r w:rsidRPr="00D479B4">
        <w:rPr>
          <w:rFonts w:ascii="Arial" w:hAnsi="Arial"/>
          <w:sz w:val="24"/>
        </w:rPr>
        <w:t>ead and neck squamous cell carcinoma</w:t>
      </w:r>
      <w:r w:rsidRPr="00D92533">
        <w:rPr>
          <w:rFonts w:ascii="Arial" w:hAnsi="Arial"/>
          <w:sz w:val="24"/>
        </w:rPr>
        <w:t xml:space="preserve">, </w:t>
      </w:r>
      <w:r>
        <w:rPr>
          <w:rFonts w:ascii="Arial" w:hAnsi="Arial"/>
          <w:sz w:val="24"/>
        </w:rPr>
        <w:t xml:space="preserve">non-small cell lung cancer, </w:t>
      </w:r>
      <w:r w:rsidRPr="00D92533">
        <w:rPr>
          <w:rFonts w:ascii="Arial" w:hAnsi="Arial"/>
          <w:sz w:val="24"/>
        </w:rPr>
        <w:t>and advanced solid tumors (including a cohort of UC patients)</w:t>
      </w:r>
      <w:r>
        <w:rPr>
          <w:rFonts w:ascii="Arial" w:hAnsi="Arial"/>
          <w:sz w:val="24"/>
        </w:rPr>
        <w:t>,</w:t>
      </w:r>
      <w:r w:rsidRPr="00D92533">
        <w:rPr>
          <w:rFonts w:ascii="Arial" w:hAnsi="Arial"/>
          <w:sz w:val="24"/>
        </w:rPr>
        <w:t xml:space="preserve"> respectively. The data contained serum concentrations of tremelimumab both from monotherapy and in combination with durvalumab.</w:t>
      </w:r>
    </w:p>
    <w:p w:rsidR="004E6966" w:rsidRPr="00D51F8A" w:rsidRDefault="004E6966" w:rsidP="004E6966">
      <w:pPr>
        <w:spacing w:line="480" w:lineRule="auto"/>
        <w:rPr>
          <w:rFonts w:ascii="Arial" w:hAnsi="Arial"/>
          <w:sz w:val="24"/>
        </w:rPr>
      </w:pPr>
    </w:p>
    <w:p w:rsidR="004E6966" w:rsidRPr="00D92533" w:rsidRDefault="004E6966" w:rsidP="004E6966">
      <w:pPr>
        <w:spacing w:line="480" w:lineRule="auto"/>
        <w:rPr>
          <w:rFonts w:ascii="Arial" w:hAnsi="Arial" w:cs="Arial"/>
          <w:sz w:val="24"/>
          <w:szCs w:val="24"/>
        </w:rPr>
      </w:pPr>
      <w:r w:rsidRPr="00D92533">
        <w:rPr>
          <w:rFonts w:ascii="Arial" w:hAnsi="Arial" w:cs="Arial"/>
          <w:sz w:val="24"/>
          <w:szCs w:val="24"/>
        </w:rPr>
        <w:t>The PK of tremelimumab in the dose range tested was best described by a two</w:t>
      </w:r>
      <w:r>
        <w:rPr>
          <w:rFonts w:ascii="Arial" w:hAnsi="Arial" w:cs="Arial"/>
          <w:sz w:val="24"/>
          <w:szCs w:val="24"/>
        </w:rPr>
        <w:t>-</w:t>
      </w:r>
      <w:r w:rsidRPr="00D92533">
        <w:rPr>
          <w:rFonts w:ascii="Arial" w:hAnsi="Arial" w:cs="Arial"/>
          <w:sz w:val="24"/>
          <w:szCs w:val="24"/>
        </w:rPr>
        <w:t>compartment model with first order elimination from the central compartment, and redistribution into the peripheral compartment. No time-varying</w:t>
      </w:r>
      <w:r>
        <w:rPr>
          <w:rFonts w:ascii="Arial" w:hAnsi="Arial" w:cs="Arial"/>
          <w:sz w:val="24"/>
          <w:szCs w:val="24"/>
        </w:rPr>
        <w:t xml:space="preserve"> clearance</w:t>
      </w:r>
      <w:r w:rsidRPr="00D92533">
        <w:rPr>
          <w:rFonts w:ascii="Arial" w:hAnsi="Arial" w:cs="Arial"/>
          <w:sz w:val="24"/>
          <w:szCs w:val="24"/>
        </w:rPr>
        <w:t xml:space="preserve"> as identified following tremelimumab treatment. The impact of baseline demographic covariates (age, sex, race, and body weight), hepatic</w:t>
      </w:r>
      <w:r>
        <w:rPr>
          <w:rFonts w:ascii="Arial" w:hAnsi="Arial" w:cs="Arial"/>
          <w:sz w:val="24"/>
          <w:szCs w:val="24"/>
        </w:rPr>
        <w:t>-</w:t>
      </w:r>
      <w:r w:rsidRPr="00D92533">
        <w:rPr>
          <w:rFonts w:ascii="Arial" w:hAnsi="Arial" w:cs="Arial"/>
          <w:sz w:val="24"/>
          <w:szCs w:val="24"/>
        </w:rPr>
        <w:t xml:space="preserve"> and renal function</w:t>
      </w:r>
      <w:r>
        <w:rPr>
          <w:rFonts w:ascii="Arial" w:hAnsi="Arial" w:cs="Arial"/>
          <w:sz w:val="24"/>
          <w:szCs w:val="24"/>
        </w:rPr>
        <w:t>-</w:t>
      </w:r>
      <w:r w:rsidRPr="00D92533">
        <w:rPr>
          <w:rFonts w:ascii="Arial" w:hAnsi="Arial" w:cs="Arial"/>
          <w:sz w:val="24"/>
          <w:szCs w:val="24"/>
        </w:rPr>
        <w:t>related covariates (</w:t>
      </w:r>
      <w:r w:rsidRPr="00D75A88">
        <w:rPr>
          <w:rFonts w:ascii="Arial" w:hAnsi="Arial" w:cs="Arial"/>
          <w:sz w:val="24"/>
          <w:szCs w:val="24"/>
        </w:rPr>
        <w:t>creatinine clearance</w:t>
      </w:r>
      <w:r w:rsidRPr="00D92533">
        <w:rPr>
          <w:rFonts w:ascii="Arial" w:hAnsi="Arial" w:cs="Arial"/>
          <w:sz w:val="24"/>
          <w:szCs w:val="24"/>
        </w:rPr>
        <w:t xml:space="preserve">, </w:t>
      </w:r>
      <w:r w:rsidRPr="00C64E28">
        <w:rPr>
          <w:rFonts w:ascii="Arial" w:hAnsi="Arial" w:cs="Arial"/>
          <w:sz w:val="24"/>
          <w:szCs w:val="24"/>
        </w:rPr>
        <w:t xml:space="preserve">serum </w:t>
      </w:r>
      <w:r w:rsidRPr="00D75A88">
        <w:rPr>
          <w:rFonts w:ascii="Arial" w:hAnsi="Arial" w:cs="Arial"/>
          <w:sz w:val="24"/>
          <w:szCs w:val="24"/>
        </w:rPr>
        <w:t>creatinine</w:t>
      </w:r>
      <w:r w:rsidRPr="00D92533">
        <w:rPr>
          <w:rFonts w:ascii="Arial" w:hAnsi="Arial" w:cs="Arial"/>
          <w:sz w:val="24"/>
          <w:szCs w:val="24"/>
        </w:rPr>
        <w:t xml:space="preserve">, </w:t>
      </w:r>
      <w:r w:rsidRPr="00C64E28">
        <w:rPr>
          <w:rFonts w:ascii="Arial" w:hAnsi="Arial" w:cs="Arial"/>
          <w:sz w:val="24"/>
          <w:szCs w:val="24"/>
        </w:rPr>
        <w:t xml:space="preserve">total </w:t>
      </w:r>
      <w:r w:rsidRPr="00D75A88">
        <w:rPr>
          <w:rFonts w:ascii="Arial" w:hAnsi="Arial" w:cs="Arial"/>
          <w:sz w:val="24"/>
          <w:szCs w:val="24"/>
        </w:rPr>
        <w:t>bilirubin</w:t>
      </w:r>
      <w:r w:rsidRPr="00D92533">
        <w:rPr>
          <w:rFonts w:ascii="Arial" w:hAnsi="Arial" w:cs="Arial"/>
          <w:sz w:val="24"/>
          <w:szCs w:val="24"/>
        </w:rPr>
        <w:t xml:space="preserve">, </w:t>
      </w:r>
      <w:r>
        <w:rPr>
          <w:rFonts w:ascii="Arial" w:hAnsi="Arial" w:cs="Arial"/>
          <w:sz w:val="24"/>
          <w:szCs w:val="24"/>
        </w:rPr>
        <w:t>a</w:t>
      </w:r>
      <w:r w:rsidRPr="00D75A88">
        <w:rPr>
          <w:rFonts w:ascii="Arial" w:hAnsi="Arial" w:cs="Arial"/>
          <w:sz w:val="24"/>
          <w:szCs w:val="24"/>
        </w:rPr>
        <w:t>lanine aminotransferase</w:t>
      </w:r>
      <w:r w:rsidRPr="00D92533">
        <w:rPr>
          <w:rFonts w:ascii="Arial" w:hAnsi="Arial" w:cs="Arial"/>
          <w:sz w:val="24"/>
          <w:szCs w:val="24"/>
        </w:rPr>
        <w:t xml:space="preserve">, and </w:t>
      </w:r>
      <w:r>
        <w:rPr>
          <w:rFonts w:ascii="Arial" w:hAnsi="Arial" w:cs="Arial"/>
          <w:sz w:val="24"/>
          <w:szCs w:val="24"/>
        </w:rPr>
        <w:t>a</w:t>
      </w:r>
      <w:r w:rsidRPr="00D75A88">
        <w:rPr>
          <w:rFonts w:ascii="Arial" w:hAnsi="Arial" w:cs="Arial"/>
          <w:sz w:val="24"/>
          <w:szCs w:val="24"/>
        </w:rPr>
        <w:t>spartate aminotransferase</w:t>
      </w:r>
      <w:r w:rsidRPr="00D92533">
        <w:rPr>
          <w:rFonts w:ascii="Arial" w:hAnsi="Arial" w:cs="Arial"/>
          <w:sz w:val="24"/>
          <w:szCs w:val="24"/>
        </w:rPr>
        <w:t>), disease</w:t>
      </w:r>
      <w:r>
        <w:rPr>
          <w:rFonts w:ascii="Arial" w:hAnsi="Arial" w:cs="Arial"/>
          <w:sz w:val="24"/>
          <w:szCs w:val="24"/>
        </w:rPr>
        <w:t>-</w:t>
      </w:r>
      <w:r w:rsidRPr="00D92533">
        <w:rPr>
          <w:rFonts w:ascii="Arial" w:hAnsi="Arial" w:cs="Arial"/>
          <w:sz w:val="24"/>
          <w:szCs w:val="24"/>
        </w:rPr>
        <w:t>related covariates (</w:t>
      </w:r>
      <w:r w:rsidRPr="00C64E28">
        <w:rPr>
          <w:rFonts w:ascii="Arial" w:hAnsi="Arial" w:cs="Arial"/>
          <w:sz w:val="24"/>
          <w:szCs w:val="24"/>
        </w:rPr>
        <w:t>Tumor type</w:t>
      </w:r>
      <w:r w:rsidRPr="00D92533">
        <w:rPr>
          <w:rFonts w:ascii="Arial" w:hAnsi="Arial" w:cs="Arial"/>
          <w:sz w:val="24"/>
          <w:szCs w:val="24"/>
        </w:rPr>
        <w:t xml:space="preserve">, </w:t>
      </w:r>
      <w:r w:rsidRPr="008425B5">
        <w:rPr>
          <w:rFonts w:ascii="Arial" w:hAnsi="Arial" w:cs="Arial"/>
          <w:sz w:val="24"/>
          <w:szCs w:val="24"/>
        </w:rPr>
        <w:t>Eastern Cooperative Oncology Group</w:t>
      </w:r>
      <w:r w:rsidRPr="00D92533">
        <w:rPr>
          <w:rFonts w:ascii="Arial" w:hAnsi="Arial" w:cs="Arial"/>
          <w:sz w:val="24"/>
          <w:szCs w:val="24"/>
        </w:rPr>
        <w:t xml:space="preserve">, </w:t>
      </w:r>
      <w:r>
        <w:rPr>
          <w:rFonts w:ascii="Arial" w:hAnsi="Arial" w:cs="Arial"/>
          <w:sz w:val="24"/>
          <w:szCs w:val="24"/>
        </w:rPr>
        <w:t>l</w:t>
      </w:r>
      <w:r w:rsidRPr="00136430">
        <w:rPr>
          <w:rFonts w:ascii="Arial" w:hAnsi="Arial" w:cs="Arial"/>
          <w:sz w:val="24"/>
          <w:szCs w:val="24"/>
        </w:rPr>
        <w:t>actate dehydrogenase</w:t>
      </w:r>
      <w:r w:rsidRPr="00D92533">
        <w:rPr>
          <w:rFonts w:ascii="Arial" w:hAnsi="Arial" w:cs="Arial"/>
          <w:sz w:val="24"/>
          <w:szCs w:val="24"/>
        </w:rPr>
        <w:t xml:space="preserve">, </w:t>
      </w:r>
      <w:r w:rsidRPr="00D75A88">
        <w:rPr>
          <w:rFonts w:ascii="Arial" w:hAnsi="Arial" w:cs="Arial"/>
          <w:sz w:val="24"/>
          <w:szCs w:val="24"/>
        </w:rPr>
        <w:t>albumin</w:t>
      </w:r>
      <w:r w:rsidRPr="00D92533">
        <w:rPr>
          <w:rFonts w:ascii="Arial" w:hAnsi="Arial" w:cs="Arial"/>
          <w:sz w:val="24"/>
          <w:szCs w:val="24"/>
        </w:rPr>
        <w:t xml:space="preserve">, and </w:t>
      </w:r>
      <w:r w:rsidRPr="00C64E28">
        <w:rPr>
          <w:rFonts w:ascii="Arial" w:hAnsi="Arial" w:cs="Arial"/>
          <w:sz w:val="24"/>
          <w:szCs w:val="24"/>
        </w:rPr>
        <w:t>smoking status (current v</w:t>
      </w:r>
      <w:r>
        <w:rPr>
          <w:rFonts w:ascii="Arial" w:hAnsi="Arial" w:cs="Arial"/>
          <w:sz w:val="24"/>
          <w:szCs w:val="24"/>
        </w:rPr>
        <w:t>ersus</w:t>
      </w:r>
      <w:r w:rsidRPr="00C64E28">
        <w:rPr>
          <w:rFonts w:ascii="Arial" w:hAnsi="Arial" w:cs="Arial"/>
          <w:sz w:val="24"/>
          <w:szCs w:val="24"/>
        </w:rPr>
        <w:t xml:space="preserve"> former v</w:t>
      </w:r>
      <w:r>
        <w:rPr>
          <w:rFonts w:ascii="Arial" w:hAnsi="Arial" w:cs="Arial"/>
          <w:sz w:val="24"/>
          <w:szCs w:val="24"/>
        </w:rPr>
        <w:t>ersus</w:t>
      </w:r>
      <w:r w:rsidRPr="00C64E28">
        <w:rPr>
          <w:rFonts w:ascii="Arial" w:hAnsi="Arial" w:cs="Arial"/>
          <w:sz w:val="24"/>
          <w:szCs w:val="24"/>
        </w:rPr>
        <w:t xml:space="preserve"> non-smoker</w:t>
      </w:r>
      <w:r w:rsidRPr="00D92533">
        <w:rPr>
          <w:rFonts w:ascii="Arial" w:hAnsi="Arial" w:cs="Arial"/>
          <w:sz w:val="24"/>
          <w:szCs w:val="24"/>
        </w:rPr>
        <w:t>), and molecule</w:t>
      </w:r>
      <w:r>
        <w:rPr>
          <w:rFonts w:ascii="Arial" w:hAnsi="Arial" w:cs="Arial"/>
          <w:sz w:val="24"/>
          <w:szCs w:val="24"/>
        </w:rPr>
        <w:t>-</w:t>
      </w:r>
      <w:r w:rsidRPr="00D92533">
        <w:rPr>
          <w:rFonts w:ascii="Arial" w:hAnsi="Arial" w:cs="Arial"/>
          <w:sz w:val="24"/>
          <w:szCs w:val="24"/>
        </w:rPr>
        <w:t xml:space="preserve">related covariates (ADA </w:t>
      </w:r>
      <w:r w:rsidRPr="00136430">
        <w:rPr>
          <w:rFonts w:ascii="Arial" w:hAnsi="Arial" w:cs="Arial"/>
          <w:sz w:val="24"/>
          <w:szCs w:val="24"/>
        </w:rPr>
        <w:t>and durvalumab + tremelimumab combination therapy</w:t>
      </w:r>
      <w:r w:rsidRPr="00D92533">
        <w:rPr>
          <w:rFonts w:ascii="Arial" w:hAnsi="Arial" w:cs="Arial"/>
          <w:sz w:val="24"/>
          <w:szCs w:val="24"/>
        </w:rPr>
        <w:t xml:space="preserve">) on the PK of tremelimumab were investigated. Covariates were selected using a forward addition and backward elimination method (based on the significance levels of </w:t>
      </w:r>
      <w:r>
        <w:rPr>
          <w:rFonts w:ascii="Arial" w:hAnsi="Arial" w:cs="Arial"/>
          <w:i/>
          <w:sz w:val="24"/>
          <w:szCs w:val="24"/>
        </w:rPr>
        <w:t xml:space="preserve">P </w:t>
      </w:r>
      <w:r w:rsidRPr="00D92533">
        <w:rPr>
          <w:rFonts w:ascii="Arial" w:hAnsi="Arial" w:cs="Arial"/>
          <w:sz w:val="24"/>
          <w:szCs w:val="24"/>
        </w:rPr>
        <w:t>&lt;</w:t>
      </w:r>
      <w:r>
        <w:rPr>
          <w:rFonts w:ascii="Arial" w:hAnsi="Arial" w:cs="Arial"/>
          <w:sz w:val="24"/>
          <w:szCs w:val="24"/>
        </w:rPr>
        <w:t xml:space="preserve"> </w:t>
      </w:r>
      <w:r w:rsidRPr="00D92533">
        <w:rPr>
          <w:rFonts w:ascii="Arial" w:hAnsi="Arial" w:cs="Arial"/>
          <w:sz w:val="24"/>
          <w:szCs w:val="24"/>
        </w:rPr>
        <w:t xml:space="preserve">0.01 and </w:t>
      </w:r>
      <w:r>
        <w:rPr>
          <w:rFonts w:ascii="Arial" w:hAnsi="Arial" w:cs="Arial"/>
          <w:i/>
          <w:sz w:val="24"/>
          <w:szCs w:val="24"/>
        </w:rPr>
        <w:t xml:space="preserve">P </w:t>
      </w:r>
      <w:r w:rsidRPr="00D92533">
        <w:rPr>
          <w:rFonts w:ascii="Arial" w:hAnsi="Arial" w:cs="Arial"/>
          <w:sz w:val="24"/>
          <w:szCs w:val="24"/>
        </w:rPr>
        <w:t>&lt;</w:t>
      </w:r>
      <w:r>
        <w:rPr>
          <w:rFonts w:ascii="Arial" w:hAnsi="Arial" w:cs="Arial"/>
          <w:sz w:val="24"/>
          <w:szCs w:val="24"/>
        </w:rPr>
        <w:t xml:space="preserve"> </w:t>
      </w:r>
      <w:r w:rsidRPr="00D92533">
        <w:rPr>
          <w:rFonts w:ascii="Arial" w:hAnsi="Arial" w:cs="Arial"/>
          <w:sz w:val="24"/>
          <w:szCs w:val="24"/>
        </w:rPr>
        <w:t>0.001, respectively).</w:t>
      </w:r>
    </w:p>
    <w:p w:rsidR="004E6966" w:rsidRPr="00D92533" w:rsidRDefault="004E6966" w:rsidP="004E6966">
      <w:pPr>
        <w:spacing w:after="120" w:line="480" w:lineRule="auto"/>
        <w:contextualSpacing/>
        <w:rPr>
          <w:rFonts w:ascii="Arial" w:hAnsi="Arial"/>
          <w:sz w:val="24"/>
        </w:rPr>
      </w:pPr>
    </w:p>
    <w:p w:rsidR="004E6966" w:rsidRPr="00D92533" w:rsidRDefault="004E6966" w:rsidP="004E6966">
      <w:pPr>
        <w:spacing w:line="480" w:lineRule="auto"/>
        <w:rPr>
          <w:rFonts w:ascii="Arial" w:hAnsi="Arial"/>
          <w:sz w:val="24"/>
        </w:rPr>
      </w:pPr>
      <w:r>
        <w:rPr>
          <w:rFonts w:ascii="Arial" w:hAnsi="Arial"/>
          <w:sz w:val="24"/>
        </w:rPr>
        <w:lastRenderedPageBreak/>
        <w:t>O</w:t>
      </w:r>
      <w:r w:rsidRPr="00D92533">
        <w:rPr>
          <w:rFonts w:ascii="Arial" w:hAnsi="Arial"/>
          <w:sz w:val="24"/>
        </w:rPr>
        <w:t xml:space="preserve">bserved PK data from this study following administration of tremelimumab monotherapy in combination with durvalumab at a dose of 1500 mg </w:t>
      </w:r>
      <w:r>
        <w:rPr>
          <w:rFonts w:ascii="Arial" w:hAnsi="Arial"/>
          <w:sz w:val="24"/>
        </w:rPr>
        <w:t xml:space="preserve">every 4 weeks by </w:t>
      </w:r>
      <w:r w:rsidRPr="00D92533">
        <w:rPr>
          <w:rFonts w:ascii="Arial" w:hAnsi="Arial"/>
          <w:sz w:val="24"/>
        </w:rPr>
        <w:t xml:space="preserve">IV infusion </w:t>
      </w:r>
      <w:r>
        <w:rPr>
          <w:rFonts w:ascii="Arial" w:hAnsi="Arial"/>
          <w:sz w:val="24"/>
        </w:rPr>
        <w:t>was compared</w:t>
      </w:r>
      <w:r w:rsidRPr="00D92533">
        <w:rPr>
          <w:rFonts w:ascii="Arial" w:hAnsi="Arial"/>
          <w:sz w:val="24"/>
        </w:rPr>
        <w:t xml:space="preserve"> with simulated PK data at the same dose regimen based on the final population PK model of tremelimumab and a virtual population of </w:t>
      </w:r>
      <w:r w:rsidRPr="00380F63">
        <w:rPr>
          <w:rFonts w:ascii="Arial" w:hAnsi="Arial"/>
          <w:i/>
          <w:sz w:val="24"/>
        </w:rPr>
        <w:t>n</w:t>
      </w:r>
      <w:r>
        <w:rPr>
          <w:rFonts w:ascii="Arial" w:hAnsi="Arial"/>
          <w:sz w:val="24"/>
        </w:rPr>
        <w:t xml:space="preserve"> </w:t>
      </w:r>
      <w:r w:rsidRPr="00D92533">
        <w:rPr>
          <w:rFonts w:ascii="Arial" w:hAnsi="Arial"/>
          <w:sz w:val="24"/>
        </w:rPr>
        <w:t>=</w:t>
      </w:r>
      <w:r>
        <w:rPr>
          <w:rFonts w:ascii="Arial" w:hAnsi="Arial"/>
          <w:sz w:val="24"/>
        </w:rPr>
        <w:t xml:space="preserve"> </w:t>
      </w:r>
      <w:r w:rsidRPr="00D92533">
        <w:rPr>
          <w:rFonts w:ascii="Arial" w:hAnsi="Arial"/>
          <w:sz w:val="24"/>
        </w:rPr>
        <w:t xml:space="preserve">100 solid tumor patients. The observed exposure levels of tremelimumab and durvalumab were within the expected ranges based on prior knowledge. Moreover, there was no indication of PK interaction between these </w:t>
      </w:r>
      <w:r>
        <w:rPr>
          <w:rFonts w:ascii="Arial" w:hAnsi="Arial"/>
          <w:sz w:val="24"/>
        </w:rPr>
        <w:t>two</w:t>
      </w:r>
      <w:r w:rsidRPr="00D92533">
        <w:rPr>
          <w:rFonts w:ascii="Arial" w:hAnsi="Arial"/>
          <w:sz w:val="24"/>
        </w:rPr>
        <w:t xml:space="preserve"> agents.</w:t>
      </w:r>
    </w:p>
    <w:p w:rsidR="004E6966" w:rsidRPr="00D318F9" w:rsidRDefault="004E6966" w:rsidP="004E6966">
      <w:pPr>
        <w:pStyle w:val="Heading2"/>
      </w:pPr>
      <w:r w:rsidRPr="00D92533">
        <w:rPr>
          <w:b/>
        </w:rPr>
        <w:t xml:space="preserve">Supplementary Table 1. </w:t>
      </w:r>
      <w:r w:rsidRPr="00D92533">
        <w:t>Immunogenicity ADA</w:t>
      </w:r>
      <w:r>
        <w:t xml:space="preserve">, FAS, and COMBO </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04"/>
        <w:gridCol w:w="1728"/>
        <w:gridCol w:w="1728"/>
      </w:tblGrid>
      <w:tr w:rsidR="004E6966" w:rsidRPr="00D92533" w:rsidTr="0008073C">
        <w:trPr>
          <w:trHeight w:val="382"/>
        </w:trPr>
        <w:tc>
          <w:tcPr>
            <w:tcW w:w="3154" w:type="pct"/>
            <w:tcBorders>
              <w:top w:val="single" w:sz="12" w:space="0" w:color="auto"/>
              <w:bottom w:val="single" w:sz="12" w:space="0" w:color="auto"/>
            </w:tcBorders>
            <w:vAlign w:val="center"/>
          </w:tcPr>
          <w:p w:rsidR="004E6966" w:rsidRPr="00B42D81" w:rsidRDefault="004E6966" w:rsidP="0008073C">
            <w:pPr>
              <w:rPr>
                <w:rFonts w:ascii="Arial" w:hAnsi="Arial" w:cs="Arial"/>
                <w:b/>
                <w:szCs w:val="20"/>
              </w:rPr>
            </w:pPr>
            <w:r w:rsidRPr="00B42D81">
              <w:rPr>
                <w:rFonts w:ascii="Arial" w:hAnsi="Arial" w:cs="Arial"/>
                <w:b/>
                <w:szCs w:val="24"/>
              </w:rPr>
              <w:t>ADA Category</w:t>
            </w:r>
          </w:p>
        </w:tc>
        <w:tc>
          <w:tcPr>
            <w:tcW w:w="923" w:type="pct"/>
            <w:tcBorders>
              <w:top w:val="single" w:sz="12" w:space="0" w:color="auto"/>
              <w:bottom w:val="single" w:sz="12" w:space="0" w:color="auto"/>
            </w:tcBorders>
            <w:vAlign w:val="center"/>
          </w:tcPr>
          <w:p w:rsidR="004E6966" w:rsidRPr="00B42D81" w:rsidRDefault="004E6966" w:rsidP="0008073C">
            <w:pPr>
              <w:jc w:val="center"/>
              <w:rPr>
                <w:rFonts w:ascii="Arial" w:hAnsi="Arial" w:cs="Arial"/>
                <w:b/>
                <w:sz w:val="20"/>
                <w:szCs w:val="20"/>
              </w:rPr>
            </w:pPr>
            <w:r w:rsidRPr="00B42D81">
              <w:rPr>
                <w:rFonts w:ascii="Arial" w:hAnsi="Arial" w:cs="Arial"/>
                <w:b/>
                <w:sz w:val="20"/>
                <w:szCs w:val="20"/>
              </w:rPr>
              <w:t>FAS</w:t>
            </w:r>
            <w:r>
              <w:rPr>
                <w:rFonts w:ascii="Arial" w:hAnsi="Arial" w:cs="Arial"/>
                <w:b/>
                <w:sz w:val="20"/>
                <w:szCs w:val="20"/>
              </w:rPr>
              <w:t xml:space="preserve">, </w:t>
            </w:r>
            <w:r w:rsidRPr="009C425D">
              <w:rPr>
                <w:rFonts w:ascii="Arial" w:hAnsi="Arial" w:cs="Arial"/>
                <w:b/>
                <w:i/>
                <w:sz w:val="20"/>
                <w:szCs w:val="20"/>
              </w:rPr>
              <w:t>n</w:t>
            </w:r>
            <w:r>
              <w:rPr>
                <w:rFonts w:ascii="Arial" w:hAnsi="Arial" w:cs="Arial"/>
                <w:b/>
                <w:sz w:val="20"/>
                <w:szCs w:val="20"/>
              </w:rPr>
              <w:t xml:space="preserve"> (%)</w:t>
            </w:r>
          </w:p>
        </w:tc>
        <w:tc>
          <w:tcPr>
            <w:tcW w:w="923" w:type="pct"/>
            <w:tcBorders>
              <w:top w:val="single" w:sz="12" w:space="0" w:color="auto"/>
              <w:bottom w:val="single" w:sz="12" w:space="0" w:color="auto"/>
            </w:tcBorders>
          </w:tcPr>
          <w:p w:rsidR="004E6966" w:rsidRPr="00B42D81" w:rsidRDefault="004E6966" w:rsidP="0008073C">
            <w:pPr>
              <w:spacing w:before="120"/>
              <w:jc w:val="center"/>
              <w:rPr>
                <w:rFonts w:ascii="Arial" w:hAnsi="Arial" w:cs="Arial"/>
                <w:b/>
                <w:color w:val="000000"/>
                <w:sz w:val="20"/>
                <w:szCs w:val="20"/>
              </w:rPr>
            </w:pPr>
            <w:r w:rsidRPr="00B42D81">
              <w:rPr>
                <w:rFonts w:ascii="Arial" w:hAnsi="Arial" w:cs="Arial"/>
                <w:b/>
                <w:sz w:val="20"/>
                <w:szCs w:val="20"/>
              </w:rPr>
              <w:t>COMBO</w:t>
            </w:r>
            <w:r>
              <w:rPr>
                <w:rFonts w:ascii="Arial" w:hAnsi="Arial" w:cs="Arial"/>
                <w:b/>
                <w:sz w:val="20"/>
                <w:szCs w:val="20"/>
              </w:rPr>
              <w:t xml:space="preserve">, </w:t>
            </w:r>
            <w:r w:rsidRPr="009C425D">
              <w:rPr>
                <w:rFonts w:ascii="Arial" w:hAnsi="Arial" w:cs="Arial"/>
                <w:b/>
                <w:i/>
                <w:sz w:val="20"/>
                <w:szCs w:val="20"/>
              </w:rPr>
              <w:t>n</w:t>
            </w:r>
            <w:r>
              <w:rPr>
                <w:rFonts w:ascii="Arial" w:hAnsi="Arial" w:cs="Arial"/>
                <w:b/>
                <w:sz w:val="20"/>
                <w:szCs w:val="20"/>
              </w:rPr>
              <w:t xml:space="preserve"> (%)</w:t>
            </w:r>
          </w:p>
        </w:tc>
      </w:tr>
      <w:tr w:rsidR="004E6966" w:rsidRPr="00D92533" w:rsidTr="0008073C">
        <w:trPr>
          <w:trHeight w:val="382"/>
        </w:trPr>
        <w:tc>
          <w:tcPr>
            <w:tcW w:w="3154" w:type="pct"/>
            <w:tcBorders>
              <w:top w:val="single" w:sz="12" w:space="0" w:color="auto"/>
            </w:tcBorders>
          </w:tcPr>
          <w:p w:rsidR="004E6966" w:rsidRPr="00A305D1" w:rsidRDefault="004E6966" w:rsidP="0008073C">
            <w:pPr>
              <w:spacing w:before="120"/>
              <w:rPr>
                <w:rFonts w:ascii="Arial" w:hAnsi="Arial" w:cs="Arial"/>
              </w:rPr>
            </w:pPr>
            <w:r w:rsidRPr="00A305D1">
              <w:rPr>
                <w:rFonts w:ascii="Arial" w:hAnsi="Arial" w:cs="Arial"/>
              </w:rPr>
              <w:t xml:space="preserve">ADA evaluable </w:t>
            </w:r>
            <w:proofErr w:type="spellStart"/>
            <w:r w:rsidRPr="00A305D1">
              <w:rPr>
                <w:rFonts w:ascii="Arial" w:hAnsi="Arial" w:cs="Arial"/>
              </w:rPr>
              <w:t>population</w:t>
            </w:r>
            <w:r>
              <w:rPr>
                <w:rFonts w:ascii="Arial" w:hAnsi="Arial" w:cs="Arial"/>
                <w:vertAlign w:val="superscript"/>
              </w:rPr>
              <w:t>a</w:t>
            </w:r>
            <w:proofErr w:type="spellEnd"/>
          </w:p>
        </w:tc>
        <w:tc>
          <w:tcPr>
            <w:tcW w:w="923" w:type="pct"/>
            <w:tcBorders>
              <w:top w:val="single" w:sz="12" w:space="0" w:color="auto"/>
            </w:tcBorders>
          </w:tcPr>
          <w:p w:rsidR="004E6966" w:rsidRPr="00A305D1" w:rsidRDefault="004E6966" w:rsidP="0008073C">
            <w:pPr>
              <w:spacing w:before="120"/>
              <w:jc w:val="center"/>
              <w:rPr>
                <w:rFonts w:ascii="Arial" w:hAnsi="Arial" w:cs="Arial"/>
              </w:rPr>
            </w:pPr>
            <w:r w:rsidRPr="00A305D1">
              <w:rPr>
                <w:rFonts w:ascii="Arial" w:hAnsi="Arial" w:cs="Arial"/>
              </w:rPr>
              <w:t>26 (81.3)</w:t>
            </w:r>
          </w:p>
        </w:tc>
        <w:tc>
          <w:tcPr>
            <w:tcW w:w="923" w:type="pct"/>
            <w:tcBorders>
              <w:top w:val="single" w:sz="12" w:space="0" w:color="auto"/>
            </w:tcBorders>
          </w:tcPr>
          <w:p w:rsidR="004E6966" w:rsidRPr="00A305D1" w:rsidRDefault="004E6966" w:rsidP="0008073C">
            <w:pPr>
              <w:spacing w:before="120"/>
              <w:jc w:val="center"/>
              <w:rPr>
                <w:rFonts w:ascii="Arial" w:hAnsi="Arial" w:cs="Arial"/>
              </w:rPr>
            </w:pPr>
            <w:r w:rsidRPr="00A305D1">
              <w:rPr>
                <w:rFonts w:ascii="Arial" w:hAnsi="Arial" w:cs="Arial"/>
                <w:color w:val="000000"/>
              </w:rPr>
              <w:t>6 (100.0)</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r w:rsidRPr="00A305D1">
              <w:rPr>
                <w:rFonts w:ascii="Arial" w:hAnsi="Arial" w:cs="Arial"/>
              </w:rPr>
              <w:t xml:space="preserve">ADA </w:t>
            </w:r>
            <w:proofErr w:type="spellStart"/>
            <w:proofErr w:type="gramStart"/>
            <w:r w:rsidRPr="00A305D1">
              <w:rPr>
                <w:rFonts w:ascii="Arial" w:hAnsi="Arial" w:cs="Arial"/>
              </w:rPr>
              <w:t>prevalence</w:t>
            </w:r>
            <w:r>
              <w:rPr>
                <w:rFonts w:ascii="Arial" w:hAnsi="Arial" w:cs="Arial"/>
                <w:vertAlign w:val="superscript"/>
              </w:rPr>
              <w:t>b</w:t>
            </w:r>
            <w:r w:rsidRPr="00A305D1">
              <w:rPr>
                <w:rFonts w:ascii="Arial" w:hAnsi="Arial" w:cs="Arial"/>
                <w:vertAlign w:val="superscript"/>
              </w:rPr>
              <w:t>,</w:t>
            </w:r>
            <w:r>
              <w:rPr>
                <w:rFonts w:ascii="Arial" w:hAnsi="Arial" w:cs="Arial"/>
                <w:vertAlign w:val="superscript"/>
              </w:rPr>
              <w:t>c</w:t>
            </w:r>
            <w:proofErr w:type="spellEnd"/>
            <w:proofErr w:type="gramEnd"/>
          </w:p>
        </w:tc>
        <w:tc>
          <w:tcPr>
            <w:tcW w:w="923" w:type="pct"/>
          </w:tcPr>
          <w:p w:rsidR="004E6966" w:rsidRPr="00A305D1" w:rsidRDefault="004E6966" w:rsidP="0008073C">
            <w:pPr>
              <w:spacing w:before="120"/>
              <w:jc w:val="center"/>
              <w:rPr>
                <w:rFonts w:ascii="Arial" w:hAnsi="Arial" w:cs="Arial"/>
              </w:rPr>
            </w:pPr>
            <w:r w:rsidRPr="00A305D1">
              <w:rPr>
                <w:rFonts w:ascii="Arial" w:hAnsi="Arial" w:cs="Arial"/>
              </w:rPr>
              <w:t>4 (15.4)</w:t>
            </w:r>
          </w:p>
        </w:tc>
        <w:tc>
          <w:tcPr>
            <w:tcW w:w="923" w:type="pct"/>
            <w:vAlign w:val="center"/>
          </w:tcPr>
          <w:p w:rsidR="004E6966" w:rsidRPr="00A305D1" w:rsidRDefault="004E6966" w:rsidP="0008073C">
            <w:pPr>
              <w:spacing w:before="120"/>
              <w:jc w:val="center"/>
              <w:rPr>
                <w:rFonts w:ascii="Arial" w:hAnsi="Arial" w:cs="Arial"/>
              </w:rPr>
            </w:pPr>
            <w:r w:rsidRPr="00A305D1">
              <w:rPr>
                <w:rFonts w:ascii="Arial" w:hAnsi="Arial" w:cs="Arial"/>
                <w:color w:val="000000"/>
              </w:rPr>
              <w:t>1 (16.7)</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r w:rsidRPr="00A305D1">
              <w:rPr>
                <w:rFonts w:ascii="Arial" w:hAnsi="Arial" w:cs="Arial"/>
              </w:rPr>
              <w:t xml:space="preserve">ADA </w:t>
            </w:r>
            <w:proofErr w:type="spellStart"/>
            <w:proofErr w:type="gramStart"/>
            <w:r w:rsidRPr="00A305D1">
              <w:rPr>
                <w:rFonts w:ascii="Arial" w:hAnsi="Arial" w:cs="Arial"/>
              </w:rPr>
              <w:t>incidence</w:t>
            </w:r>
            <w:r>
              <w:rPr>
                <w:rFonts w:ascii="Arial" w:hAnsi="Arial" w:cs="Arial"/>
                <w:vertAlign w:val="superscript"/>
              </w:rPr>
              <w:t>b</w:t>
            </w:r>
            <w:r w:rsidRPr="00A305D1">
              <w:rPr>
                <w:rFonts w:ascii="Arial" w:hAnsi="Arial" w:cs="Arial"/>
                <w:vertAlign w:val="superscript"/>
              </w:rPr>
              <w:t>,</w:t>
            </w:r>
            <w:r>
              <w:rPr>
                <w:rFonts w:ascii="Arial" w:hAnsi="Arial" w:cs="Arial"/>
                <w:vertAlign w:val="superscript"/>
              </w:rPr>
              <w:t>d</w:t>
            </w:r>
            <w:proofErr w:type="spellEnd"/>
            <w:proofErr w:type="gramEnd"/>
            <w:r w:rsidRPr="00A305D1">
              <w:rPr>
                <w:rFonts w:ascii="Arial" w:hAnsi="Arial" w:cs="Arial"/>
              </w:rPr>
              <w:t xml:space="preserve">    </w:t>
            </w:r>
          </w:p>
        </w:tc>
        <w:tc>
          <w:tcPr>
            <w:tcW w:w="923" w:type="pct"/>
          </w:tcPr>
          <w:p w:rsidR="004E6966" w:rsidRPr="00A305D1" w:rsidRDefault="004E6966" w:rsidP="0008073C">
            <w:pPr>
              <w:spacing w:before="120"/>
              <w:jc w:val="center"/>
              <w:rPr>
                <w:rFonts w:ascii="Arial" w:hAnsi="Arial" w:cs="Arial"/>
              </w:rPr>
            </w:pPr>
            <w:r w:rsidRPr="00A305D1">
              <w:rPr>
                <w:rFonts w:ascii="Arial" w:hAnsi="Arial" w:cs="Arial"/>
              </w:rPr>
              <w:t>1 (3.8)</w:t>
            </w:r>
          </w:p>
        </w:tc>
        <w:tc>
          <w:tcPr>
            <w:tcW w:w="923" w:type="pct"/>
          </w:tcPr>
          <w:p w:rsidR="004E6966" w:rsidRPr="00A305D1" w:rsidRDefault="004E6966" w:rsidP="0008073C">
            <w:pPr>
              <w:spacing w:before="120"/>
              <w:jc w:val="center"/>
              <w:rPr>
                <w:rFonts w:ascii="Arial" w:hAnsi="Arial" w:cs="Arial"/>
              </w:rPr>
            </w:pPr>
            <w:r w:rsidRPr="00A305D1">
              <w:rPr>
                <w:rFonts w:ascii="Arial" w:hAnsi="Arial" w:cs="Arial"/>
                <w:color w:val="000000"/>
              </w:rPr>
              <w:t>1 (16.7)</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r w:rsidRPr="00A305D1">
              <w:rPr>
                <w:rFonts w:ascii="Arial" w:hAnsi="Arial" w:cs="Arial"/>
              </w:rPr>
              <w:t xml:space="preserve">ADA positive postbaseline and positive at </w:t>
            </w:r>
            <w:proofErr w:type="spellStart"/>
            <w:r w:rsidRPr="00A305D1">
              <w:rPr>
                <w:rFonts w:ascii="Arial" w:hAnsi="Arial" w:cs="Arial"/>
              </w:rPr>
              <w:t>baseline</w:t>
            </w:r>
            <w:r>
              <w:rPr>
                <w:rFonts w:ascii="Arial" w:hAnsi="Arial" w:cs="Arial"/>
                <w:vertAlign w:val="superscript"/>
              </w:rPr>
              <w:t>b</w:t>
            </w:r>
            <w:proofErr w:type="spellEnd"/>
          </w:p>
        </w:tc>
        <w:tc>
          <w:tcPr>
            <w:tcW w:w="923" w:type="pct"/>
          </w:tcPr>
          <w:p w:rsidR="004E6966" w:rsidRPr="00A305D1" w:rsidRDefault="004E6966" w:rsidP="0008073C">
            <w:pPr>
              <w:spacing w:before="120"/>
              <w:jc w:val="center"/>
              <w:rPr>
                <w:rFonts w:ascii="Arial" w:hAnsi="Arial" w:cs="Arial"/>
              </w:rPr>
            </w:pPr>
            <w:r w:rsidRPr="00A305D1">
              <w:rPr>
                <w:rFonts w:ascii="Arial" w:hAnsi="Arial" w:cs="Arial"/>
              </w:rPr>
              <w:t>0</w:t>
            </w:r>
          </w:p>
        </w:tc>
        <w:tc>
          <w:tcPr>
            <w:tcW w:w="923" w:type="pct"/>
          </w:tcPr>
          <w:p w:rsidR="004E6966" w:rsidRPr="00A305D1" w:rsidRDefault="004E6966" w:rsidP="0008073C">
            <w:pPr>
              <w:spacing w:before="120"/>
              <w:jc w:val="center"/>
              <w:rPr>
                <w:rFonts w:ascii="Arial" w:hAnsi="Arial" w:cs="Arial"/>
              </w:rPr>
            </w:pPr>
            <w:r w:rsidRPr="00A305D1">
              <w:rPr>
                <w:rFonts w:ascii="Arial" w:hAnsi="Arial" w:cs="Arial"/>
                <w:color w:val="000000"/>
              </w:rPr>
              <w:t>0</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r w:rsidRPr="00A305D1">
              <w:rPr>
                <w:rFonts w:ascii="Arial" w:hAnsi="Arial" w:cs="Arial"/>
              </w:rPr>
              <w:t xml:space="preserve">ADA positive postbaseline </w:t>
            </w:r>
            <w:proofErr w:type="spellStart"/>
            <w:r w:rsidRPr="00A305D1">
              <w:rPr>
                <w:rFonts w:ascii="Arial" w:hAnsi="Arial" w:cs="Arial"/>
              </w:rPr>
              <w:t>only</w:t>
            </w:r>
            <w:r>
              <w:rPr>
                <w:rFonts w:ascii="Arial" w:hAnsi="Arial" w:cs="Arial"/>
                <w:vertAlign w:val="superscript"/>
              </w:rPr>
              <w:t>b</w:t>
            </w:r>
            <w:proofErr w:type="spellEnd"/>
          </w:p>
        </w:tc>
        <w:tc>
          <w:tcPr>
            <w:tcW w:w="923" w:type="pct"/>
          </w:tcPr>
          <w:p w:rsidR="004E6966" w:rsidRPr="00A305D1" w:rsidRDefault="004E6966" w:rsidP="0008073C">
            <w:pPr>
              <w:spacing w:before="120"/>
              <w:jc w:val="center"/>
              <w:rPr>
                <w:rFonts w:ascii="Arial" w:hAnsi="Arial" w:cs="Arial"/>
              </w:rPr>
            </w:pPr>
            <w:r w:rsidRPr="00A305D1">
              <w:rPr>
                <w:rFonts w:ascii="Arial" w:hAnsi="Arial" w:cs="Arial"/>
              </w:rPr>
              <w:t>1 (3.8)</w:t>
            </w:r>
          </w:p>
        </w:tc>
        <w:tc>
          <w:tcPr>
            <w:tcW w:w="923" w:type="pct"/>
          </w:tcPr>
          <w:p w:rsidR="004E6966" w:rsidRPr="00A305D1" w:rsidRDefault="004E6966" w:rsidP="0008073C">
            <w:pPr>
              <w:spacing w:before="120"/>
              <w:jc w:val="center"/>
              <w:rPr>
                <w:rFonts w:ascii="Arial" w:hAnsi="Arial" w:cs="Arial"/>
                <w:color w:val="000000"/>
              </w:rPr>
            </w:pPr>
            <w:r w:rsidRPr="00A305D1">
              <w:rPr>
                <w:rFonts w:ascii="Arial" w:hAnsi="Arial" w:cs="Arial"/>
                <w:color w:val="000000"/>
              </w:rPr>
              <w:t>1 (16.7)</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r w:rsidRPr="00A305D1">
              <w:rPr>
                <w:rFonts w:ascii="Arial" w:hAnsi="Arial" w:cs="Arial"/>
              </w:rPr>
              <w:t xml:space="preserve">ADA positive at baseline </w:t>
            </w:r>
            <w:proofErr w:type="spellStart"/>
            <w:r w:rsidRPr="00A305D1">
              <w:rPr>
                <w:rFonts w:ascii="Arial" w:hAnsi="Arial" w:cs="Arial"/>
              </w:rPr>
              <w:t>only</w:t>
            </w:r>
            <w:r>
              <w:rPr>
                <w:rFonts w:ascii="Arial" w:hAnsi="Arial" w:cs="Arial"/>
                <w:vertAlign w:val="superscript"/>
              </w:rPr>
              <w:t>b</w:t>
            </w:r>
            <w:proofErr w:type="spellEnd"/>
          </w:p>
        </w:tc>
        <w:tc>
          <w:tcPr>
            <w:tcW w:w="923" w:type="pct"/>
          </w:tcPr>
          <w:p w:rsidR="004E6966" w:rsidRPr="00A305D1" w:rsidRDefault="004E6966" w:rsidP="0008073C">
            <w:pPr>
              <w:spacing w:before="120"/>
              <w:jc w:val="center"/>
              <w:rPr>
                <w:rFonts w:ascii="Arial" w:hAnsi="Arial" w:cs="Arial"/>
              </w:rPr>
            </w:pPr>
            <w:r w:rsidRPr="00A305D1">
              <w:rPr>
                <w:rFonts w:ascii="Arial" w:hAnsi="Arial" w:cs="Arial"/>
              </w:rPr>
              <w:t>3 (11.5)</w:t>
            </w:r>
          </w:p>
        </w:tc>
        <w:tc>
          <w:tcPr>
            <w:tcW w:w="923" w:type="pct"/>
          </w:tcPr>
          <w:p w:rsidR="004E6966" w:rsidRPr="00A305D1" w:rsidRDefault="004E6966" w:rsidP="0008073C">
            <w:pPr>
              <w:spacing w:before="120"/>
              <w:jc w:val="center"/>
              <w:rPr>
                <w:rFonts w:ascii="Arial" w:hAnsi="Arial" w:cs="Arial"/>
              </w:rPr>
            </w:pPr>
            <w:r>
              <w:rPr>
                <w:rFonts w:ascii="Arial" w:hAnsi="Arial" w:cs="Arial"/>
              </w:rPr>
              <w:t>0</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r w:rsidRPr="00A305D1">
              <w:rPr>
                <w:rFonts w:ascii="Arial" w:hAnsi="Arial" w:cs="Arial"/>
              </w:rPr>
              <w:t xml:space="preserve">Treatment-boosted </w:t>
            </w:r>
            <w:proofErr w:type="spellStart"/>
            <w:proofErr w:type="gramStart"/>
            <w:r w:rsidRPr="00A305D1">
              <w:rPr>
                <w:rFonts w:ascii="Arial" w:hAnsi="Arial" w:cs="Arial"/>
              </w:rPr>
              <w:t>ADA</w:t>
            </w:r>
            <w:r>
              <w:rPr>
                <w:rFonts w:ascii="Arial" w:hAnsi="Arial" w:cs="Arial"/>
                <w:vertAlign w:val="superscript"/>
              </w:rPr>
              <w:t>b,e</w:t>
            </w:r>
            <w:proofErr w:type="spellEnd"/>
            <w:proofErr w:type="gramEnd"/>
          </w:p>
        </w:tc>
        <w:tc>
          <w:tcPr>
            <w:tcW w:w="923" w:type="pct"/>
          </w:tcPr>
          <w:p w:rsidR="004E6966" w:rsidRPr="00A305D1" w:rsidRDefault="004E6966" w:rsidP="0008073C">
            <w:pPr>
              <w:spacing w:before="120"/>
              <w:jc w:val="center"/>
              <w:rPr>
                <w:rFonts w:ascii="Arial" w:hAnsi="Arial" w:cs="Arial"/>
              </w:rPr>
            </w:pPr>
            <w:r w:rsidRPr="00A305D1">
              <w:rPr>
                <w:rFonts w:ascii="Arial" w:hAnsi="Arial" w:cs="Arial"/>
              </w:rPr>
              <w:t>0</w:t>
            </w:r>
          </w:p>
        </w:tc>
        <w:tc>
          <w:tcPr>
            <w:tcW w:w="923" w:type="pct"/>
          </w:tcPr>
          <w:p w:rsidR="004E6966" w:rsidRPr="00A305D1" w:rsidRDefault="004E6966" w:rsidP="0008073C">
            <w:pPr>
              <w:spacing w:before="120"/>
              <w:jc w:val="center"/>
              <w:rPr>
                <w:rFonts w:ascii="Arial" w:hAnsi="Arial" w:cs="Arial"/>
              </w:rPr>
            </w:pPr>
            <w:r w:rsidRPr="00A305D1">
              <w:rPr>
                <w:rFonts w:ascii="Arial" w:hAnsi="Arial" w:cs="Arial"/>
              </w:rPr>
              <w:t>0</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vertAlign w:val="superscript"/>
              </w:rPr>
            </w:pPr>
            <w:r w:rsidRPr="00A305D1">
              <w:rPr>
                <w:rFonts w:ascii="Arial" w:hAnsi="Arial" w:cs="Arial"/>
              </w:rPr>
              <w:t xml:space="preserve">Persistent </w:t>
            </w:r>
            <w:proofErr w:type="spellStart"/>
            <w:proofErr w:type="gramStart"/>
            <w:r>
              <w:rPr>
                <w:rFonts w:ascii="Arial" w:hAnsi="Arial" w:cs="Arial"/>
              </w:rPr>
              <w:t>p</w:t>
            </w:r>
            <w:r w:rsidRPr="00A305D1">
              <w:rPr>
                <w:rFonts w:ascii="Arial" w:hAnsi="Arial" w:cs="Arial"/>
              </w:rPr>
              <w:t>ositive</w:t>
            </w:r>
            <w:r>
              <w:rPr>
                <w:rFonts w:ascii="Arial" w:hAnsi="Arial" w:cs="Arial"/>
                <w:vertAlign w:val="superscript"/>
              </w:rPr>
              <w:t>b,f</w:t>
            </w:r>
            <w:proofErr w:type="spellEnd"/>
            <w:proofErr w:type="gramEnd"/>
          </w:p>
        </w:tc>
        <w:tc>
          <w:tcPr>
            <w:tcW w:w="923" w:type="pct"/>
            <w:vAlign w:val="center"/>
          </w:tcPr>
          <w:p w:rsidR="004E6966" w:rsidRPr="00A305D1" w:rsidRDefault="004E6966" w:rsidP="0008073C">
            <w:pPr>
              <w:spacing w:before="120"/>
              <w:jc w:val="center"/>
              <w:rPr>
                <w:rFonts w:ascii="Arial" w:hAnsi="Arial" w:cs="Arial"/>
              </w:rPr>
            </w:pPr>
            <w:r w:rsidRPr="00A305D1">
              <w:rPr>
                <w:rFonts w:ascii="Arial" w:hAnsi="Arial" w:cs="Arial"/>
              </w:rPr>
              <w:t>0</w:t>
            </w:r>
          </w:p>
        </w:tc>
        <w:tc>
          <w:tcPr>
            <w:tcW w:w="923" w:type="pct"/>
            <w:vAlign w:val="center"/>
          </w:tcPr>
          <w:p w:rsidR="004E6966" w:rsidRPr="00A305D1" w:rsidRDefault="004E6966" w:rsidP="0008073C">
            <w:pPr>
              <w:spacing w:before="120"/>
              <w:jc w:val="center"/>
              <w:rPr>
                <w:rFonts w:ascii="Arial" w:hAnsi="Arial" w:cs="Arial"/>
              </w:rPr>
            </w:pPr>
            <w:r w:rsidRPr="00A305D1">
              <w:rPr>
                <w:rFonts w:ascii="Arial" w:hAnsi="Arial" w:cs="Arial"/>
              </w:rPr>
              <w:t>0</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r w:rsidRPr="00A305D1">
              <w:rPr>
                <w:rFonts w:ascii="Arial" w:hAnsi="Arial" w:cs="Arial"/>
              </w:rPr>
              <w:t xml:space="preserve">Transient </w:t>
            </w:r>
            <w:proofErr w:type="spellStart"/>
            <w:proofErr w:type="gramStart"/>
            <w:r>
              <w:rPr>
                <w:rFonts w:ascii="Arial" w:hAnsi="Arial" w:cs="Arial"/>
              </w:rPr>
              <w:t>p</w:t>
            </w:r>
            <w:r w:rsidRPr="00A305D1">
              <w:rPr>
                <w:rFonts w:ascii="Arial" w:hAnsi="Arial" w:cs="Arial"/>
              </w:rPr>
              <w:t>ositive</w:t>
            </w:r>
            <w:r>
              <w:rPr>
                <w:rFonts w:ascii="Arial" w:hAnsi="Arial" w:cs="Arial"/>
                <w:vertAlign w:val="superscript"/>
              </w:rPr>
              <w:t>b,g</w:t>
            </w:r>
            <w:proofErr w:type="spellEnd"/>
            <w:proofErr w:type="gramEnd"/>
          </w:p>
        </w:tc>
        <w:tc>
          <w:tcPr>
            <w:tcW w:w="923" w:type="pct"/>
            <w:vAlign w:val="center"/>
          </w:tcPr>
          <w:p w:rsidR="004E6966" w:rsidRPr="00A305D1" w:rsidRDefault="004E6966" w:rsidP="0008073C">
            <w:pPr>
              <w:spacing w:before="120"/>
              <w:jc w:val="center"/>
              <w:rPr>
                <w:rFonts w:ascii="Arial" w:hAnsi="Arial" w:cs="Arial"/>
              </w:rPr>
            </w:pPr>
            <w:r w:rsidRPr="00A305D1">
              <w:rPr>
                <w:rFonts w:ascii="Arial" w:hAnsi="Arial" w:cs="Arial"/>
              </w:rPr>
              <w:t>1 (3.8)</w:t>
            </w:r>
          </w:p>
        </w:tc>
        <w:tc>
          <w:tcPr>
            <w:tcW w:w="923" w:type="pct"/>
            <w:vAlign w:val="center"/>
          </w:tcPr>
          <w:p w:rsidR="004E6966" w:rsidRPr="00A305D1" w:rsidRDefault="004E6966" w:rsidP="0008073C">
            <w:pPr>
              <w:spacing w:before="120"/>
              <w:jc w:val="center"/>
              <w:rPr>
                <w:rFonts w:ascii="Arial" w:hAnsi="Arial" w:cs="Arial"/>
                <w:color w:val="000000"/>
              </w:rPr>
            </w:pPr>
            <w:r w:rsidRPr="00A305D1">
              <w:rPr>
                <w:rFonts w:ascii="Arial" w:hAnsi="Arial" w:cs="Arial"/>
                <w:color w:val="000000"/>
              </w:rPr>
              <w:t>1 (16.7)</w:t>
            </w:r>
          </w:p>
        </w:tc>
      </w:tr>
      <w:tr w:rsidR="004E6966" w:rsidRPr="00D92533" w:rsidTr="0008073C">
        <w:trPr>
          <w:trHeight w:val="382"/>
        </w:trPr>
        <w:tc>
          <w:tcPr>
            <w:tcW w:w="3154" w:type="pct"/>
          </w:tcPr>
          <w:p w:rsidR="004E6966" w:rsidRPr="00A305D1" w:rsidRDefault="004E6966" w:rsidP="0008073C">
            <w:pPr>
              <w:spacing w:before="120"/>
              <w:rPr>
                <w:rFonts w:ascii="Arial" w:hAnsi="Arial" w:cs="Arial"/>
              </w:rPr>
            </w:pPr>
            <w:proofErr w:type="spellStart"/>
            <w:r w:rsidRPr="00A305D1">
              <w:rPr>
                <w:rFonts w:ascii="Arial" w:hAnsi="Arial" w:cs="Arial"/>
              </w:rPr>
              <w:t>nAb</w:t>
            </w:r>
            <w:proofErr w:type="spellEnd"/>
            <w:r w:rsidRPr="00A305D1">
              <w:rPr>
                <w:rFonts w:ascii="Arial" w:hAnsi="Arial" w:cs="Arial"/>
              </w:rPr>
              <w:t xml:space="preserve"> </w:t>
            </w:r>
            <w:proofErr w:type="spellStart"/>
            <w:r w:rsidRPr="00A305D1">
              <w:rPr>
                <w:rFonts w:ascii="Arial" w:hAnsi="Arial" w:cs="Arial"/>
              </w:rPr>
              <w:t>postive</w:t>
            </w:r>
            <w:proofErr w:type="spellEnd"/>
            <w:r w:rsidRPr="00A305D1">
              <w:rPr>
                <w:rFonts w:ascii="Arial" w:hAnsi="Arial" w:cs="Arial"/>
              </w:rPr>
              <w:t xml:space="preserve"> at any </w:t>
            </w:r>
            <w:proofErr w:type="spellStart"/>
            <w:r w:rsidRPr="00A305D1">
              <w:rPr>
                <w:rFonts w:ascii="Arial" w:hAnsi="Arial" w:cs="Arial"/>
              </w:rPr>
              <w:t>visit</w:t>
            </w:r>
            <w:r>
              <w:rPr>
                <w:rFonts w:ascii="Arial" w:hAnsi="Arial" w:cs="Arial"/>
                <w:vertAlign w:val="superscript"/>
              </w:rPr>
              <w:t>b</w:t>
            </w:r>
            <w:proofErr w:type="spellEnd"/>
          </w:p>
        </w:tc>
        <w:tc>
          <w:tcPr>
            <w:tcW w:w="923" w:type="pct"/>
            <w:vAlign w:val="center"/>
          </w:tcPr>
          <w:p w:rsidR="004E6966" w:rsidRPr="00A305D1" w:rsidRDefault="004E6966" w:rsidP="0008073C">
            <w:pPr>
              <w:spacing w:before="120"/>
              <w:jc w:val="center"/>
              <w:rPr>
                <w:rFonts w:ascii="Arial" w:hAnsi="Arial" w:cs="Arial"/>
              </w:rPr>
            </w:pPr>
            <w:r w:rsidRPr="00A305D1">
              <w:rPr>
                <w:rFonts w:ascii="Arial" w:hAnsi="Arial" w:cs="Arial"/>
              </w:rPr>
              <w:t>1 (3.8)</w:t>
            </w:r>
          </w:p>
        </w:tc>
        <w:tc>
          <w:tcPr>
            <w:tcW w:w="923" w:type="pct"/>
            <w:vAlign w:val="center"/>
          </w:tcPr>
          <w:p w:rsidR="004E6966" w:rsidRPr="00A305D1" w:rsidRDefault="004E6966" w:rsidP="0008073C">
            <w:pPr>
              <w:spacing w:before="120"/>
              <w:jc w:val="center"/>
              <w:rPr>
                <w:rFonts w:ascii="Arial" w:hAnsi="Arial" w:cs="Arial"/>
                <w:color w:val="000000"/>
              </w:rPr>
            </w:pPr>
            <w:r w:rsidRPr="00A305D1">
              <w:rPr>
                <w:rFonts w:ascii="Arial" w:hAnsi="Arial" w:cs="Arial"/>
                <w:color w:val="000000"/>
              </w:rPr>
              <w:t>1 (16.7)</w:t>
            </w:r>
          </w:p>
        </w:tc>
      </w:tr>
    </w:tbl>
    <w:p w:rsidR="004E6966" w:rsidRDefault="004E6966" w:rsidP="004E6966">
      <w:pPr>
        <w:spacing w:line="240" w:lineRule="auto"/>
        <w:rPr>
          <w:rFonts w:ascii="Arial" w:hAnsi="Arial" w:cs="Arial"/>
          <w:sz w:val="18"/>
        </w:rPr>
      </w:pPr>
      <w:r w:rsidRPr="00D92533">
        <w:rPr>
          <w:rFonts w:ascii="Arial" w:hAnsi="Arial" w:cs="Arial"/>
          <w:sz w:val="18"/>
        </w:rPr>
        <w:t>Data are reported as of September 2018</w:t>
      </w:r>
      <w:r>
        <w:rPr>
          <w:rFonts w:ascii="Arial" w:hAnsi="Arial" w:cs="Arial"/>
          <w:sz w:val="18"/>
        </w:rPr>
        <w:t>. FAS, full analysis set.</w:t>
      </w:r>
    </w:p>
    <w:p w:rsidR="004E6966" w:rsidRPr="00D92533" w:rsidRDefault="004E6966" w:rsidP="004E6966">
      <w:pPr>
        <w:pStyle w:val="A-TableText"/>
        <w:rPr>
          <w:rFonts w:ascii="Arial" w:hAnsi="Arial" w:cs="Arial"/>
          <w:sz w:val="20"/>
          <w:szCs w:val="20"/>
        </w:rPr>
      </w:pPr>
      <w:proofErr w:type="spellStart"/>
      <w:r w:rsidRPr="00D92533">
        <w:rPr>
          <w:rFonts w:ascii="Arial" w:hAnsi="Arial" w:cs="Arial"/>
          <w:sz w:val="20"/>
          <w:szCs w:val="20"/>
          <w:vertAlign w:val="superscript"/>
        </w:rPr>
        <w:t>a</w:t>
      </w:r>
      <w:r w:rsidRPr="00D92533">
        <w:rPr>
          <w:rFonts w:ascii="Arial" w:hAnsi="Arial" w:cs="Arial"/>
          <w:sz w:val="20"/>
          <w:szCs w:val="20"/>
        </w:rPr>
        <w:t>ADA</w:t>
      </w:r>
      <w:proofErr w:type="spellEnd"/>
      <w:r w:rsidRPr="00D92533">
        <w:rPr>
          <w:rFonts w:ascii="Arial" w:hAnsi="Arial" w:cs="Arial"/>
          <w:sz w:val="20"/>
          <w:szCs w:val="20"/>
        </w:rPr>
        <w:t xml:space="preserve">-evaluable set is defined as the number of patients in the </w:t>
      </w:r>
      <w:r>
        <w:rPr>
          <w:rFonts w:ascii="Arial" w:hAnsi="Arial" w:cs="Arial"/>
          <w:sz w:val="20"/>
          <w:szCs w:val="20"/>
        </w:rPr>
        <w:t>s</w:t>
      </w:r>
      <w:r w:rsidRPr="00D92533">
        <w:rPr>
          <w:rFonts w:ascii="Arial" w:hAnsi="Arial" w:cs="Arial"/>
          <w:sz w:val="20"/>
          <w:szCs w:val="20"/>
        </w:rPr>
        <w:t>afety analysis set who had non</w:t>
      </w:r>
      <w:r w:rsidRPr="00D92533">
        <w:rPr>
          <w:rFonts w:ascii="Arial" w:hAnsi="Arial" w:cs="Arial"/>
          <w:sz w:val="20"/>
          <w:szCs w:val="20"/>
        </w:rPr>
        <w:noBreakHyphen/>
        <w:t xml:space="preserve">missing baseline ADA and at least </w:t>
      </w:r>
      <w:r>
        <w:rPr>
          <w:rFonts w:ascii="Arial" w:hAnsi="Arial" w:cs="Arial"/>
          <w:sz w:val="20"/>
          <w:szCs w:val="20"/>
        </w:rPr>
        <w:t>one</w:t>
      </w:r>
      <w:r w:rsidRPr="00D92533">
        <w:rPr>
          <w:rFonts w:ascii="Arial" w:hAnsi="Arial" w:cs="Arial"/>
          <w:sz w:val="20"/>
          <w:szCs w:val="20"/>
        </w:rPr>
        <w:t xml:space="preserve"> non-missing </w:t>
      </w:r>
      <w:r>
        <w:rPr>
          <w:rFonts w:ascii="Arial" w:hAnsi="Arial" w:cs="Arial"/>
          <w:sz w:val="20"/>
          <w:szCs w:val="20"/>
        </w:rPr>
        <w:t>postbaseline</w:t>
      </w:r>
      <w:r w:rsidRPr="00D92533">
        <w:rPr>
          <w:rFonts w:ascii="Arial" w:hAnsi="Arial" w:cs="Arial"/>
          <w:sz w:val="20"/>
          <w:szCs w:val="20"/>
        </w:rPr>
        <w:t xml:space="preserve"> results. The denominator is the number of patients in the </w:t>
      </w:r>
      <w:r>
        <w:rPr>
          <w:rFonts w:ascii="Arial" w:hAnsi="Arial" w:cs="Arial"/>
          <w:sz w:val="20"/>
          <w:szCs w:val="20"/>
        </w:rPr>
        <w:t>s</w:t>
      </w:r>
      <w:r w:rsidRPr="00D92533">
        <w:rPr>
          <w:rFonts w:ascii="Arial" w:hAnsi="Arial" w:cs="Arial"/>
          <w:sz w:val="20"/>
          <w:szCs w:val="20"/>
        </w:rPr>
        <w:t>afety analysis set in the treatment group.</w:t>
      </w:r>
    </w:p>
    <w:p w:rsidR="004E6966" w:rsidRPr="00D92533" w:rsidRDefault="004E6966" w:rsidP="004E6966">
      <w:pPr>
        <w:pStyle w:val="A-TableText"/>
        <w:rPr>
          <w:rFonts w:ascii="Arial" w:hAnsi="Arial" w:cs="Arial"/>
          <w:sz w:val="20"/>
          <w:szCs w:val="20"/>
        </w:rPr>
      </w:pPr>
      <w:proofErr w:type="spellStart"/>
      <w:r w:rsidRPr="00D92533">
        <w:rPr>
          <w:rFonts w:ascii="Arial" w:hAnsi="Arial" w:cs="Arial"/>
          <w:sz w:val="20"/>
          <w:szCs w:val="20"/>
          <w:vertAlign w:val="superscript"/>
        </w:rPr>
        <w:t>b</w:t>
      </w:r>
      <w:r w:rsidRPr="00D92533">
        <w:rPr>
          <w:rFonts w:ascii="Arial" w:hAnsi="Arial" w:cs="Arial"/>
          <w:sz w:val="20"/>
          <w:szCs w:val="20"/>
        </w:rPr>
        <w:t>The</w:t>
      </w:r>
      <w:proofErr w:type="spellEnd"/>
      <w:r w:rsidRPr="00D92533">
        <w:rPr>
          <w:rFonts w:ascii="Arial" w:hAnsi="Arial" w:cs="Arial"/>
          <w:sz w:val="20"/>
          <w:szCs w:val="20"/>
        </w:rPr>
        <w:t xml:space="preserve"> denominator is the number of ADA-evaluable patients in the treatment group.</w:t>
      </w:r>
    </w:p>
    <w:p w:rsidR="004E6966" w:rsidRPr="00D92533" w:rsidRDefault="004E6966" w:rsidP="004E6966">
      <w:pPr>
        <w:pStyle w:val="A-TableText"/>
        <w:rPr>
          <w:rFonts w:ascii="Arial" w:hAnsi="Arial" w:cs="Arial"/>
          <w:sz w:val="20"/>
          <w:szCs w:val="20"/>
        </w:rPr>
      </w:pPr>
      <w:proofErr w:type="spellStart"/>
      <w:r w:rsidRPr="00D92533">
        <w:rPr>
          <w:rFonts w:ascii="Arial" w:hAnsi="Arial" w:cs="Arial"/>
          <w:sz w:val="20"/>
          <w:szCs w:val="20"/>
          <w:vertAlign w:val="superscript"/>
        </w:rPr>
        <w:t>c</w:t>
      </w:r>
      <w:r w:rsidRPr="00D92533">
        <w:rPr>
          <w:rFonts w:ascii="Arial" w:hAnsi="Arial" w:cs="Arial"/>
          <w:sz w:val="20"/>
          <w:szCs w:val="20"/>
        </w:rPr>
        <w:t>ADA</w:t>
      </w:r>
      <w:proofErr w:type="spellEnd"/>
      <w:r w:rsidRPr="00D92533">
        <w:rPr>
          <w:rFonts w:ascii="Arial" w:hAnsi="Arial" w:cs="Arial"/>
          <w:sz w:val="20"/>
          <w:szCs w:val="20"/>
        </w:rPr>
        <w:t xml:space="preserve"> prevalence is the proportion of patients with positive ADA result at any time, baseline or </w:t>
      </w:r>
      <w:r>
        <w:rPr>
          <w:rFonts w:ascii="Arial" w:hAnsi="Arial" w:cs="Arial"/>
          <w:sz w:val="20"/>
          <w:szCs w:val="20"/>
        </w:rPr>
        <w:t>postbaseline</w:t>
      </w:r>
      <w:r w:rsidRPr="00D92533">
        <w:rPr>
          <w:rFonts w:ascii="Arial" w:hAnsi="Arial" w:cs="Arial"/>
          <w:sz w:val="20"/>
          <w:szCs w:val="20"/>
        </w:rPr>
        <w:t>.</w:t>
      </w:r>
    </w:p>
    <w:p w:rsidR="004E6966" w:rsidRPr="00820197" w:rsidRDefault="004E6966" w:rsidP="004E6966">
      <w:pPr>
        <w:spacing w:line="240" w:lineRule="auto"/>
        <w:rPr>
          <w:rFonts w:ascii="Arial" w:hAnsi="Arial" w:cs="Arial"/>
          <w:sz w:val="20"/>
          <w:szCs w:val="20"/>
        </w:rPr>
      </w:pPr>
      <w:proofErr w:type="spellStart"/>
      <w:r w:rsidRPr="00820197">
        <w:rPr>
          <w:rFonts w:ascii="Arial" w:hAnsi="Arial" w:cs="Arial"/>
          <w:sz w:val="20"/>
          <w:szCs w:val="20"/>
          <w:vertAlign w:val="superscript"/>
        </w:rPr>
        <w:t>d</w:t>
      </w:r>
      <w:r w:rsidRPr="00D92533">
        <w:rPr>
          <w:rFonts w:ascii="Arial" w:hAnsi="Arial" w:cs="Arial"/>
          <w:sz w:val="20"/>
          <w:szCs w:val="20"/>
        </w:rPr>
        <w:t>Treatment</w:t>
      </w:r>
      <w:proofErr w:type="spellEnd"/>
      <w:r w:rsidRPr="00D92533">
        <w:rPr>
          <w:rFonts w:ascii="Arial" w:hAnsi="Arial" w:cs="Arial"/>
          <w:sz w:val="20"/>
          <w:szCs w:val="20"/>
        </w:rPr>
        <w:t>-emergent ADA positive is the sum of treatment-induced ADA and treatment-boosted ADA. The proportion of treatment-emergent ADA positive patients is ADA incidence.</w:t>
      </w:r>
      <w:r w:rsidRPr="00820197">
        <w:rPr>
          <w:rFonts w:ascii="Arial" w:hAnsi="Arial" w:cs="Arial"/>
          <w:sz w:val="20"/>
          <w:szCs w:val="20"/>
        </w:rPr>
        <w:t xml:space="preserve"> The single patient in the ADA incidence row was the same patient </w:t>
      </w:r>
      <w:r>
        <w:rPr>
          <w:rFonts w:ascii="Arial" w:hAnsi="Arial" w:cs="Arial"/>
          <w:sz w:val="20"/>
          <w:szCs w:val="20"/>
        </w:rPr>
        <w:t xml:space="preserve">in the </w:t>
      </w:r>
      <w:r w:rsidRPr="00820197">
        <w:rPr>
          <w:rFonts w:ascii="Arial" w:hAnsi="Arial" w:cs="Arial"/>
          <w:sz w:val="20"/>
          <w:szCs w:val="20"/>
        </w:rPr>
        <w:t>treme</w:t>
      </w:r>
      <w:r>
        <w:rPr>
          <w:rFonts w:ascii="Arial" w:hAnsi="Arial" w:cs="Arial"/>
          <w:sz w:val="20"/>
          <w:szCs w:val="20"/>
        </w:rPr>
        <w:t>limumab</w:t>
      </w:r>
      <w:r w:rsidRPr="00820197">
        <w:rPr>
          <w:rFonts w:ascii="Arial" w:hAnsi="Arial" w:cs="Arial"/>
          <w:sz w:val="20"/>
          <w:szCs w:val="20"/>
        </w:rPr>
        <w:t xml:space="preserve"> mono</w:t>
      </w:r>
      <w:r>
        <w:rPr>
          <w:rFonts w:ascii="Arial" w:hAnsi="Arial" w:cs="Arial"/>
          <w:sz w:val="20"/>
          <w:szCs w:val="20"/>
        </w:rPr>
        <w:t>therapy group</w:t>
      </w:r>
      <w:r w:rsidRPr="00820197">
        <w:rPr>
          <w:rFonts w:ascii="Arial" w:hAnsi="Arial" w:cs="Arial"/>
          <w:sz w:val="20"/>
          <w:szCs w:val="20"/>
        </w:rPr>
        <w:t xml:space="preserve"> and then moved to durva</w:t>
      </w:r>
      <w:r>
        <w:rPr>
          <w:rFonts w:ascii="Arial" w:hAnsi="Arial" w:cs="Arial"/>
          <w:sz w:val="20"/>
          <w:szCs w:val="20"/>
        </w:rPr>
        <w:t>lumab +tremelimumab combination therapy.</w:t>
      </w:r>
    </w:p>
    <w:p w:rsidR="004E6966" w:rsidRPr="00D92533" w:rsidRDefault="004E6966" w:rsidP="004E6966">
      <w:pPr>
        <w:pStyle w:val="A-TableText"/>
        <w:rPr>
          <w:rFonts w:ascii="Arial" w:hAnsi="Arial" w:cs="Arial"/>
          <w:sz w:val="20"/>
          <w:szCs w:val="20"/>
        </w:rPr>
      </w:pPr>
      <w:proofErr w:type="spellStart"/>
      <w:r w:rsidRPr="00D92533">
        <w:rPr>
          <w:rFonts w:ascii="Arial" w:hAnsi="Arial" w:cs="Arial"/>
          <w:sz w:val="20"/>
          <w:szCs w:val="20"/>
          <w:vertAlign w:val="superscript"/>
        </w:rPr>
        <w:t>e</w:t>
      </w:r>
      <w:r w:rsidRPr="00D92533">
        <w:rPr>
          <w:rFonts w:ascii="Arial" w:hAnsi="Arial" w:cs="Arial"/>
          <w:sz w:val="20"/>
          <w:szCs w:val="20"/>
        </w:rPr>
        <w:t>Treatment</w:t>
      </w:r>
      <w:proofErr w:type="spellEnd"/>
      <w:r w:rsidRPr="00D92533">
        <w:rPr>
          <w:rFonts w:ascii="Arial" w:hAnsi="Arial" w:cs="Arial"/>
          <w:sz w:val="20"/>
          <w:szCs w:val="20"/>
        </w:rPr>
        <w:t>-boosted ADA is defined as baseline ADA titer that was boosted by ≥4-fold during the study period.</w:t>
      </w:r>
    </w:p>
    <w:p w:rsidR="004E6966" w:rsidRPr="00D92533" w:rsidRDefault="004E6966" w:rsidP="004E6966">
      <w:pPr>
        <w:pStyle w:val="A-TableText"/>
        <w:rPr>
          <w:rFonts w:ascii="Arial" w:hAnsi="Arial" w:cs="Arial"/>
          <w:sz w:val="20"/>
          <w:szCs w:val="20"/>
        </w:rPr>
      </w:pPr>
      <w:proofErr w:type="spellStart"/>
      <w:r w:rsidRPr="00D92533">
        <w:rPr>
          <w:rFonts w:ascii="Arial" w:hAnsi="Arial" w:cs="Arial"/>
          <w:sz w:val="20"/>
          <w:szCs w:val="20"/>
          <w:vertAlign w:val="superscript"/>
        </w:rPr>
        <w:t>f</w:t>
      </w:r>
      <w:r w:rsidRPr="00D92533">
        <w:rPr>
          <w:rFonts w:ascii="Arial" w:hAnsi="Arial" w:cs="Arial"/>
          <w:sz w:val="20"/>
          <w:szCs w:val="20"/>
        </w:rPr>
        <w:t>Persistently</w:t>
      </w:r>
      <w:proofErr w:type="spellEnd"/>
      <w:r w:rsidRPr="00D92533">
        <w:rPr>
          <w:rFonts w:ascii="Arial" w:hAnsi="Arial" w:cs="Arial"/>
          <w:sz w:val="20"/>
          <w:szCs w:val="20"/>
        </w:rPr>
        <w:t xml:space="preserve"> positive is defined as having at least 2 postbaseline ADA-positive measurements with at least 16 weeks (112 days) between the first and last positive measurements, or an ADA-positive result at the last available assessment.</w:t>
      </w:r>
    </w:p>
    <w:p w:rsidR="004E6966" w:rsidRDefault="004E6966" w:rsidP="004E6966">
      <w:pPr>
        <w:pStyle w:val="A-TableText"/>
        <w:rPr>
          <w:rFonts w:ascii="Arial" w:hAnsi="Arial" w:cs="Arial"/>
          <w:sz w:val="20"/>
          <w:szCs w:val="20"/>
        </w:rPr>
      </w:pPr>
      <w:proofErr w:type="spellStart"/>
      <w:r w:rsidRPr="00D92533">
        <w:rPr>
          <w:rFonts w:ascii="Arial" w:hAnsi="Arial" w:cs="Arial"/>
          <w:sz w:val="20"/>
          <w:szCs w:val="20"/>
          <w:vertAlign w:val="superscript"/>
        </w:rPr>
        <w:lastRenderedPageBreak/>
        <w:t>g</w:t>
      </w:r>
      <w:r w:rsidRPr="00D92533">
        <w:rPr>
          <w:rFonts w:ascii="Arial" w:hAnsi="Arial" w:cs="Arial"/>
          <w:sz w:val="20"/>
          <w:szCs w:val="20"/>
        </w:rPr>
        <w:t>Transiently</w:t>
      </w:r>
      <w:proofErr w:type="spellEnd"/>
      <w:r w:rsidRPr="00D92533">
        <w:rPr>
          <w:rFonts w:ascii="Arial" w:hAnsi="Arial" w:cs="Arial"/>
          <w:sz w:val="20"/>
          <w:szCs w:val="20"/>
        </w:rPr>
        <w:t xml:space="preserve"> positive is defined as having at least 1 postbaseline ADA-positive measurement and not fulfilling the conditions for persistently positive.</w:t>
      </w:r>
    </w:p>
    <w:p w:rsidR="004E6966" w:rsidRPr="00D92533" w:rsidRDefault="004E6966" w:rsidP="004E6966">
      <w:pPr>
        <w:pStyle w:val="A-TableText"/>
        <w:rPr>
          <w:rFonts w:ascii="Arial" w:hAnsi="Arial" w:cs="Arial"/>
          <w:sz w:val="20"/>
          <w:szCs w:val="20"/>
        </w:rPr>
      </w:pPr>
    </w:p>
    <w:p w:rsidR="004E6966" w:rsidRDefault="004E6966" w:rsidP="004E6966">
      <w:pPr>
        <w:spacing w:line="480" w:lineRule="auto"/>
        <w:rPr>
          <w:rFonts w:ascii="Arial" w:hAnsi="Arial" w:cs="Arial"/>
          <w:sz w:val="24"/>
          <w:szCs w:val="24"/>
        </w:rPr>
      </w:pPr>
    </w:p>
    <w:p w:rsidR="004E6966" w:rsidRDefault="004E6966" w:rsidP="004E6966">
      <w:pPr>
        <w:spacing w:line="480" w:lineRule="auto"/>
        <w:rPr>
          <w:rFonts w:ascii="Arial" w:hAnsi="Arial" w:cs="Arial"/>
          <w:sz w:val="24"/>
          <w:szCs w:val="24"/>
        </w:rPr>
      </w:pPr>
    </w:p>
    <w:p w:rsidR="00B72F94" w:rsidRDefault="00856D9D"/>
    <w:sectPr w:rsidR="00B72F9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56D9D">
      <w:pPr>
        <w:spacing w:after="0" w:line="240" w:lineRule="auto"/>
      </w:pPr>
      <w:r>
        <w:separator/>
      </w:r>
    </w:p>
  </w:endnote>
  <w:endnote w:type="continuationSeparator" w:id="0">
    <w:p w:rsidR="00000000" w:rsidRDefault="0085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762948"/>
      <w:docPartObj>
        <w:docPartGallery w:val="Page Numbers (Bottom of Page)"/>
        <w:docPartUnique/>
      </w:docPartObj>
    </w:sdtPr>
    <w:sdtEndPr>
      <w:rPr>
        <w:noProof/>
      </w:rPr>
    </w:sdtEndPr>
    <w:sdtContent>
      <w:p w:rsidR="00613E71" w:rsidRDefault="004E6966">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613E71" w:rsidRDefault="00856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56D9D">
      <w:pPr>
        <w:spacing w:after="0" w:line="240" w:lineRule="auto"/>
      </w:pPr>
      <w:r>
        <w:separator/>
      </w:r>
    </w:p>
  </w:footnote>
  <w:footnote w:type="continuationSeparator" w:id="0">
    <w:p w:rsidR="00000000" w:rsidRDefault="00856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61D4D"/>
    <w:multiLevelType w:val="hybridMultilevel"/>
    <w:tmpl w:val="8C32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966"/>
    <w:rsid w:val="0003285B"/>
    <w:rsid w:val="004E6966"/>
    <w:rsid w:val="00856D9D"/>
    <w:rsid w:val="00DE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541EA-0026-4D4C-AAA3-8C469436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66"/>
  </w:style>
  <w:style w:type="paragraph" w:styleId="Heading1">
    <w:name w:val="heading 1"/>
    <w:basedOn w:val="Normal"/>
    <w:next w:val="Normal"/>
    <w:link w:val="Heading1Char"/>
    <w:uiPriority w:val="9"/>
    <w:qFormat/>
    <w:rsid w:val="004E6966"/>
    <w:pPr>
      <w:keepNext/>
      <w:keepLines/>
      <w:spacing w:before="240" w:after="0"/>
      <w:outlineLvl w:val="0"/>
    </w:pPr>
    <w:rPr>
      <w:rFonts w:ascii="Arial" w:eastAsiaTheme="majorEastAsia" w:hAnsi="Arial" w:cstheme="majorBidi"/>
      <w:sz w:val="24"/>
      <w:szCs w:val="32"/>
    </w:rPr>
  </w:style>
  <w:style w:type="paragraph" w:styleId="Heading2">
    <w:name w:val="heading 2"/>
    <w:basedOn w:val="Normal"/>
    <w:next w:val="Normal"/>
    <w:link w:val="Heading2Char"/>
    <w:uiPriority w:val="9"/>
    <w:unhideWhenUsed/>
    <w:qFormat/>
    <w:rsid w:val="004E6966"/>
    <w:pPr>
      <w:keepNext/>
      <w:keepLines/>
      <w:spacing w:before="40" w:after="0"/>
      <w:outlineLvl w:val="1"/>
    </w:pPr>
    <w:rPr>
      <w:rFonts w:ascii="Arial" w:eastAsiaTheme="majorEastAsia" w:hAnsi="Arial"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966"/>
    <w:rPr>
      <w:rFonts w:ascii="Arial" w:eastAsiaTheme="majorEastAsia" w:hAnsi="Arial" w:cstheme="majorBidi"/>
      <w:sz w:val="24"/>
      <w:szCs w:val="32"/>
    </w:rPr>
  </w:style>
  <w:style w:type="character" w:customStyle="1" w:styleId="Heading2Char">
    <w:name w:val="Heading 2 Char"/>
    <w:basedOn w:val="DefaultParagraphFont"/>
    <w:link w:val="Heading2"/>
    <w:uiPriority w:val="9"/>
    <w:rsid w:val="004E6966"/>
    <w:rPr>
      <w:rFonts w:ascii="Arial" w:eastAsiaTheme="majorEastAsia" w:hAnsi="Arial" w:cstheme="majorBidi"/>
      <w:sz w:val="24"/>
      <w:szCs w:val="26"/>
    </w:rPr>
  </w:style>
  <w:style w:type="paragraph" w:styleId="ListParagraph">
    <w:name w:val="List Paragraph"/>
    <w:basedOn w:val="Normal"/>
    <w:link w:val="ListParagraphChar"/>
    <w:uiPriority w:val="34"/>
    <w:qFormat/>
    <w:rsid w:val="004E6966"/>
    <w:pPr>
      <w:ind w:left="720"/>
      <w:contextualSpacing/>
    </w:pPr>
  </w:style>
  <w:style w:type="character" w:customStyle="1" w:styleId="ListParagraphChar">
    <w:name w:val="List Paragraph Char"/>
    <w:basedOn w:val="DefaultParagraphFont"/>
    <w:link w:val="ListParagraph"/>
    <w:uiPriority w:val="34"/>
    <w:rsid w:val="004E6966"/>
  </w:style>
  <w:style w:type="table" w:styleId="TableGrid">
    <w:name w:val="Table Grid"/>
    <w:basedOn w:val="TableNormal"/>
    <w:uiPriority w:val="39"/>
    <w:rsid w:val="004E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6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966"/>
  </w:style>
  <w:style w:type="paragraph" w:customStyle="1" w:styleId="A-TableText">
    <w:name w:val="A-Table Text"/>
    <w:basedOn w:val="Normal"/>
    <w:rsid w:val="004E6966"/>
    <w:pPr>
      <w:spacing w:before="60" w:after="6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Manwaring, Anne-Marie</dc:creator>
  <cp:keywords/>
  <dc:description/>
  <cp:lastModifiedBy>Manwaring, Anne-Marie</cp:lastModifiedBy>
  <cp:revision>2</cp:revision>
  <dcterms:created xsi:type="dcterms:W3CDTF">2019-08-19T17:11:00Z</dcterms:created>
  <dcterms:modified xsi:type="dcterms:W3CDTF">2019-08-19T17:11:00Z</dcterms:modified>
</cp:coreProperties>
</file>