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1B479" w14:textId="77777777" w:rsidR="00106E23" w:rsidRPr="00746CD1" w:rsidRDefault="0017786D" w:rsidP="00E93220">
      <w:pPr>
        <w:spacing w:line="480" w:lineRule="auto"/>
        <w:contextualSpacing/>
        <w:jc w:val="both"/>
        <w:rPr>
          <w:b/>
          <w:sz w:val="24"/>
          <w:szCs w:val="24"/>
        </w:rPr>
      </w:pPr>
      <w:bookmarkStart w:id="0" w:name="page1"/>
      <w:bookmarkEnd w:id="0"/>
      <w:r w:rsidRPr="00746CD1">
        <w:rPr>
          <w:rFonts w:eastAsia="Calibri"/>
          <w:b/>
          <w:sz w:val="24"/>
          <w:szCs w:val="24"/>
        </w:rPr>
        <w:t>Supplemental Information</w:t>
      </w:r>
    </w:p>
    <w:p w14:paraId="07353C0F" w14:textId="77777777" w:rsidR="00106E23" w:rsidRPr="00E93220" w:rsidRDefault="00106E23" w:rsidP="00E93220">
      <w:pPr>
        <w:spacing w:line="480" w:lineRule="auto"/>
        <w:contextualSpacing/>
        <w:jc w:val="both"/>
        <w:rPr>
          <w:sz w:val="24"/>
          <w:szCs w:val="24"/>
        </w:rPr>
      </w:pPr>
    </w:p>
    <w:p w14:paraId="204DC479" w14:textId="77777777" w:rsidR="00106E23" w:rsidRPr="00E93220" w:rsidRDefault="0017786D" w:rsidP="00E93220">
      <w:pPr>
        <w:spacing w:line="480" w:lineRule="auto"/>
        <w:contextualSpacing/>
        <w:jc w:val="both"/>
        <w:rPr>
          <w:sz w:val="24"/>
          <w:szCs w:val="24"/>
        </w:rPr>
      </w:pPr>
      <w:r w:rsidRPr="00E93220">
        <w:rPr>
          <w:rFonts w:eastAsia="Calibri"/>
          <w:b/>
          <w:bCs/>
          <w:sz w:val="24"/>
          <w:szCs w:val="24"/>
        </w:rPr>
        <w:t>Integrated genomic and functional microRNA analysis identifies decreased miR-30-5p as a</w:t>
      </w:r>
      <w:r w:rsidR="00357220" w:rsidRPr="00E93220">
        <w:rPr>
          <w:sz w:val="24"/>
          <w:szCs w:val="24"/>
        </w:rPr>
        <w:t xml:space="preserve"> </w:t>
      </w:r>
      <w:r w:rsidRPr="00E93220">
        <w:rPr>
          <w:rFonts w:eastAsia="Calibri"/>
          <w:b/>
          <w:bCs/>
          <w:sz w:val="24"/>
          <w:szCs w:val="24"/>
        </w:rPr>
        <w:t>tumor suppressor and potential therapeutic nanomedicine in head and neck cancer</w:t>
      </w:r>
    </w:p>
    <w:p w14:paraId="0D0209DE" w14:textId="77777777" w:rsidR="00357220" w:rsidRPr="00E93220" w:rsidRDefault="00357220" w:rsidP="00E93220">
      <w:pPr>
        <w:spacing w:line="480" w:lineRule="auto"/>
        <w:contextualSpacing/>
        <w:jc w:val="both"/>
        <w:rPr>
          <w:sz w:val="24"/>
          <w:szCs w:val="24"/>
        </w:rPr>
      </w:pPr>
    </w:p>
    <w:p w14:paraId="7EF24089" w14:textId="77777777" w:rsidR="008370E4" w:rsidRPr="00627C94" w:rsidRDefault="008370E4" w:rsidP="008370E4">
      <w:pPr>
        <w:spacing w:line="480" w:lineRule="auto"/>
        <w:contextualSpacing/>
        <w:jc w:val="both"/>
        <w:rPr>
          <w:sz w:val="24"/>
          <w:szCs w:val="24"/>
        </w:rPr>
      </w:pPr>
      <w:r w:rsidRPr="00627C94">
        <w:rPr>
          <w:sz w:val="24"/>
          <w:szCs w:val="24"/>
        </w:rPr>
        <w:t>Anthony D. Saleh</w:t>
      </w:r>
      <w:r w:rsidRPr="00627C94">
        <w:rPr>
          <w:sz w:val="24"/>
          <w:szCs w:val="24"/>
          <w:vertAlign w:val="superscript"/>
        </w:rPr>
        <w:t>1,2</w:t>
      </w:r>
      <w:r w:rsidRPr="00627C94">
        <w:rPr>
          <w:sz w:val="24"/>
          <w:szCs w:val="24"/>
        </w:rPr>
        <w:t>, Hui Cheng</w:t>
      </w:r>
      <w:r w:rsidRPr="00627C94">
        <w:rPr>
          <w:sz w:val="24"/>
          <w:szCs w:val="24"/>
          <w:vertAlign w:val="superscript"/>
        </w:rPr>
        <w:t>1</w:t>
      </w:r>
      <w:r w:rsidRPr="00627C94">
        <w:rPr>
          <w:sz w:val="24"/>
          <w:szCs w:val="24"/>
        </w:rPr>
        <w:t>, Scott E. Martin</w:t>
      </w:r>
      <w:r w:rsidRPr="00627C94">
        <w:rPr>
          <w:sz w:val="24"/>
          <w:szCs w:val="24"/>
          <w:vertAlign w:val="superscript"/>
        </w:rPr>
        <w:t>3</w:t>
      </w:r>
      <w:r w:rsidRPr="00627C94">
        <w:rPr>
          <w:sz w:val="24"/>
          <w:szCs w:val="24"/>
        </w:rPr>
        <w:t>, Han Si</w:t>
      </w:r>
      <w:r w:rsidRPr="00627C94">
        <w:rPr>
          <w:sz w:val="24"/>
          <w:szCs w:val="24"/>
          <w:vertAlign w:val="superscript"/>
        </w:rPr>
        <w:t>4</w:t>
      </w:r>
      <w:r w:rsidRPr="00627C94">
        <w:rPr>
          <w:sz w:val="24"/>
          <w:szCs w:val="24"/>
        </w:rPr>
        <w:t>,</w:t>
      </w:r>
      <w:r w:rsidRPr="00627C94">
        <w:rPr>
          <w:rFonts w:eastAsia="Times New Roman"/>
          <w:noProof/>
          <w:sz w:val="24"/>
          <w:szCs w:val="24"/>
        </w:rPr>
        <w:drawing>
          <wp:inline distT="0" distB="0" distL="0" distR="0" wp14:anchorId="2EA2C0B5" wp14:editId="34C799D3">
            <wp:extent cx="7620" cy="7620"/>
            <wp:effectExtent l="0" t="0" r="0" b="0"/>
            <wp:docPr id="1" name="Picture 1" descr="https://mail.nih.gov/owa/14.3.235.1/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sndrJb&quot;" descr="https://mail.nih.gov/owa/14.3.235.1/themes/resources/clear1x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27C94">
        <w:rPr>
          <w:rFonts w:eastAsia="Times New Roman"/>
          <w:sz w:val="24"/>
          <w:szCs w:val="24"/>
        </w:rPr>
        <w:t xml:space="preserve"> Pinar Ormanoglu</w:t>
      </w:r>
      <w:r w:rsidRPr="00627C94">
        <w:rPr>
          <w:rFonts w:eastAsia="Times New Roman"/>
          <w:sz w:val="24"/>
          <w:szCs w:val="24"/>
          <w:vertAlign w:val="superscript"/>
        </w:rPr>
        <w:t>3</w:t>
      </w:r>
      <w:r w:rsidRPr="00627C94">
        <w:rPr>
          <w:sz w:val="24"/>
          <w:szCs w:val="24"/>
        </w:rPr>
        <w:t>, Sophie Carlson</w:t>
      </w:r>
      <w:r w:rsidRPr="00627C94">
        <w:rPr>
          <w:sz w:val="24"/>
          <w:szCs w:val="24"/>
          <w:vertAlign w:val="superscript"/>
        </w:rPr>
        <w:t>1</w:t>
      </w:r>
      <w:r w:rsidRPr="00627C94">
        <w:rPr>
          <w:sz w:val="24"/>
          <w:szCs w:val="24"/>
        </w:rPr>
        <w:t>, Paul E. Clavijo</w:t>
      </w:r>
      <w:r w:rsidRPr="00627C94">
        <w:rPr>
          <w:sz w:val="24"/>
          <w:szCs w:val="24"/>
          <w:vertAlign w:val="superscript"/>
        </w:rPr>
        <w:t>1</w:t>
      </w:r>
      <w:r w:rsidRPr="00627C94">
        <w:rPr>
          <w:sz w:val="24"/>
          <w:szCs w:val="24"/>
        </w:rPr>
        <w:t>, Xinping Yang</w:t>
      </w:r>
      <w:r w:rsidRPr="00627C94">
        <w:rPr>
          <w:sz w:val="24"/>
          <w:szCs w:val="24"/>
          <w:vertAlign w:val="superscript"/>
        </w:rPr>
        <w:t>1</w:t>
      </w:r>
      <w:r w:rsidRPr="00627C94">
        <w:rPr>
          <w:sz w:val="24"/>
          <w:szCs w:val="24"/>
        </w:rPr>
        <w:t>, Rita Das</w:t>
      </w:r>
      <w:r w:rsidRPr="00627C94">
        <w:rPr>
          <w:sz w:val="24"/>
          <w:szCs w:val="24"/>
          <w:vertAlign w:val="superscript"/>
        </w:rPr>
        <w:t>1</w:t>
      </w:r>
      <w:r w:rsidRPr="00627C94">
        <w:rPr>
          <w:sz w:val="24"/>
          <w:szCs w:val="24"/>
        </w:rPr>
        <w:t>, Shaleeka Cornelius</w:t>
      </w:r>
      <w:r w:rsidRPr="00627C94">
        <w:rPr>
          <w:sz w:val="24"/>
          <w:szCs w:val="24"/>
          <w:vertAlign w:val="superscript"/>
        </w:rPr>
        <w:t>1</w:t>
      </w:r>
      <w:r w:rsidRPr="00627C94">
        <w:rPr>
          <w:sz w:val="24"/>
          <w:szCs w:val="24"/>
        </w:rPr>
        <w:t>, Jamie Couper</w:t>
      </w:r>
      <w:r w:rsidRPr="00627C94">
        <w:rPr>
          <w:sz w:val="24"/>
          <w:szCs w:val="24"/>
          <w:vertAlign w:val="superscript"/>
        </w:rPr>
        <w:t>1</w:t>
      </w:r>
      <w:r w:rsidRPr="00627C94">
        <w:rPr>
          <w:sz w:val="24"/>
          <w:szCs w:val="24"/>
        </w:rPr>
        <w:t>, Douglas Chepeha</w:t>
      </w:r>
      <w:r w:rsidRPr="00627C94">
        <w:rPr>
          <w:sz w:val="24"/>
          <w:szCs w:val="24"/>
          <w:vertAlign w:val="superscript"/>
        </w:rPr>
        <w:t>5</w:t>
      </w:r>
      <w:r w:rsidRPr="00627C94">
        <w:rPr>
          <w:sz w:val="24"/>
          <w:szCs w:val="24"/>
        </w:rPr>
        <w:t>, Ludmila Danilova</w:t>
      </w:r>
      <w:r w:rsidRPr="00627C94">
        <w:rPr>
          <w:sz w:val="24"/>
          <w:szCs w:val="24"/>
          <w:vertAlign w:val="superscript"/>
        </w:rPr>
        <w:t>6,7</w:t>
      </w:r>
      <w:r w:rsidRPr="00627C94">
        <w:rPr>
          <w:sz w:val="24"/>
          <w:szCs w:val="24"/>
        </w:rPr>
        <w:t>, Thomas M. Harris</w:t>
      </w:r>
      <w:r w:rsidRPr="00627C94">
        <w:rPr>
          <w:sz w:val="24"/>
          <w:szCs w:val="24"/>
          <w:vertAlign w:val="superscript"/>
        </w:rPr>
        <w:t>8</w:t>
      </w:r>
      <w:r w:rsidRPr="00627C94">
        <w:rPr>
          <w:sz w:val="24"/>
          <w:szCs w:val="24"/>
        </w:rPr>
        <w:t>, Michael B. Prystowsky</w:t>
      </w:r>
      <w:r w:rsidRPr="00627C94">
        <w:rPr>
          <w:sz w:val="24"/>
          <w:szCs w:val="24"/>
          <w:vertAlign w:val="superscript"/>
        </w:rPr>
        <w:t>8</w:t>
      </w:r>
      <w:r w:rsidRPr="00627C94">
        <w:rPr>
          <w:sz w:val="24"/>
          <w:szCs w:val="24"/>
        </w:rPr>
        <w:t>, Geoffrey J. Childs</w:t>
      </w:r>
      <w:r w:rsidRPr="00627C94">
        <w:rPr>
          <w:sz w:val="24"/>
          <w:szCs w:val="24"/>
          <w:vertAlign w:val="superscript"/>
        </w:rPr>
        <w:t>8</w:t>
      </w:r>
      <w:r w:rsidRPr="00627C94">
        <w:rPr>
          <w:sz w:val="24"/>
          <w:szCs w:val="24"/>
        </w:rPr>
        <w:t>, Richard V. Smith</w:t>
      </w:r>
      <w:r w:rsidRPr="00627C94">
        <w:rPr>
          <w:sz w:val="24"/>
          <w:szCs w:val="24"/>
          <w:vertAlign w:val="superscript"/>
        </w:rPr>
        <w:t>9</w:t>
      </w:r>
      <w:r w:rsidRPr="00627C94">
        <w:rPr>
          <w:sz w:val="24"/>
          <w:szCs w:val="24"/>
        </w:rPr>
        <w:t xml:space="preserve">, </w:t>
      </w:r>
      <w:r w:rsidRPr="00627C94">
        <w:rPr>
          <w:rFonts w:eastAsia="Times New Roman"/>
          <w:sz w:val="24"/>
          <w:szCs w:val="24"/>
        </w:rPr>
        <w:t>A. Gordon Robertson</w:t>
      </w:r>
      <w:r w:rsidRPr="00627C94">
        <w:rPr>
          <w:rFonts w:eastAsia="Times New Roman"/>
          <w:sz w:val="24"/>
          <w:szCs w:val="24"/>
          <w:vertAlign w:val="superscript"/>
        </w:rPr>
        <w:t>10</w:t>
      </w:r>
      <w:r w:rsidRPr="00627C94">
        <w:rPr>
          <w:rFonts w:eastAsia="Times New Roman"/>
          <w:sz w:val="24"/>
          <w:szCs w:val="24"/>
        </w:rPr>
        <w:t>, Steven J. M. Jones</w:t>
      </w:r>
      <w:r w:rsidRPr="00627C94">
        <w:rPr>
          <w:rFonts w:eastAsia="Times New Roman"/>
          <w:sz w:val="24"/>
          <w:szCs w:val="24"/>
          <w:vertAlign w:val="superscript"/>
        </w:rPr>
        <w:t>10</w:t>
      </w:r>
      <w:r w:rsidRPr="00627C94">
        <w:rPr>
          <w:rFonts w:eastAsia="Times New Roman"/>
          <w:sz w:val="24"/>
          <w:szCs w:val="24"/>
        </w:rPr>
        <w:t>, Andrew D. Cherniack</w:t>
      </w:r>
      <w:r w:rsidRPr="00627C94">
        <w:rPr>
          <w:rFonts w:eastAsia="Times New Roman"/>
          <w:sz w:val="24"/>
          <w:szCs w:val="24"/>
          <w:vertAlign w:val="superscript"/>
        </w:rPr>
        <w:t>11</w:t>
      </w:r>
      <w:r w:rsidRPr="00627C94">
        <w:rPr>
          <w:rFonts w:eastAsia="Times New Roman"/>
          <w:sz w:val="24"/>
          <w:szCs w:val="24"/>
        </w:rPr>
        <w:t>,</w:t>
      </w:r>
      <w:r w:rsidRPr="00627C94">
        <w:rPr>
          <w:sz w:val="24"/>
          <w:szCs w:val="24"/>
        </w:rPr>
        <w:t xml:space="preserve"> Sang S. Kim</w:t>
      </w:r>
      <w:r w:rsidRPr="00627C94">
        <w:rPr>
          <w:sz w:val="24"/>
          <w:szCs w:val="24"/>
          <w:vertAlign w:val="superscript"/>
        </w:rPr>
        <w:t>12</w:t>
      </w:r>
      <w:r w:rsidRPr="00627C94">
        <w:rPr>
          <w:sz w:val="24"/>
          <w:szCs w:val="24"/>
        </w:rPr>
        <w:t>, Antonina Rait</w:t>
      </w:r>
      <w:r w:rsidRPr="00627C94">
        <w:rPr>
          <w:sz w:val="24"/>
          <w:szCs w:val="24"/>
          <w:vertAlign w:val="superscript"/>
        </w:rPr>
        <w:t>12</w:t>
      </w:r>
      <w:r w:rsidRPr="00627C94">
        <w:rPr>
          <w:sz w:val="24"/>
          <w:szCs w:val="24"/>
        </w:rPr>
        <w:t>, Kathleen F. Pirollo</w:t>
      </w:r>
      <w:r w:rsidRPr="00627C94">
        <w:rPr>
          <w:sz w:val="24"/>
          <w:szCs w:val="24"/>
          <w:vertAlign w:val="superscript"/>
        </w:rPr>
        <w:t>12</w:t>
      </w:r>
      <w:r w:rsidRPr="00627C94">
        <w:rPr>
          <w:sz w:val="24"/>
          <w:szCs w:val="24"/>
        </w:rPr>
        <w:t>, Esther H. Chang</w:t>
      </w:r>
      <w:r w:rsidRPr="00627C94">
        <w:rPr>
          <w:sz w:val="24"/>
          <w:szCs w:val="24"/>
          <w:vertAlign w:val="superscript"/>
        </w:rPr>
        <w:t>12</w:t>
      </w:r>
      <w:r w:rsidRPr="00627C94">
        <w:rPr>
          <w:sz w:val="24"/>
          <w:szCs w:val="24"/>
        </w:rPr>
        <w:t>, Zhong Chen</w:t>
      </w:r>
      <w:r w:rsidRPr="00627C94">
        <w:rPr>
          <w:sz w:val="24"/>
          <w:szCs w:val="24"/>
          <w:vertAlign w:val="superscript"/>
        </w:rPr>
        <w:t>1*</w:t>
      </w:r>
      <w:r w:rsidRPr="00627C94">
        <w:rPr>
          <w:sz w:val="24"/>
          <w:szCs w:val="24"/>
        </w:rPr>
        <w:t>, and Carter V</w:t>
      </w:r>
      <w:r>
        <w:rPr>
          <w:sz w:val="24"/>
          <w:szCs w:val="24"/>
        </w:rPr>
        <w:t>an</w:t>
      </w:r>
      <w:r w:rsidRPr="00627C94">
        <w:rPr>
          <w:sz w:val="24"/>
          <w:szCs w:val="24"/>
        </w:rPr>
        <w:t xml:space="preserve"> Waes</w:t>
      </w:r>
      <w:r w:rsidRPr="00627C94">
        <w:rPr>
          <w:sz w:val="24"/>
          <w:szCs w:val="24"/>
          <w:vertAlign w:val="superscript"/>
        </w:rPr>
        <w:t>1*</w:t>
      </w:r>
    </w:p>
    <w:p w14:paraId="20E6F675" w14:textId="629140CC" w:rsidR="00E93220" w:rsidRDefault="00E93220">
      <w:pPr>
        <w:rPr>
          <w:rFonts w:eastAsia="Calibri"/>
          <w:sz w:val="24"/>
          <w:szCs w:val="24"/>
        </w:rPr>
      </w:pPr>
      <w:bookmarkStart w:id="1" w:name="page3"/>
      <w:bookmarkEnd w:id="1"/>
    </w:p>
    <w:p w14:paraId="0FAFC9CC" w14:textId="77777777" w:rsidR="008370E4" w:rsidRDefault="008370E4" w:rsidP="008370E4">
      <w:pPr>
        <w:spacing w:line="480" w:lineRule="auto"/>
        <w:contextualSpacing/>
        <w:jc w:val="both"/>
        <w:rPr>
          <w:rFonts w:eastAsia="Calibri"/>
          <w:b/>
          <w:bCs/>
          <w:sz w:val="24"/>
          <w:szCs w:val="24"/>
        </w:rPr>
      </w:pPr>
    </w:p>
    <w:p w14:paraId="4CBAF32D" w14:textId="5719B133" w:rsidR="008370E4" w:rsidRPr="00E93220" w:rsidRDefault="008370E4" w:rsidP="008370E4">
      <w:pPr>
        <w:spacing w:line="480" w:lineRule="auto"/>
        <w:contextualSpacing/>
        <w:jc w:val="both"/>
        <w:rPr>
          <w:sz w:val="24"/>
          <w:szCs w:val="24"/>
        </w:rPr>
      </w:pPr>
      <w:r w:rsidRPr="00E93220">
        <w:rPr>
          <w:rFonts w:eastAsia="Calibri"/>
          <w:b/>
          <w:bCs/>
          <w:sz w:val="24"/>
          <w:szCs w:val="24"/>
        </w:rPr>
        <w:t xml:space="preserve">Supplementary </w:t>
      </w:r>
      <w:r>
        <w:rPr>
          <w:rFonts w:eastAsia="Calibri"/>
          <w:b/>
          <w:bCs/>
          <w:sz w:val="24"/>
          <w:szCs w:val="24"/>
        </w:rPr>
        <w:t>M</w:t>
      </w:r>
      <w:r w:rsidRPr="00E93220">
        <w:rPr>
          <w:rFonts w:eastAsia="Calibri"/>
          <w:b/>
          <w:bCs/>
          <w:sz w:val="24"/>
          <w:szCs w:val="24"/>
        </w:rPr>
        <w:t>ethods</w:t>
      </w:r>
    </w:p>
    <w:p w14:paraId="3B0FE914" w14:textId="77777777" w:rsidR="008370E4" w:rsidRPr="00E93220" w:rsidRDefault="008370E4" w:rsidP="008370E4">
      <w:pPr>
        <w:spacing w:line="480" w:lineRule="auto"/>
        <w:contextualSpacing/>
        <w:jc w:val="both"/>
        <w:rPr>
          <w:sz w:val="24"/>
          <w:szCs w:val="24"/>
        </w:rPr>
      </w:pPr>
    </w:p>
    <w:p w14:paraId="6C6D7509" w14:textId="77777777" w:rsidR="008370E4" w:rsidRPr="00E93220" w:rsidRDefault="008370E4" w:rsidP="008370E4">
      <w:pPr>
        <w:spacing w:line="480" w:lineRule="auto"/>
        <w:contextualSpacing/>
        <w:jc w:val="both"/>
        <w:rPr>
          <w:sz w:val="24"/>
          <w:szCs w:val="24"/>
        </w:rPr>
      </w:pPr>
      <w:r w:rsidRPr="00F76263">
        <w:rPr>
          <w:rFonts w:eastAsia="Calibri"/>
          <w:b/>
          <w:bCs/>
          <w:i/>
          <w:sz w:val="24"/>
          <w:szCs w:val="24"/>
        </w:rPr>
        <w:t>microRNA Isolation, Library Preparation and Sequencing from HNSCC Samples</w:t>
      </w:r>
    </w:p>
    <w:p w14:paraId="3E2FD321" w14:textId="77777777" w:rsidR="008370E4" w:rsidRPr="00E93220" w:rsidRDefault="008370E4" w:rsidP="008370E4">
      <w:pPr>
        <w:spacing w:line="480" w:lineRule="auto"/>
        <w:contextualSpacing/>
        <w:jc w:val="both"/>
        <w:rPr>
          <w:sz w:val="24"/>
          <w:szCs w:val="24"/>
        </w:rPr>
      </w:pPr>
      <w:r w:rsidRPr="00E93220">
        <w:rPr>
          <w:rFonts w:eastAsia="Calibri"/>
          <w:sz w:val="24"/>
          <w:szCs w:val="24"/>
        </w:rPr>
        <w:t xml:space="preserve">Large and small RNA were purified using a </w:t>
      </w:r>
      <w:proofErr w:type="spellStart"/>
      <w:r w:rsidRPr="00E93220">
        <w:rPr>
          <w:rFonts w:eastAsia="Calibri"/>
          <w:sz w:val="24"/>
          <w:szCs w:val="24"/>
        </w:rPr>
        <w:t>mirVana</w:t>
      </w:r>
      <w:proofErr w:type="spellEnd"/>
      <w:r w:rsidRPr="00E93220">
        <w:rPr>
          <w:rFonts w:eastAsia="Calibri"/>
          <w:sz w:val="24"/>
          <w:szCs w:val="24"/>
        </w:rPr>
        <w:t xml:space="preserve"> miRNA isolation Kit (Life Technologies) following a modified manufacturer’s protocol. Twenty-five mg of frozen tissue was homogenized in 1 mL of </w:t>
      </w:r>
      <w:proofErr w:type="spellStart"/>
      <w:r w:rsidRPr="00E93220">
        <w:rPr>
          <w:rFonts w:eastAsia="Calibri"/>
          <w:sz w:val="24"/>
          <w:szCs w:val="24"/>
        </w:rPr>
        <w:t>trizol</w:t>
      </w:r>
      <w:proofErr w:type="spellEnd"/>
      <w:r w:rsidRPr="00E93220">
        <w:rPr>
          <w:rFonts w:eastAsia="Calibri"/>
          <w:sz w:val="24"/>
          <w:szCs w:val="24"/>
        </w:rPr>
        <w:t xml:space="preserve"> (Invitrogen) using a </w:t>
      </w:r>
      <w:proofErr w:type="spellStart"/>
      <w:r w:rsidRPr="00E93220">
        <w:rPr>
          <w:rFonts w:eastAsia="Calibri"/>
          <w:sz w:val="24"/>
          <w:szCs w:val="24"/>
        </w:rPr>
        <w:t>TissueLyser</w:t>
      </w:r>
      <w:proofErr w:type="spellEnd"/>
      <w:r w:rsidRPr="00E93220">
        <w:rPr>
          <w:rFonts w:eastAsia="Calibri"/>
          <w:sz w:val="24"/>
          <w:szCs w:val="24"/>
        </w:rPr>
        <w:t xml:space="preserve"> II (Qiagen). Following homogenization, extraction was performed using a standard phenol-chloroform method. To the extracted aqueous phase, 10% of volume of homogenate additive was added and then the standard manufacturer’s protocol for fractionating large and small RNA was performed. RNA concentration was determined using a Nanodrop spectrometer (Thermo Scientific), and total RNA integrity was verified on a Bioanalyzer 2100 instrument using an RNA 6000 Nano kit (Agilent Technologies). </w:t>
      </w:r>
      <w:r w:rsidRPr="00E93220">
        <w:rPr>
          <w:rFonts w:eastAsia="Calibri"/>
          <w:sz w:val="24"/>
          <w:szCs w:val="24"/>
        </w:rPr>
        <w:lastRenderedPageBreak/>
        <w:t>Sufficient presence of microRNA in small RNA enriched samples was verified by the Bioanalyzer using the small RNA kit (Agilent Technologies).</w:t>
      </w:r>
    </w:p>
    <w:p w14:paraId="4BC37261" w14:textId="77777777" w:rsidR="008370E4" w:rsidRPr="00E93220" w:rsidRDefault="008370E4" w:rsidP="008370E4">
      <w:pPr>
        <w:spacing w:line="480" w:lineRule="auto"/>
        <w:ind w:firstLine="720"/>
        <w:contextualSpacing/>
        <w:jc w:val="both"/>
        <w:rPr>
          <w:sz w:val="24"/>
          <w:szCs w:val="24"/>
        </w:rPr>
      </w:pPr>
      <w:r w:rsidRPr="00E93220">
        <w:rPr>
          <w:rFonts w:eastAsia="Calibri"/>
          <w:sz w:val="24"/>
          <w:szCs w:val="24"/>
        </w:rPr>
        <w:t xml:space="preserve">Small RNA sequencing libraries were constructed using the </w:t>
      </w:r>
      <w:proofErr w:type="spellStart"/>
      <w:r w:rsidRPr="00E93220">
        <w:rPr>
          <w:rFonts w:eastAsia="Calibri"/>
          <w:sz w:val="24"/>
          <w:szCs w:val="24"/>
        </w:rPr>
        <w:t>SOLiD</w:t>
      </w:r>
      <w:proofErr w:type="spellEnd"/>
      <w:r w:rsidRPr="00E93220">
        <w:rPr>
          <w:rFonts w:eastAsia="Calibri"/>
          <w:sz w:val="24"/>
          <w:szCs w:val="24"/>
        </w:rPr>
        <w:t>™ Total RNA-Seq Kit (Life</w:t>
      </w:r>
      <w:r>
        <w:rPr>
          <w:rFonts w:eastAsia="Calibri"/>
          <w:sz w:val="24"/>
          <w:szCs w:val="24"/>
        </w:rPr>
        <w:t xml:space="preserve"> </w:t>
      </w:r>
      <w:r w:rsidRPr="00E93220">
        <w:rPr>
          <w:rFonts w:eastAsia="Calibri"/>
          <w:sz w:val="24"/>
          <w:szCs w:val="24"/>
        </w:rPr>
        <w:t xml:space="preserve">Technologies) by manufacturer’s protocol 4452437 Rev B. Briefly, 1 ug of enriched small RNA (&lt;200 bases) was used for ligation into sequencing adaptors. cDNA libraries were reverse transcribed and then size selected by separation on denaturing urea 10% PAGE. Bands were excised that correspond to an insert size of 18-38 nucleotides. The library was then amplified and barcoded by in-gel PCR. Library construct size was verified using the DNA 1000 kit on the Bioanalyzer 2100. cDNA library concentration was determined by RT-PCR by the </w:t>
      </w:r>
      <w:proofErr w:type="spellStart"/>
      <w:r w:rsidRPr="00E93220">
        <w:rPr>
          <w:rFonts w:eastAsia="Calibri"/>
          <w:sz w:val="24"/>
          <w:szCs w:val="24"/>
        </w:rPr>
        <w:t>SOLiD</w:t>
      </w:r>
      <w:proofErr w:type="spellEnd"/>
      <w:r w:rsidRPr="00E93220">
        <w:rPr>
          <w:rFonts w:eastAsia="Calibri"/>
          <w:sz w:val="24"/>
          <w:szCs w:val="24"/>
        </w:rPr>
        <w:t>™ library</w:t>
      </w:r>
      <w:r>
        <w:rPr>
          <w:rFonts w:eastAsia="Calibri"/>
          <w:sz w:val="24"/>
          <w:szCs w:val="24"/>
        </w:rPr>
        <w:t xml:space="preserve"> </w:t>
      </w:r>
      <w:r w:rsidRPr="00E93220">
        <w:rPr>
          <w:rFonts w:eastAsia="Calibri"/>
          <w:sz w:val="24"/>
          <w:szCs w:val="24"/>
        </w:rPr>
        <w:t>TaqMan® quantification kit. Equal parts of eight cDNA libraries were multiplexed together and</w:t>
      </w:r>
      <w:r>
        <w:rPr>
          <w:rFonts w:eastAsia="Calibri"/>
          <w:sz w:val="24"/>
          <w:szCs w:val="24"/>
        </w:rPr>
        <w:t xml:space="preserve"> </w:t>
      </w:r>
      <w:r w:rsidRPr="00E93220">
        <w:rPr>
          <w:rFonts w:eastAsia="Calibri"/>
          <w:sz w:val="24"/>
          <w:szCs w:val="24"/>
        </w:rPr>
        <w:t xml:space="preserve">0.6 </w:t>
      </w:r>
      <w:proofErr w:type="spellStart"/>
      <w:r w:rsidRPr="00E93220">
        <w:rPr>
          <w:rFonts w:eastAsia="Calibri"/>
          <w:sz w:val="24"/>
          <w:szCs w:val="24"/>
        </w:rPr>
        <w:t>pmol</w:t>
      </w:r>
      <w:proofErr w:type="spellEnd"/>
      <w:r w:rsidRPr="00E93220">
        <w:rPr>
          <w:rFonts w:eastAsia="Calibri"/>
          <w:sz w:val="24"/>
          <w:szCs w:val="24"/>
        </w:rPr>
        <w:t xml:space="preserve"> of the multiplexed pool was used for emulsion PCR using the </w:t>
      </w:r>
      <w:proofErr w:type="spellStart"/>
      <w:r w:rsidRPr="00E93220">
        <w:rPr>
          <w:rFonts w:eastAsia="Calibri"/>
          <w:sz w:val="24"/>
          <w:szCs w:val="24"/>
        </w:rPr>
        <w:t>SOLiD</w:t>
      </w:r>
      <w:proofErr w:type="spellEnd"/>
      <w:r w:rsidRPr="00E93220">
        <w:rPr>
          <w:rFonts w:eastAsia="Calibri"/>
          <w:sz w:val="24"/>
          <w:szCs w:val="24"/>
        </w:rPr>
        <w:t xml:space="preserve">™ EZ </w:t>
      </w:r>
      <w:proofErr w:type="spellStart"/>
      <w:r w:rsidRPr="00E93220">
        <w:rPr>
          <w:rFonts w:eastAsia="Calibri"/>
          <w:sz w:val="24"/>
          <w:szCs w:val="24"/>
        </w:rPr>
        <w:t>Bead</w:t>
      </w:r>
      <w:r w:rsidRPr="00E93220">
        <w:rPr>
          <w:rFonts w:eastAsia="Calibri"/>
          <w:sz w:val="24"/>
          <w:szCs w:val="24"/>
          <w:vertAlign w:val="superscript"/>
        </w:rPr>
        <w:t>TM</w:t>
      </w:r>
      <w:proofErr w:type="spellEnd"/>
      <w:r w:rsidRPr="00E93220">
        <w:rPr>
          <w:rFonts w:eastAsia="Calibri"/>
          <w:sz w:val="24"/>
          <w:szCs w:val="24"/>
        </w:rPr>
        <w:t xml:space="preserve"> system</w:t>
      </w:r>
      <w:r w:rsidRPr="00E93220">
        <w:rPr>
          <w:sz w:val="24"/>
          <w:szCs w:val="24"/>
        </w:rPr>
        <w:t>.</w:t>
      </w:r>
      <w:bookmarkStart w:id="2" w:name="page6"/>
      <w:bookmarkEnd w:id="2"/>
      <w:r w:rsidRPr="00E93220">
        <w:rPr>
          <w:sz w:val="24"/>
          <w:szCs w:val="24"/>
        </w:rPr>
        <w:t xml:space="preserve"> </w:t>
      </w:r>
      <w:r w:rsidRPr="00E93220">
        <w:rPr>
          <w:rFonts w:eastAsia="Calibri"/>
          <w:sz w:val="24"/>
          <w:szCs w:val="24"/>
        </w:rPr>
        <w:t xml:space="preserve">E20 reagents. Emulsification was carried out using manufacturer’s protocol 4441486 Rev. E. Amplification was carried out using manufacturer’s protocol 4443494 Rev. E. Bead enrichment was carried out using manufacturer’s protocol 4443496 Rev. E. Enriched beads for each pool were 3’ labeled using the </w:t>
      </w:r>
      <w:proofErr w:type="spellStart"/>
      <w:r w:rsidRPr="00E93220">
        <w:rPr>
          <w:rFonts w:eastAsia="Calibri"/>
          <w:sz w:val="24"/>
          <w:szCs w:val="24"/>
        </w:rPr>
        <w:t>SOLiD</w:t>
      </w:r>
      <w:proofErr w:type="spellEnd"/>
      <w:r w:rsidRPr="00E93220">
        <w:rPr>
          <w:rFonts w:eastAsia="Calibri"/>
          <w:sz w:val="24"/>
          <w:szCs w:val="24"/>
        </w:rPr>
        <w:t>™ pre-deposition plus kit and manufacturer’s protocol 4443496</w:t>
      </w:r>
      <w:r w:rsidRPr="00E93220">
        <w:rPr>
          <w:sz w:val="24"/>
          <w:szCs w:val="24"/>
        </w:rPr>
        <w:t xml:space="preserve"> </w:t>
      </w:r>
      <w:r w:rsidRPr="00E93220">
        <w:rPr>
          <w:rFonts w:eastAsia="Calibri"/>
          <w:sz w:val="24"/>
          <w:szCs w:val="24"/>
        </w:rPr>
        <w:t>Rev. E</w:t>
      </w:r>
      <w:r w:rsidRPr="00E93220">
        <w:rPr>
          <w:rFonts w:eastAsia="Cambria"/>
          <w:sz w:val="24"/>
          <w:szCs w:val="24"/>
        </w:rPr>
        <w:t>.</w:t>
      </w:r>
      <w:r w:rsidRPr="00E93220">
        <w:rPr>
          <w:rFonts w:eastAsia="Calibri"/>
          <w:sz w:val="24"/>
          <w:szCs w:val="24"/>
        </w:rPr>
        <w:t xml:space="preserve"> 4 x 10</w:t>
      </w:r>
      <w:r w:rsidRPr="00E93220">
        <w:rPr>
          <w:rFonts w:eastAsia="Calibri"/>
          <w:sz w:val="24"/>
          <w:szCs w:val="24"/>
          <w:vertAlign w:val="superscript"/>
        </w:rPr>
        <w:t>8</w:t>
      </w:r>
      <w:r w:rsidRPr="00E93220">
        <w:rPr>
          <w:rFonts w:eastAsia="Calibri"/>
          <w:sz w:val="24"/>
          <w:szCs w:val="24"/>
        </w:rPr>
        <w:t xml:space="preserve"> beads were deposited per lane of a 6-lane flow chip, and sequencing was performed on the </w:t>
      </w:r>
      <w:proofErr w:type="spellStart"/>
      <w:r w:rsidRPr="00E93220">
        <w:rPr>
          <w:rFonts w:eastAsia="Calibri"/>
          <w:sz w:val="24"/>
          <w:szCs w:val="24"/>
        </w:rPr>
        <w:t>SOLiD</w:t>
      </w:r>
      <w:proofErr w:type="spellEnd"/>
      <w:r w:rsidRPr="00E93220">
        <w:rPr>
          <w:rFonts w:eastAsia="Calibri"/>
          <w:sz w:val="24"/>
          <w:szCs w:val="24"/>
        </w:rPr>
        <w:t xml:space="preserve">™ 5500 system next generation sequencer with protocol 4456991 Rev. J and the </w:t>
      </w:r>
      <w:proofErr w:type="spellStart"/>
      <w:r w:rsidRPr="00E93220">
        <w:rPr>
          <w:rFonts w:eastAsia="Calibri"/>
          <w:sz w:val="24"/>
          <w:szCs w:val="24"/>
        </w:rPr>
        <w:t>SOLiD</w:t>
      </w:r>
      <w:proofErr w:type="spellEnd"/>
      <w:r w:rsidRPr="00E93220">
        <w:rPr>
          <w:rFonts w:eastAsia="Calibri"/>
          <w:sz w:val="24"/>
          <w:szCs w:val="24"/>
        </w:rPr>
        <w:t>™ Small RNA SP Kit (Life Technologies).</w:t>
      </w:r>
    </w:p>
    <w:p w14:paraId="2407C177" w14:textId="77777777" w:rsidR="008370E4" w:rsidRPr="00E93220" w:rsidRDefault="008370E4" w:rsidP="008370E4">
      <w:pPr>
        <w:spacing w:line="480" w:lineRule="auto"/>
        <w:contextualSpacing/>
        <w:jc w:val="both"/>
        <w:rPr>
          <w:sz w:val="24"/>
          <w:szCs w:val="24"/>
        </w:rPr>
      </w:pPr>
    </w:p>
    <w:p w14:paraId="5895BDFB" w14:textId="77777777" w:rsidR="008370E4" w:rsidRPr="00C12EB5" w:rsidRDefault="008370E4" w:rsidP="008370E4">
      <w:pPr>
        <w:spacing w:line="480" w:lineRule="auto"/>
        <w:contextualSpacing/>
        <w:jc w:val="both"/>
        <w:rPr>
          <w:i/>
          <w:sz w:val="24"/>
          <w:szCs w:val="24"/>
        </w:rPr>
      </w:pPr>
      <w:r w:rsidRPr="00C12EB5">
        <w:rPr>
          <w:rFonts w:eastAsia="Calibri"/>
          <w:b/>
          <w:bCs/>
          <w:i/>
          <w:sz w:val="24"/>
          <w:szCs w:val="24"/>
        </w:rPr>
        <w:t>miRNA Mapping, Expression Profiling Quantification, and Differential Abundance Analysis</w:t>
      </w:r>
    </w:p>
    <w:p w14:paraId="03A63887" w14:textId="59BA05C7" w:rsidR="008370E4" w:rsidRPr="00E93220" w:rsidRDefault="008370E4" w:rsidP="008370E4">
      <w:pPr>
        <w:spacing w:line="480" w:lineRule="auto"/>
        <w:contextualSpacing/>
        <w:jc w:val="both"/>
        <w:rPr>
          <w:sz w:val="24"/>
          <w:szCs w:val="24"/>
        </w:rPr>
      </w:pPr>
      <w:r w:rsidRPr="00E93220">
        <w:rPr>
          <w:rFonts w:eastAsia="Calibri"/>
          <w:sz w:val="24"/>
          <w:szCs w:val="24"/>
        </w:rPr>
        <w:t xml:space="preserve">The Libraries were sequenced using SOLID5 (Life Technologies) and the color-space reads were mapped to human reference genome hg19 using the </w:t>
      </w:r>
      <w:r w:rsidR="00C466EC">
        <w:rPr>
          <w:rFonts w:eastAsia="Calibri"/>
          <w:sz w:val="24"/>
          <w:szCs w:val="24"/>
        </w:rPr>
        <w:t xml:space="preserve">small </w:t>
      </w:r>
      <w:r w:rsidR="00C466EC" w:rsidRPr="00E93220">
        <w:rPr>
          <w:rFonts w:eastAsia="Calibri"/>
          <w:sz w:val="24"/>
          <w:szCs w:val="24"/>
        </w:rPr>
        <w:t xml:space="preserve">RNA </w:t>
      </w:r>
      <w:r w:rsidR="00C466EC">
        <w:rPr>
          <w:rFonts w:eastAsia="Calibri"/>
          <w:sz w:val="24"/>
          <w:szCs w:val="24"/>
        </w:rPr>
        <w:t xml:space="preserve">analysis </w:t>
      </w:r>
      <w:r w:rsidRPr="00E93220">
        <w:rPr>
          <w:rFonts w:eastAsia="Calibri"/>
          <w:sz w:val="24"/>
          <w:szCs w:val="24"/>
        </w:rPr>
        <w:t xml:space="preserve">module in LifeScope2 software (Life Technologies). </w:t>
      </w:r>
      <w:r w:rsidR="00C466EC">
        <w:rPr>
          <w:rFonts w:eastAsia="Calibri"/>
          <w:sz w:val="24"/>
          <w:szCs w:val="24"/>
        </w:rPr>
        <w:t xml:space="preserve">The mapping program </w:t>
      </w:r>
      <w:proofErr w:type="spellStart"/>
      <w:r w:rsidR="00C466EC">
        <w:rPr>
          <w:rFonts w:eastAsia="Calibri"/>
          <w:sz w:val="24"/>
          <w:szCs w:val="24"/>
        </w:rPr>
        <w:t>mapReads</w:t>
      </w:r>
      <w:proofErr w:type="spellEnd"/>
      <w:r w:rsidR="00C466EC">
        <w:rPr>
          <w:rFonts w:eastAsia="Calibri"/>
          <w:sz w:val="24"/>
          <w:szCs w:val="24"/>
        </w:rPr>
        <w:t xml:space="preserve"> maps the small RNA reads to three different references in three steps: In the first step, the reads are mapped to filter sequences to eliminate the reads from irrelevant sources (such as tRNA, adaptor sequence, etc.); in the second step, the remaining reads from the first step are mapped to </w:t>
      </w:r>
      <w:proofErr w:type="spellStart"/>
      <w:r w:rsidR="00C466EC">
        <w:rPr>
          <w:rFonts w:eastAsia="Calibri"/>
          <w:sz w:val="24"/>
          <w:szCs w:val="24"/>
        </w:rPr>
        <w:t>miRBase</w:t>
      </w:r>
      <w:proofErr w:type="spellEnd"/>
      <w:r w:rsidR="00C466EC">
        <w:rPr>
          <w:rFonts w:eastAsia="Calibri"/>
          <w:sz w:val="24"/>
          <w:szCs w:val="24"/>
        </w:rPr>
        <w:t xml:space="preserve"> v16; in the third step, the unmapped reads from the second step are mapped to the genome reference sequence hg19</w:t>
      </w:r>
      <w:r w:rsidR="003E6002">
        <w:rPr>
          <w:rFonts w:eastAsia="Calibri"/>
          <w:sz w:val="24"/>
          <w:szCs w:val="24"/>
        </w:rPr>
        <w:t xml:space="preserve"> in order to find novel small RNAs. The mapped reads outputs from the second and third steps are merged as </w:t>
      </w:r>
      <w:r w:rsidR="008A1C8F">
        <w:rPr>
          <w:rFonts w:eastAsia="Calibri"/>
          <w:sz w:val="24"/>
          <w:szCs w:val="24"/>
        </w:rPr>
        <w:t xml:space="preserve">the </w:t>
      </w:r>
      <w:r w:rsidR="003E6002">
        <w:rPr>
          <w:rFonts w:eastAsia="Calibri"/>
          <w:sz w:val="24"/>
          <w:szCs w:val="24"/>
        </w:rPr>
        <w:t xml:space="preserve">primary output. The </w:t>
      </w:r>
      <w:proofErr w:type="spellStart"/>
      <w:r w:rsidR="003E6002">
        <w:rPr>
          <w:rFonts w:eastAsia="Calibri"/>
          <w:sz w:val="24"/>
          <w:szCs w:val="24"/>
        </w:rPr>
        <w:t>mapReads</w:t>
      </w:r>
      <w:proofErr w:type="spellEnd"/>
      <w:r w:rsidR="003E6002">
        <w:rPr>
          <w:rFonts w:eastAsia="Calibri"/>
          <w:sz w:val="24"/>
          <w:szCs w:val="24"/>
        </w:rPr>
        <w:t xml:space="preserve"> </w:t>
      </w:r>
      <w:r w:rsidR="008A1C8F">
        <w:rPr>
          <w:rFonts w:eastAsia="Calibri"/>
          <w:sz w:val="24"/>
          <w:szCs w:val="24"/>
        </w:rPr>
        <w:t xml:space="preserve">program </w:t>
      </w:r>
      <w:r w:rsidR="003E6002">
        <w:rPr>
          <w:rFonts w:eastAsia="Calibri"/>
          <w:sz w:val="24"/>
          <w:szCs w:val="24"/>
        </w:rPr>
        <w:t xml:space="preserve">also removes the F5-P2 adaptor sequence from the reads and to report only small RNA sequences in the BAM files. </w:t>
      </w:r>
      <w:r w:rsidRPr="00E93220">
        <w:rPr>
          <w:rFonts w:eastAsia="Calibri"/>
          <w:sz w:val="24"/>
          <w:szCs w:val="24"/>
        </w:rPr>
        <w:t>The downstream analysis steps were mainly performed using miRDeep2 package</w:t>
      </w:r>
      <w:r>
        <w:rPr>
          <w:rFonts w:eastAsia="Calibri"/>
          <w:sz w:val="24"/>
          <w:szCs w:val="24"/>
        </w:rPr>
        <w:t xml:space="preserve"> </w:t>
      </w:r>
      <w:r>
        <w:rPr>
          <w:rFonts w:eastAsia="Calibri"/>
          <w:noProof/>
          <w:sz w:val="24"/>
          <w:szCs w:val="24"/>
        </w:rPr>
        <w:t>(1).</w:t>
      </w:r>
      <w:r w:rsidRPr="00E93220">
        <w:rPr>
          <w:rFonts w:eastAsia="Calibri"/>
          <w:sz w:val="24"/>
          <w:szCs w:val="24"/>
        </w:rPr>
        <w:t xml:space="preserve"> Briefly, the mapping results in </w:t>
      </w:r>
      <w:proofErr w:type="spellStart"/>
      <w:r w:rsidRPr="00E93220">
        <w:rPr>
          <w:rFonts w:eastAsia="Calibri"/>
          <w:sz w:val="24"/>
          <w:szCs w:val="24"/>
        </w:rPr>
        <w:t>sam</w:t>
      </w:r>
      <w:proofErr w:type="spellEnd"/>
      <w:r w:rsidRPr="00E93220">
        <w:rPr>
          <w:rFonts w:eastAsia="Calibri"/>
          <w:sz w:val="24"/>
          <w:szCs w:val="24"/>
        </w:rPr>
        <w:t xml:space="preserve"> format were converted to the </w:t>
      </w:r>
      <w:proofErr w:type="spellStart"/>
      <w:r w:rsidRPr="00E93220">
        <w:rPr>
          <w:rFonts w:eastAsia="Calibri"/>
          <w:sz w:val="24"/>
          <w:szCs w:val="24"/>
        </w:rPr>
        <w:t>arf</w:t>
      </w:r>
      <w:proofErr w:type="spellEnd"/>
      <w:r w:rsidRPr="00E93220">
        <w:rPr>
          <w:rFonts w:eastAsia="Calibri"/>
          <w:sz w:val="24"/>
          <w:szCs w:val="24"/>
        </w:rPr>
        <w:t xml:space="preserve"> format used in miRDeep2 and in turn the miRDeep2.pl script was used to identify all known and novel </w:t>
      </w:r>
      <w:proofErr w:type="spellStart"/>
      <w:r w:rsidRPr="00E93220">
        <w:rPr>
          <w:rFonts w:eastAsia="Calibri"/>
          <w:sz w:val="24"/>
          <w:szCs w:val="24"/>
        </w:rPr>
        <w:t>miRs</w:t>
      </w:r>
      <w:proofErr w:type="spellEnd"/>
      <w:r w:rsidRPr="00E93220">
        <w:rPr>
          <w:rFonts w:eastAsia="Calibri"/>
          <w:sz w:val="24"/>
          <w:szCs w:val="24"/>
        </w:rPr>
        <w:t xml:space="preserve"> using default settings. Finally, all the identified </w:t>
      </w:r>
      <w:proofErr w:type="spellStart"/>
      <w:r w:rsidRPr="00E93220">
        <w:rPr>
          <w:rFonts w:eastAsia="Calibri"/>
          <w:sz w:val="24"/>
          <w:szCs w:val="24"/>
        </w:rPr>
        <w:t>miRs</w:t>
      </w:r>
      <w:proofErr w:type="spellEnd"/>
      <w:r w:rsidRPr="00E93220">
        <w:rPr>
          <w:rFonts w:eastAsia="Calibri"/>
          <w:sz w:val="24"/>
          <w:szCs w:val="24"/>
        </w:rPr>
        <w:t xml:space="preserve"> were quantified based on the reads numbers assigned to them and normalized using the total counts per million in that sample. We used </w:t>
      </w:r>
      <w:proofErr w:type="spellStart"/>
      <w:r w:rsidRPr="00E93220">
        <w:rPr>
          <w:rFonts w:eastAsia="Calibri"/>
          <w:sz w:val="24"/>
          <w:szCs w:val="24"/>
        </w:rPr>
        <w:t>SAMseq</w:t>
      </w:r>
      <w:proofErr w:type="spellEnd"/>
      <w:r w:rsidRPr="00E93220">
        <w:rPr>
          <w:rFonts w:eastAsia="Calibri"/>
          <w:sz w:val="24"/>
          <w:szCs w:val="24"/>
        </w:rPr>
        <w:t xml:space="preserve"> (</w:t>
      </w:r>
      <w:proofErr w:type="spellStart"/>
      <w:r w:rsidRPr="00E93220">
        <w:rPr>
          <w:rFonts w:eastAsia="Calibri"/>
          <w:sz w:val="24"/>
          <w:szCs w:val="24"/>
        </w:rPr>
        <w:t>samr</w:t>
      </w:r>
      <w:proofErr w:type="spellEnd"/>
      <w:r w:rsidRPr="00E93220">
        <w:rPr>
          <w:rFonts w:eastAsia="Calibri"/>
          <w:sz w:val="24"/>
          <w:szCs w:val="24"/>
        </w:rPr>
        <w:t xml:space="preserve"> v2.0, R 3.0.2) for two-class unpaired analyses with a read count input matrix and an FDR threshold of 0.05 to identify </w:t>
      </w:r>
      <w:proofErr w:type="spellStart"/>
      <w:r w:rsidRPr="00E93220">
        <w:rPr>
          <w:rFonts w:eastAsia="Calibri"/>
          <w:sz w:val="24"/>
          <w:szCs w:val="24"/>
        </w:rPr>
        <w:t>miRs</w:t>
      </w:r>
      <w:proofErr w:type="spellEnd"/>
      <w:r w:rsidRPr="00E93220">
        <w:rPr>
          <w:rFonts w:eastAsia="Calibri"/>
          <w:sz w:val="24"/>
          <w:szCs w:val="24"/>
        </w:rPr>
        <w:t xml:space="preserve"> that were differentially expressed. Each run generated a pair of files:</w:t>
      </w:r>
      <w:r>
        <w:rPr>
          <w:rFonts w:eastAsia="Calibri"/>
          <w:sz w:val="24"/>
          <w:szCs w:val="24"/>
        </w:rPr>
        <w:t xml:space="preserve"> </w:t>
      </w:r>
      <w:r w:rsidRPr="00E93220">
        <w:rPr>
          <w:rFonts w:eastAsia="Calibri"/>
          <w:sz w:val="24"/>
          <w:szCs w:val="24"/>
        </w:rPr>
        <w:t xml:space="preserve">genes “up” and “down”, then ranked the filtered results by a median-based fold change </w:t>
      </w:r>
      <w:r>
        <w:rPr>
          <w:rFonts w:eastAsia="Calibri"/>
          <w:noProof/>
          <w:sz w:val="24"/>
          <w:szCs w:val="24"/>
        </w:rPr>
        <w:t>(2)</w:t>
      </w:r>
      <w:r w:rsidRPr="00E93220">
        <w:rPr>
          <w:rFonts w:eastAsia="Calibri"/>
          <w:sz w:val="24"/>
          <w:szCs w:val="24"/>
        </w:rPr>
        <w:t>.</w:t>
      </w:r>
    </w:p>
    <w:p w14:paraId="1AD34D91" w14:textId="77777777" w:rsidR="008370E4" w:rsidRPr="00E93220" w:rsidRDefault="008370E4" w:rsidP="008370E4">
      <w:pPr>
        <w:spacing w:line="480" w:lineRule="auto"/>
        <w:contextualSpacing/>
        <w:jc w:val="both"/>
        <w:rPr>
          <w:sz w:val="24"/>
          <w:szCs w:val="24"/>
        </w:rPr>
      </w:pPr>
    </w:p>
    <w:p w14:paraId="375361D5" w14:textId="77777777" w:rsidR="008370E4" w:rsidRPr="00C12EB5" w:rsidRDefault="008370E4" w:rsidP="008370E4">
      <w:pPr>
        <w:spacing w:line="480" w:lineRule="auto"/>
        <w:contextualSpacing/>
        <w:jc w:val="both"/>
        <w:rPr>
          <w:i/>
          <w:sz w:val="24"/>
          <w:szCs w:val="24"/>
        </w:rPr>
      </w:pPr>
      <w:r w:rsidRPr="00C12EB5">
        <w:rPr>
          <w:rFonts w:eastAsia="Calibri"/>
          <w:b/>
          <w:bCs/>
          <w:i/>
          <w:sz w:val="24"/>
          <w:szCs w:val="24"/>
        </w:rPr>
        <w:t>Integrative Analysis to Identify miRNA-mRNA Pairs in HNSCC TCGA Data</w:t>
      </w:r>
    </w:p>
    <w:p w14:paraId="7936CBC6" w14:textId="12A13047" w:rsidR="004B3439" w:rsidRDefault="008370E4" w:rsidP="00631A5C">
      <w:pPr>
        <w:spacing w:line="480" w:lineRule="auto"/>
        <w:rPr>
          <w:rFonts w:eastAsia="Times New Roman"/>
          <w:sz w:val="24"/>
          <w:szCs w:val="24"/>
          <w:lang w:eastAsia="zh-CN"/>
        </w:rPr>
      </w:pPr>
      <w:proofErr w:type="spellStart"/>
      <w:r w:rsidRPr="00E93220">
        <w:rPr>
          <w:rFonts w:eastAsia="Calibri"/>
          <w:sz w:val="24"/>
          <w:szCs w:val="24"/>
        </w:rPr>
        <w:t>miR</w:t>
      </w:r>
      <w:proofErr w:type="spellEnd"/>
      <w:r w:rsidRPr="00E93220">
        <w:rPr>
          <w:rFonts w:eastAsia="Calibri"/>
          <w:sz w:val="24"/>
          <w:szCs w:val="24"/>
        </w:rPr>
        <w:t xml:space="preserve"> and mRNA abundance for 279 HNSCC tumor specimens were extracted from Level 3 data</w:t>
      </w:r>
      <w:r>
        <w:rPr>
          <w:rFonts w:eastAsia="Calibri"/>
          <w:sz w:val="24"/>
          <w:szCs w:val="24"/>
        </w:rPr>
        <w:t xml:space="preserve"> </w:t>
      </w:r>
      <w:r w:rsidRPr="00E93220">
        <w:rPr>
          <w:rFonts w:eastAsia="Calibri"/>
          <w:sz w:val="24"/>
          <w:szCs w:val="24"/>
        </w:rPr>
        <w:t xml:space="preserve">associated with the data freeze </w:t>
      </w:r>
      <w:r>
        <w:rPr>
          <w:rFonts w:eastAsia="Calibri"/>
          <w:noProof/>
          <w:sz w:val="24"/>
          <w:szCs w:val="24"/>
        </w:rPr>
        <w:t>(3)</w:t>
      </w:r>
      <w:r w:rsidRPr="00E93220">
        <w:rPr>
          <w:rFonts w:eastAsia="Calibri"/>
          <w:sz w:val="24"/>
          <w:szCs w:val="24"/>
        </w:rPr>
        <w:t xml:space="preserve">. </w:t>
      </w:r>
      <w:r w:rsidR="004B3439" w:rsidRPr="004B3439">
        <w:rPr>
          <w:rFonts w:eastAsia="Times New Roman"/>
          <w:sz w:val="24"/>
          <w:szCs w:val="24"/>
          <w:lang w:eastAsia="zh-CN"/>
        </w:rPr>
        <w:t xml:space="preserve">Briefly, the </w:t>
      </w:r>
      <w:r w:rsidR="00292EBE">
        <w:rPr>
          <w:rFonts w:eastAsia="Times New Roman"/>
          <w:sz w:val="24"/>
          <w:szCs w:val="24"/>
          <w:lang w:eastAsia="zh-CN"/>
        </w:rPr>
        <w:t xml:space="preserve">miRNA </w:t>
      </w:r>
      <w:r w:rsidR="004B3439" w:rsidRPr="004B3439">
        <w:rPr>
          <w:rFonts w:eastAsia="Times New Roman"/>
          <w:sz w:val="24"/>
          <w:szCs w:val="24"/>
          <w:lang w:eastAsia="zh-CN"/>
        </w:rPr>
        <w:t>sequence data are separated into individual samples based on the index read sequences, and the reads undergo an initial QC assessment. Adapter sequence is then trimmed off, and the trimmed reads for each sample are aligned to the NCBI GRCh37-lite reference genome.</w:t>
      </w:r>
    </w:p>
    <w:p w14:paraId="7705553A" w14:textId="22A37E32" w:rsidR="004B3439" w:rsidRDefault="004B3439" w:rsidP="00631A5C">
      <w:pPr>
        <w:spacing w:line="480" w:lineRule="auto"/>
        <w:rPr>
          <w:rFonts w:eastAsia="Times New Roman"/>
          <w:sz w:val="24"/>
          <w:szCs w:val="24"/>
          <w:lang w:eastAsia="zh-CN"/>
        </w:rPr>
      </w:pPr>
    </w:p>
    <w:p w14:paraId="752CFBD5" w14:textId="507C8B84" w:rsidR="004B3439" w:rsidRDefault="004B3439" w:rsidP="00631A5C">
      <w:pPr>
        <w:spacing w:line="480" w:lineRule="auto"/>
        <w:ind w:firstLine="720"/>
        <w:rPr>
          <w:rFonts w:eastAsia="Times New Roman"/>
          <w:sz w:val="24"/>
          <w:szCs w:val="24"/>
          <w:lang w:eastAsia="zh-CN"/>
        </w:rPr>
      </w:pPr>
      <w:r w:rsidRPr="004B3439">
        <w:rPr>
          <w:rFonts w:eastAsia="Times New Roman"/>
          <w:sz w:val="24"/>
          <w:szCs w:val="24"/>
          <w:lang w:eastAsia="zh-CN"/>
        </w:rPr>
        <w:t xml:space="preserve">Routine QC </w:t>
      </w:r>
      <w:r w:rsidR="00994242">
        <w:rPr>
          <w:rFonts w:eastAsia="Times New Roman"/>
          <w:sz w:val="24"/>
          <w:szCs w:val="24"/>
          <w:lang w:eastAsia="zh-CN"/>
        </w:rPr>
        <w:t xml:space="preserve">includes </w:t>
      </w:r>
      <w:r w:rsidRPr="004B3439">
        <w:rPr>
          <w:rFonts w:eastAsia="Times New Roman"/>
          <w:sz w:val="24"/>
          <w:szCs w:val="24"/>
          <w:lang w:eastAsia="zh-CN"/>
        </w:rPr>
        <w:t>assess</w:t>
      </w:r>
      <w:r w:rsidR="00994242">
        <w:rPr>
          <w:rFonts w:eastAsia="Times New Roman"/>
          <w:sz w:val="24"/>
          <w:szCs w:val="24"/>
          <w:lang w:eastAsia="zh-CN"/>
        </w:rPr>
        <w:t>ing</w:t>
      </w:r>
      <w:r w:rsidRPr="004B3439">
        <w:rPr>
          <w:rFonts w:eastAsia="Times New Roman"/>
          <w:sz w:val="24"/>
          <w:szCs w:val="24"/>
          <w:lang w:eastAsia="zh-CN"/>
        </w:rPr>
        <w:t xml:space="preserve"> a subset of raw sequences from each pooled lane for the abundance of reads from each indexed sample in the pool, the proportion of reads that possibly originate from adapter dimers (i.e. a 5’ adapter joined to a 3’ adapter with no intervening biological sequence)</w:t>
      </w:r>
      <w:r w:rsidR="00994242">
        <w:rPr>
          <w:rFonts w:eastAsia="Times New Roman"/>
          <w:sz w:val="24"/>
          <w:szCs w:val="24"/>
          <w:lang w:eastAsia="zh-CN"/>
        </w:rPr>
        <w:t>,</w:t>
      </w:r>
      <w:r w:rsidRPr="004B3439">
        <w:rPr>
          <w:rFonts w:eastAsia="Times New Roman"/>
          <w:sz w:val="24"/>
          <w:szCs w:val="24"/>
          <w:lang w:eastAsia="zh-CN"/>
        </w:rPr>
        <w:t xml:space="preserve"> and for the proportion of reads that map to human miRNAs. Sequencing error is estimated by a method originally developed for SAGE</w:t>
      </w:r>
      <w:r>
        <w:rPr>
          <w:rFonts w:eastAsia="Times New Roman"/>
          <w:sz w:val="24"/>
          <w:szCs w:val="24"/>
          <w:lang w:eastAsia="zh-CN"/>
        </w:rPr>
        <w:t>.</w:t>
      </w:r>
    </w:p>
    <w:p w14:paraId="68ECE418" w14:textId="4CC5DD26" w:rsidR="004B3439" w:rsidRDefault="004B3439" w:rsidP="00631A5C">
      <w:pPr>
        <w:spacing w:line="480" w:lineRule="auto"/>
        <w:ind w:firstLine="720"/>
        <w:rPr>
          <w:rFonts w:eastAsia="Times New Roman"/>
          <w:sz w:val="24"/>
          <w:szCs w:val="24"/>
          <w:lang w:eastAsia="zh-CN"/>
        </w:rPr>
      </w:pPr>
      <w:r w:rsidRPr="004B3439">
        <w:rPr>
          <w:rFonts w:eastAsia="Times New Roman"/>
          <w:sz w:val="24"/>
          <w:szCs w:val="24"/>
          <w:lang w:eastAsia="zh-CN"/>
        </w:rPr>
        <w:t xml:space="preserve">Libraries that pass this QC stage are preprocessed for alignment. While the size-selected miRNAs vary somewhat in length, typically they are ~21 bp long, and so are shorter than the 31- bp read length. Given this, each read sequence extends some distance into the 3' sequencing adapter. Because this non-biological sequence can interfere with aligning the read to the reference genome, 3’ adapter sequence is identified and removed (trimmed) from a read. The adapter-trimming algorithm identifies as long an adapter sequence as possible, allowing a number of mismatches that depends on the adapter length found. A typical sequencing run yields several million reads; using only the first (5’) 15 bases of the 3’ adapter in trimming makes processing efficient, while minimizing the chance that a miRNA read will match the adapter sequence. </w:t>
      </w:r>
    </w:p>
    <w:p w14:paraId="32EFBA7A" w14:textId="2BE7E4EA" w:rsidR="004B3439" w:rsidRDefault="004B3439" w:rsidP="00631A5C">
      <w:pPr>
        <w:spacing w:line="480" w:lineRule="auto"/>
        <w:ind w:firstLine="720"/>
        <w:rPr>
          <w:rFonts w:eastAsia="Times New Roman"/>
          <w:sz w:val="24"/>
          <w:szCs w:val="24"/>
          <w:lang w:eastAsia="zh-CN"/>
        </w:rPr>
      </w:pPr>
      <w:r w:rsidRPr="004B3439">
        <w:rPr>
          <w:rFonts w:eastAsia="Times New Roman"/>
          <w:sz w:val="24"/>
          <w:szCs w:val="24"/>
          <w:lang w:eastAsia="zh-CN"/>
        </w:rPr>
        <w:t xml:space="preserve">The algorithm first determines whether a read sequence should be discarded as an adapter dimer by checking whether the 3’ adapter sequence occurs at the start of the read. For reads passing this stage, the algorithm then tries to identify an exact 15-bp match anywhere within the read sequence. If it cannot, it then retries, starting from the 3' end, and allowing up to 2 mismatches. If the full 15bp is not found, decreasing lengths of adapter are checked, down to the first 8 bases, allowing one mismatch. If a match is still not found, from 7 bases down to 1 base is checked, with an exact match required. Finally, the algorithm will trim 1 base off the 3’ end of a read if it happens to match the first base of the adapter. This is based on two considerations. First, it is preferable to get a perfect alignment than an alignment that has a potential one-base mismatch. Second, if only 1 base of adapter was found in the read sequence, the read is likely too long to be from a miRNA and the effect of the trimming on its alignment would not affect this sample’s overall miRNA profiling result. </w:t>
      </w:r>
    </w:p>
    <w:p w14:paraId="1CB18D2E" w14:textId="43A694B5" w:rsidR="004B3439" w:rsidRDefault="004B3439" w:rsidP="00631A5C">
      <w:pPr>
        <w:spacing w:line="480" w:lineRule="auto"/>
        <w:ind w:firstLine="720"/>
        <w:rPr>
          <w:rFonts w:eastAsia="Times New Roman"/>
          <w:sz w:val="24"/>
          <w:szCs w:val="24"/>
          <w:lang w:eastAsia="zh-CN"/>
        </w:rPr>
      </w:pPr>
      <w:r w:rsidRPr="004B3439">
        <w:rPr>
          <w:rFonts w:eastAsia="Times New Roman"/>
          <w:sz w:val="24"/>
          <w:szCs w:val="24"/>
          <w:lang w:eastAsia="zh-CN"/>
        </w:rPr>
        <w:t xml:space="preserve">After each read has been processed, a summary report is generated containing the number of reads at each read length. Because the shortest mature miRNA in </w:t>
      </w:r>
      <w:proofErr w:type="spellStart"/>
      <w:r w:rsidRPr="004B3439">
        <w:rPr>
          <w:rFonts w:eastAsia="Times New Roman"/>
          <w:sz w:val="24"/>
          <w:szCs w:val="24"/>
          <w:lang w:eastAsia="zh-CN"/>
        </w:rPr>
        <w:t>miRBase</w:t>
      </w:r>
      <w:proofErr w:type="spellEnd"/>
      <w:r w:rsidRPr="004B3439">
        <w:rPr>
          <w:rFonts w:eastAsia="Times New Roman"/>
          <w:sz w:val="24"/>
          <w:szCs w:val="24"/>
          <w:lang w:eastAsia="zh-CN"/>
        </w:rPr>
        <w:t xml:space="preserve"> v16 is 15 bp, any trimmed read that is shorter than 15bp is discarded; remaining reads are submitted for alignment to the reference genome. BWA9 alignment(s) for each read are checked with a series of three filters. A read with more than 3 alignments is discarded as too ambiguous. For TCGA quantification reports, only perfect alignments with no mismatches are used. Based on comparing expression profiles of test libraries (data not shown), reads that fail the Illumina </w:t>
      </w:r>
      <w:proofErr w:type="spellStart"/>
      <w:r w:rsidRPr="004B3439">
        <w:rPr>
          <w:rFonts w:eastAsia="Times New Roman"/>
          <w:sz w:val="24"/>
          <w:szCs w:val="24"/>
          <w:lang w:eastAsia="zh-CN"/>
        </w:rPr>
        <w:t>basecalling</w:t>
      </w:r>
      <w:proofErr w:type="spellEnd"/>
      <w:r w:rsidRPr="004B3439">
        <w:rPr>
          <w:rFonts w:eastAsia="Times New Roman"/>
          <w:sz w:val="24"/>
          <w:szCs w:val="24"/>
          <w:lang w:eastAsia="zh-CN"/>
        </w:rPr>
        <w:t xml:space="preserve"> chastity filter are retained, while reads that have soft-clipped CIGAR strings are discarded. </w:t>
      </w:r>
    </w:p>
    <w:p w14:paraId="34901462" w14:textId="738E68C6" w:rsidR="004B3439" w:rsidRDefault="004B3439" w:rsidP="00631A5C">
      <w:pPr>
        <w:spacing w:line="480" w:lineRule="auto"/>
        <w:ind w:firstLine="720"/>
        <w:rPr>
          <w:rFonts w:eastAsia="Times New Roman"/>
          <w:sz w:val="24"/>
          <w:szCs w:val="24"/>
          <w:lang w:eastAsia="zh-CN"/>
        </w:rPr>
      </w:pPr>
      <w:r w:rsidRPr="004B3439">
        <w:rPr>
          <w:rFonts w:eastAsia="Times New Roman"/>
          <w:sz w:val="24"/>
          <w:szCs w:val="24"/>
          <w:lang w:eastAsia="zh-CN"/>
        </w:rPr>
        <w:t xml:space="preserve">For reads retained after filtering, each coordinate for each read alignment is annotated using the </w:t>
      </w:r>
      <w:proofErr w:type="spellStart"/>
      <w:r>
        <w:rPr>
          <w:rFonts w:eastAsia="Times New Roman"/>
          <w:sz w:val="24"/>
          <w:szCs w:val="24"/>
          <w:lang w:eastAsia="zh-CN"/>
        </w:rPr>
        <w:t>miRBase</w:t>
      </w:r>
      <w:proofErr w:type="spellEnd"/>
      <w:r>
        <w:rPr>
          <w:rFonts w:eastAsia="Times New Roman"/>
          <w:sz w:val="24"/>
          <w:szCs w:val="24"/>
          <w:lang w:eastAsia="zh-CN"/>
        </w:rPr>
        <w:t xml:space="preserve"> v16</w:t>
      </w:r>
      <w:r w:rsidRPr="004B3439">
        <w:rPr>
          <w:rFonts w:eastAsia="Times New Roman"/>
          <w:sz w:val="24"/>
          <w:szCs w:val="24"/>
          <w:lang w:eastAsia="zh-CN"/>
        </w:rPr>
        <w:t>, requiring a minimum 3-bp overlap between the alignment and an annotation. In annotating reads we address two potential issues. First, a single read alignment can overlap feature annotations of different types; second, a read can have up to three alignment locations, and each alignment location can overlap a different type of feature annotation. By considering heuristically determined priorities (</w:t>
      </w:r>
      <w:r w:rsidR="00D911F2">
        <w:rPr>
          <w:rFonts w:eastAsia="Times New Roman"/>
          <w:sz w:val="24"/>
          <w:szCs w:val="24"/>
          <w:lang w:eastAsia="zh-CN"/>
        </w:rPr>
        <w:t>(</w:t>
      </w:r>
      <w:r w:rsidR="00343520">
        <w:rPr>
          <w:rFonts w:eastAsia="Times New Roman"/>
          <w:sz w:val="24"/>
          <w:szCs w:val="24"/>
          <w:lang w:eastAsia="zh-CN"/>
        </w:rPr>
        <w:t>1</w:t>
      </w:r>
      <w:r w:rsidR="00D911F2">
        <w:rPr>
          <w:rFonts w:eastAsia="Times New Roman"/>
          <w:sz w:val="24"/>
          <w:szCs w:val="24"/>
          <w:lang w:eastAsia="zh-CN"/>
        </w:rPr>
        <w:t>)</w:t>
      </w:r>
      <w:r w:rsidR="00343520">
        <w:rPr>
          <w:rFonts w:eastAsia="Times New Roman"/>
          <w:sz w:val="24"/>
          <w:szCs w:val="24"/>
          <w:lang w:eastAsia="zh-CN"/>
        </w:rPr>
        <w:t xml:space="preserve"> Mature strand, </w:t>
      </w:r>
      <w:r w:rsidR="00D911F2">
        <w:rPr>
          <w:rFonts w:eastAsia="Times New Roman"/>
          <w:sz w:val="24"/>
          <w:szCs w:val="24"/>
          <w:lang w:eastAsia="zh-CN"/>
        </w:rPr>
        <w:t>(</w:t>
      </w:r>
      <w:r w:rsidR="00343520">
        <w:rPr>
          <w:rFonts w:eastAsia="Times New Roman"/>
          <w:sz w:val="24"/>
          <w:szCs w:val="24"/>
          <w:lang w:eastAsia="zh-CN"/>
        </w:rPr>
        <w:t>2</w:t>
      </w:r>
      <w:r w:rsidR="00D911F2">
        <w:rPr>
          <w:rFonts w:eastAsia="Times New Roman"/>
          <w:sz w:val="24"/>
          <w:szCs w:val="24"/>
          <w:lang w:eastAsia="zh-CN"/>
        </w:rPr>
        <w:t>)</w:t>
      </w:r>
      <w:r w:rsidR="00343520">
        <w:rPr>
          <w:rFonts w:eastAsia="Times New Roman"/>
          <w:sz w:val="24"/>
          <w:szCs w:val="24"/>
          <w:lang w:eastAsia="zh-CN"/>
        </w:rPr>
        <w:t xml:space="preserve"> Star strand, </w:t>
      </w:r>
      <w:r w:rsidR="00D911F2">
        <w:rPr>
          <w:rFonts w:eastAsia="Times New Roman"/>
          <w:sz w:val="24"/>
          <w:szCs w:val="24"/>
          <w:lang w:eastAsia="zh-CN"/>
        </w:rPr>
        <w:t>(</w:t>
      </w:r>
      <w:r w:rsidR="00343520">
        <w:rPr>
          <w:rFonts w:eastAsia="Times New Roman"/>
          <w:sz w:val="24"/>
          <w:szCs w:val="24"/>
          <w:lang w:eastAsia="zh-CN"/>
        </w:rPr>
        <w:t>3</w:t>
      </w:r>
      <w:r w:rsidR="00D911F2">
        <w:rPr>
          <w:rFonts w:eastAsia="Times New Roman"/>
          <w:sz w:val="24"/>
          <w:szCs w:val="24"/>
          <w:lang w:eastAsia="zh-CN"/>
        </w:rPr>
        <w:t>)</w:t>
      </w:r>
      <w:r w:rsidR="00343520">
        <w:rPr>
          <w:rFonts w:eastAsia="Times New Roman"/>
          <w:sz w:val="24"/>
          <w:szCs w:val="24"/>
          <w:lang w:eastAsia="zh-CN"/>
        </w:rPr>
        <w:t xml:space="preserve"> Precursor miRNA, </w:t>
      </w:r>
      <w:r w:rsidR="00D911F2">
        <w:rPr>
          <w:rFonts w:eastAsia="Times New Roman"/>
          <w:sz w:val="24"/>
          <w:szCs w:val="24"/>
          <w:lang w:eastAsia="zh-CN"/>
        </w:rPr>
        <w:t>(</w:t>
      </w:r>
      <w:r w:rsidR="00343520">
        <w:rPr>
          <w:rFonts w:eastAsia="Times New Roman"/>
          <w:sz w:val="24"/>
          <w:szCs w:val="24"/>
          <w:lang w:eastAsia="zh-CN"/>
        </w:rPr>
        <w:t>4</w:t>
      </w:r>
      <w:r w:rsidR="00D911F2">
        <w:rPr>
          <w:rFonts w:eastAsia="Times New Roman"/>
          <w:sz w:val="24"/>
          <w:szCs w:val="24"/>
          <w:lang w:eastAsia="zh-CN"/>
        </w:rPr>
        <w:t>)</w:t>
      </w:r>
      <w:r w:rsidR="00343520">
        <w:rPr>
          <w:rFonts w:eastAsia="Times New Roman"/>
          <w:sz w:val="24"/>
          <w:szCs w:val="24"/>
          <w:lang w:eastAsia="zh-CN"/>
        </w:rPr>
        <w:t xml:space="preserve"> </w:t>
      </w:r>
      <w:proofErr w:type="spellStart"/>
      <w:r w:rsidR="00343520">
        <w:rPr>
          <w:rFonts w:eastAsia="Times New Roman"/>
          <w:sz w:val="24"/>
          <w:szCs w:val="24"/>
          <w:lang w:eastAsia="zh-CN"/>
        </w:rPr>
        <w:t>Stemloop</w:t>
      </w:r>
      <w:proofErr w:type="spellEnd"/>
      <w:r w:rsidR="00343520">
        <w:rPr>
          <w:rFonts w:eastAsia="Times New Roman"/>
          <w:sz w:val="24"/>
          <w:szCs w:val="24"/>
          <w:lang w:eastAsia="zh-CN"/>
        </w:rPr>
        <w:t xml:space="preserve">, from 1 to 6 bases outside the mature strand, between the mature and star strands, </w:t>
      </w:r>
      <w:r w:rsidR="00D911F2">
        <w:rPr>
          <w:rFonts w:eastAsia="Times New Roman"/>
          <w:sz w:val="24"/>
          <w:szCs w:val="24"/>
          <w:lang w:eastAsia="zh-CN"/>
        </w:rPr>
        <w:t>(</w:t>
      </w:r>
      <w:r w:rsidR="00343520">
        <w:rPr>
          <w:rFonts w:eastAsia="Times New Roman"/>
          <w:sz w:val="24"/>
          <w:szCs w:val="24"/>
          <w:lang w:eastAsia="zh-CN"/>
        </w:rPr>
        <w:t>5</w:t>
      </w:r>
      <w:r w:rsidR="00D911F2">
        <w:rPr>
          <w:rFonts w:eastAsia="Times New Roman"/>
          <w:sz w:val="24"/>
          <w:szCs w:val="24"/>
          <w:lang w:eastAsia="zh-CN"/>
        </w:rPr>
        <w:t>)</w:t>
      </w:r>
      <w:r w:rsidR="00343520">
        <w:rPr>
          <w:rFonts w:eastAsia="Times New Roman"/>
          <w:sz w:val="24"/>
          <w:szCs w:val="24"/>
          <w:lang w:eastAsia="zh-CN"/>
        </w:rPr>
        <w:t xml:space="preserve"> “unannotated”, any region other than the mature strand in miRNAs where no star strand is annotated.</w:t>
      </w:r>
      <w:r w:rsidRPr="004B3439">
        <w:rPr>
          <w:rFonts w:eastAsia="Times New Roman"/>
          <w:sz w:val="24"/>
          <w:szCs w:val="24"/>
          <w:lang w:eastAsia="zh-CN"/>
        </w:rPr>
        <w:t xml:space="preserve">), we resolve the first issue by giving each alignment a single annotation. We resolve the second by collapsing multiple annotations to a single annotation, as follows. </w:t>
      </w:r>
    </w:p>
    <w:p w14:paraId="1A7AB82C" w14:textId="77777777" w:rsidR="004B3439" w:rsidRDefault="004B3439" w:rsidP="00631A5C">
      <w:pPr>
        <w:spacing w:line="480" w:lineRule="auto"/>
        <w:ind w:firstLine="720"/>
        <w:rPr>
          <w:rFonts w:eastAsia="Times New Roman"/>
          <w:sz w:val="24"/>
          <w:szCs w:val="24"/>
          <w:lang w:eastAsia="zh-CN"/>
        </w:rPr>
      </w:pPr>
    </w:p>
    <w:p w14:paraId="28886D81" w14:textId="438FBB3C" w:rsidR="001959A6" w:rsidRDefault="004B3439" w:rsidP="00631A5C">
      <w:pPr>
        <w:spacing w:line="480" w:lineRule="auto"/>
        <w:ind w:firstLine="720"/>
        <w:rPr>
          <w:rFonts w:eastAsia="Times New Roman"/>
          <w:sz w:val="24"/>
          <w:szCs w:val="24"/>
          <w:lang w:eastAsia="zh-CN"/>
        </w:rPr>
      </w:pPr>
      <w:r w:rsidRPr="004B3439">
        <w:rPr>
          <w:rFonts w:eastAsia="Times New Roman"/>
          <w:sz w:val="24"/>
          <w:szCs w:val="24"/>
          <w:lang w:eastAsia="zh-CN"/>
        </w:rPr>
        <w:t xml:space="preserve">If a read has more than one alignment location, and the annotations for these are different, we use the priorities from Table V.1 to assign a single annotation to the read, as long as only one alignment is to a miRNA. When there are multiple alignments to different miRNAs, the read is flagged as cross-mapped22, and all of its miRNA annotations are preserved, while all of its non-miRNA annotations are discarded. This ensures that all annotation information about ambiguously mapped miRNAs is </w:t>
      </w:r>
      <w:r w:rsidR="00292EBE" w:rsidRPr="004B3439">
        <w:rPr>
          <w:rFonts w:eastAsia="Times New Roman"/>
          <w:sz w:val="24"/>
          <w:szCs w:val="24"/>
          <w:lang w:eastAsia="zh-CN"/>
        </w:rPr>
        <w:t>retained and</w:t>
      </w:r>
      <w:r w:rsidRPr="004B3439">
        <w:rPr>
          <w:rFonts w:eastAsia="Times New Roman"/>
          <w:sz w:val="24"/>
          <w:szCs w:val="24"/>
          <w:lang w:eastAsia="zh-CN"/>
        </w:rPr>
        <w:t xml:space="preserve"> allows annotation ambiguity to be addressed in downstream analyses. Note that we consider miRNAs to be cross-mapped only if they map to </w:t>
      </w:r>
      <w:r w:rsidR="001959A6" w:rsidRPr="001959A6">
        <w:rPr>
          <w:rFonts w:eastAsia="Times New Roman"/>
          <w:sz w:val="24"/>
          <w:szCs w:val="24"/>
          <w:lang w:eastAsia="zh-CN"/>
        </w:rPr>
        <w:t xml:space="preserve">different miRNAs, not to functionally identical miRNAs that are expressed from different locations in the genome. Such cases are indicated by miRNA </w:t>
      </w:r>
      <w:proofErr w:type="spellStart"/>
      <w:r w:rsidR="001959A6" w:rsidRPr="001959A6">
        <w:rPr>
          <w:rFonts w:eastAsia="Times New Roman"/>
          <w:sz w:val="24"/>
          <w:szCs w:val="24"/>
          <w:lang w:eastAsia="zh-CN"/>
        </w:rPr>
        <w:t>miRBase</w:t>
      </w:r>
      <w:proofErr w:type="spellEnd"/>
      <w:r w:rsidR="001959A6" w:rsidRPr="001959A6">
        <w:rPr>
          <w:rFonts w:eastAsia="Times New Roman"/>
          <w:sz w:val="24"/>
          <w:szCs w:val="24"/>
          <w:lang w:eastAsia="zh-CN"/>
        </w:rPr>
        <w:t xml:space="preserve"> names, which can have up to 4 separate sections separated by "-", e.g. hsa-mir-26a-1. A difference in the final (e.g. ‘-1’) section denotes functionally equivalent miRNAs expressed from different regions of the genome, and we consider only the first 3 sections (e.g. ‘hsa-mir-26a’) when comparing names. As long as a </w:t>
      </w:r>
      <w:proofErr w:type="gramStart"/>
      <w:r w:rsidR="001959A6" w:rsidRPr="001959A6">
        <w:rPr>
          <w:rFonts w:eastAsia="Times New Roman"/>
          <w:sz w:val="24"/>
          <w:szCs w:val="24"/>
          <w:lang w:eastAsia="zh-CN"/>
        </w:rPr>
        <w:t>read maps</w:t>
      </w:r>
      <w:proofErr w:type="gramEnd"/>
      <w:r w:rsidR="001959A6" w:rsidRPr="001959A6">
        <w:rPr>
          <w:rFonts w:eastAsia="Times New Roman"/>
          <w:sz w:val="24"/>
          <w:szCs w:val="24"/>
          <w:lang w:eastAsia="zh-CN"/>
        </w:rPr>
        <w:t xml:space="preserve"> to multiple miRNAs for which the first 3 sections of the name are identical (e.g. hsamir-26a-1 and hsa-mir-26a-2), it is treated as if it maps to only one miRNA, and is not flagged as cross-mapped. </w:t>
      </w:r>
    </w:p>
    <w:p w14:paraId="16B12AB3" w14:textId="77777777" w:rsidR="001959A6" w:rsidRDefault="001959A6" w:rsidP="00631A5C">
      <w:pPr>
        <w:spacing w:line="480" w:lineRule="auto"/>
        <w:ind w:firstLine="720"/>
        <w:rPr>
          <w:rFonts w:eastAsia="Times New Roman"/>
          <w:sz w:val="24"/>
          <w:szCs w:val="24"/>
          <w:lang w:eastAsia="zh-CN"/>
        </w:rPr>
      </w:pPr>
      <w:r w:rsidRPr="001959A6">
        <w:rPr>
          <w:rFonts w:eastAsia="Times New Roman"/>
          <w:sz w:val="24"/>
          <w:szCs w:val="24"/>
          <w:lang w:eastAsia="zh-CN"/>
        </w:rPr>
        <w:t xml:space="preserve">From the profiling results for a tumor type, for a minimum of approximately 100 samples, we identify the depth of sequencing required to detect the miRNAs that are expressed in a sample by considering a graph of the number of miRNAs detected in a sample as a function of the number of reads aligned to miRNAs. For the current work, a library from a sequenced pool was required to have at least 750,000 reads mapped to </w:t>
      </w:r>
      <w:proofErr w:type="spellStart"/>
      <w:r w:rsidRPr="001959A6">
        <w:rPr>
          <w:rFonts w:eastAsia="Times New Roman"/>
          <w:sz w:val="24"/>
          <w:szCs w:val="24"/>
          <w:lang w:eastAsia="zh-CN"/>
        </w:rPr>
        <w:t>miRBase</w:t>
      </w:r>
      <w:proofErr w:type="spellEnd"/>
      <w:r w:rsidRPr="001959A6">
        <w:rPr>
          <w:rFonts w:eastAsia="Times New Roman"/>
          <w:sz w:val="24"/>
          <w:szCs w:val="24"/>
          <w:lang w:eastAsia="zh-CN"/>
        </w:rPr>
        <w:t xml:space="preserve"> annotations. For any sequencing run that fails to meet this threshold, we sequence the sample again to achieve at least the minimum number of miRNA-aligned reads. </w:t>
      </w:r>
    </w:p>
    <w:p w14:paraId="4D8F3F97" w14:textId="77777777" w:rsidR="001959A6" w:rsidRDefault="001959A6" w:rsidP="00631A5C">
      <w:pPr>
        <w:spacing w:line="480" w:lineRule="auto"/>
        <w:ind w:firstLine="720"/>
        <w:rPr>
          <w:rFonts w:eastAsia="Times New Roman"/>
          <w:sz w:val="24"/>
          <w:szCs w:val="24"/>
          <w:lang w:eastAsia="zh-CN"/>
        </w:rPr>
      </w:pPr>
    </w:p>
    <w:p w14:paraId="028AD914" w14:textId="77777777" w:rsidR="00977442" w:rsidRDefault="001959A6" w:rsidP="00977442">
      <w:pPr>
        <w:spacing w:line="480" w:lineRule="auto"/>
        <w:ind w:firstLine="720"/>
        <w:rPr>
          <w:rFonts w:eastAsia="Times New Roman"/>
          <w:sz w:val="24"/>
          <w:szCs w:val="24"/>
          <w:lang w:eastAsia="zh-CN"/>
        </w:rPr>
      </w:pPr>
      <w:r w:rsidRPr="001959A6">
        <w:rPr>
          <w:rFonts w:eastAsia="Times New Roman"/>
          <w:sz w:val="24"/>
          <w:szCs w:val="24"/>
          <w:lang w:eastAsia="zh-CN"/>
        </w:rPr>
        <w:t xml:space="preserve">Finally, for each sample, the reads that correspond to particular miRNAs are summed and normalized to a million miRNA-aligned reads to generate the quantification files that are submitted to the DCC. Quantification files include information on variable 5’ and 3’ read alignment locations, which can reflect isoforms, adapter trimming and RNA degradation. </w:t>
      </w:r>
    </w:p>
    <w:p w14:paraId="14DCFE06" w14:textId="2D85A06F" w:rsidR="008370E4" w:rsidRPr="00631A5C" w:rsidRDefault="00977442" w:rsidP="00631A5C">
      <w:pPr>
        <w:spacing w:line="480" w:lineRule="auto"/>
        <w:ind w:firstLine="720"/>
        <w:rPr>
          <w:rFonts w:eastAsia="Times New Roman"/>
          <w:sz w:val="24"/>
          <w:szCs w:val="24"/>
          <w:lang w:eastAsia="zh-CN"/>
        </w:rPr>
      </w:pPr>
      <w:r>
        <w:rPr>
          <w:rFonts w:eastAsia="Calibri"/>
          <w:sz w:val="24"/>
          <w:szCs w:val="24"/>
        </w:rPr>
        <w:t>M</w:t>
      </w:r>
      <w:r w:rsidR="008370E4" w:rsidRPr="00E93220">
        <w:rPr>
          <w:rFonts w:eastAsia="Calibri"/>
          <w:sz w:val="24"/>
          <w:szCs w:val="24"/>
        </w:rPr>
        <w:t xml:space="preserve">ature 5p and 3p strands </w:t>
      </w:r>
      <w:bookmarkStart w:id="3" w:name="page7"/>
      <w:bookmarkEnd w:id="3"/>
      <w:r w:rsidR="008370E4" w:rsidRPr="00E93220">
        <w:rPr>
          <w:rFonts w:eastAsia="Calibri"/>
          <w:sz w:val="24"/>
          <w:szCs w:val="24"/>
        </w:rPr>
        <w:t>were ranked by RPM variance across the samples, and the most variable 50% with a minimum expression of at least 50 RPM were used for integrated analysis. Gene expression was calculated from RNA-Seq data</w:t>
      </w:r>
      <w:r w:rsidR="008370E4" w:rsidRPr="00E93220">
        <w:rPr>
          <w:sz w:val="24"/>
          <w:szCs w:val="24"/>
        </w:rPr>
        <w:t xml:space="preserve"> </w:t>
      </w:r>
      <w:r w:rsidR="008370E4" w:rsidRPr="00E93220">
        <w:rPr>
          <w:rFonts w:eastAsia="Calibri"/>
          <w:sz w:val="24"/>
          <w:szCs w:val="24"/>
        </w:rPr>
        <w:t xml:space="preserve">with RSEM v1.1.132 and zeros replaced with the minimum non-zero RSEM values (0.0033) </w:t>
      </w:r>
      <w:r w:rsidR="008370E4">
        <w:rPr>
          <w:rFonts w:eastAsia="Calibri"/>
          <w:noProof/>
          <w:sz w:val="24"/>
          <w:szCs w:val="24"/>
        </w:rPr>
        <w:t>(4)</w:t>
      </w:r>
      <w:r w:rsidR="008370E4" w:rsidRPr="00E93220">
        <w:rPr>
          <w:rFonts w:eastAsia="Calibri"/>
          <w:sz w:val="24"/>
          <w:szCs w:val="24"/>
        </w:rPr>
        <w:t>. The most-variant 50% of genes were used for integrated analysis. Both miRNA and mRNA expression data were log2 transformed.</w:t>
      </w:r>
    </w:p>
    <w:p w14:paraId="7D09F741" w14:textId="77777777" w:rsidR="008370E4" w:rsidRPr="00E93220" w:rsidRDefault="008370E4" w:rsidP="008370E4">
      <w:pPr>
        <w:spacing w:line="480" w:lineRule="auto"/>
        <w:ind w:firstLine="720"/>
        <w:contextualSpacing/>
        <w:jc w:val="both"/>
        <w:rPr>
          <w:sz w:val="24"/>
          <w:szCs w:val="24"/>
        </w:rPr>
      </w:pPr>
      <w:r w:rsidRPr="00E93220">
        <w:rPr>
          <w:rFonts w:eastAsia="Calibri"/>
          <w:sz w:val="24"/>
          <w:szCs w:val="24"/>
        </w:rPr>
        <w:t xml:space="preserve">A multi-step approach was applied to identify </w:t>
      </w:r>
      <w:proofErr w:type="spellStart"/>
      <w:r w:rsidRPr="00E93220">
        <w:rPr>
          <w:rFonts w:eastAsia="Calibri"/>
          <w:sz w:val="24"/>
          <w:szCs w:val="24"/>
        </w:rPr>
        <w:t>miR</w:t>
      </w:r>
      <w:proofErr w:type="spellEnd"/>
      <w:r w:rsidRPr="00E93220">
        <w:rPr>
          <w:rFonts w:eastAsia="Calibri"/>
          <w:sz w:val="24"/>
          <w:szCs w:val="24"/>
        </w:rPr>
        <w:t xml:space="preserve">-mRNA target relationships. We used linear regression to identify pair-wise negative correlations of </w:t>
      </w:r>
      <w:proofErr w:type="spellStart"/>
      <w:r w:rsidRPr="00E93220">
        <w:rPr>
          <w:rFonts w:eastAsia="Calibri"/>
          <w:sz w:val="24"/>
          <w:szCs w:val="24"/>
        </w:rPr>
        <w:t>miR</w:t>
      </w:r>
      <w:proofErr w:type="spellEnd"/>
      <w:r w:rsidRPr="00E93220">
        <w:rPr>
          <w:rFonts w:eastAsia="Calibri"/>
          <w:sz w:val="24"/>
          <w:szCs w:val="24"/>
        </w:rPr>
        <w:t xml:space="preserve"> and mRNA expression, in conjunction with available prediction tools from </w:t>
      </w:r>
      <w:proofErr w:type="spellStart"/>
      <w:r w:rsidRPr="00E93220">
        <w:rPr>
          <w:rFonts w:eastAsia="Calibri"/>
          <w:sz w:val="24"/>
          <w:szCs w:val="24"/>
        </w:rPr>
        <w:t>miR</w:t>
      </w:r>
      <w:proofErr w:type="spellEnd"/>
      <w:r w:rsidRPr="00E93220">
        <w:rPr>
          <w:rFonts w:eastAsia="Calibri"/>
          <w:sz w:val="24"/>
          <w:szCs w:val="24"/>
        </w:rPr>
        <w:t xml:space="preserve"> target databases. We generated a high confidence dataset of global </w:t>
      </w:r>
      <w:proofErr w:type="spellStart"/>
      <w:r w:rsidRPr="00E93220">
        <w:rPr>
          <w:rFonts w:eastAsia="Calibri"/>
          <w:sz w:val="24"/>
          <w:szCs w:val="24"/>
        </w:rPr>
        <w:t>miR</w:t>
      </w:r>
      <w:proofErr w:type="spellEnd"/>
      <w:r w:rsidRPr="00E93220">
        <w:rPr>
          <w:rFonts w:eastAsia="Calibri"/>
          <w:sz w:val="24"/>
          <w:szCs w:val="24"/>
        </w:rPr>
        <w:t>-mRNA interactions. The details were documented in TCGA</w:t>
      </w:r>
      <w:r>
        <w:rPr>
          <w:rFonts w:eastAsia="Calibri"/>
          <w:sz w:val="24"/>
          <w:szCs w:val="24"/>
        </w:rPr>
        <w:t xml:space="preserve"> </w:t>
      </w:r>
      <w:r w:rsidRPr="00E93220">
        <w:rPr>
          <w:rFonts w:eastAsia="Calibri"/>
          <w:sz w:val="24"/>
          <w:szCs w:val="24"/>
        </w:rPr>
        <w:t xml:space="preserve">marker paper supplementary information S7.43 </w:t>
      </w:r>
      <w:r>
        <w:rPr>
          <w:rFonts w:eastAsia="Calibri"/>
          <w:sz w:val="24"/>
          <w:szCs w:val="24"/>
        </w:rPr>
        <w:t>(3)</w:t>
      </w:r>
      <w:r w:rsidRPr="00E93220">
        <w:rPr>
          <w:rFonts w:eastAsia="Calibri"/>
          <w:sz w:val="24"/>
          <w:szCs w:val="24"/>
        </w:rPr>
        <w:t>.</w:t>
      </w:r>
    </w:p>
    <w:p w14:paraId="025F78F8" w14:textId="77777777" w:rsidR="008370E4" w:rsidRPr="00E93220" w:rsidRDefault="008370E4" w:rsidP="008370E4">
      <w:pPr>
        <w:spacing w:line="480" w:lineRule="auto"/>
        <w:contextualSpacing/>
        <w:jc w:val="both"/>
        <w:rPr>
          <w:sz w:val="24"/>
          <w:szCs w:val="24"/>
        </w:rPr>
      </w:pPr>
    </w:p>
    <w:p w14:paraId="23B07B6A" w14:textId="77777777" w:rsidR="008370E4" w:rsidRPr="00C12EB5" w:rsidRDefault="008370E4" w:rsidP="008370E4">
      <w:pPr>
        <w:spacing w:line="480" w:lineRule="auto"/>
        <w:contextualSpacing/>
        <w:jc w:val="both"/>
        <w:rPr>
          <w:i/>
          <w:sz w:val="24"/>
          <w:szCs w:val="24"/>
        </w:rPr>
      </w:pPr>
      <w:r w:rsidRPr="00C12EB5">
        <w:rPr>
          <w:rFonts w:eastAsia="Calibri"/>
          <w:b/>
          <w:bCs/>
          <w:i/>
          <w:sz w:val="24"/>
          <w:szCs w:val="24"/>
        </w:rPr>
        <w:t>Copy Number Variation (CNV) Data Analysis</w:t>
      </w:r>
    </w:p>
    <w:p w14:paraId="447B69A0" w14:textId="77777777" w:rsidR="008370E4" w:rsidRPr="00E93220" w:rsidRDefault="008370E4" w:rsidP="008370E4">
      <w:pPr>
        <w:spacing w:line="480" w:lineRule="auto"/>
        <w:contextualSpacing/>
        <w:jc w:val="both"/>
        <w:rPr>
          <w:sz w:val="24"/>
          <w:szCs w:val="24"/>
        </w:rPr>
      </w:pPr>
      <w:r w:rsidRPr="00E93220">
        <w:rPr>
          <w:rFonts w:eastAsia="Calibri"/>
          <w:sz w:val="24"/>
          <w:szCs w:val="24"/>
        </w:rPr>
        <w:t>Copy number data for 279 HNSCC tumor specimens were extracted from Level 3 data associated with the data freeze. The CNV number associated with each gene was defined as the segmented</w:t>
      </w:r>
    </w:p>
    <w:p w14:paraId="4D9000FB" w14:textId="77777777" w:rsidR="008370E4" w:rsidRPr="00E93220" w:rsidRDefault="008370E4" w:rsidP="008370E4">
      <w:pPr>
        <w:spacing w:line="480" w:lineRule="auto"/>
        <w:ind w:firstLine="720"/>
        <w:contextualSpacing/>
        <w:jc w:val="both"/>
        <w:rPr>
          <w:sz w:val="24"/>
          <w:szCs w:val="24"/>
        </w:rPr>
      </w:pPr>
      <w:r w:rsidRPr="00E93220">
        <w:rPr>
          <w:rFonts w:eastAsia="Calibri"/>
          <w:sz w:val="24"/>
          <w:szCs w:val="24"/>
        </w:rPr>
        <w:t xml:space="preserve">GISTIC2 value at the corresponding genomic location </w:t>
      </w:r>
      <w:r>
        <w:rPr>
          <w:rFonts w:eastAsia="Calibri"/>
          <w:noProof/>
          <w:sz w:val="24"/>
          <w:szCs w:val="24"/>
        </w:rPr>
        <w:t>(5)</w:t>
      </w:r>
      <w:r w:rsidRPr="00E93220">
        <w:rPr>
          <w:rFonts w:eastAsia="Calibri"/>
          <w:sz w:val="24"/>
          <w:szCs w:val="24"/>
        </w:rPr>
        <w:t>. The Integrative Genomics Viewer (IGV)</w:t>
      </w:r>
      <w:r>
        <w:rPr>
          <w:rFonts w:eastAsia="Calibri"/>
          <w:sz w:val="24"/>
          <w:szCs w:val="24"/>
        </w:rPr>
        <w:t xml:space="preserve"> </w:t>
      </w:r>
      <w:r w:rsidRPr="00E93220">
        <w:rPr>
          <w:rFonts w:eastAsia="Calibri"/>
          <w:sz w:val="24"/>
          <w:szCs w:val="24"/>
        </w:rPr>
        <w:t xml:space="preserve">was used to visualize copy number data </w:t>
      </w:r>
      <w:r>
        <w:rPr>
          <w:rFonts w:eastAsia="Calibri"/>
          <w:noProof/>
          <w:sz w:val="24"/>
          <w:szCs w:val="24"/>
        </w:rPr>
        <w:t>(6)</w:t>
      </w:r>
      <w:r w:rsidRPr="00E93220">
        <w:rPr>
          <w:rFonts w:eastAsia="Calibri"/>
          <w:sz w:val="24"/>
          <w:szCs w:val="24"/>
        </w:rPr>
        <w:t>. Linear regression was applied to assess the correlation between miRNA expression and CNV.</w:t>
      </w:r>
    </w:p>
    <w:p w14:paraId="28827F91" w14:textId="77777777" w:rsidR="008370E4" w:rsidRPr="00E93220" w:rsidRDefault="008370E4" w:rsidP="008370E4">
      <w:pPr>
        <w:spacing w:line="480" w:lineRule="auto"/>
        <w:contextualSpacing/>
        <w:jc w:val="both"/>
        <w:rPr>
          <w:sz w:val="24"/>
          <w:szCs w:val="24"/>
        </w:rPr>
      </w:pPr>
    </w:p>
    <w:p w14:paraId="3164A41C" w14:textId="77777777" w:rsidR="008370E4" w:rsidRPr="00C12EB5" w:rsidRDefault="008370E4" w:rsidP="008370E4">
      <w:pPr>
        <w:spacing w:line="480" w:lineRule="auto"/>
        <w:contextualSpacing/>
        <w:jc w:val="both"/>
        <w:rPr>
          <w:i/>
          <w:sz w:val="24"/>
          <w:szCs w:val="24"/>
        </w:rPr>
      </w:pPr>
      <w:r w:rsidRPr="00C12EB5">
        <w:rPr>
          <w:rFonts w:eastAsia="Calibri"/>
          <w:b/>
          <w:bCs/>
          <w:i/>
          <w:sz w:val="24"/>
          <w:szCs w:val="24"/>
        </w:rPr>
        <w:t>TCGA DNA methylation Data Analysis</w:t>
      </w:r>
    </w:p>
    <w:p w14:paraId="7CF8961E" w14:textId="77777777" w:rsidR="008370E4" w:rsidRPr="00E93220" w:rsidRDefault="008370E4" w:rsidP="008370E4">
      <w:pPr>
        <w:spacing w:line="480" w:lineRule="auto"/>
        <w:contextualSpacing/>
        <w:jc w:val="both"/>
        <w:rPr>
          <w:sz w:val="24"/>
          <w:szCs w:val="24"/>
        </w:rPr>
      </w:pPr>
      <w:r w:rsidRPr="00E93220">
        <w:rPr>
          <w:rFonts w:eastAsia="Calibri"/>
          <w:sz w:val="24"/>
          <w:szCs w:val="24"/>
        </w:rPr>
        <w:t>For DNA methylation data analysis, we used Level 3 DNA methylation data for 279 HNSCC tumor</w:t>
      </w:r>
      <w:r w:rsidRPr="00E93220">
        <w:rPr>
          <w:sz w:val="24"/>
          <w:szCs w:val="24"/>
        </w:rPr>
        <w:t xml:space="preserve"> </w:t>
      </w:r>
      <w:r w:rsidRPr="00E93220">
        <w:rPr>
          <w:rFonts w:eastAsia="Calibri"/>
          <w:sz w:val="24"/>
          <w:szCs w:val="24"/>
        </w:rPr>
        <w:t xml:space="preserve">specimens </w:t>
      </w:r>
      <w:r>
        <w:rPr>
          <w:rFonts w:eastAsia="Calibri"/>
          <w:sz w:val="24"/>
          <w:szCs w:val="24"/>
        </w:rPr>
        <w:t>(3)</w:t>
      </w:r>
      <w:r w:rsidRPr="00E93220">
        <w:rPr>
          <w:rFonts w:eastAsia="Calibri"/>
          <w:sz w:val="24"/>
          <w:szCs w:val="24"/>
        </w:rPr>
        <w:t xml:space="preserve">. The data were represented as beta values (β) from Illumina </w:t>
      </w:r>
      <w:proofErr w:type="spellStart"/>
      <w:r w:rsidRPr="00E93220">
        <w:rPr>
          <w:rFonts w:eastAsia="Calibri"/>
          <w:sz w:val="24"/>
          <w:szCs w:val="24"/>
        </w:rPr>
        <w:t>HumanMethylation</w:t>
      </w:r>
      <w:proofErr w:type="spellEnd"/>
      <w:r w:rsidRPr="00E93220">
        <w:rPr>
          <w:rFonts w:eastAsia="Calibri"/>
          <w:sz w:val="24"/>
          <w:szCs w:val="24"/>
        </w:rPr>
        <w:t xml:space="preserve"> 450k array.</w:t>
      </w:r>
      <w:r w:rsidRPr="00E93220">
        <w:rPr>
          <w:sz w:val="24"/>
          <w:szCs w:val="24"/>
        </w:rPr>
        <w:t xml:space="preserve"> </w:t>
      </w:r>
      <w:r w:rsidRPr="00E93220">
        <w:rPr>
          <w:rFonts w:eastAsia="Calibri"/>
          <w:sz w:val="24"/>
          <w:szCs w:val="24"/>
        </w:rPr>
        <w:t>We found CpG probes in promoter regions of miRNAs from miR-30 family members using coordinates of</w:t>
      </w:r>
      <w:bookmarkStart w:id="4" w:name="page8"/>
      <w:bookmarkEnd w:id="4"/>
      <w:r w:rsidRPr="00E93220">
        <w:rPr>
          <w:rFonts w:eastAsia="Calibri"/>
          <w:sz w:val="24"/>
          <w:szCs w:val="24"/>
        </w:rPr>
        <w:t xml:space="preserve"> transcription start sites (TSS) </w:t>
      </w:r>
      <w:r>
        <w:rPr>
          <w:rFonts w:eastAsia="Calibri"/>
          <w:noProof/>
          <w:sz w:val="24"/>
          <w:szCs w:val="24"/>
        </w:rPr>
        <w:t>(7)</w:t>
      </w:r>
      <w:r w:rsidRPr="00E93220">
        <w:rPr>
          <w:rFonts w:eastAsia="Calibri"/>
          <w:sz w:val="24"/>
          <w:szCs w:val="24"/>
        </w:rPr>
        <w:t xml:space="preserve">. The promoter region was specified as ± 1500bp from TSS. For every CpG probe, we estimated the difference of miRNA abundance between unmethylated (β &lt; 0.1) and methylated (β &gt; 0.3) samples using a t-test. BH corrected P-values (FDR) from the t-tests were used to find CpG probes that were significantly differential between </w:t>
      </w:r>
      <w:proofErr w:type="spellStart"/>
      <w:r w:rsidRPr="00E93220">
        <w:rPr>
          <w:rFonts w:eastAsia="Calibri"/>
          <w:sz w:val="24"/>
          <w:szCs w:val="24"/>
        </w:rPr>
        <w:t>unmmethylated</w:t>
      </w:r>
      <w:proofErr w:type="spellEnd"/>
      <w:r w:rsidRPr="00E93220">
        <w:rPr>
          <w:rFonts w:eastAsia="Calibri"/>
          <w:sz w:val="24"/>
          <w:szCs w:val="24"/>
        </w:rPr>
        <w:t xml:space="preserve"> and methylated groups using a 0.05 threshold (</w:t>
      </w:r>
      <w:r w:rsidRPr="00F07410">
        <w:rPr>
          <w:rFonts w:eastAsia="Calibri"/>
          <w:sz w:val="24"/>
          <w:szCs w:val="24"/>
        </w:rPr>
        <w:t xml:space="preserve">Supplementary </w:t>
      </w:r>
      <w:r w:rsidRPr="00E93220">
        <w:rPr>
          <w:rFonts w:eastAsia="Calibri"/>
          <w:sz w:val="24"/>
          <w:szCs w:val="24"/>
        </w:rPr>
        <w:t xml:space="preserve">Table S7). Then, we averaged methylation beta values across significant probes for each </w:t>
      </w:r>
      <w:proofErr w:type="spellStart"/>
      <w:r w:rsidRPr="00E93220">
        <w:rPr>
          <w:rFonts w:eastAsia="Calibri"/>
          <w:sz w:val="24"/>
          <w:szCs w:val="24"/>
        </w:rPr>
        <w:t>miR</w:t>
      </w:r>
      <w:proofErr w:type="spellEnd"/>
      <w:r w:rsidRPr="00E93220">
        <w:rPr>
          <w:rFonts w:eastAsia="Calibri"/>
          <w:sz w:val="24"/>
          <w:szCs w:val="24"/>
        </w:rPr>
        <w:t xml:space="preserve"> and correlated them with the corresponding </w:t>
      </w:r>
      <w:proofErr w:type="spellStart"/>
      <w:r w:rsidRPr="00E93220">
        <w:rPr>
          <w:rFonts w:eastAsia="Calibri"/>
          <w:sz w:val="24"/>
          <w:szCs w:val="24"/>
        </w:rPr>
        <w:t>miR</w:t>
      </w:r>
      <w:proofErr w:type="spellEnd"/>
      <w:r w:rsidRPr="00E93220">
        <w:rPr>
          <w:rFonts w:eastAsia="Calibri"/>
          <w:sz w:val="24"/>
          <w:szCs w:val="24"/>
        </w:rPr>
        <w:t xml:space="preserve"> expression using Spearman’s correlation test.</w:t>
      </w:r>
    </w:p>
    <w:p w14:paraId="67A3F5D5" w14:textId="77777777" w:rsidR="008370E4" w:rsidRPr="00E93220" w:rsidRDefault="008370E4" w:rsidP="008370E4">
      <w:pPr>
        <w:spacing w:line="480" w:lineRule="auto"/>
        <w:contextualSpacing/>
        <w:jc w:val="both"/>
        <w:rPr>
          <w:sz w:val="24"/>
          <w:szCs w:val="24"/>
        </w:rPr>
      </w:pPr>
    </w:p>
    <w:p w14:paraId="181ACCD0" w14:textId="77777777" w:rsidR="008370E4" w:rsidRPr="00C12EB5" w:rsidRDefault="008370E4" w:rsidP="008370E4">
      <w:pPr>
        <w:spacing w:line="480" w:lineRule="auto"/>
        <w:contextualSpacing/>
        <w:jc w:val="both"/>
        <w:rPr>
          <w:i/>
          <w:sz w:val="24"/>
          <w:szCs w:val="24"/>
        </w:rPr>
      </w:pPr>
      <w:r w:rsidRPr="00C12EB5">
        <w:rPr>
          <w:rFonts w:eastAsia="Calibri"/>
          <w:b/>
          <w:bCs/>
          <w:i/>
          <w:sz w:val="24"/>
          <w:szCs w:val="24"/>
        </w:rPr>
        <w:t>Survival Analysis</w:t>
      </w:r>
    </w:p>
    <w:p w14:paraId="573018A2" w14:textId="77777777" w:rsidR="008370E4" w:rsidRPr="00E93220" w:rsidRDefault="008370E4" w:rsidP="008370E4">
      <w:pPr>
        <w:spacing w:line="480" w:lineRule="auto"/>
        <w:contextualSpacing/>
        <w:jc w:val="both"/>
        <w:rPr>
          <w:sz w:val="24"/>
          <w:szCs w:val="24"/>
        </w:rPr>
      </w:pPr>
      <w:r w:rsidRPr="00E93220">
        <w:rPr>
          <w:rFonts w:eastAsia="Calibri"/>
          <w:sz w:val="24"/>
          <w:szCs w:val="24"/>
        </w:rPr>
        <w:t>The survival analyses were performed with R package</w:t>
      </w:r>
      <w:r>
        <w:rPr>
          <w:rFonts w:eastAsia="Calibri"/>
          <w:sz w:val="24"/>
          <w:szCs w:val="24"/>
        </w:rPr>
        <w:t xml:space="preserve"> </w:t>
      </w:r>
      <w:r>
        <w:rPr>
          <w:rFonts w:eastAsia="Calibri"/>
          <w:noProof/>
          <w:sz w:val="24"/>
          <w:szCs w:val="24"/>
        </w:rPr>
        <w:t>(8)</w:t>
      </w:r>
      <w:r w:rsidRPr="00E93220">
        <w:rPr>
          <w:rFonts w:eastAsia="Calibri"/>
          <w:sz w:val="24"/>
          <w:szCs w:val="24"/>
        </w:rPr>
        <w:t xml:space="preserve">. The overall survival curves were obtained using Kaplan-Meier method and were compared using the log-rank test. The Cox proportional hazards model was used to estimate Hazard Ratios (HRs) with 95% Confidence Intervals (CIs). Subjects were dichotomized as low </w:t>
      </w:r>
      <w:proofErr w:type="spellStart"/>
      <w:r w:rsidRPr="00E93220">
        <w:rPr>
          <w:rFonts w:eastAsia="Calibri"/>
          <w:sz w:val="24"/>
          <w:szCs w:val="24"/>
        </w:rPr>
        <w:t>miR</w:t>
      </w:r>
      <w:proofErr w:type="spellEnd"/>
      <w:r w:rsidRPr="00E93220">
        <w:rPr>
          <w:rFonts w:eastAsia="Calibri"/>
          <w:sz w:val="24"/>
          <w:szCs w:val="24"/>
        </w:rPr>
        <w:t xml:space="preserve"> expression (&lt; median) and high </w:t>
      </w:r>
      <w:proofErr w:type="spellStart"/>
      <w:r w:rsidRPr="00E93220">
        <w:rPr>
          <w:rFonts w:eastAsia="Calibri"/>
          <w:sz w:val="24"/>
          <w:szCs w:val="24"/>
        </w:rPr>
        <w:t>miR</w:t>
      </w:r>
      <w:proofErr w:type="spellEnd"/>
      <w:r w:rsidRPr="00E93220">
        <w:rPr>
          <w:rFonts w:eastAsia="Calibri"/>
          <w:sz w:val="24"/>
          <w:szCs w:val="24"/>
        </w:rPr>
        <w:t xml:space="preserve"> expression (≥ median), using the median expression of each miRNA as a cutoff. To compare overall survival time by CNV, subjects were categorized as having MIR30E/A deletion if their GISTIC copy number value was less than −0.1, otherwise they were considered to have no deletion.</w:t>
      </w:r>
    </w:p>
    <w:p w14:paraId="6B2DED38" w14:textId="77777777" w:rsidR="008370E4" w:rsidRPr="00E93220" w:rsidRDefault="008370E4" w:rsidP="008370E4">
      <w:pPr>
        <w:spacing w:line="480" w:lineRule="auto"/>
        <w:contextualSpacing/>
        <w:jc w:val="both"/>
        <w:rPr>
          <w:sz w:val="24"/>
          <w:szCs w:val="24"/>
        </w:rPr>
      </w:pPr>
    </w:p>
    <w:p w14:paraId="5BF26C89" w14:textId="77777777" w:rsidR="008370E4" w:rsidRPr="00E93220" w:rsidRDefault="008370E4" w:rsidP="008370E4">
      <w:pPr>
        <w:spacing w:line="480" w:lineRule="auto"/>
        <w:contextualSpacing/>
        <w:jc w:val="both"/>
        <w:rPr>
          <w:sz w:val="24"/>
          <w:szCs w:val="24"/>
        </w:rPr>
      </w:pPr>
      <w:r w:rsidRPr="00E93220">
        <w:rPr>
          <w:rFonts w:eastAsia="Calibri"/>
          <w:b/>
          <w:bCs/>
          <w:sz w:val="24"/>
          <w:szCs w:val="24"/>
        </w:rPr>
        <w:t>Associations of miR-30 Genetic Alterations and Expression with Stage, Site, Smoking and HPV</w:t>
      </w:r>
    </w:p>
    <w:p w14:paraId="7E3AB2E2" w14:textId="77777777" w:rsidR="008370E4" w:rsidRPr="00E93220" w:rsidRDefault="008370E4" w:rsidP="008370E4">
      <w:pPr>
        <w:spacing w:line="480" w:lineRule="auto"/>
        <w:contextualSpacing/>
        <w:jc w:val="both"/>
        <w:rPr>
          <w:sz w:val="24"/>
          <w:szCs w:val="24"/>
        </w:rPr>
      </w:pPr>
      <w:r w:rsidRPr="0035083A">
        <w:rPr>
          <w:rFonts w:eastAsia="Calibri"/>
          <w:b/>
          <w:bCs/>
          <w:i/>
          <w:sz w:val="24"/>
          <w:szCs w:val="24"/>
        </w:rPr>
        <w:t>Status of HNSCC from TCGA Datasets</w:t>
      </w:r>
    </w:p>
    <w:p w14:paraId="2CED969E" w14:textId="77777777" w:rsidR="008370E4" w:rsidRPr="00E93220" w:rsidRDefault="008370E4" w:rsidP="008370E4">
      <w:pPr>
        <w:spacing w:line="480" w:lineRule="auto"/>
        <w:contextualSpacing/>
        <w:jc w:val="both"/>
        <w:rPr>
          <w:sz w:val="24"/>
          <w:szCs w:val="24"/>
        </w:rPr>
      </w:pPr>
      <w:r w:rsidRPr="00E93220">
        <w:rPr>
          <w:rFonts w:eastAsia="Calibri"/>
          <w:sz w:val="24"/>
          <w:szCs w:val="24"/>
        </w:rPr>
        <w:t>Fisher’s exact tests were used to assess associations between miR-30a-5p expression/methylation and clinical characteristics, or between miR-30e-5p expression/copy number loss and clinical characteristics from 279 HNSCC tumor samples of TCGA datasets. Statistical analyses were performed using R version 3.2.2. Significance was defined as p &lt; 0.05. Tumor site was classified as oral cavity if the tumor samples came from any of the following anatomic subdivisions: buccal mucosa, floor of mouth, hard palate, lip, oral cavity, oral tongue,</w:t>
      </w:r>
      <w:bookmarkStart w:id="5" w:name="page9"/>
      <w:bookmarkEnd w:id="5"/>
      <w:r>
        <w:rPr>
          <w:rFonts w:eastAsia="Calibri"/>
          <w:sz w:val="24"/>
          <w:szCs w:val="24"/>
        </w:rPr>
        <w:t xml:space="preserve"> </w:t>
      </w:r>
      <w:r w:rsidRPr="00E93220">
        <w:rPr>
          <w:rFonts w:eastAsia="Calibri"/>
          <w:sz w:val="24"/>
          <w:szCs w:val="24"/>
        </w:rPr>
        <w:t>and alveolar ridge; tumor site was classified as oropharynx if the tumor samples came from tonsil, base of tongue or oropharynx.</w:t>
      </w:r>
    </w:p>
    <w:p w14:paraId="31B7F175" w14:textId="77777777" w:rsidR="008370E4" w:rsidRPr="00E93220" w:rsidRDefault="008370E4" w:rsidP="008370E4">
      <w:pPr>
        <w:spacing w:line="480" w:lineRule="auto"/>
        <w:contextualSpacing/>
        <w:jc w:val="both"/>
        <w:rPr>
          <w:sz w:val="24"/>
          <w:szCs w:val="24"/>
        </w:rPr>
      </w:pPr>
    </w:p>
    <w:p w14:paraId="78B6E8F9" w14:textId="77777777" w:rsidR="008370E4" w:rsidRPr="00C12EB5" w:rsidRDefault="008370E4" w:rsidP="008370E4">
      <w:pPr>
        <w:spacing w:line="480" w:lineRule="auto"/>
        <w:contextualSpacing/>
        <w:jc w:val="both"/>
        <w:rPr>
          <w:i/>
          <w:sz w:val="24"/>
          <w:szCs w:val="24"/>
        </w:rPr>
      </w:pPr>
      <w:r w:rsidRPr="00C12EB5">
        <w:rPr>
          <w:rFonts w:eastAsia="Calibri"/>
          <w:b/>
          <w:bCs/>
          <w:i/>
          <w:sz w:val="24"/>
          <w:szCs w:val="24"/>
        </w:rPr>
        <w:t>Inverse Correlation of miR-30a Expression with Putative Target Genes</w:t>
      </w:r>
    </w:p>
    <w:p w14:paraId="1C147FA3" w14:textId="77777777" w:rsidR="008370E4" w:rsidRPr="00E93220" w:rsidRDefault="008370E4" w:rsidP="008370E4">
      <w:pPr>
        <w:spacing w:line="480" w:lineRule="auto"/>
        <w:contextualSpacing/>
        <w:jc w:val="both"/>
        <w:rPr>
          <w:sz w:val="24"/>
          <w:szCs w:val="24"/>
        </w:rPr>
      </w:pPr>
      <w:r w:rsidRPr="00E93220">
        <w:rPr>
          <w:rFonts w:eastAsia="Calibri"/>
          <w:sz w:val="24"/>
          <w:szCs w:val="24"/>
        </w:rPr>
        <w:t xml:space="preserve">Linear regression analysis was performed as describe previously </w:t>
      </w:r>
      <w:r>
        <w:rPr>
          <w:rFonts w:eastAsia="Calibri"/>
          <w:sz w:val="24"/>
          <w:szCs w:val="24"/>
        </w:rPr>
        <w:t>(3)</w:t>
      </w:r>
      <w:r w:rsidRPr="00E93220">
        <w:rPr>
          <w:rFonts w:eastAsia="Calibri"/>
          <w:sz w:val="24"/>
          <w:szCs w:val="24"/>
        </w:rPr>
        <w:t>. Briefly, inverse relationships between expressions of miR-30a-5p and its putative target genes were assessed using HNSCC TCGA datasets. P-values from linear regression measure the statistical significance of inverse relationship.</w:t>
      </w:r>
    </w:p>
    <w:p w14:paraId="59714856" w14:textId="77777777" w:rsidR="008370E4" w:rsidRPr="00E93220" w:rsidRDefault="008370E4" w:rsidP="008370E4">
      <w:pPr>
        <w:spacing w:line="480" w:lineRule="auto"/>
        <w:contextualSpacing/>
        <w:jc w:val="both"/>
        <w:rPr>
          <w:sz w:val="24"/>
          <w:szCs w:val="24"/>
        </w:rPr>
      </w:pPr>
    </w:p>
    <w:p w14:paraId="69F0E6F4" w14:textId="77777777" w:rsidR="008370E4" w:rsidRPr="00E93220" w:rsidRDefault="008370E4" w:rsidP="008370E4">
      <w:pPr>
        <w:spacing w:line="480" w:lineRule="auto"/>
        <w:contextualSpacing/>
        <w:jc w:val="both"/>
        <w:rPr>
          <w:sz w:val="24"/>
          <w:szCs w:val="24"/>
        </w:rPr>
      </w:pPr>
      <w:r w:rsidRPr="00C12EB5">
        <w:rPr>
          <w:rFonts w:eastAsia="Calibri"/>
          <w:b/>
          <w:bCs/>
          <w:i/>
          <w:sz w:val="24"/>
          <w:szCs w:val="24"/>
        </w:rPr>
        <w:t>HNSCC Cell Lines</w:t>
      </w:r>
    </w:p>
    <w:p w14:paraId="59D90511" w14:textId="0D6A6F76" w:rsidR="008370E4" w:rsidRPr="00E93220" w:rsidRDefault="008370E4" w:rsidP="008370E4">
      <w:pPr>
        <w:spacing w:line="480" w:lineRule="auto"/>
        <w:contextualSpacing/>
        <w:jc w:val="both"/>
        <w:rPr>
          <w:sz w:val="24"/>
          <w:szCs w:val="24"/>
        </w:rPr>
      </w:pPr>
      <w:r w:rsidRPr="00E93220">
        <w:rPr>
          <w:rFonts w:eastAsia="Calibri"/>
          <w:sz w:val="24"/>
          <w:szCs w:val="24"/>
        </w:rPr>
        <w:t>A panel of 10 HNSCC cell lines was obtained from the University of Michigan squamous cell carcinoma (UM-SCC) series from Dr. T.E. Carey. The origin of these UM-SCC cell lines was</w:t>
      </w:r>
      <w:r>
        <w:rPr>
          <w:rFonts w:eastAsia="Calibri"/>
          <w:sz w:val="24"/>
          <w:szCs w:val="24"/>
        </w:rPr>
        <w:t xml:space="preserve"> </w:t>
      </w:r>
      <w:r w:rsidRPr="00E93220">
        <w:rPr>
          <w:rFonts w:eastAsia="Calibri"/>
          <w:sz w:val="24"/>
          <w:szCs w:val="24"/>
        </w:rPr>
        <w:t xml:space="preserve">authenticated </w:t>
      </w:r>
      <w:r w:rsidR="00063730">
        <w:rPr>
          <w:rFonts w:eastAsia="Calibri"/>
          <w:sz w:val="24"/>
          <w:szCs w:val="24"/>
        </w:rPr>
        <w:t xml:space="preserve">in 2010 </w:t>
      </w:r>
      <w:r w:rsidRPr="00E93220">
        <w:rPr>
          <w:rFonts w:eastAsia="Calibri"/>
          <w:sz w:val="24"/>
          <w:szCs w:val="24"/>
        </w:rPr>
        <w:t xml:space="preserve">by genotyping with 9 markers as described previously </w:t>
      </w:r>
      <w:r>
        <w:rPr>
          <w:rFonts w:eastAsia="Calibri"/>
          <w:noProof/>
          <w:sz w:val="24"/>
          <w:szCs w:val="24"/>
        </w:rPr>
        <w:t>(9)</w:t>
      </w:r>
      <w:r w:rsidR="00063730">
        <w:rPr>
          <w:rFonts w:eastAsia="Calibri"/>
          <w:noProof/>
          <w:sz w:val="24"/>
          <w:szCs w:val="24"/>
        </w:rPr>
        <w:t>, and frozen stocks verified to be free of mycoplasma by RT-PCR were established</w:t>
      </w:r>
      <w:bookmarkStart w:id="6" w:name="_GoBack"/>
      <w:bookmarkEnd w:id="6"/>
      <w:r w:rsidRPr="00E93220">
        <w:rPr>
          <w:rFonts w:eastAsia="Calibri"/>
          <w:sz w:val="24"/>
          <w:szCs w:val="24"/>
        </w:rPr>
        <w:t>. Preserved frozen stocks of lines were used within 3 months of culture. These HNSCC cell lines are also well characterized</w:t>
      </w:r>
      <w:r>
        <w:rPr>
          <w:rFonts w:eastAsia="Calibri"/>
          <w:sz w:val="24"/>
          <w:szCs w:val="24"/>
        </w:rPr>
        <w:t xml:space="preserve"> </w:t>
      </w:r>
      <w:r w:rsidRPr="00E93220">
        <w:rPr>
          <w:rFonts w:eastAsia="Calibri"/>
          <w:sz w:val="24"/>
          <w:szCs w:val="24"/>
        </w:rPr>
        <w:t xml:space="preserve">for TP53 status </w:t>
      </w:r>
      <w:r>
        <w:rPr>
          <w:rFonts w:eastAsia="Calibri"/>
          <w:noProof/>
          <w:sz w:val="24"/>
          <w:szCs w:val="24"/>
        </w:rPr>
        <w:t>(10)</w:t>
      </w:r>
      <w:r w:rsidRPr="00E93220">
        <w:rPr>
          <w:rFonts w:eastAsia="Calibri"/>
          <w:sz w:val="24"/>
          <w:szCs w:val="24"/>
        </w:rPr>
        <w:t xml:space="preserve">. UM-SCC cell lines were cultured in minimal essential medium supplemented with 10% fetal calf serum, penicillin and streptomycin (100 µg/mL), MEM Non-Essential Amino Acids. Human primary oral keratinocytes (HOK) from oral gingival mucosa were purchased from </w:t>
      </w:r>
      <w:proofErr w:type="gramStart"/>
      <w:r w:rsidRPr="00E93220">
        <w:rPr>
          <w:rFonts w:eastAsia="Calibri"/>
          <w:sz w:val="24"/>
          <w:szCs w:val="24"/>
        </w:rPr>
        <w:t>Lonza, and</w:t>
      </w:r>
      <w:proofErr w:type="gramEnd"/>
      <w:r w:rsidRPr="00E93220">
        <w:rPr>
          <w:rFonts w:eastAsia="Calibri"/>
          <w:sz w:val="24"/>
          <w:szCs w:val="24"/>
        </w:rPr>
        <w:t xml:space="preserve"> were used as a control cell line. The cells were cultured in serum free Oral Keratinocyte Medium with supplements (Science Cell) for less than five passages.</w:t>
      </w:r>
    </w:p>
    <w:p w14:paraId="75A442A0" w14:textId="77777777" w:rsidR="008370E4" w:rsidRPr="00E93220" w:rsidRDefault="008370E4" w:rsidP="008370E4">
      <w:pPr>
        <w:spacing w:line="480" w:lineRule="auto"/>
        <w:contextualSpacing/>
        <w:jc w:val="both"/>
        <w:rPr>
          <w:sz w:val="24"/>
          <w:szCs w:val="24"/>
        </w:rPr>
      </w:pPr>
    </w:p>
    <w:p w14:paraId="399CF215" w14:textId="77777777" w:rsidR="008370E4" w:rsidRPr="00C466EC" w:rsidRDefault="008370E4" w:rsidP="008370E4">
      <w:pPr>
        <w:spacing w:line="480" w:lineRule="auto"/>
        <w:contextualSpacing/>
        <w:jc w:val="both"/>
        <w:rPr>
          <w:i/>
          <w:sz w:val="24"/>
          <w:szCs w:val="24"/>
          <w:lang w:val="it-IT"/>
        </w:rPr>
      </w:pPr>
      <w:r w:rsidRPr="00C466EC">
        <w:rPr>
          <w:rFonts w:eastAsia="Calibri"/>
          <w:b/>
          <w:bCs/>
          <w:sz w:val="24"/>
          <w:szCs w:val="24"/>
          <w:lang w:val="it-IT"/>
        </w:rPr>
        <w:t>In Vitro</w:t>
      </w:r>
      <w:r w:rsidRPr="00C466EC">
        <w:rPr>
          <w:rFonts w:eastAsia="Calibri"/>
          <w:b/>
          <w:bCs/>
          <w:i/>
          <w:sz w:val="24"/>
          <w:szCs w:val="24"/>
          <w:lang w:val="it-IT"/>
        </w:rPr>
        <w:t xml:space="preserve"> microRNA Mimic Viability Screen</w:t>
      </w:r>
    </w:p>
    <w:p w14:paraId="54FFD024" w14:textId="77777777" w:rsidR="008370E4" w:rsidRPr="00E93220" w:rsidRDefault="008370E4" w:rsidP="008370E4">
      <w:pPr>
        <w:spacing w:line="480" w:lineRule="auto"/>
        <w:contextualSpacing/>
        <w:jc w:val="both"/>
        <w:rPr>
          <w:sz w:val="24"/>
          <w:szCs w:val="24"/>
        </w:rPr>
      </w:pPr>
      <w:r w:rsidRPr="00E93220">
        <w:rPr>
          <w:rFonts w:eastAsia="Calibri"/>
          <w:sz w:val="24"/>
          <w:szCs w:val="24"/>
        </w:rPr>
        <w:t>Cells were maintained in MEM containing 10% heat inactivated fetal bovine serum (FBS) supplemented with non-essential amino acids and sodium pyruvate. Transfections were</w:t>
      </w:r>
      <w:r>
        <w:rPr>
          <w:rFonts w:eastAsia="Calibri"/>
          <w:sz w:val="24"/>
          <w:szCs w:val="24"/>
        </w:rPr>
        <w:t xml:space="preserve"> </w:t>
      </w:r>
      <w:bookmarkStart w:id="7" w:name="page10"/>
      <w:bookmarkEnd w:id="7"/>
      <w:r w:rsidRPr="00E93220">
        <w:rPr>
          <w:rFonts w:eastAsia="Calibri"/>
          <w:sz w:val="24"/>
          <w:szCs w:val="24"/>
        </w:rPr>
        <w:t xml:space="preserve">performed in 384-well plates (Corning 3570). Cell viability was measured using </w:t>
      </w:r>
      <w:proofErr w:type="spellStart"/>
      <w:r w:rsidRPr="00E93220">
        <w:rPr>
          <w:rFonts w:eastAsia="Calibri"/>
          <w:sz w:val="24"/>
          <w:szCs w:val="24"/>
        </w:rPr>
        <w:t>CellTiter</w:t>
      </w:r>
      <w:proofErr w:type="spellEnd"/>
      <w:r w:rsidRPr="00E93220">
        <w:rPr>
          <w:rFonts w:eastAsia="Calibri"/>
          <w:sz w:val="24"/>
          <w:szCs w:val="24"/>
        </w:rPr>
        <w:t xml:space="preserve"> Glo</w:t>
      </w:r>
      <w:r>
        <w:rPr>
          <w:rFonts w:eastAsia="Calibri"/>
          <w:sz w:val="24"/>
          <w:szCs w:val="24"/>
        </w:rPr>
        <w:t xml:space="preserve"> </w:t>
      </w:r>
    </w:p>
    <w:p w14:paraId="74E0DDFA" w14:textId="77777777" w:rsidR="008370E4" w:rsidRPr="00E93220" w:rsidRDefault="008370E4" w:rsidP="008370E4">
      <w:pPr>
        <w:tabs>
          <w:tab w:val="left" w:pos="3300"/>
        </w:tabs>
        <w:spacing w:line="480" w:lineRule="auto"/>
        <w:contextualSpacing/>
        <w:jc w:val="both"/>
        <w:rPr>
          <w:sz w:val="24"/>
          <w:szCs w:val="24"/>
        </w:rPr>
      </w:pPr>
      <w:r w:rsidRPr="00E93220">
        <w:rPr>
          <w:rFonts w:eastAsia="Calibri"/>
          <w:sz w:val="24"/>
          <w:szCs w:val="24"/>
        </w:rPr>
        <w:t>(Promega). For transfections, 20</w:t>
      </w:r>
      <w:r w:rsidRPr="00E93220">
        <w:rPr>
          <w:sz w:val="24"/>
          <w:szCs w:val="24"/>
        </w:rPr>
        <w:tab/>
      </w:r>
      <w:r w:rsidRPr="00E93220">
        <w:rPr>
          <w:rFonts w:eastAsia="Calibri"/>
          <w:sz w:val="24"/>
          <w:szCs w:val="24"/>
        </w:rPr>
        <w:t xml:space="preserve">L of serum free media containing Lipofectamine </w:t>
      </w:r>
      <w:proofErr w:type="spellStart"/>
      <w:r w:rsidRPr="00E93220">
        <w:rPr>
          <w:rFonts w:eastAsia="Calibri"/>
          <w:sz w:val="24"/>
          <w:szCs w:val="24"/>
        </w:rPr>
        <w:t>RNAiMax</w:t>
      </w:r>
      <w:proofErr w:type="spellEnd"/>
      <w:r w:rsidRPr="00E93220">
        <w:rPr>
          <w:rFonts w:eastAsia="Calibri"/>
          <w:sz w:val="24"/>
          <w:szCs w:val="24"/>
        </w:rPr>
        <w:t xml:space="preserve"> (0.1L) was added to wells containing </w:t>
      </w:r>
      <w:proofErr w:type="spellStart"/>
      <w:r w:rsidRPr="00E93220">
        <w:rPr>
          <w:rFonts w:eastAsia="Calibri"/>
          <w:sz w:val="24"/>
          <w:szCs w:val="24"/>
        </w:rPr>
        <w:t>miR</w:t>
      </w:r>
      <w:proofErr w:type="spellEnd"/>
      <w:r w:rsidRPr="00E93220">
        <w:rPr>
          <w:rFonts w:eastAsia="Calibri"/>
          <w:sz w:val="24"/>
          <w:szCs w:val="24"/>
        </w:rPr>
        <w:t xml:space="preserve"> mimic (0.8 </w:t>
      </w:r>
      <w:proofErr w:type="spellStart"/>
      <w:r w:rsidRPr="00E93220">
        <w:rPr>
          <w:rFonts w:eastAsia="Calibri"/>
          <w:sz w:val="24"/>
          <w:szCs w:val="24"/>
        </w:rPr>
        <w:t>pmol</w:t>
      </w:r>
      <w:proofErr w:type="spellEnd"/>
      <w:r w:rsidRPr="00E93220">
        <w:rPr>
          <w:rFonts w:eastAsia="Calibri"/>
          <w:sz w:val="24"/>
          <w:szCs w:val="24"/>
        </w:rPr>
        <w:t xml:space="preserve">). Lipid and </w:t>
      </w:r>
      <w:proofErr w:type="spellStart"/>
      <w:r w:rsidRPr="00E93220">
        <w:rPr>
          <w:rFonts w:eastAsia="Calibri"/>
          <w:sz w:val="24"/>
          <w:szCs w:val="24"/>
        </w:rPr>
        <w:t>miR</w:t>
      </w:r>
      <w:proofErr w:type="spellEnd"/>
      <w:r w:rsidRPr="00E93220">
        <w:rPr>
          <w:rFonts w:eastAsia="Calibri"/>
          <w:sz w:val="24"/>
          <w:szCs w:val="24"/>
        </w:rPr>
        <w:t xml:space="preserve"> mimic were allowed to complex for 45 min at ambient temperature before addition of 1500 cells in MEM, 20% FBS to yield final transfection mixtures containing 20 </w:t>
      </w:r>
      <w:proofErr w:type="spellStart"/>
      <w:r w:rsidRPr="00E93220">
        <w:rPr>
          <w:rFonts w:eastAsia="Calibri"/>
          <w:sz w:val="24"/>
          <w:szCs w:val="24"/>
        </w:rPr>
        <w:t>nM</w:t>
      </w:r>
      <w:proofErr w:type="spellEnd"/>
      <w:r w:rsidRPr="00E93220">
        <w:rPr>
          <w:rFonts w:eastAsia="Calibri"/>
          <w:sz w:val="24"/>
          <w:szCs w:val="24"/>
        </w:rPr>
        <w:t xml:space="preserve"> </w:t>
      </w:r>
      <w:proofErr w:type="spellStart"/>
      <w:r w:rsidRPr="00E93220">
        <w:rPr>
          <w:rFonts w:eastAsia="Calibri"/>
          <w:sz w:val="24"/>
          <w:szCs w:val="24"/>
        </w:rPr>
        <w:t>miR</w:t>
      </w:r>
      <w:proofErr w:type="spellEnd"/>
      <w:r w:rsidRPr="00E93220">
        <w:rPr>
          <w:rFonts w:eastAsia="Calibri"/>
          <w:sz w:val="24"/>
          <w:szCs w:val="24"/>
        </w:rPr>
        <w:t xml:space="preserve"> mimic in MEM, 10% FBS.</w:t>
      </w:r>
    </w:p>
    <w:p w14:paraId="71B0A50C" w14:textId="77777777" w:rsidR="008370E4" w:rsidRPr="00E93220" w:rsidRDefault="008370E4" w:rsidP="008370E4">
      <w:pPr>
        <w:spacing w:line="480" w:lineRule="auto"/>
        <w:contextualSpacing/>
        <w:jc w:val="both"/>
        <w:rPr>
          <w:sz w:val="24"/>
          <w:szCs w:val="24"/>
        </w:rPr>
      </w:pPr>
      <w:r w:rsidRPr="00E93220">
        <w:rPr>
          <w:rFonts w:eastAsia="Calibri"/>
          <w:sz w:val="24"/>
          <w:szCs w:val="24"/>
        </w:rPr>
        <w:t xml:space="preserve">The screening campaign was conducted a </w:t>
      </w:r>
      <w:proofErr w:type="spellStart"/>
      <w:r w:rsidRPr="00E93220">
        <w:rPr>
          <w:rFonts w:eastAsia="Calibri"/>
          <w:sz w:val="24"/>
          <w:szCs w:val="24"/>
        </w:rPr>
        <w:t>miR</w:t>
      </w:r>
      <w:proofErr w:type="spellEnd"/>
      <w:r w:rsidRPr="00E93220">
        <w:rPr>
          <w:rFonts w:eastAsia="Calibri"/>
          <w:sz w:val="24"/>
          <w:szCs w:val="24"/>
        </w:rPr>
        <w:t xml:space="preserve"> mimic library (Qiagen) based on Sanger </w:t>
      </w:r>
      <w:proofErr w:type="spellStart"/>
      <w:r w:rsidRPr="00E93220">
        <w:rPr>
          <w:rFonts w:eastAsia="Calibri"/>
          <w:sz w:val="24"/>
          <w:szCs w:val="24"/>
        </w:rPr>
        <w:t>miRBase</w:t>
      </w:r>
      <w:proofErr w:type="spellEnd"/>
      <w:r w:rsidRPr="00E93220">
        <w:rPr>
          <w:rFonts w:eastAsia="Calibri"/>
          <w:sz w:val="24"/>
          <w:szCs w:val="24"/>
        </w:rPr>
        <w:t xml:space="preserve"> 13.0 and consisting of ~800 mimics. Viability (</w:t>
      </w:r>
      <w:proofErr w:type="spellStart"/>
      <w:r w:rsidRPr="00E93220">
        <w:rPr>
          <w:rFonts w:eastAsia="Calibri"/>
          <w:sz w:val="24"/>
          <w:szCs w:val="24"/>
        </w:rPr>
        <w:t>CellTiter</w:t>
      </w:r>
      <w:proofErr w:type="spellEnd"/>
      <w:r w:rsidRPr="00E93220">
        <w:rPr>
          <w:rFonts w:eastAsia="Calibri"/>
          <w:sz w:val="24"/>
          <w:szCs w:val="24"/>
        </w:rPr>
        <w:t xml:space="preserve"> Glo, Promega) was assayed 72 h post-transfection on a PerkinElmer Envision 2104 Multilabel plate reader. </w:t>
      </w:r>
      <w:proofErr w:type="spellStart"/>
      <w:r w:rsidRPr="00E93220">
        <w:rPr>
          <w:rFonts w:eastAsia="Calibri"/>
          <w:sz w:val="24"/>
          <w:szCs w:val="24"/>
        </w:rPr>
        <w:t>Ambion</w:t>
      </w:r>
      <w:proofErr w:type="spellEnd"/>
      <w:r w:rsidRPr="00E93220">
        <w:rPr>
          <w:rFonts w:eastAsia="Calibri"/>
          <w:sz w:val="24"/>
          <w:szCs w:val="24"/>
        </w:rPr>
        <w:t xml:space="preserve"> Silencer Select Negative Control #2 was incorporated on all screening plates for normalization (16 wells per plate; the median negative control value on each plate was used to normalize sample wells).</w:t>
      </w:r>
    </w:p>
    <w:p w14:paraId="20B8A67C" w14:textId="77777777" w:rsidR="008370E4" w:rsidRPr="00E93220" w:rsidRDefault="008370E4" w:rsidP="008370E4">
      <w:pPr>
        <w:spacing w:line="480" w:lineRule="auto"/>
        <w:contextualSpacing/>
        <w:jc w:val="both"/>
        <w:rPr>
          <w:sz w:val="24"/>
          <w:szCs w:val="24"/>
        </w:rPr>
      </w:pPr>
      <w:r w:rsidRPr="00E93220">
        <w:rPr>
          <w:rFonts w:eastAsia="Calibri"/>
          <w:sz w:val="24"/>
          <w:szCs w:val="24"/>
        </w:rPr>
        <w:t xml:space="preserve">Qiagen’s </w:t>
      </w:r>
      <w:proofErr w:type="spellStart"/>
      <w:r w:rsidRPr="00E93220">
        <w:rPr>
          <w:rFonts w:eastAsia="Calibri"/>
          <w:sz w:val="24"/>
          <w:szCs w:val="24"/>
        </w:rPr>
        <w:t>AllStars</w:t>
      </w:r>
      <w:proofErr w:type="spellEnd"/>
      <w:r w:rsidRPr="00E93220">
        <w:rPr>
          <w:rFonts w:eastAsia="Calibri"/>
          <w:sz w:val="24"/>
          <w:szCs w:val="24"/>
        </w:rPr>
        <w:t xml:space="preserve"> Cell Death control was incorporated as a positive transfection control (16 wells per plate). All screen plates exhibited assay z’-factors greater than 0.6. Negative control normalized viability data was converted into robust z-scores using the median absolute deviation</w:t>
      </w:r>
    </w:p>
    <w:p w14:paraId="66D7B6E4" w14:textId="77777777" w:rsidR="008370E4" w:rsidRPr="00E93220" w:rsidRDefault="008370E4" w:rsidP="008370E4">
      <w:pPr>
        <w:spacing w:line="480" w:lineRule="auto"/>
        <w:contextualSpacing/>
        <w:jc w:val="both"/>
        <w:rPr>
          <w:sz w:val="24"/>
          <w:szCs w:val="24"/>
        </w:rPr>
      </w:pPr>
      <w:r w:rsidRPr="00E93220">
        <w:rPr>
          <w:rFonts w:eastAsia="Calibri"/>
          <w:sz w:val="24"/>
          <w:szCs w:val="24"/>
        </w:rPr>
        <w:t xml:space="preserve">(MAD) </w:t>
      </w:r>
      <w:r>
        <w:rPr>
          <w:rFonts w:eastAsia="Calibri"/>
          <w:noProof/>
          <w:sz w:val="24"/>
          <w:szCs w:val="24"/>
        </w:rPr>
        <w:t>(11)</w:t>
      </w:r>
      <w:r w:rsidRPr="00E93220">
        <w:rPr>
          <w:rFonts w:eastAsia="Calibri"/>
          <w:sz w:val="24"/>
          <w:szCs w:val="24"/>
        </w:rPr>
        <w:t>.</w:t>
      </w:r>
    </w:p>
    <w:p w14:paraId="7C902C7B" w14:textId="77777777" w:rsidR="008370E4" w:rsidRPr="00E93220" w:rsidRDefault="008370E4" w:rsidP="008370E4">
      <w:pPr>
        <w:spacing w:line="480" w:lineRule="auto"/>
        <w:contextualSpacing/>
        <w:jc w:val="both"/>
        <w:rPr>
          <w:sz w:val="24"/>
          <w:szCs w:val="24"/>
        </w:rPr>
      </w:pPr>
    </w:p>
    <w:p w14:paraId="42075ADA" w14:textId="77777777" w:rsidR="008370E4" w:rsidRPr="00C12EB5" w:rsidRDefault="008370E4" w:rsidP="008370E4">
      <w:pPr>
        <w:spacing w:line="480" w:lineRule="auto"/>
        <w:contextualSpacing/>
        <w:jc w:val="both"/>
        <w:rPr>
          <w:i/>
          <w:sz w:val="24"/>
          <w:szCs w:val="24"/>
        </w:rPr>
      </w:pPr>
      <w:r w:rsidRPr="00C12EB5">
        <w:rPr>
          <w:rFonts w:eastAsia="Calibri"/>
          <w:b/>
          <w:bCs/>
          <w:i/>
          <w:sz w:val="24"/>
          <w:szCs w:val="24"/>
        </w:rPr>
        <w:t>RT-PCR Validation of mRNA Targets</w:t>
      </w:r>
    </w:p>
    <w:p w14:paraId="2F3533E4" w14:textId="77777777" w:rsidR="008370E4" w:rsidRPr="00E93220" w:rsidRDefault="008370E4" w:rsidP="008370E4">
      <w:pPr>
        <w:spacing w:line="480" w:lineRule="auto"/>
        <w:contextualSpacing/>
        <w:jc w:val="both"/>
        <w:rPr>
          <w:sz w:val="24"/>
          <w:szCs w:val="24"/>
        </w:rPr>
      </w:pPr>
      <w:r w:rsidRPr="00E93220">
        <w:rPr>
          <w:rFonts w:eastAsia="Calibri"/>
          <w:sz w:val="24"/>
          <w:szCs w:val="24"/>
        </w:rPr>
        <w:t>2x10</w:t>
      </w:r>
      <w:r w:rsidRPr="00E93220">
        <w:rPr>
          <w:rFonts w:eastAsia="Calibri"/>
          <w:sz w:val="24"/>
          <w:szCs w:val="24"/>
          <w:vertAlign w:val="superscript"/>
        </w:rPr>
        <w:t>5</w:t>
      </w:r>
      <w:r w:rsidRPr="00E93220">
        <w:rPr>
          <w:rFonts w:eastAsia="Calibri"/>
          <w:sz w:val="24"/>
          <w:szCs w:val="24"/>
        </w:rPr>
        <w:t xml:space="preserve"> UM-SCC-46 cells were plated in each well of a 6-well plate. 15 </w:t>
      </w:r>
      <w:proofErr w:type="spellStart"/>
      <w:r w:rsidRPr="00E93220">
        <w:rPr>
          <w:rFonts w:eastAsia="Calibri"/>
          <w:sz w:val="24"/>
          <w:szCs w:val="24"/>
        </w:rPr>
        <w:t>nM</w:t>
      </w:r>
      <w:proofErr w:type="spellEnd"/>
      <w:r w:rsidRPr="00E93220">
        <w:rPr>
          <w:rFonts w:eastAsia="Calibri"/>
          <w:sz w:val="24"/>
          <w:szCs w:val="24"/>
        </w:rPr>
        <w:t xml:space="preserve"> of </w:t>
      </w:r>
      <w:proofErr w:type="spellStart"/>
      <w:r w:rsidRPr="00E93220">
        <w:rPr>
          <w:rFonts w:eastAsia="Calibri"/>
          <w:sz w:val="24"/>
          <w:szCs w:val="24"/>
        </w:rPr>
        <w:t>mirVana</w:t>
      </w:r>
      <w:proofErr w:type="spellEnd"/>
      <w:r w:rsidRPr="00E93220">
        <w:rPr>
          <w:rFonts w:eastAsia="Calibri"/>
          <w:sz w:val="24"/>
          <w:szCs w:val="24"/>
        </w:rPr>
        <w:t xml:space="preserve"> microRNA mimic or inhibitor (Life Technologies) was reverse transfected using 3.75 </w:t>
      </w:r>
      <w:proofErr w:type="spellStart"/>
      <w:r w:rsidRPr="00E93220">
        <w:rPr>
          <w:rFonts w:eastAsia="Calibri"/>
          <w:sz w:val="24"/>
          <w:szCs w:val="24"/>
        </w:rPr>
        <w:t>uL</w:t>
      </w:r>
      <w:proofErr w:type="spellEnd"/>
      <w:r w:rsidRPr="00E93220">
        <w:rPr>
          <w:rFonts w:eastAsia="Calibri"/>
          <w:sz w:val="24"/>
          <w:szCs w:val="24"/>
        </w:rPr>
        <w:t xml:space="preserve"> of Lipofectamine</w:t>
      </w:r>
      <w:r>
        <w:rPr>
          <w:rFonts w:eastAsia="Calibri"/>
          <w:sz w:val="24"/>
          <w:szCs w:val="24"/>
        </w:rPr>
        <w:t xml:space="preserve"> </w:t>
      </w:r>
      <w:proofErr w:type="spellStart"/>
      <w:r w:rsidRPr="00E93220">
        <w:rPr>
          <w:rFonts w:eastAsia="Calibri"/>
          <w:sz w:val="24"/>
          <w:szCs w:val="24"/>
        </w:rPr>
        <w:t>RNAiMAX</w:t>
      </w:r>
      <w:proofErr w:type="spellEnd"/>
      <w:r w:rsidRPr="00E93220">
        <w:rPr>
          <w:rFonts w:eastAsia="Calibri"/>
          <w:sz w:val="24"/>
          <w:szCs w:val="24"/>
        </w:rPr>
        <w:t xml:space="preserve"> by standard manufacturer’s protocol (Life Technologies) for 48-72 h. Then cells were washed with </w:t>
      </w:r>
      <w:proofErr w:type="gramStart"/>
      <w:r w:rsidRPr="00E93220">
        <w:rPr>
          <w:rFonts w:eastAsia="Calibri"/>
          <w:sz w:val="24"/>
          <w:szCs w:val="24"/>
        </w:rPr>
        <w:t>PBS, and</w:t>
      </w:r>
      <w:proofErr w:type="gramEnd"/>
      <w:r w:rsidRPr="00E93220">
        <w:rPr>
          <w:rFonts w:eastAsia="Calibri"/>
          <w:sz w:val="24"/>
          <w:szCs w:val="24"/>
        </w:rPr>
        <w:t xml:space="preserve"> collected into 0.5 mL </w:t>
      </w:r>
      <w:proofErr w:type="spellStart"/>
      <w:r w:rsidRPr="00E93220">
        <w:rPr>
          <w:rFonts w:eastAsia="Calibri"/>
          <w:sz w:val="24"/>
          <w:szCs w:val="24"/>
        </w:rPr>
        <w:t>Trizol</w:t>
      </w:r>
      <w:proofErr w:type="spellEnd"/>
      <w:r w:rsidRPr="00E93220">
        <w:rPr>
          <w:rFonts w:eastAsia="Calibri"/>
          <w:sz w:val="24"/>
          <w:szCs w:val="24"/>
        </w:rPr>
        <w:t xml:space="preserve"> reagent. Total RNA was purified using </w:t>
      </w:r>
      <w:proofErr w:type="spellStart"/>
      <w:r w:rsidRPr="00E93220">
        <w:rPr>
          <w:rFonts w:eastAsia="Calibri"/>
          <w:sz w:val="24"/>
          <w:szCs w:val="24"/>
        </w:rPr>
        <w:t>mirVana</w:t>
      </w:r>
      <w:proofErr w:type="spellEnd"/>
      <w:r w:rsidRPr="00E93220">
        <w:rPr>
          <w:rFonts w:eastAsia="Calibri"/>
          <w:sz w:val="24"/>
          <w:szCs w:val="24"/>
        </w:rPr>
        <w:t xml:space="preserve"> </w:t>
      </w:r>
      <w:proofErr w:type="spellStart"/>
      <w:r w:rsidRPr="00E93220">
        <w:rPr>
          <w:rFonts w:eastAsia="Calibri"/>
          <w:sz w:val="24"/>
          <w:szCs w:val="24"/>
        </w:rPr>
        <w:t>miR</w:t>
      </w:r>
      <w:proofErr w:type="spellEnd"/>
      <w:r w:rsidRPr="00E93220">
        <w:rPr>
          <w:rFonts w:eastAsia="Calibri"/>
          <w:sz w:val="24"/>
          <w:szCs w:val="24"/>
        </w:rPr>
        <w:t xml:space="preserve"> isolation Kit (</w:t>
      </w:r>
      <w:proofErr w:type="spellStart"/>
      <w:r w:rsidRPr="00E93220">
        <w:rPr>
          <w:rFonts w:eastAsia="Calibri"/>
          <w:sz w:val="24"/>
          <w:szCs w:val="24"/>
        </w:rPr>
        <w:t>Ambion</w:t>
      </w:r>
      <w:proofErr w:type="spellEnd"/>
      <w:r w:rsidRPr="00E93220">
        <w:rPr>
          <w:rFonts w:eastAsia="Calibri"/>
          <w:sz w:val="24"/>
          <w:szCs w:val="24"/>
        </w:rPr>
        <w:t>). Two µg of total RNA was reverse transcribed using a high capacity cDNA reverse transcription kit (Applied Biosystems) following manufacturer’s instructions. mRNA</w:t>
      </w:r>
      <w:bookmarkStart w:id="8" w:name="page11"/>
      <w:bookmarkEnd w:id="8"/>
      <w:r>
        <w:rPr>
          <w:rFonts w:eastAsia="Calibri"/>
          <w:sz w:val="24"/>
          <w:szCs w:val="24"/>
        </w:rPr>
        <w:t xml:space="preserve"> </w:t>
      </w:r>
      <w:r w:rsidRPr="00E93220">
        <w:rPr>
          <w:rFonts w:eastAsia="Calibri"/>
          <w:sz w:val="24"/>
          <w:szCs w:val="24"/>
        </w:rPr>
        <w:t>expression levels were assessed by real time-PCR using TaqMan® gene expression assays (Applied Biosystems), with 40 ng of cDNA was used in each reaction. Reactions were run on an ABI 7900HT real-time PCR machine. Expression levels were normalized to 18S as an endogenous loading control.</w:t>
      </w:r>
      <w:r w:rsidRPr="00E93220">
        <w:rPr>
          <w:color w:val="000000" w:themeColor="text1"/>
          <w:sz w:val="24"/>
          <w:szCs w:val="24"/>
        </w:rPr>
        <w:t xml:space="preserve"> We verified that transfection resulted in an ~</w:t>
      </w:r>
      <w:proofErr w:type="gramStart"/>
      <w:r w:rsidRPr="00E93220">
        <w:rPr>
          <w:color w:val="000000" w:themeColor="text1"/>
          <w:sz w:val="24"/>
          <w:szCs w:val="24"/>
        </w:rPr>
        <w:t>250 fold</w:t>
      </w:r>
      <w:proofErr w:type="gramEnd"/>
      <w:r w:rsidRPr="00E93220">
        <w:rPr>
          <w:color w:val="000000" w:themeColor="text1"/>
          <w:sz w:val="24"/>
          <w:szCs w:val="24"/>
        </w:rPr>
        <w:t xml:space="preserve"> increase in total miR30a expression by RT-PCR, consistent with an estimated increase of ~12.5% miR30a available in the non-endosomal fraction (data not shown).</w:t>
      </w:r>
    </w:p>
    <w:p w14:paraId="27146B60" w14:textId="77777777" w:rsidR="008370E4" w:rsidRPr="00E93220" w:rsidRDefault="008370E4" w:rsidP="008370E4">
      <w:pPr>
        <w:spacing w:line="480" w:lineRule="auto"/>
        <w:contextualSpacing/>
        <w:jc w:val="both"/>
        <w:rPr>
          <w:sz w:val="24"/>
          <w:szCs w:val="24"/>
        </w:rPr>
      </w:pPr>
    </w:p>
    <w:p w14:paraId="364FF9A6" w14:textId="0619159C" w:rsidR="008C7DAC" w:rsidRDefault="008C7DAC" w:rsidP="008370E4">
      <w:pPr>
        <w:spacing w:line="480" w:lineRule="auto"/>
        <w:contextualSpacing/>
        <w:jc w:val="both"/>
        <w:rPr>
          <w:rFonts w:eastAsia="Calibri"/>
          <w:b/>
          <w:bCs/>
          <w:i/>
          <w:sz w:val="24"/>
          <w:szCs w:val="24"/>
        </w:rPr>
      </w:pPr>
      <w:r>
        <w:rPr>
          <w:rFonts w:eastAsia="Calibri"/>
          <w:b/>
          <w:bCs/>
          <w:i/>
          <w:sz w:val="24"/>
          <w:szCs w:val="24"/>
        </w:rPr>
        <w:t>RT-PCR for miRNA</w:t>
      </w:r>
    </w:p>
    <w:p w14:paraId="29A3C2C0" w14:textId="77777777" w:rsidR="008C7DAC" w:rsidRPr="00631A5C" w:rsidRDefault="008C7DAC" w:rsidP="008370E4">
      <w:pPr>
        <w:spacing w:line="480" w:lineRule="auto"/>
        <w:contextualSpacing/>
        <w:jc w:val="both"/>
        <w:rPr>
          <w:rFonts w:eastAsia="Calibri"/>
          <w:bCs/>
          <w:sz w:val="24"/>
          <w:szCs w:val="24"/>
        </w:rPr>
      </w:pPr>
      <w:r w:rsidRPr="00631A5C">
        <w:rPr>
          <w:rFonts w:eastAsia="Calibri"/>
          <w:bCs/>
          <w:sz w:val="24"/>
          <w:szCs w:val="24"/>
        </w:rPr>
        <w:t xml:space="preserve">For miRNA </w:t>
      </w:r>
      <w:proofErr w:type="spellStart"/>
      <w:r w:rsidRPr="00631A5C">
        <w:rPr>
          <w:rFonts w:eastAsia="Calibri"/>
          <w:bCs/>
          <w:sz w:val="24"/>
          <w:szCs w:val="24"/>
        </w:rPr>
        <w:t>qRT</w:t>
      </w:r>
      <w:proofErr w:type="spellEnd"/>
      <w:r w:rsidRPr="00631A5C">
        <w:rPr>
          <w:rFonts w:eastAsia="Calibri"/>
          <w:bCs/>
          <w:sz w:val="24"/>
          <w:szCs w:val="24"/>
        </w:rPr>
        <w:t>-PCR reverse transcription and real time primer probe sets (Applied Biosystems) were used with 10 ng of total RNA. Expression levels were normalized to RNU44 as an endogenous loading control.</w:t>
      </w:r>
    </w:p>
    <w:p w14:paraId="7CD4A596" w14:textId="77777777" w:rsidR="008C7DAC" w:rsidRDefault="008C7DAC" w:rsidP="008370E4">
      <w:pPr>
        <w:spacing w:line="480" w:lineRule="auto"/>
        <w:contextualSpacing/>
        <w:jc w:val="both"/>
        <w:rPr>
          <w:rFonts w:eastAsia="Calibri"/>
          <w:b/>
          <w:bCs/>
          <w:i/>
          <w:sz w:val="24"/>
          <w:szCs w:val="24"/>
        </w:rPr>
      </w:pPr>
    </w:p>
    <w:p w14:paraId="55680888" w14:textId="0A731AB7" w:rsidR="008370E4" w:rsidRPr="00C12EB5" w:rsidRDefault="008370E4" w:rsidP="008370E4">
      <w:pPr>
        <w:spacing w:line="480" w:lineRule="auto"/>
        <w:contextualSpacing/>
        <w:jc w:val="both"/>
        <w:rPr>
          <w:i/>
          <w:sz w:val="24"/>
          <w:szCs w:val="24"/>
        </w:rPr>
      </w:pPr>
      <w:r w:rsidRPr="00C12EB5">
        <w:rPr>
          <w:rFonts w:eastAsia="Calibri"/>
          <w:b/>
          <w:bCs/>
          <w:i/>
          <w:sz w:val="24"/>
          <w:szCs w:val="24"/>
        </w:rPr>
        <w:t>Western Blotting</w:t>
      </w:r>
    </w:p>
    <w:p w14:paraId="131C2E43" w14:textId="77777777" w:rsidR="008370E4" w:rsidRPr="00E93220" w:rsidRDefault="008370E4" w:rsidP="008370E4">
      <w:pPr>
        <w:spacing w:line="480" w:lineRule="auto"/>
        <w:contextualSpacing/>
        <w:jc w:val="both"/>
        <w:rPr>
          <w:sz w:val="24"/>
          <w:szCs w:val="24"/>
        </w:rPr>
      </w:pPr>
      <w:r w:rsidRPr="00E93220">
        <w:rPr>
          <w:rFonts w:eastAsia="Calibri"/>
          <w:sz w:val="24"/>
          <w:szCs w:val="24"/>
        </w:rPr>
        <w:t xml:space="preserve">UM-SCC-46 cells were transfected as described above and then lysed into 100 </w:t>
      </w:r>
      <w:proofErr w:type="spellStart"/>
      <w:r w:rsidRPr="00E93220">
        <w:rPr>
          <w:rFonts w:eastAsia="Calibri"/>
          <w:sz w:val="24"/>
          <w:szCs w:val="24"/>
        </w:rPr>
        <w:t>uL</w:t>
      </w:r>
      <w:proofErr w:type="spellEnd"/>
      <w:r w:rsidRPr="00E93220">
        <w:rPr>
          <w:rFonts w:eastAsia="Calibri"/>
          <w:sz w:val="24"/>
          <w:szCs w:val="24"/>
        </w:rPr>
        <w:t xml:space="preserve"> of SDS lysis buffer [1% SDS, 50 mM Tris pH 8.0, 10 mM EDTA, Protease inhibiter (Roche), and Halt Phosphatase Inhibitor (Thermo Scientific)]. Samples were sonicated using a probe </w:t>
      </w:r>
      <w:proofErr w:type="spellStart"/>
      <w:r w:rsidRPr="00E93220">
        <w:rPr>
          <w:rFonts w:eastAsia="Calibri"/>
          <w:sz w:val="24"/>
          <w:szCs w:val="24"/>
        </w:rPr>
        <w:t>sonicator</w:t>
      </w:r>
      <w:proofErr w:type="spellEnd"/>
      <w:r w:rsidRPr="00E93220">
        <w:rPr>
          <w:rFonts w:eastAsia="Calibri"/>
          <w:sz w:val="24"/>
          <w:szCs w:val="24"/>
        </w:rPr>
        <w:t xml:space="preserve"> four times for 5 sec each on ice. Lysates were cleared by centrifugation at 14,000 </w:t>
      </w:r>
      <w:proofErr w:type="spellStart"/>
      <w:r w:rsidRPr="00E93220">
        <w:rPr>
          <w:rFonts w:eastAsia="Calibri"/>
          <w:sz w:val="24"/>
          <w:szCs w:val="24"/>
        </w:rPr>
        <w:t>xg</w:t>
      </w:r>
      <w:proofErr w:type="spellEnd"/>
      <w:r w:rsidRPr="00E93220">
        <w:rPr>
          <w:rFonts w:eastAsia="Calibri"/>
          <w:sz w:val="24"/>
          <w:szCs w:val="24"/>
        </w:rPr>
        <w:t xml:space="preserve"> for 10 min at 4 C.</w:t>
      </w:r>
    </w:p>
    <w:p w14:paraId="3B27868C" w14:textId="77777777" w:rsidR="008370E4" w:rsidRPr="00E93220" w:rsidRDefault="008370E4" w:rsidP="008370E4">
      <w:pPr>
        <w:spacing w:line="480" w:lineRule="auto"/>
        <w:ind w:firstLine="720"/>
        <w:contextualSpacing/>
        <w:jc w:val="both"/>
        <w:rPr>
          <w:sz w:val="24"/>
          <w:szCs w:val="24"/>
        </w:rPr>
      </w:pPr>
      <w:r w:rsidRPr="00E93220">
        <w:rPr>
          <w:rFonts w:eastAsia="Calibri"/>
          <w:sz w:val="24"/>
          <w:szCs w:val="24"/>
        </w:rPr>
        <w:t>Protein concentration was determined using a BCA Protein Assay (Thermo Scientific). 25 g of total protein was subjected to SDS-PAGE on a 4-12% gradient Bis-Tris gel (Invitrogen). Protein</w:t>
      </w:r>
      <w:r>
        <w:rPr>
          <w:rFonts w:eastAsia="Calibri"/>
          <w:sz w:val="24"/>
          <w:szCs w:val="24"/>
        </w:rPr>
        <w:t xml:space="preserve"> </w:t>
      </w:r>
      <w:r w:rsidRPr="00E93220">
        <w:rPr>
          <w:rFonts w:eastAsia="Calibri"/>
          <w:sz w:val="24"/>
          <w:szCs w:val="24"/>
        </w:rPr>
        <w:t xml:space="preserve">was transferred to a 0.45- m PVDF Immobilon-FL membrane (Millipore) using the </w:t>
      </w:r>
      <w:proofErr w:type="spellStart"/>
      <w:r w:rsidRPr="00E93220">
        <w:rPr>
          <w:rFonts w:eastAsia="Calibri"/>
          <w:sz w:val="24"/>
          <w:szCs w:val="24"/>
        </w:rPr>
        <w:t>XCell</w:t>
      </w:r>
      <w:proofErr w:type="spellEnd"/>
      <w:r w:rsidRPr="00E93220">
        <w:rPr>
          <w:rFonts w:eastAsia="Calibri"/>
          <w:sz w:val="24"/>
          <w:szCs w:val="24"/>
        </w:rPr>
        <w:t xml:space="preserve"> transfer system (Invitrogen). Primary antibodies used for probing are listed below. </w:t>
      </w:r>
      <w:proofErr w:type="spellStart"/>
      <w:r w:rsidRPr="00E93220">
        <w:rPr>
          <w:rFonts w:eastAsia="Calibri"/>
          <w:sz w:val="24"/>
          <w:szCs w:val="24"/>
        </w:rPr>
        <w:t>IRDye</w:t>
      </w:r>
      <w:proofErr w:type="spellEnd"/>
      <w:r w:rsidRPr="00E93220">
        <w:rPr>
          <w:rFonts w:eastAsia="Calibri"/>
          <w:sz w:val="24"/>
          <w:szCs w:val="24"/>
        </w:rPr>
        <w:t xml:space="preserve"> fluorescently labeled secondary antibodies were used for detection at a dilution of 1:5000 on an ODYSSEY® Quantitative Florescent imager (LI-COR) using the manufacturer’s protocol. Bands were quantitated using Odyssey imaging software version 3.0.30. Primary Antibodies: EGFR 1:1000 dilution (Cell Signaling Technology, #4405), FRZD2 1:500 dilution (Abcam, #52565), IRS1 1:1000 dilution (Cell Signaling Technology, #3407), ITGA6 1:1000 dilution (Cell Signaling Technology, #3750), IGF1R 1:1000 dilution (Cell Signaling Technology, #3018), MET 1:1000 dilution (Cell Signaling Technology, #8198), Erk1/2 1:1000 dilution (Cell Signaling Technology, #9102), pi-AKT Thr308 and Ser473 1:1000 dilution (Cell Signaling Technology, #????, 4060) </w:t>
      </w:r>
      <w:proofErr w:type="spellStart"/>
      <w:r w:rsidRPr="00E93220">
        <w:rPr>
          <w:rFonts w:eastAsia="Calibri"/>
          <w:sz w:val="24"/>
          <w:szCs w:val="24"/>
        </w:rPr>
        <w:t>Src</w:t>
      </w:r>
      <w:proofErr w:type="spellEnd"/>
      <w:r w:rsidRPr="00E93220">
        <w:rPr>
          <w:rFonts w:eastAsia="Calibri"/>
          <w:sz w:val="24"/>
          <w:szCs w:val="24"/>
        </w:rPr>
        <w:t xml:space="preserve"> 1:1000 dilution (Cell Signaling Technology, #2110), pi-</w:t>
      </w:r>
      <w:proofErr w:type="spellStart"/>
      <w:r w:rsidRPr="00E93220">
        <w:rPr>
          <w:rFonts w:eastAsia="Calibri"/>
          <w:sz w:val="24"/>
          <w:szCs w:val="24"/>
        </w:rPr>
        <w:t>Src</w:t>
      </w:r>
      <w:proofErr w:type="spellEnd"/>
      <w:r w:rsidRPr="00E93220">
        <w:rPr>
          <w:rFonts w:eastAsia="Calibri"/>
          <w:sz w:val="24"/>
          <w:szCs w:val="24"/>
        </w:rPr>
        <w:t xml:space="preserve"> Tyr416 1:1000 dilution (Cell Signaling Technology,</w:t>
      </w:r>
      <w:bookmarkStart w:id="9" w:name="page12"/>
      <w:bookmarkEnd w:id="9"/>
      <w:r>
        <w:rPr>
          <w:rFonts w:eastAsia="Calibri"/>
          <w:sz w:val="24"/>
          <w:szCs w:val="24"/>
        </w:rPr>
        <w:t xml:space="preserve"> </w:t>
      </w:r>
      <w:r w:rsidRPr="00E93220">
        <w:rPr>
          <w:rFonts w:eastAsia="Calibri"/>
          <w:sz w:val="24"/>
          <w:szCs w:val="24"/>
        </w:rPr>
        <w:t>#2101), Stat3 1:1000 dilution (Cell Signaling Technology, #9139), pi-Stat3 Ser727 1:1000 dilution (Cell Signaling Technology, #9134) and b-tubulin (Sigma-Aldrich, #T8328).</w:t>
      </w:r>
    </w:p>
    <w:p w14:paraId="76618A43" w14:textId="77777777" w:rsidR="008370E4" w:rsidRPr="00E93220" w:rsidRDefault="008370E4" w:rsidP="008370E4">
      <w:pPr>
        <w:spacing w:line="480" w:lineRule="auto"/>
        <w:contextualSpacing/>
        <w:jc w:val="both"/>
        <w:rPr>
          <w:sz w:val="24"/>
          <w:szCs w:val="24"/>
        </w:rPr>
      </w:pPr>
    </w:p>
    <w:p w14:paraId="170231A4" w14:textId="77777777" w:rsidR="008370E4" w:rsidRPr="00C12EB5" w:rsidRDefault="008370E4" w:rsidP="008370E4">
      <w:pPr>
        <w:spacing w:line="480" w:lineRule="auto"/>
        <w:contextualSpacing/>
        <w:jc w:val="both"/>
        <w:rPr>
          <w:i/>
          <w:sz w:val="24"/>
          <w:szCs w:val="24"/>
        </w:rPr>
      </w:pPr>
      <w:r w:rsidRPr="00C12EB5">
        <w:rPr>
          <w:rFonts w:eastAsia="Calibri"/>
          <w:b/>
          <w:bCs/>
          <w:i/>
          <w:sz w:val="24"/>
          <w:szCs w:val="24"/>
        </w:rPr>
        <w:t>Luciferase Reporter Assays</w:t>
      </w:r>
    </w:p>
    <w:p w14:paraId="4A371973" w14:textId="77777777" w:rsidR="008370E4" w:rsidRPr="00E93220" w:rsidRDefault="008370E4" w:rsidP="008370E4">
      <w:pPr>
        <w:spacing w:line="480" w:lineRule="auto"/>
        <w:contextualSpacing/>
        <w:jc w:val="both"/>
        <w:rPr>
          <w:sz w:val="24"/>
          <w:szCs w:val="24"/>
        </w:rPr>
      </w:pPr>
      <w:r w:rsidRPr="00E93220">
        <w:rPr>
          <w:rFonts w:eastAsia="Calibri"/>
          <w:sz w:val="24"/>
          <w:szCs w:val="24"/>
        </w:rPr>
        <w:t>Vectors encoding the wild-type or mutant 3’UTR of EGFR, IGF1R, MET, and IRS1, cloned behind</w:t>
      </w:r>
      <w:r>
        <w:rPr>
          <w:rFonts w:eastAsia="Calibri"/>
          <w:sz w:val="24"/>
          <w:szCs w:val="24"/>
        </w:rPr>
        <w:t xml:space="preserve"> </w:t>
      </w:r>
      <w:proofErr w:type="spellStart"/>
      <w:r w:rsidRPr="00E93220">
        <w:rPr>
          <w:rFonts w:eastAsia="Calibri"/>
          <w:i/>
          <w:iCs/>
          <w:sz w:val="24"/>
          <w:szCs w:val="24"/>
        </w:rPr>
        <w:t>Renilla</w:t>
      </w:r>
      <w:proofErr w:type="spellEnd"/>
      <w:r w:rsidRPr="00E93220">
        <w:rPr>
          <w:rFonts w:eastAsia="Calibri"/>
          <w:i/>
          <w:iCs/>
          <w:sz w:val="24"/>
          <w:szCs w:val="24"/>
        </w:rPr>
        <w:t xml:space="preserve"> </w:t>
      </w:r>
      <w:r w:rsidRPr="00E93220">
        <w:rPr>
          <w:rFonts w:eastAsia="Calibri"/>
          <w:sz w:val="24"/>
          <w:szCs w:val="24"/>
        </w:rPr>
        <w:t>luciferase, were purchased from Switchgear Genomics. Cells were seeded at 1x10</w:t>
      </w:r>
      <w:r w:rsidRPr="00E93220">
        <w:rPr>
          <w:rFonts w:eastAsia="Calibri"/>
          <w:sz w:val="24"/>
          <w:szCs w:val="24"/>
          <w:vertAlign w:val="superscript"/>
        </w:rPr>
        <w:t>4</w:t>
      </w:r>
      <w:r w:rsidRPr="00E93220">
        <w:rPr>
          <w:rFonts w:eastAsia="Calibri"/>
          <w:i/>
          <w:iCs/>
          <w:sz w:val="24"/>
          <w:szCs w:val="24"/>
        </w:rPr>
        <w:t xml:space="preserve"> </w:t>
      </w:r>
      <w:r w:rsidRPr="00E93220">
        <w:rPr>
          <w:rFonts w:eastAsia="Calibri"/>
          <w:sz w:val="24"/>
          <w:szCs w:val="24"/>
        </w:rPr>
        <w:t>per</w:t>
      </w:r>
      <w:r w:rsidRPr="00E93220">
        <w:rPr>
          <w:rFonts w:eastAsia="Calibri"/>
          <w:i/>
          <w:iCs/>
          <w:sz w:val="24"/>
          <w:szCs w:val="24"/>
        </w:rPr>
        <w:t xml:space="preserve"> </w:t>
      </w:r>
      <w:r w:rsidRPr="00E93220">
        <w:rPr>
          <w:rFonts w:eastAsia="Calibri"/>
          <w:sz w:val="24"/>
          <w:szCs w:val="24"/>
        </w:rPr>
        <w:t>well in 96-well plates with white well bottoms. The next day, 1.5 nmol/L of microRNA mimics was</w:t>
      </w:r>
      <w:r>
        <w:rPr>
          <w:rFonts w:eastAsia="Calibri"/>
          <w:sz w:val="24"/>
          <w:szCs w:val="24"/>
        </w:rPr>
        <w:t xml:space="preserve"> </w:t>
      </w:r>
      <w:r w:rsidRPr="00E93220">
        <w:rPr>
          <w:rFonts w:eastAsia="Calibri"/>
          <w:sz w:val="24"/>
          <w:szCs w:val="24"/>
        </w:rPr>
        <w:t>transfected using 0.15</w:t>
      </w:r>
      <w:r w:rsidRPr="00E93220">
        <w:rPr>
          <w:sz w:val="24"/>
          <w:szCs w:val="24"/>
        </w:rPr>
        <w:tab/>
      </w:r>
      <w:r w:rsidRPr="00E93220">
        <w:rPr>
          <w:rFonts w:eastAsia="Calibri"/>
          <w:sz w:val="24"/>
          <w:szCs w:val="24"/>
        </w:rPr>
        <w:t xml:space="preserve">L of </w:t>
      </w:r>
      <w:proofErr w:type="spellStart"/>
      <w:r w:rsidRPr="00E93220">
        <w:rPr>
          <w:rFonts w:eastAsia="Calibri"/>
          <w:sz w:val="24"/>
          <w:szCs w:val="24"/>
        </w:rPr>
        <w:t>RNAiMAX</w:t>
      </w:r>
      <w:proofErr w:type="spellEnd"/>
      <w:r w:rsidRPr="00E93220">
        <w:rPr>
          <w:rFonts w:eastAsia="Calibri"/>
          <w:sz w:val="24"/>
          <w:szCs w:val="24"/>
        </w:rPr>
        <w:t>. After a 24 h incubation the microRNA transfection media</w:t>
      </w:r>
      <w:r>
        <w:rPr>
          <w:rFonts w:eastAsia="Calibri"/>
          <w:sz w:val="24"/>
          <w:szCs w:val="24"/>
        </w:rPr>
        <w:t xml:space="preserve"> </w:t>
      </w:r>
      <w:r w:rsidRPr="00E93220">
        <w:rPr>
          <w:rFonts w:eastAsia="Calibri"/>
          <w:sz w:val="24"/>
          <w:szCs w:val="24"/>
        </w:rPr>
        <w:t xml:space="preserve">was </w:t>
      </w:r>
      <w:proofErr w:type="gramStart"/>
      <w:r w:rsidRPr="00E93220">
        <w:rPr>
          <w:rFonts w:eastAsia="Calibri"/>
          <w:sz w:val="24"/>
          <w:szCs w:val="24"/>
        </w:rPr>
        <w:t>removed</w:t>
      </w:r>
      <w:proofErr w:type="gramEnd"/>
      <w:r w:rsidRPr="00E93220">
        <w:rPr>
          <w:rFonts w:eastAsia="Calibri"/>
          <w:sz w:val="24"/>
          <w:szCs w:val="24"/>
        </w:rPr>
        <w:t xml:space="preserve"> and 100 ng of vector was transfected using 0.1.5 L of </w:t>
      </w:r>
      <w:proofErr w:type="spellStart"/>
      <w:r w:rsidRPr="00E93220">
        <w:rPr>
          <w:rFonts w:eastAsia="Calibri"/>
          <w:sz w:val="24"/>
          <w:szCs w:val="24"/>
        </w:rPr>
        <w:t>DharmaFECT</w:t>
      </w:r>
      <w:proofErr w:type="spellEnd"/>
      <w:r w:rsidRPr="00E93220">
        <w:rPr>
          <w:rFonts w:eastAsia="Calibri"/>
          <w:sz w:val="24"/>
          <w:szCs w:val="24"/>
        </w:rPr>
        <w:t xml:space="preserve"> Duo transfection reagent (Thermo Scientific) in 100 </w:t>
      </w:r>
      <w:proofErr w:type="spellStart"/>
      <w:r w:rsidRPr="00E93220">
        <w:rPr>
          <w:rFonts w:eastAsia="Calibri"/>
          <w:sz w:val="24"/>
          <w:szCs w:val="24"/>
        </w:rPr>
        <w:t>uL</w:t>
      </w:r>
      <w:proofErr w:type="spellEnd"/>
      <w:r w:rsidRPr="00E93220">
        <w:rPr>
          <w:rFonts w:eastAsia="Calibri"/>
          <w:sz w:val="24"/>
          <w:szCs w:val="24"/>
        </w:rPr>
        <w:t xml:space="preserve"> of media. Cells were incubated for an</w:t>
      </w:r>
      <w:r>
        <w:rPr>
          <w:rFonts w:eastAsia="Calibri"/>
          <w:sz w:val="24"/>
          <w:szCs w:val="24"/>
        </w:rPr>
        <w:t xml:space="preserve"> </w:t>
      </w:r>
      <w:r w:rsidRPr="00E93220">
        <w:rPr>
          <w:rFonts w:eastAsia="Calibri"/>
          <w:sz w:val="24"/>
          <w:szCs w:val="24"/>
        </w:rPr>
        <w:t xml:space="preserve">additional 24 h. For normalization of cell number, 50 L of WST-1 reagent (Roche) was added to each well, and cells were incubated for 30 min at 37 C. The assay was performed as per the manufacturer’s protocol. Luciferase activity was detected using the </w:t>
      </w:r>
      <w:proofErr w:type="spellStart"/>
      <w:r w:rsidRPr="00E93220">
        <w:rPr>
          <w:rFonts w:eastAsia="Calibri"/>
          <w:sz w:val="24"/>
          <w:szCs w:val="24"/>
        </w:rPr>
        <w:t>Renilla</w:t>
      </w:r>
      <w:proofErr w:type="spellEnd"/>
      <w:r w:rsidRPr="00E93220">
        <w:rPr>
          <w:rFonts w:eastAsia="Calibri"/>
          <w:sz w:val="24"/>
          <w:szCs w:val="24"/>
        </w:rPr>
        <w:t>-Glo® Luciferase Assay System (Promega) following the manufacturer’s instructions. Relative luciferase activity was normalized to florescence WST-1 viability readings for each well. All measurements represent the mean of 6 replicates in each experimental condition.</w:t>
      </w:r>
    </w:p>
    <w:p w14:paraId="3ED82572" w14:textId="77777777" w:rsidR="008370E4" w:rsidRPr="00E93220" w:rsidRDefault="008370E4" w:rsidP="008370E4">
      <w:pPr>
        <w:spacing w:line="480" w:lineRule="auto"/>
        <w:contextualSpacing/>
        <w:jc w:val="both"/>
        <w:rPr>
          <w:sz w:val="24"/>
          <w:szCs w:val="24"/>
        </w:rPr>
      </w:pPr>
    </w:p>
    <w:p w14:paraId="052169FF" w14:textId="77777777" w:rsidR="008370E4" w:rsidRPr="00C12EB5" w:rsidRDefault="008370E4" w:rsidP="008370E4">
      <w:pPr>
        <w:spacing w:line="480" w:lineRule="auto"/>
        <w:contextualSpacing/>
        <w:jc w:val="both"/>
        <w:rPr>
          <w:i/>
          <w:sz w:val="24"/>
          <w:szCs w:val="24"/>
        </w:rPr>
      </w:pPr>
      <w:r w:rsidRPr="00C12EB5">
        <w:rPr>
          <w:rFonts w:eastAsia="Calibri"/>
          <w:b/>
          <w:bCs/>
          <w:i/>
          <w:sz w:val="24"/>
          <w:szCs w:val="24"/>
        </w:rPr>
        <w:t>XTT Proliferation Assay</w:t>
      </w:r>
    </w:p>
    <w:p w14:paraId="6DEC1E78" w14:textId="77777777" w:rsidR="008370E4" w:rsidRPr="00E93220" w:rsidRDefault="008370E4" w:rsidP="008370E4">
      <w:pPr>
        <w:spacing w:line="480" w:lineRule="auto"/>
        <w:contextualSpacing/>
        <w:jc w:val="both"/>
        <w:rPr>
          <w:sz w:val="24"/>
          <w:szCs w:val="24"/>
        </w:rPr>
      </w:pPr>
      <w:r w:rsidRPr="00E93220">
        <w:rPr>
          <w:rFonts w:eastAsia="Calibri"/>
          <w:sz w:val="24"/>
          <w:szCs w:val="24"/>
        </w:rPr>
        <w:t>Cells were seeded at 2x10</w:t>
      </w:r>
      <w:r w:rsidRPr="00E93220">
        <w:rPr>
          <w:rFonts w:eastAsia="Calibri"/>
          <w:sz w:val="24"/>
          <w:szCs w:val="24"/>
          <w:vertAlign w:val="superscript"/>
        </w:rPr>
        <w:t>3</w:t>
      </w:r>
      <w:r w:rsidRPr="00E93220">
        <w:rPr>
          <w:rFonts w:eastAsia="Calibri"/>
          <w:sz w:val="24"/>
          <w:szCs w:val="24"/>
        </w:rPr>
        <w:t xml:space="preserve"> /well in 96-well plates and were reverse transfected with 15 </w:t>
      </w:r>
      <w:proofErr w:type="spellStart"/>
      <w:r w:rsidRPr="00E93220">
        <w:rPr>
          <w:rFonts w:eastAsia="Calibri"/>
          <w:sz w:val="24"/>
          <w:szCs w:val="24"/>
        </w:rPr>
        <w:t>nM</w:t>
      </w:r>
      <w:proofErr w:type="spellEnd"/>
      <w:r>
        <w:rPr>
          <w:rFonts w:eastAsia="Calibri"/>
          <w:sz w:val="24"/>
          <w:szCs w:val="24"/>
        </w:rPr>
        <w:t xml:space="preserve"> </w:t>
      </w:r>
      <w:r w:rsidRPr="00E93220">
        <w:rPr>
          <w:rFonts w:eastAsia="Calibri"/>
          <w:sz w:val="24"/>
          <w:szCs w:val="24"/>
        </w:rPr>
        <w:t>oligonucleotide for 48 h with 0.15</w:t>
      </w:r>
      <w:r w:rsidRPr="00E93220">
        <w:rPr>
          <w:sz w:val="24"/>
          <w:szCs w:val="24"/>
        </w:rPr>
        <w:tab/>
      </w:r>
      <w:r w:rsidRPr="00E93220">
        <w:rPr>
          <w:rFonts w:eastAsia="Calibri"/>
          <w:sz w:val="24"/>
          <w:szCs w:val="24"/>
        </w:rPr>
        <w:t xml:space="preserve">L of </w:t>
      </w:r>
      <w:proofErr w:type="spellStart"/>
      <w:r w:rsidRPr="00E93220">
        <w:rPr>
          <w:rFonts w:eastAsia="Calibri"/>
          <w:sz w:val="24"/>
          <w:szCs w:val="24"/>
        </w:rPr>
        <w:t>RNAiMAX</w:t>
      </w:r>
      <w:proofErr w:type="spellEnd"/>
      <w:r w:rsidRPr="00E93220">
        <w:rPr>
          <w:rFonts w:eastAsia="Calibri"/>
          <w:sz w:val="24"/>
          <w:szCs w:val="24"/>
        </w:rPr>
        <w:t xml:space="preserve"> as described above. Following transfection,</w:t>
      </w:r>
      <w:r>
        <w:rPr>
          <w:rFonts w:eastAsia="Calibri"/>
          <w:sz w:val="24"/>
          <w:szCs w:val="24"/>
        </w:rPr>
        <w:t xml:space="preserve"> </w:t>
      </w:r>
      <w:r w:rsidRPr="00E93220">
        <w:rPr>
          <w:rFonts w:eastAsia="Calibri"/>
          <w:sz w:val="24"/>
          <w:szCs w:val="24"/>
        </w:rPr>
        <w:t>200 L of control or media containing 2 M cisplatin was placed on the cells for 3 h. Cells were washed with warm media, and then fresh media was added. Cell proliferation was assayed on the indicated days with a sodium 3’-[1-(</w:t>
      </w:r>
      <w:proofErr w:type="spellStart"/>
      <w:r w:rsidRPr="00E93220">
        <w:rPr>
          <w:rFonts w:eastAsia="Calibri"/>
          <w:sz w:val="24"/>
          <w:szCs w:val="24"/>
        </w:rPr>
        <w:t>phenylaminocarbonyl</w:t>
      </w:r>
      <w:proofErr w:type="spellEnd"/>
      <w:r w:rsidRPr="00E93220">
        <w:rPr>
          <w:rFonts w:eastAsia="Calibri"/>
          <w:sz w:val="24"/>
          <w:szCs w:val="24"/>
        </w:rPr>
        <w:t>)-3,4-tetrazolium]-bis (4-methoxy-</w:t>
      </w:r>
      <w:bookmarkStart w:id="10" w:name="page13"/>
      <w:bookmarkEnd w:id="10"/>
      <w:r w:rsidRPr="00E93220">
        <w:rPr>
          <w:rFonts w:eastAsia="Calibri"/>
          <w:sz w:val="24"/>
          <w:szCs w:val="24"/>
        </w:rPr>
        <w:t>6-nitro) benzene sulfonic acid hydrate (XTT) Cell Proliferation Kit (Roche Diagnostics), following manufacturer’s instructions. XTT assay reagent was added for 4 h prior to assay. At each time</w:t>
      </w:r>
      <w:r>
        <w:rPr>
          <w:rFonts w:eastAsia="Calibri"/>
          <w:sz w:val="24"/>
          <w:szCs w:val="24"/>
        </w:rPr>
        <w:t xml:space="preserve"> </w:t>
      </w:r>
      <w:r w:rsidRPr="00E93220">
        <w:rPr>
          <w:rFonts w:eastAsia="Calibri"/>
          <w:sz w:val="24"/>
          <w:szCs w:val="24"/>
        </w:rPr>
        <w:t xml:space="preserve">point, absorbance was read at 450 </w:t>
      </w:r>
      <w:proofErr w:type="spellStart"/>
      <w:r w:rsidRPr="00E93220">
        <w:rPr>
          <w:rFonts w:eastAsia="Calibri"/>
          <w:sz w:val="24"/>
          <w:szCs w:val="24"/>
        </w:rPr>
        <w:t>nM</w:t>
      </w:r>
      <w:proofErr w:type="spellEnd"/>
      <w:r w:rsidRPr="00E93220">
        <w:rPr>
          <w:rFonts w:eastAsia="Calibri"/>
          <w:sz w:val="24"/>
          <w:szCs w:val="24"/>
        </w:rPr>
        <w:t xml:space="preserve"> and 655 nm, and absorbance was calculated. All time points represent the mean of 6 replicates in each experimental condition.</w:t>
      </w:r>
    </w:p>
    <w:p w14:paraId="1659E2B3" w14:textId="77777777" w:rsidR="008370E4" w:rsidRPr="00E93220" w:rsidRDefault="008370E4" w:rsidP="008370E4">
      <w:pPr>
        <w:spacing w:line="480" w:lineRule="auto"/>
        <w:contextualSpacing/>
        <w:jc w:val="both"/>
        <w:rPr>
          <w:sz w:val="24"/>
          <w:szCs w:val="24"/>
        </w:rPr>
      </w:pPr>
    </w:p>
    <w:p w14:paraId="115A9F4F" w14:textId="77777777" w:rsidR="008370E4" w:rsidRPr="00C12EB5" w:rsidRDefault="008370E4" w:rsidP="008370E4">
      <w:pPr>
        <w:spacing w:line="480" w:lineRule="auto"/>
        <w:contextualSpacing/>
        <w:jc w:val="both"/>
        <w:rPr>
          <w:i/>
          <w:sz w:val="24"/>
          <w:szCs w:val="24"/>
        </w:rPr>
      </w:pPr>
      <w:r w:rsidRPr="00C12EB5">
        <w:rPr>
          <w:rFonts w:eastAsia="Calibri"/>
          <w:b/>
          <w:bCs/>
          <w:i/>
          <w:sz w:val="24"/>
          <w:szCs w:val="24"/>
        </w:rPr>
        <w:t>Migration Assay</w:t>
      </w:r>
    </w:p>
    <w:p w14:paraId="5C9E489A" w14:textId="7A687FFD" w:rsidR="008370E4" w:rsidRPr="00E93220" w:rsidRDefault="008370E4" w:rsidP="008370E4">
      <w:pPr>
        <w:spacing w:line="480" w:lineRule="auto"/>
        <w:contextualSpacing/>
        <w:jc w:val="both"/>
        <w:rPr>
          <w:sz w:val="24"/>
          <w:szCs w:val="24"/>
        </w:rPr>
      </w:pPr>
      <w:r w:rsidRPr="00E93220">
        <w:rPr>
          <w:rFonts w:eastAsia="Calibri"/>
          <w:sz w:val="24"/>
          <w:szCs w:val="24"/>
        </w:rPr>
        <w:t>Cells were seeded at 4x10</w:t>
      </w:r>
      <w:r w:rsidRPr="00E93220">
        <w:rPr>
          <w:rFonts w:eastAsia="Calibri"/>
          <w:sz w:val="24"/>
          <w:szCs w:val="24"/>
          <w:vertAlign w:val="superscript"/>
        </w:rPr>
        <w:t>5</w:t>
      </w:r>
      <w:r w:rsidRPr="00E93220">
        <w:rPr>
          <w:rFonts w:eastAsia="Calibri"/>
          <w:sz w:val="24"/>
          <w:szCs w:val="24"/>
        </w:rPr>
        <w:t xml:space="preserve"> cells/ well in 6-well plates and reverse transfected with 15 </w:t>
      </w:r>
      <w:proofErr w:type="spellStart"/>
      <w:r w:rsidRPr="00E93220">
        <w:rPr>
          <w:rFonts w:eastAsia="Calibri"/>
          <w:sz w:val="24"/>
          <w:szCs w:val="24"/>
        </w:rPr>
        <w:t>uM</w:t>
      </w:r>
      <w:proofErr w:type="spellEnd"/>
      <w:r w:rsidRPr="00E93220">
        <w:rPr>
          <w:rFonts w:eastAsia="Calibri"/>
          <w:sz w:val="24"/>
          <w:szCs w:val="24"/>
        </w:rPr>
        <w:t xml:space="preserve"> </w:t>
      </w:r>
      <w:proofErr w:type="gramStart"/>
      <w:r w:rsidRPr="00E93220">
        <w:rPr>
          <w:rFonts w:eastAsia="Calibri"/>
          <w:sz w:val="24"/>
          <w:szCs w:val="24"/>
        </w:rPr>
        <w:t>oligonucleotide</w:t>
      </w:r>
      <w:proofErr w:type="gramEnd"/>
      <w:r w:rsidRPr="00E93220">
        <w:rPr>
          <w:rFonts w:eastAsia="Calibri"/>
          <w:sz w:val="24"/>
          <w:szCs w:val="24"/>
        </w:rPr>
        <w:t xml:space="preserve"> for 48 h as described above. After transfection, the media was replaced </w:t>
      </w:r>
      <w:r w:rsidR="005959BA">
        <w:rPr>
          <w:rFonts w:eastAsia="Calibri"/>
          <w:sz w:val="24"/>
          <w:szCs w:val="24"/>
        </w:rPr>
        <w:t xml:space="preserve">with media containing 1% serum to limit effects due to proliferation, </w:t>
      </w:r>
      <w:r w:rsidRPr="00E93220">
        <w:rPr>
          <w:rFonts w:eastAsia="Calibri"/>
          <w:sz w:val="24"/>
          <w:szCs w:val="24"/>
        </w:rPr>
        <w:t xml:space="preserve">and two </w:t>
      </w:r>
      <w:proofErr w:type="spellStart"/>
      <w:r w:rsidRPr="00E93220">
        <w:rPr>
          <w:rFonts w:eastAsia="Calibri"/>
          <w:sz w:val="24"/>
          <w:szCs w:val="24"/>
        </w:rPr>
        <w:t>scratchs</w:t>
      </w:r>
      <w:proofErr w:type="spellEnd"/>
      <w:r w:rsidRPr="00E93220">
        <w:rPr>
          <w:rFonts w:eastAsia="Calibri"/>
          <w:sz w:val="24"/>
          <w:szCs w:val="24"/>
        </w:rPr>
        <w:t xml:space="preserve"> devoid of cells was created in each well laterally and longitudinally with a p1000 tip. Four marked locations in each scratch were imaged at 100x magnification</w:t>
      </w:r>
      <w:r w:rsidR="005959BA" w:rsidRPr="005959BA">
        <w:rPr>
          <w:rFonts w:eastAsia="Calibri"/>
          <w:sz w:val="24"/>
          <w:szCs w:val="24"/>
        </w:rPr>
        <w:t xml:space="preserve"> </w:t>
      </w:r>
      <w:r w:rsidR="005959BA" w:rsidRPr="00E93220">
        <w:rPr>
          <w:rFonts w:eastAsia="Calibri"/>
          <w:sz w:val="24"/>
          <w:szCs w:val="24"/>
        </w:rPr>
        <w:t>a</w:t>
      </w:r>
      <w:r w:rsidR="005959BA">
        <w:rPr>
          <w:rFonts w:eastAsia="Calibri"/>
          <w:sz w:val="24"/>
          <w:szCs w:val="24"/>
        </w:rPr>
        <w:t>t</w:t>
      </w:r>
      <w:r w:rsidR="005959BA" w:rsidRPr="00E93220">
        <w:rPr>
          <w:rFonts w:eastAsia="Calibri"/>
          <w:sz w:val="24"/>
          <w:szCs w:val="24"/>
        </w:rPr>
        <w:t xml:space="preserve"> time points</w:t>
      </w:r>
      <w:r w:rsidR="005959BA">
        <w:rPr>
          <w:rFonts w:eastAsia="Calibri"/>
          <w:sz w:val="24"/>
          <w:szCs w:val="24"/>
        </w:rPr>
        <w:t xml:space="preserve"> 0- 20hrs as indicated, during which there were no significant differences attributable to proliferation in XTT assays</w:t>
      </w:r>
      <w:r w:rsidRPr="00E93220">
        <w:rPr>
          <w:rFonts w:eastAsia="Calibri"/>
          <w:sz w:val="24"/>
          <w:szCs w:val="24"/>
        </w:rPr>
        <w:t>. The</w:t>
      </w:r>
      <w:r>
        <w:rPr>
          <w:rFonts w:eastAsia="Calibri"/>
          <w:sz w:val="24"/>
          <w:szCs w:val="24"/>
        </w:rPr>
        <w:t xml:space="preserve"> </w:t>
      </w:r>
      <w:r w:rsidRPr="00E93220">
        <w:rPr>
          <w:rFonts w:eastAsia="Calibri"/>
          <w:sz w:val="24"/>
          <w:szCs w:val="24"/>
        </w:rPr>
        <w:t xml:space="preserve">area of the scratch was determined using ImageJ software </w:t>
      </w:r>
      <w:r>
        <w:rPr>
          <w:rFonts w:eastAsia="Calibri"/>
          <w:noProof/>
          <w:sz w:val="24"/>
          <w:szCs w:val="24"/>
        </w:rPr>
        <w:t>(12)</w:t>
      </w:r>
      <w:r w:rsidRPr="00E93220">
        <w:rPr>
          <w:rFonts w:eastAsia="Calibri"/>
          <w:sz w:val="24"/>
          <w:szCs w:val="24"/>
        </w:rPr>
        <w:t>, and the percent migration into the empty area over time was calculated.</w:t>
      </w:r>
    </w:p>
    <w:p w14:paraId="3F5430E9" w14:textId="77777777" w:rsidR="008370E4" w:rsidRPr="00E93220" w:rsidRDefault="008370E4" w:rsidP="008370E4">
      <w:pPr>
        <w:spacing w:line="480" w:lineRule="auto"/>
        <w:contextualSpacing/>
        <w:jc w:val="both"/>
        <w:rPr>
          <w:sz w:val="24"/>
          <w:szCs w:val="24"/>
        </w:rPr>
      </w:pPr>
    </w:p>
    <w:p w14:paraId="1BE522E1" w14:textId="77777777" w:rsidR="008370E4" w:rsidRPr="00C12EB5" w:rsidRDefault="008370E4" w:rsidP="008370E4">
      <w:pPr>
        <w:spacing w:line="480" w:lineRule="auto"/>
        <w:contextualSpacing/>
        <w:jc w:val="both"/>
        <w:rPr>
          <w:i/>
          <w:sz w:val="24"/>
          <w:szCs w:val="24"/>
        </w:rPr>
      </w:pPr>
      <w:r w:rsidRPr="00C12EB5">
        <w:rPr>
          <w:rFonts w:eastAsia="Calibri"/>
          <w:b/>
          <w:bCs/>
          <w:i/>
          <w:sz w:val="24"/>
          <w:szCs w:val="24"/>
        </w:rPr>
        <w:t>MATRIGEL Invasion Assay</w:t>
      </w:r>
    </w:p>
    <w:p w14:paraId="4077C91C" w14:textId="77777777" w:rsidR="008370E4" w:rsidRPr="00E93220" w:rsidRDefault="008370E4" w:rsidP="008370E4">
      <w:pPr>
        <w:spacing w:line="480" w:lineRule="auto"/>
        <w:contextualSpacing/>
        <w:jc w:val="both"/>
        <w:rPr>
          <w:sz w:val="24"/>
          <w:szCs w:val="24"/>
        </w:rPr>
      </w:pPr>
      <w:r w:rsidRPr="00E93220">
        <w:rPr>
          <w:rFonts w:eastAsia="Calibri"/>
          <w:sz w:val="24"/>
          <w:szCs w:val="24"/>
        </w:rPr>
        <w:t xml:space="preserve">Cells were seeded into 6-well plates and were reverse transfected with 15 </w:t>
      </w:r>
      <w:proofErr w:type="spellStart"/>
      <w:r w:rsidRPr="00E93220">
        <w:rPr>
          <w:rFonts w:eastAsia="Calibri"/>
          <w:sz w:val="24"/>
          <w:szCs w:val="24"/>
        </w:rPr>
        <w:t>nM</w:t>
      </w:r>
      <w:proofErr w:type="spellEnd"/>
      <w:r w:rsidRPr="00E93220">
        <w:rPr>
          <w:rFonts w:eastAsia="Calibri"/>
          <w:sz w:val="24"/>
          <w:szCs w:val="24"/>
        </w:rPr>
        <w:t xml:space="preserve"> oligonucleotide for 48 h with </w:t>
      </w:r>
      <w:proofErr w:type="spellStart"/>
      <w:r w:rsidRPr="00E93220">
        <w:rPr>
          <w:rFonts w:eastAsia="Calibri"/>
          <w:sz w:val="24"/>
          <w:szCs w:val="24"/>
        </w:rPr>
        <w:t>RNAiMAX</w:t>
      </w:r>
      <w:proofErr w:type="spellEnd"/>
      <w:r w:rsidRPr="00E93220">
        <w:rPr>
          <w:rFonts w:eastAsia="Calibri"/>
          <w:sz w:val="24"/>
          <w:szCs w:val="24"/>
        </w:rPr>
        <w:t xml:space="preserve"> as described above. Following transfection, cells were </w:t>
      </w:r>
      <w:proofErr w:type="spellStart"/>
      <w:r w:rsidRPr="00E93220">
        <w:rPr>
          <w:rFonts w:eastAsia="Calibri"/>
          <w:sz w:val="24"/>
          <w:szCs w:val="24"/>
        </w:rPr>
        <w:t>trypsinized</w:t>
      </w:r>
      <w:proofErr w:type="spellEnd"/>
      <w:r w:rsidRPr="00E93220">
        <w:rPr>
          <w:rFonts w:eastAsia="Calibri"/>
          <w:sz w:val="24"/>
          <w:szCs w:val="24"/>
        </w:rPr>
        <w:t xml:space="preserve"> and suspended in DMEM without additives. </w:t>
      </w:r>
      <w:proofErr w:type="spellStart"/>
      <w:r w:rsidRPr="00E93220">
        <w:rPr>
          <w:rFonts w:eastAsia="Calibri"/>
          <w:sz w:val="24"/>
          <w:szCs w:val="24"/>
        </w:rPr>
        <w:t>Biocoat</w:t>
      </w:r>
      <w:proofErr w:type="spellEnd"/>
      <w:r w:rsidRPr="00E93220">
        <w:rPr>
          <w:rFonts w:eastAsia="Calibri"/>
          <w:sz w:val="24"/>
          <w:szCs w:val="24"/>
        </w:rPr>
        <w:t xml:space="preserve"> Growth Factor Reduced Invasion Chambers were</w:t>
      </w:r>
      <w:r>
        <w:rPr>
          <w:rFonts w:eastAsia="Calibri"/>
          <w:sz w:val="24"/>
          <w:szCs w:val="24"/>
        </w:rPr>
        <w:t xml:space="preserve"> </w:t>
      </w:r>
      <w:r w:rsidRPr="00E93220">
        <w:rPr>
          <w:rFonts w:eastAsia="Calibri"/>
          <w:sz w:val="24"/>
          <w:szCs w:val="24"/>
        </w:rPr>
        <w:t>prepared as per manufacturer’s instructions (Becton, Dickinson). 5 x 10</w:t>
      </w:r>
      <w:r w:rsidRPr="00E93220">
        <w:rPr>
          <w:rFonts w:eastAsia="Calibri"/>
          <w:sz w:val="24"/>
          <w:szCs w:val="24"/>
          <w:vertAlign w:val="superscript"/>
        </w:rPr>
        <w:t>4</w:t>
      </w:r>
      <w:r w:rsidRPr="00E93220">
        <w:rPr>
          <w:rFonts w:eastAsia="Calibri"/>
          <w:sz w:val="24"/>
          <w:szCs w:val="24"/>
        </w:rPr>
        <w:t xml:space="preserve"> cells were placed in the top of each chamber. The bottom sides of chambers were placed in wells containing 100 ng/mL</w:t>
      </w:r>
      <w:r>
        <w:rPr>
          <w:rFonts w:eastAsia="Calibri"/>
          <w:sz w:val="24"/>
          <w:szCs w:val="24"/>
        </w:rPr>
        <w:t xml:space="preserve"> </w:t>
      </w:r>
      <w:proofErr w:type="spellStart"/>
      <w:r w:rsidRPr="00E93220">
        <w:rPr>
          <w:rFonts w:eastAsia="Calibri"/>
          <w:sz w:val="24"/>
          <w:szCs w:val="24"/>
        </w:rPr>
        <w:t>rEGF</w:t>
      </w:r>
      <w:proofErr w:type="spellEnd"/>
      <w:r w:rsidRPr="00E93220">
        <w:rPr>
          <w:rFonts w:eastAsia="Calibri"/>
          <w:sz w:val="24"/>
          <w:szCs w:val="24"/>
        </w:rPr>
        <w:t xml:space="preserve"> (Millipore) as a chemoattractant in DMEM. Chambers were incubated for 24 h at 37</w:t>
      </w:r>
      <w:r w:rsidRPr="00E93220">
        <w:rPr>
          <w:rFonts w:eastAsia="Calibri"/>
          <w:sz w:val="24"/>
          <w:szCs w:val="24"/>
          <w:vertAlign w:val="superscript"/>
        </w:rPr>
        <w:t>0</w:t>
      </w:r>
      <w:r w:rsidRPr="00E93220">
        <w:rPr>
          <w:rFonts w:eastAsia="Calibri"/>
          <w:sz w:val="24"/>
          <w:szCs w:val="24"/>
        </w:rPr>
        <w:t>C. Non-invading cells were removed by scrubbing the top of invasion membranes, and invading cells were stained with 0.05% crystal violet solution in methanol (Sigma) for 1 min. Three replicate</w:t>
      </w:r>
      <w:bookmarkStart w:id="11" w:name="page14"/>
      <w:bookmarkEnd w:id="11"/>
      <w:r>
        <w:rPr>
          <w:rFonts w:eastAsia="Calibri"/>
          <w:sz w:val="24"/>
          <w:szCs w:val="24"/>
        </w:rPr>
        <w:t xml:space="preserve"> </w:t>
      </w:r>
      <w:r w:rsidRPr="00E93220">
        <w:rPr>
          <w:rFonts w:eastAsia="Calibri"/>
          <w:sz w:val="24"/>
          <w:szCs w:val="24"/>
        </w:rPr>
        <w:t>invasion membranes were mounted on glass slides and invading cells counted at 100x magnification.</w:t>
      </w:r>
    </w:p>
    <w:p w14:paraId="4E6B19ED" w14:textId="77777777" w:rsidR="008370E4" w:rsidRPr="00E93220" w:rsidRDefault="008370E4" w:rsidP="008370E4">
      <w:pPr>
        <w:spacing w:line="480" w:lineRule="auto"/>
        <w:contextualSpacing/>
        <w:jc w:val="both"/>
        <w:rPr>
          <w:sz w:val="24"/>
          <w:szCs w:val="24"/>
        </w:rPr>
      </w:pPr>
    </w:p>
    <w:p w14:paraId="7DCE825E" w14:textId="77777777" w:rsidR="008370E4" w:rsidRPr="00C12EB5" w:rsidRDefault="008370E4" w:rsidP="008370E4">
      <w:pPr>
        <w:spacing w:line="480" w:lineRule="auto"/>
        <w:contextualSpacing/>
        <w:jc w:val="both"/>
        <w:rPr>
          <w:i/>
          <w:sz w:val="24"/>
          <w:szCs w:val="24"/>
        </w:rPr>
      </w:pPr>
      <w:r w:rsidRPr="00C12EB5">
        <w:rPr>
          <w:rFonts w:eastAsia="Calibri"/>
          <w:b/>
          <w:bCs/>
          <w:i/>
          <w:sz w:val="24"/>
          <w:szCs w:val="24"/>
        </w:rPr>
        <w:t>Colony Formation Assay</w:t>
      </w:r>
    </w:p>
    <w:p w14:paraId="766C5837" w14:textId="77777777" w:rsidR="008370E4" w:rsidRPr="00E93220" w:rsidRDefault="008370E4" w:rsidP="008370E4">
      <w:pPr>
        <w:spacing w:line="480" w:lineRule="auto"/>
        <w:contextualSpacing/>
        <w:jc w:val="both"/>
        <w:rPr>
          <w:sz w:val="24"/>
          <w:szCs w:val="24"/>
        </w:rPr>
      </w:pPr>
      <w:r w:rsidRPr="00E93220">
        <w:rPr>
          <w:rFonts w:eastAsia="Calibri"/>
          <w:sz w:val="24"/>
          <w:szCs w:val="24"/>
        </w:rPr>
        <w:t xml:space="preserve">Cells were seeded into 6-well plates and were reverse transfected with 15 </w:t>
      </w:r>
      <w:proofErr w:type="spellStart"/>
      <w:r w:rsidRPr="00E93220">
        <w:rPr>
          <w:rFonts w:eastAsia="Calibri"/>
          <w:sz w:val="24"/>
          <w:szCs w:val="24"/>
        </w:rPr>
        <w:t>nM</w:t>
      </w:r>
      <w:proofErr w:type="spellEnd"/>
      <w:r w:rsidRPr="00E93220">
        <w:rPr>
          <w:rFonts w:eastAsia="Calibri"/>
          <w:sz w:val="24"/>
          <w:szCs w:val="24"/>
        </w:rPr>
        <w:t xml:space="preserve"> oligonucleotide for 48 h with </w:t>
      </w:r>
      <w:proofErr w:type="spellStart"/>
      <w:r w:rsidRPr="00E93220">
        <w:rPr>
          <w:rFonts w:eastAsia="Calibri"/>
          <w:sz w:val="24"/>
          <w:szCs w:val="24"/>
        </w:rPr>
        <w:t>RNAiMAX</w:t>
      </w:r>
      <w:proofErr w:type="spellEnd"/>
      <w:r w:rsidRPr="00E93220">
        <w:rPr>
          <w:rFonts w:eastAsia="Calibri"/>
          <w:sz w:val="24"/>
          <w:szCs w:val="24"/>
        </w:rPr>
        <w:t xml:space="preserve"> as described above. Following transfection, cells were </w:t>
      </w:r>
      <w:proofErr w:type="spellStart"/>
      <w:r w:rsidRPr="00E93220">
        <w:rPr>
          <w:rFonts w:eastAsia="Calibri"/>
          <w:sz w:val="24"/>
          <w:szCs w:val="24"/>
        </w:rPr>
        <w:t>trypsinized</w:t>
      </w:r>
      <w:proofErr w:type="spellEnd"/>
      <w:r w:rsidRPr="00E93220">
        <w:rPr>
          <w:rFonts w:eastAsia="Calibri"/>
          <w:sz w:val="24"/>
          <w:szCs w:val="24"/>
        </w:rPr>
        <w:t xml:space="preserve"> and re-plated in 6-well plates at varying densities. Cells were incubated for 11 days and then stained with 0.1% crystal violet/methanol solution. Colonies with &gt;50 cells were counted in three replicate wells, and the fraction of surviving cells was calculated.</w:t>
      </w:r>
    </w:p>
    <w:p w14:paraId="358130CA" w14:textId="77777777" w:rsidR="008370E4" w:rsidRPr="00E93220" w:rsidRDefault="008370E4" w:rsidP="008370E4">
      <w:pPr>
        <w:spacing w:line="480" w:lineRule="auto"/>
        <w:contextualSpacing/>
        <w:jc w:val="both"/>
        <w:rPr>
          <w:sz w:val="24"/>
          <w:szCs w:val="24"/>
        </w:rPr>
      </w:pPr>
    </w:p>
    <w:p w14:paraId="38398422" w14:textId="77777777" w:rsidR="008370E4" w:rsidRPr="00C12EB5" w:rsidRDefault="008370E4" w:rsidP="008370E4">
      <w:pPr>
        <w:spacing w:line="480" w:lineRule="auto"/>
        <w:contextualSpacing/>
        <w:jc w:val="both"/>
        <w:rPr>
          <w:i/>
          <w:sz w:val="24"/>
          <w:szCs w:val="24"/>
        </w:rPr>
      </w:pPr>
      <w:r w:rsidRPr="00C12EB5">
        <w:rPr>
          <w:rFonts w:eastAsia="Calibri"/>
          <w:b/>
          <w:bCs/>
          <w:i/>
          <w:sz w:val="24"/>
          <w:szCs w:val="24"/>
        </w:rPr>
        <w:t>Immunofluorescence</w:t>
      </w:r>
    </w:p>
    <w:p w14:paraId="118EE286" w14:textId="77777777" w:rsidR="008370E4" w:rsidRPr="00E93220" w:rsidRDefault="008370E4" w:rsidP="008370E4">
      <w:pPr>
        <w:spacing w:line="480" w:lineRule="auto"/>
        <w:contextualSpacing/>
        <w:jc w:val="both"/>
        <w:rPr>
          <w:sz w:val="24"/>
          <w:szCs w:val="24"/>
        </w:rPr>
      </w:pPr>
      <w:r w:rsidRPr="00E93220">
        <w:rPr>
          <w:rFonts w:eastAsia="Calibri"/>
          <w:sz w:val="24"/>
          <w:szCs w:val="24"/>
        </w:rPr>
        <w:t>Fresh tumors were embedded in OCT and then frozen immediately on dry ice. Tumor tissues</w:t>
      </w:r>
      <w:r>
        <w:rPr>
          <w:rFonts w:eastAsia="Calibri"/>
          <w:sz w:val="24"/>
          <w:szCs w:val="24"/>
        </w:rPr>
        <w:t xml:space="preserve"> </w:t>
      </w:r>
      <w:r w:rsidRPr="00E93220">
        <w:rPr>
          <w:rFonts w:eastAsia="Calibri"/>
          <w:sz w:val="24"/>
          <w:szCs w:val="24"/>
        </w:rPr>
        <w:t>were sectioned into 5 m sections. Sections were fixed for 7 minutes at -20</w:t>
      </w:r>
      <w:r w:rsidRPr="00E93220">
        <w:rPr>
          <w:rFonts w:eastAsia="Calibri"/>
          <w:sz w:val="24"/>
          <w:szCs w:val="24"/>
          <w:vertAlign w:val="superscript"/>
        </w:rPr>
        <w:t>0</w:t>
      </w:r>
      <w:r w:rsidRPr="00E93220">
        <w:rPr>
          <w:rFonts w:eastAsia="Calibri"/>
          <w:sz w:val="24"/>
          <w:szCs w:val="24"/>
        </w:rPr>
        <w:t xml:space="preserve">C with ice-cold methanol (EMD Millipore Corporation, Billerica, MA). Samples were then washed three times with PBS. Sections were blocked by incubation in a humidifying chamber at RT for one hour with blocking solution 1 (3% BSA + 0.05% Tween 20 in 1X PBS) followed by a one-hour incubation with blocking solution 2 (10% NGS in 1X PBS). Sections were then incubated with primary antibody diluted in dilution solution (1% BSA + 0.1% Tween 20 in 1X PBS) overnight at 4°C in a humidifying chamber. After washing the cells five times with 1X PBS, the slides were mounted with </w:t>
      </w:r>
      <w:proofErr w:type="spellStart"/>
      <w:r w:rsidRPr="00E93220">
        <w:rPr>
          <w:rFonts w:eastAsia="Calibri"/>
          <w:sz w:val="24"/>
          <w:szCs w:val="24"/>
        </w:rPr>
        <w:t>Vectashield</w:t>
      </w:r>
      <w:proofErr w:type="spellEnd"/>
      <w:r w:rsidRPr="00E93220">
        <w:rPr>
          <w:rFonts w:eastAsia="Calibri"/>
          <w:sz w:val="24"/>
          <w:szCs w:val="24"/>
        </w:rPr>
        <w:t xml:space="preserve"> mounting medium with DAPI (Vector Laboratories Inc, Burlingame, CA) in the dark. Samples were analyzed on a LSM 780 confocal microscope (Carl Zeiss Microimaging, </w:t>
      </w:r>
      <w:proofErr w:type="spellStart"/>
      <w:r w:rsidRPr="00E93220">
        <w:rPr>
          <w:rFonts w:eastAsia="Calibri"/>
          <w:sz w:val="24"/>
          <w:szCs w:val="24"/>
        </w:rPr>
        <w:t>Thronwood</w:t>
      </w:r>
      <w:proofErr w:type="spellEnd"/>
      <w:r w:rsidRPr="00E93220">
        <w:rPr>
          <w:rFonts w:eastAsia="Calibri"/>
          <w:sz w:val="24"/>
          <w:szCs w:val="24"/>
        </w:rPr>
        <w:t>, NY). Confocal data was analyzed using Zen 2012 SP1 (black edition)</w:t>
      </w:r>
      <w:bookmarkStart w:id="12" w:name="page15"/>
      <w:bookmarkEnd w:id="12"/>
      <w:r w:rsidRPr="00E93220">
        <w:rPr>
          <w:rFonts w:eastAsia="Calibri"/>
          <w:sz w:val="24"/>
          <w:szCs w:val="24"/>
        </w:rPr>
        <w:t xml:space="preserve"> software and the degree of color intensity was ascertained using Zen 2012 (blue edition)</w:t>
      </w:r>
      <w:r>
        <w:rPr>
          <w:rFonts w:eastAsia="Calibri"/>
          <w:sz w:val="24"/>
          <w:szCs w:val="24"/>
        </w:rPr>
        <w:t xml:space="preserve"> </w:t>
      </w:r>
      <w:r w:rsidRPr="00E93220">
        <w:rPr>
          <w:rFonts w:eastAsia="Calibri"/>
          <w:sz w:val="24"/>
          <w:szCs w:val="24"/>
        </w:rPr>
        <w:t>software.</w:t>
      </w:r>
    </w:p>
    <w:p w14:paraId="3194DDD0" w14:textId="77777777" w:rsidR="008370E4" w:rsidRPr="00E93220" w:rsidRDefault="008370E4" w:rsidP="008370E4">
      <w:pPr>
        <w:spacing w:line="480" w:lineRule="auto"/>
        <w:contextualSpacing/>
        <w:jc w:val="both"/>
        <w:rPr>
          <w:sz w:val="24"/>
          <w:szCs w:val="24"/>
        </w:rPr>
      </w:pPr>
    </w:p>
    <w:p w14:paraId="370E31B4" w14:textId="77777777" w:rsidR="008370E4" w:rsidRPr="00C12EB5" w:rsidRDefault="008370E4" w:rsidP="008370E4">
      <w:pPr>
        <w:spacing w:line="480" w:lineRule="auto"/>
        <w:contextualSpacing/>
        <w:jc w:val="both"/>
        <w:rPr>
          <w:i/>
          <w:sz w:val="24"/>
          <w:szCs w:val="24"/>
        </w:rPr>
      </w:pPr>
      <w:r w:rsidRPr="00C12EB5">
        <w:rPr>
          <w:rFonts w:eastAsia="Calibri"/>
          <w:b/>
          <w:bCs/>
          <w:i/>
          <w:sz w:val="24"/>
          <w:szCs w:val="24"/>
        </w:rPr>
        <w:t>Development of miR-30a Nanocomplex Bearing an Anti-transferrin Receptor Single-chain</w:t>
      </w:r>
    </w:p>
    <w:p w14:paraId="3695A89F" w14:textId="77777777" w:rsidR="008370E4" w:rsidRPr="00C12EB5" w:rsidRDefault="008370E4" w:rsidP="008370E4">
      <w:pPr>
        <w:spacing w:line="480" w:lineRule="auto"/>
        <w:contextualSpacing/>
        <w:jc w:val="both"/>
        <w:rPr>
          <w:i/>
          <w:sz w:val="24"/>
          <w:szCs w:val="24"/>
        </w:rPr>
      </w:pPr>
      <w:r w:rsidRPr="00C12EB5">
        <w:rPr>
          <w:rFonts w:eastAsia="Calibri"/>
          <w:b/>
          <w:bCs/>
          <w:i/>
          <w:sz w:val="24"/>
          <w:szCs w:val="24"/>
        </w:rPr>
        <w:t>Antibody Fragment</w:t>
      </w:r>
    </w:p>
    <w:p w14:paraId="2672BA9F" w14:textId="77777777" w:rsidR="008370E4" w:rsidRPr="00E93220" w:rsidRDefault="008370E4" w:rsidP="008370E4">
      <w:pPr>
        <w:spacing w:line="480" w:lineRule="auto"/>
        <w:contextualSpacing/>
        <w:jc w:val="both"/>
        <w:rPr>
          <w:sz w:val="24"/>
          <w:szCs w:val="24"/>
        </w:rPr>
      </w:pPr>
      <w:r w:rsidRPr="00E93220">
        <w:rPr>
          <w:rFonts w:eastAsia="Calibri"/>
          <w:sz w:val="24"/>
          <w:szCs w:val="24"/>
        </w:rPr>
        <w:t xml:space="preserve">Fluorescent siRNA to test nanoparticle delivery </w:t>
      </w:r>
      <w:r w:rsidRPr="00E93220">
        <w:rPr>
          <w:rFonts w:eastAsia="Calibri"/>
          <w:i/>
          <w:iCs/>
          <w:sz w:val="24"/>
          <w:szCs w:val="24"/>
        </w:rPr>
        <w:t>in vivo</w:t>
      </w:r>
      <w:r w:rsidRPr="00E93220">
        <w:rPr>
          <w:rFonts w:eastAsia="Calibri"/>
          <w:sz w:val="24"/>
          <w:szCs w:val="24"/>
        </w:rPr>
        <w:t xml:space="preserve"> was synthesized by </w:t>
      </w:r>
      <w:proofErr w:type="spellStart"/>
      <w:r w:rsidRPr="00E93220">
        <w:rPr>
          <w:rFonts w:eastAsia="Calibri"/>
          <w:sz w:val="24"/>
          <w:szCs w:val="24"/>
        </w:rPr>
        <w:t>Trilink</w:t>
      </w:r>
      <w:proofErr w:type="spellEnd"/>
      <w:r w:rsidRPr="00E93220">
        <w:rPr>
          <w:rFonts w:eastAsia="Calibri"/>
          <w:sz w:val="24"/>
          <w:szCs w:val="24"/>
        </w:rPr>
        <w:t xml:space="preserve"> Biotechnologies, and the formulation of oligonucleotides into a cationic liposomal </w:t>
      </w:r>
      <w:proofErr w:type="spellStart"/>
      <w:r w:rsidRPr="00E93220">
        <w:rPr>
          <w:rFonts w:eastAsia="Calibri"/>
          <w:sz w:val="24"/>
          <w:szCs w:val="24"/>
        </w:rPr>
        <w:t>nanodelivery</w:t>
      </w:r>
      <w:proofErr w:type="spellEnd"/>
      <w:r w:rsidRPr="00E93220">
        <w:rPr>
          <w:rFonts w:eastAsia="Calibri"/>
          <w:sz w:val="24"/>
          <w:szCs w:val="24"/>
        </w:rPr>
        <w:t xml:space="preserve"> system (</w:t>
      </w:r>
      <w:proofErr w:type="spellStart"/>
      <w:r w:rsidRPr="00E93220">
        <w:rPr>
          <w:rFonts w:eastAsia="Calibri"/>
          <w:sz w:val="24"/>
          <w:szCs w:val="24"/>
        </w:rPr>
        <w:t>scL</w:t>
      </w:r>
      <w:proofErr w:type="spellEnd"/>
      <w:r w:rsidRPr="00E93220">
        <w:rPr>
          <w:rFonts w:eastAsia="Calibri"/>
          <w:sz w:val="24"/>
          <w:szCs w:val="24"/>
        </w:rPr>
        <w:t>) was</w:t>
      </w:r>
      <w:r>
        <w:rPr>
          <w:rFonts w:eastAsia="Calibri"/>
          <w:sz w:val="24"/>
          <w:szCs w:val="24"/>
        </w:rPr>
        <w:t xml:space="preserve"> </w:t>
      </w:r>
      <w:r w:rsidRPr="00E93220">
        <w:rPr>
          <w:rFonts w:eastAsia="Calibri"/>
          <w:sz w:val="24"/>
          <w:szCs w:val="24"/>
        </w:rPr>
        <w:t xml:space="preserve">performed as previously described </w:t>
      </w:r>
      <w:r>
        <w:rPr>
          <w:rFonts w:eastAsia="Calibri"/>
          <w:noProof/>
          <w:sz w:val="24"/>
          <w:szCs w:val="24"/>
        </w:rPr>
        <w:t>(13,14)</w:t>
      </w:r>
      <w:r w:rsidRPr="00E93220">
        <w:rPr>
          <w:rFonts w:eastAsia="Calibri"/>
          <w:sz w:val="24"/>
          <w:szCs w:val="24"/>
        </w:rPr>
        <w:t>. Briefly, 1:1 molar ratios of each single-stranded antisense and cognate sense oligonucleotide were annealed. Cationic liposome (</w:t>
      </w:r>
      <w:proofErr w:type="spellStart"/>
      <w:r w:rsidRPr="00E93220">
        <w:rPr>
          <w:rFonts w:eastAsia="Calibri"/>
          <w:sz w:val="24"/>
          <w:szCs w:val="24"/>
        </w:rPr>
        <w:t>dioleoyltrimethylammonium</w:t>
      </w:r>
      <w:proofErr w:type="spellEnd"/>
      <w:r w:rsidRPr="00E93220">
        <w:rPr>
          <w:rFonts w:eastAsia="Calibri"/>
          <w:sz w:val="24"/>
          <w:szCs w:val="24"/>
        </w:rPr>
        <w:t xml:space="preserve"> phosphate [DOTAP] and </w:t>
      </w:r>
      <w:proofErr w:type="spellStart"/>
      <w:r w:rsidRPr="00E93220">
        <w:rPr>
          <w:rFonts w:eastAsia="Calibri"/>
          <w:sz w:val="24"/>
          <w:szCs w:val="24"/>
        </w:rPr>
        <w:t>dioleoylphosphatidylethanolamine</w:t>
      </w:r>
      <w:proofErr w:type="spellEnd"/>
      <w:r w:rsidRPr="00E93220">
        <w:rPr>
          <w:rFonts w:eastAsia="Calibri"/>
          <w:sz w:val="24"/>
          <w:szCs w:val="24"/>
        </w:rPr>
        <w:t xml:space="preserve"> [DOPE</w:t>
      </w:r>
      <w:proofErr w:type="gramStart"/>
      <w:r w:rsidRPr="00E93220">
        <w:rPr>
          <w:rFonts w:eastAsia="Calibri"/>
          <w:sz w:val="24"/>
          <w:szCs w:val="24"/>
        </w:rPr>
        <w:t>][</w:t>
      </w:r>
      <w:proofErr w:type="gramEnd"/>
      <w:r w:rsidRPr="00E93220">
        <w:rPr>
          <w:rFonts w:eastAsia="Calibri"/>
          <w:sz w:val="24"/>
          <w:szCs w:val="24"/>
        </w:rPr>
        <w:t>Avanti Polar Lipids, Alabaster, AL]) was prepared at a 1:1 molar ratio by ethanol injection. The anti-transferrin receptor single-chain antibody fragment (</w:t>
      </w:r>
      <w:proofErr w:type="spellStart"/>
      <w:r w:rsidRPr="00E93220">
        <w:rPr>
          <w:rFonts w:eastAsia="Calibri"/>
          <w:sz w:val="24"/>
          <w:szCs w:val="24"/>
        </w:rPr>
        <w:t>TfRscFv</w:t>
      </w:r>
      <w:proofErr w:type="spellEnd"/>
      <w:r w:rsidRPr="00E93220">
        <w:rPr>
          <w:rFonts w:eastAsia="Calibri"/>
          <w:sz w:val="24"/>
          <w:szCs w:val="24"/>
        </w:rPr>
        <w:t>) was mixed with the</w:t>
      </w:r>
      <w:r>
        <w:rPr>
          <w:rFonts w:eastAsia="Calibri"/>
          <w:sz w:val="24"/>
          <w:szCs w:val="24"/>
        </w:rPr>
        <w:t xml:space="preserve"> </w:t>
      </w:r>
      <w:r w:rsidRPr="00E93220">
        <w:rPr>
          <w:rFonts w:eastAsia="Calibri"/>
          <w:sz w:val="24"/>
          <w:szCs w:val="24"/>
        </w:rPr>
        <w:t xml:space="preserve">liposomes at the previously established ratio of 1:30 (w/w) </w:t>
      </w:r>
      <w:r>
        <w:rPr>
          <w:rFonts w:eastAsia="Calibri"/>
          <w:noProof/>
          <w:sz w:val="24"/>
          <w:szCs w:val="24"/>
        </w:rPr>
        <w:t>(15)</w:t>
      </w:r>
      <w:r w:rsidRPr="00E93220">
        <w:rPr>
          <w:rFonts w:eastAsia="Calibri"/>
          <w:sz w:val="24"/>
          <w:szCs w:val="24"/>
        </w:rPr>
        <w:t xml:space="preserve">. The </w:t>
      </w:r>
      <w:proofErr w:type="spellStart"/>
      <w:r w:rsidRPr="00E93220">
        <w:rPr>
          <w:rFonts w:eastAsia="Calibri"/>
          <w:sz w:val="24"/>
          <w:szCs w:val="24"/>
        </w:rPr>
        <w:t>miR</w:t>
      </w:r>
      <w:proofErr w:type="spellEnd"/>
      <w:r w:rsidRPr="00E93220">
        <w:rPr>
          <w:rFonts w:eastAsia="Calibri"/>
          <w:sz w:val="24"/>
          <w:szCs w:val="24"/>
        </w:rPr>
        <w:t xml:space="preserve"> mimic were subsequently added to the admixture at a ratio of 1 </w:t>
      </w:r>
      <w:proofErr w:type="spellStart"/>
      <w:r w:rsidRPr="00E93220">
        <w:rPr>
          <w:rFonts w:eastAsia="Calibri"/>
          <w:sz w:val="24"/>
          <w:szCs w:val="24"/>
        </w:rPr>
        <w:t>μg</w:t>
      </w:r>
      <w:proofErr w:type="spellEnd"/>
      <w:r w:rsidRPr="00E93220">
        <w:rPr>
          <w:rFonts w:eastAsia="Calibri"/>
          <w:sz w:val="24"/>
          <w:szCs w:val="24"/>
        </w:rPr>
        <w:t xml:space="preserve"> siRNA to 7 nmol liposome, followed by sizing and confirmation of </w:t>
      </w:r>
      <w:proofErr w:type="spellStart"/>
      <w:r w:rsidRPr="00E93220">
        <w:rPr>
          <w:rFonts w:eastAsia="Calibri"/>
          <w:sz w:val="24"/>
          <w:szCs w:val="24"/>
        </w:rPr>
        <w:t>nanosize</w:t>
      </w:r>
      <w:proofErr w:type="spellEnd"/>
      <w:r w:rsidRPr="00E93220">
        <w:rPr>
          <w:rFonts w:eastAsia="Calibri"/>
          <w:sz w:val="24"/>
          <w:szCs w:val="24"/>
        </w:rPr>
        <w:t xml:space="preserve"> particle distributions in the final immunoliposome formulations by dynamic light scattering with a Malvern </w:t>
      </w:r>
      <w:proofErr w:type="spellStart"/>
      <w:r w:rsidRPr="00E93220">
        <w:rPr>
          <w:rFonts w:eastAsia="Calibri"/>
          <w:sz w:val="24"/>
          <w:szCs w:val="24"/>
        </w:rPr>
        <w:t>Zetasizer</w:t>
      </w:r>
      <w:proofErr w:type="spellEnd"/>
      <w:r w:rsidRPr="00E93220">
        <w:rPr>
          <w:rFonts w:eastAsia="Calibri"/>
          <w:sz w:val="24"/>
          <w:szCs w:val="24"/>
        </w:rPr>
        <w:t xml:space="preserve"> 3000 HS (Malvern, Worcestershire, UK). The control </w:t>
      </w:r>
      <w:proofErr w:type="spellStart"/>
      <w:r w:rsidRPr="00E93220">
        <w:rPr>
          <w:rFonts w:eastAsia="Calibri"/>
          <w:sz w:val="24"/>
          <w:szCs w:val="24"/>
        </w:rPr>
        <w:t>miR</w:t>
      </w:r>
      <w:proofErr w:type="spellEnd"/>
      <w:r w:rsidRPr="00E93220">
        <w:rPr>
          <w:rFonts w:eastAsia="Calibri"/>
          <w:sz w:val="24"/>
          <w:szCs w:val="24"/>
        </w:rPr>
        <w:t xml:space="preserve"> mimic had a guide strand sequence of 5’ UUGUACUACACAAAAGUACUG 3’ and a passenger strand sequence of 5’ CAGUACUUUUGUGUAGUACAA 3’, which is based on </w:t>
      </w:r>
      <w:r w:rsidRPr="00E93220">
        <w:rPr>
          <w:rFonts w:eastAsia="Calibri"/>
          <w:i/>
          <w:iCs/>
          <w:sz w:val="24"/>
          <w:szCs w:val="24"/>
        </w:rPr>
        <w:t>C. elegans</w:t>
      </w:r>
      <w:r w:rsidRPr="00E93220">
        <w:rPr>
          <w:rFonts w:eastAsia="Calibri"/>
          <w:sz w:val="24"/>
          <w:szCs w:val="24"/>
        </w:rPr>
        <w:t xml:space="preserve"> cel-miR-239b, a miRNA that has minimal sequence identity with </w:t>
      </w:r>
      <w:proofErr w:type="spellStart"/>
      <w:r w:rsidRPr="00E93220">
        <w:rPr>
          <w:rFonts w:eastAsia="Calibri"/>
          <w:sz w:val="24"/>
          <w:szCs w:val="24"/>
        </w:rPr>
        <w:t>miRs</w:t>
      </w:r>
      <w:proofErr w:type="spellEnd"/>
      <w:r w:rsidRPr="00E93220">
        <w:rPr>
          <w:rFonts w:eastAsia="Calibri"/>
          <w:sz w:val="24"/>
          <w:szCs w:val="24"/>
        </w:rPr>
        <w:t xml:space="preserve"> in human, mouse, and rat. The miR-30a-5p double-stranded mature strand mimic contained a guide strand sequence of 5’</w:t>
      </w:r>
      <w:r>
        <w:rPr>
          <w:rFonts w:eastAsia="Calibri"/>
          <w:sz w:val="24"/>
          <w:szCs w:val="24"/>
        </w:rPr>
        <w:t xml:space="preserve"> </w:t>
      </w:r>
      <w:r w:rsidRPr="00E93220">
        <w:rPr>
          <w:rFonts w:eastAsia="Calibri"/>
          <w:sz w:val="24"/>
          <w:szCs w:val="24"/>
        </w:rPr>
        <w:t>UGUAAACAUCCUCGACUGGAAGCU 3’ and a passenger strand sequence of 5’ AGCUUCCAGUCGGAUGUUUACACG 3</w:t>
      </w:r>
      <w:proofErr w:type="gramStart"/>
      <w:r w:rsidRPr="00E93220">
        <w:rPr>
          <w:rFonts w:eastAsia="Calibri"/>
          <w:sz w:val="24"/>
          <w:szCs w:val="24"/>
        </w:rPr>
        <w:t>’, and</w:t>
      </w:r>
      <w:proofErr w:type="gramEnd"/>
      <w:r w:rsidRPr="00E93220">
        <w:rPr>
          <w:rFonts w:eastAsia="Calibri"/>
          <w:sz w:val="24"/>
          <w:szCs w:val="24"/>
        </w:rPr>
        <w:t xml:space="preserve"> was synthesized by </w:t>
      </w:r>
      <w:proofErr w:type="spellStart"/>
      <w:r w:rsidRPr="00E93220">
        <w:rPr>
          <w:rFonts w:eastAsia="Calibri"/>
          <w:sz w:val="24"/>
          <w:szCs w:val="24"/>
        </w:rPr>
        <w:t>Trilink</w:t>
      </w:r>
      <w:proofErr w:type="spellEnd"/>
      <w:r w:rsidRPr="00E93220">
        <w:rPr>
          <w:rFonts w:eastAsia="Calibri"/>
          <w:sz w:val="24"/>
          <w:szCs w:val="24"/>
        </w:rPr>
        <w:t xml:space="preserve"> Biotechnologies. Following</w:t>
      </w:r>
      <w:bookmarkStart w:id="13" w:name="page16"/>
      <w:bookmarkEnd w:id="13"/>
      <w:r>
        <w:rPr>
          <w:rFonts w:eastAsia="Calibri"/>
          <w:sz w:val="24"/>
          <w:szCs w:val="24"/>
        </w:rPr>
        <w:t xml:space="preserve"> </w:t>
      </w:r>
      <w:r w:rsidRPr="00E93220">
        <w:rPr>
          <w:rFonts w:eastAsia="Calibri"/>
          <w:sz w:val="24"/>
          <w:szCs w:val="24"/>
        </w:rPr>
        <w:t>annealing the mimic was formulated as described above. The complexed miR-30a mimic is referred to as miR-30a-scL.</w:t>
      </w:r>
    </w:p>
    <w:p w14:paraId="1A6E3DF4" w14:textId="77777777" w:rsidR="008370E4" w:rsidRPr="00E93220" w:rsidRDefault="008370E4" w:rsidP="008370E4">
      <w:pPr>
        <w:spacing w:line="480" w:lineRule="auto"/>
        <w:contextualSpacing/>
        <w:jc w:val="both"/>
        <w:rPr>
          <w:sz w:val="24"/>
          <w:szCs w:val="24"/>
        </w:rPr>
      </w:pPr>
    </w:p>
    <w:p w14:paraId="124B8B77" w14:textId="77777777" w:rsidR="008370E4" w:rsidRPr="00E93220" w:rsidRDefault="008370E4" w:rsidP="008370E4">
      <w:pPr>
        <w:spacing w:line="480" w:lineRule="auto"/>
        <w:contextualSpacing/>
        <w:jc w:val="both"/>
        <w:rPr>
          <w:sz w:val="24"/>
          <w:szCs w:val="24"/>
        </w:rPr>
      </w:pPr>
      <w:r w:rsidRPr="00C12EB5">
        <w:rPr>
          <w:rFonts w:eastAsia="Calibri"/>
          <w:b/>
          <w:bCs/>
          <w:iCs/>
          <w:sz w:val="24"/>
          <w:szCs w:val="24"/>
        </w:rPr>
        <w:t xml:space="preserve">In Vivo </w:t>
      </w:r>
      <w:r w:rsidRPr="00C12EB5">
        <w:rPr>
          <w:rFonts w:eastAsia="Calibri"/>
          <w:b/>
          <w:bCs/>
          <w:i/>
          <w:sz w:val="24"/>
          <w:szCs w:val="24"/>
        </w:rPr>
        <w:t>Tumor Targeting and Growth Assays</w:t>
      </w:r>
    </w:p>
    <w:p w14:paraId="77321531" w14:textId="77777777" w:rsidR="008370E4" w:rsidRDefault="008370E4" w:rsidP="008370E4">
      <w:pPr>
        <w:spacing w:line="480" w:lineRule="auto"/>
        <w:contextualSpacing/>
        <w:jc w:val="both"/>
        <w:rPr>
          <w:rFonts w:eastAsia="Calibri"/>
          <w:sz w:val="24"/>
          <w:szCs w:val="24"/>
        </w:rPr>
      </w:pPr>
      <w:r w:rsidRPr="00E93220">
        <w:rPr>
          <w:rFonts w:eastAsia="Calibri"/>
          <w:sz w:val="24"/>
          <w:szCs w:val="24"/>
        </w:rPr>
        <w:t xml:space="preserve">All animal experiments were carried out under protocols approved by the Animal Care and Use Committee of the </w:t>
      </w:r>
      <w:proofErr w:type="gramStart"/>
      <w:r w:rsidRPr="00E93220">
        <w:rPr>
          <w:rFonts w:eastAsia="Calibri"/>
          <w:sz w:val="24"/>
          <w:szCs w:val="24"/>
        </w:rPr>
        <w:t>NIDCD, and</w:t>
      </w:r>
      <w:proofErr w:type="gramEnd"/>
      <w:r w:rsidRPr="00E93220">
        <w:rPr>
          <w:rFonts w:eastAsia="Calibri"/>
          <w:sz w:val="24"/>
          <w:szCs w:val="24"/>
        </w:rPr>
        <w:t xml:space="preserve"> were in compliance with the Guide for the Care and Use of Laboratory Animal Resource</w:t>
      </w:r>
      <w:r>
        <w:rPr>
          <w:rFonts w:eastAsia="Calibri"/>
          <w:sz w:val="24"/>
          <w:szCs w:val="24"/>
        </w:rPr>
        <w:t xml:space="preserve"> (16)</w:t>
      </w:r>
      <w:r w:rsidRPr="00E93220">
        <w:rPr>
          <w:rFonts w:eastAsia="Calibri"/>
          <w:sz w:val="24"/>
          <w:szCs w:val="24"/>
        </w:rPr>
        <w:t>, National Research Council. Six to eight week old athymic nu/nu female mice (obtained from the Frederick Cancer Research and Development Center, NCI)</w:t>
      </w:r>
      <w:r>
        <w:rPr>
          <w:rFonts w:eastAsia="Calibri"/>
          <w:sz w:val="24"/>
          <w:szCs w:val="24"/>
        </w:rPr>
        <w:t xml:space="preserve"> </w:t>
      </w:r>
      <w:r w:rsidRPr="00E93220">
        <w:rPr>
          <w:rFonts w:eastAsia="Calibri"/>
          <w:sz w:val="24"/>
          <w:szCs w:val="24"/>
        </w:rPr>
        <w:t>were injected subcutaneously (</w:t>
      </w:r>
      <w:proofErr w:type="spellStart"/>
      <w:r w:rsidRPr="00E93220">
        <w:rPr>
          <w:rFonts w:eastAsia="Calibri"/>
          <w:sz w:val="24"/>
          <w:szCs w:val="24"/>
        </w:rPr>
        <w:t>s.c.</w:t>
      </w:r>
      <w:proofErr w:type="spellEnd"/>
      <w:r w:rsidRPr="00E93220">
        <w:rPr>
          <w:rFonts w:eastAsia="Calibri"/>
          <w:sz w:val="24"/>
          <w:szCs w:val="24"/>
        </w:rPr>
        <w:t>) with 2.5 x 10</w:t>
      </w:r>
      <w:r w:rsidRPr="00E93220">
        <w:rPr>
          <w:rFonts w:eastAsia="Calibri"/>
          <w:sz w:val="24"/>
          <w:szCs w:val="24"/>
          <w:vertAlign w:val="superscript"/>
        </w:rPr>
        <w:t>6</w:t>
      </w:r>
      <w:r w:rsidRPr="00E93220">
        <w:rPr>
          <w:rFonts w:eastAsia="Calibri"/>
          <w:sz w:val="24"/>
          <w:szCs w:val="24"/>
        </w:rPr>
        <w:t xml:space="preserve"> UM-SCC-46 or UM-SCC-47 cells in 100 µL of</w:t>
      </w:r>
      <w:r>
        <w:rPr>
          <w:rFonts w:eastAsia="Calibri"/>
          <w:sz w:val="24"/>
          <w:szCs w:val="24"/>
        </w:rPr>
        <w:t xml:space="preserve"> </w:t>
      </w:r>
      <w:r w:rsidRPr="00E93220">
        <w:rPr>
          <w:rFonts w:eastAsia="Calibri"/>
          <w:sz w:val="24"/>
          <w:szCs w:val="24"/>
        </w:rPr>
        <w:t xml:space="preserve">30% Type 3 BME </w:t>
      </w:r>
      <w:proofErr w:type="spellStart"/>
      <w:proofErr w:type="gramStart"/>
      <w:r w:rsidRPr="00E93220">
        <w:rPr>
          <w:rFonts w:eastAsia="Calibri"/>
          <w:sz w:val="24"/>
          <w:szCs w:val="24"/>
        </w:rPr>
        <w:t>Cultrex</w:t>
      </w:r>
      <w:proofErr w:type="spellEnd"/>
      <w:r w:rsidRPr="00E93220">
        <w:rPr>
          <w:rFonts w:eastAsia="Calibri"/>
          <w:sz w:val="24"/>
          <w:szCs w:val="24"/>
        </w:rPr>
        <w:t>(</w:t>
      </w:r>
      <w:proofErr w:type="spellStart"/>
      <w:proofErr w:type="gramEnd"/>
      <w:r w:rsidRPr="00E93220">
        <w:rPr>
          <w:rFonts w:eastAsia="Calibri"/>
          <w:sz w:val="24"/>
          <w:szCs w:val="24"/>
        </w:rPr>
        <w:t>Trevigen</w:t>
      </w:r>
      <w:proofErr w:type="spellEnd"/>
      <w:r w:rsidRPr="00E93220">
        <w:rPr>
          <w:rFonts w:eastAsia="Calibri"/>
          <w:sz w:val="24"/>
          <w:szCs w:val="24"/>
        </w:rPr>
        <w:t>)/MEM media on the right leg. Once tumors reached ~150 mm</w:t>
      </w:r>
      <w:r w:rsidRPr="00E93220">
        <w:rPr>
          <w:rFonts w:eastAsia="Calibri"/>
          <w:sz w:val="24"/>
          <w:szCs w:val="24"/>
          <w:vertAlign w:val="superscript"/>
        </w:rPr>
        <w:t>3</w:t>
      </w:r>
      <w:r w:rsidRPr="00E93220">
        <w:rPr>
          <w:rFonts w:eastAsia="Calibri"/>
          <w:sz w:val="24"/>
          <w:szCs w:val="24"/>
        </w:rPr>
        <w:t xml:space="preserve">(approximately 1 - 2 weeks after injection), mice were randomized into treatment groups of (n=5 mice each); control 5% sucrose (vehicle), control </w:t>
      </w:r>
      <w:proofErr w:type="spellStart"/>
      <w:r w:rsidRPr="00E93220">
        <w:rPr>
          <w:rFonts w:eastAsia="Calibri"/>
          <w:sz w:val="24"/>
          <w:szCs w:val="24"/>
        </w:rPr>
        <w:t>miR-scL</w:t>
      </w:r>
      <w:proofErr w:type="spellEnd"/>
      <w:r w:rsidRPr="00E93220">
        <w:rPr>
          <w:rFonts w:eastAsia="Calibri"/>
          <w:sz w:val="24"/>
          <w:szCs w:val="24"/>
        </w:rPr>
        <w:t>, and miR-30a-scL. Nine doses of 3 mg/kg miR-30a-scL was administered via tail vain injection on Monday, Wednesday, and Friday (MWF) over three weeks for a total of nine doses. Tumor size was measured on MWF with external calipers and volume calculated with the formula V = ½ L*W</w:t>
      </w:r>
      <w:r w:rsidRPr="00E93220">
        <w:rPr>
          <w:rFonts w:eastAsia="Calibri"/>
          <w:sz w:val="24"/>
          <w:szCs w:val="24"/>
          <w:vertAlign w:val="superscript"/>
        </w:rPr>
        <w:t>2</w:t>
      </w:r>
      <w:r w:rsidRPr="00E93220">
        <w:rPr>
          <w:rFonts w:eastAsia="Calibri"/>
          <w:sz w:val="24"/>
          <w:szCs w:val="24"/>
        </w:rPr>
        <w:t xml:space="preserve">. Tumor growth was reported as mean volume with standard error of the mean. Kaplan-Meier survival analysis was performed in </w:t>
      </w:r>
      <w:proofErr w:type="spellStart"/>
      <w:r w:rsidRPr="00E93220">
        <w:rPr>
          <w:rFonts w:eastAsia="Calibri"/>
          <w:sz w:val="24"/>
          <w:szCs w:val="24"/>
        </w:rPr>
        <w:t>Graphpad</w:t>
      </w:r>
      <w:proofErr w:type="spellEnd"/>
      <w:r w:rsidRPr="00E93220">
        <w:rPr>
          <w:rFonts w:eastAsia="Calibri"/>
          <w:sz w:val="24"/>
          <w:szCs w:val="24"/>
        </w:rPr>
        <w:t xml:space="preserve"> PRISM software (v6.05). Survival statistics were performed using the Log-rank (Mantel-Cox) test, and Hazard ratio calculated via Log-rank test.</w:t>
      </w:r>
      <w:bookmarkStart w:id="14" w:name="page17"/>
      <w:bookmarkEnd w:id="14"/>
    </w:p>
    <w:p w14:paraId="5763E525" w14:textId="77777777" w:rsidR="008370E4" w:rsidRDefault="008370E4" w:rsidP="008370E4">
      <w:pPr>
        <w:rPr>
          <w:rFonts w:eastAsia="Calibri"/>
          <w:sz w:val="24"/>
          <w:szCs w:val="24"/>
        </w:rPr>
      </w:pPr>
      <w:r>
        <w:rPr>
          <w:rFonts w:eastAsia="Calibri"/>
          <w:sz w:val="24"/>
          <w:szCs w:val="24"/>
        </w:rPr>
        <w:br w:type="page"/>
      </w:r>
    </w:p>
    <w:p w14:paraId="2E5AAF75" w14:textId="77777777" w:rsidR="008370E4" w:rsidRDefault="008370E4" w:rsidP="008370E4">
      <w:pPr>
        <w:spacing w:line="480" w:lineRule="auto"/>
        <w:contextualSpacing/>
        <w:jc w:val="both"/>
        <w:rPr>
          <w:b/>
          <w:sz w:val="24"/>
          <w:szCs w:val="24"/>
        </w:rPr>
      </w:pPr>
      <w:r w:rsidRPr="00E93220">
        <w:rPr>
          <w:b/>
          <w:sz w:val="24"/>
          <w:szCs w:val="24"/>
        </w:rPr>
        <w:t>Supplemental References</w:t>
      </w:r>
    </w:p>
    <w:p w14:paraId="6809EE5F" w14:textId="77777777" w:rsidR="008370E4" w:rsidRPr="00C62E8D" w:rsidRDefault="008370E4" w:rsidP="008370E4">
      <w:pPr>
        <w:pStyle w:val="EndNoteBibliography"/>
        <w:spacing w:line="480" w:lineRule="auto"/>
        <w:ind w:left="720" w:hanging="720"/>
        <w:contextualSpacing/>
        <w:rPr>
          <w:sz w:val="24"/>
          <w:szCs w:val="24"/>
        </w:rPr>
      </w:pPr>
      <w:r w:rsidRPr="00C62E8D">
        <w:rPr>
          <w:sz w:val="24"/>
          <w:szCs w:val="24"/>
        </w:rPr>
        <w:t>1.</w:t>
      </w:r>
      <w:r w:rsidRPr="00C62E8D">
        <w:rPr>
          <w:sz w:val="24"/>
          <w:szCs w:val="24"/>
        </w:rPr>
        <w:tab/>
        <w:t>Friedlander MR, Chen W, Adamidi C, Maaskola J, Einspanier R, Knespel S</w:t>
      </w:r>
      <w:r w:rsidRPr="00C62E8D">
        <w:rPr>
          <w:i/>
          <w:sz w:val="24"/>
          <w:szCs w:val="24"/>
        </w:rPr>
        <w:t>, et al.</w:t>
      </w:r>
      <w:r w:rsidRPr="00C62E8D">
        <w:rPr>
          <w:sz w:val="24"/>
          <w:szCs w:val="24"/>
        </w:rPr>
        <w:t xml:space="preserve"> Discovering microRNAs from deep sequencing data using miRDeep. </w:t>
      </w:r>
      <w:r w:rsidRPr="00C62E8D">
        <w:rPr>
          <w:i/>
          <w:sz w:val="24"/>
          <w:szCs w:val="24"/>
        </w:rPr>
        <w:t>Nat Biotechnol</w:t>
      </w:r>
      <w:r w:rsidRPr="00C62E8D">
        <w:rPr>
          <w:sz w:val="24"/>
          <w:szCs w:val="24"/>
        </w:rPr>
        <w:t xml:space="preserve"> </w:t>
      </w:r>
      <w:r w:rsidRPr="00C62E8D">
        <w:rPr>
          <w:b/>
          <w:sz w:val="24"/>
          <w:szCs w:val="24"/>
        </w:rPr>
        <w:t>2008</w:t>
      </w:r>
      <w:r w:rsidRPr="00C62E8D">
        <w:rPr>
          <w:sz w:val="24"/>
          <w:szCs w:val="24"/>
        </w:rPr>
        <w:t>;26:407</w:t>
      </w:r>
      <w:r>
        <w:rPr>
          <w:sz w:val="24"/>
          <w:szCs w:val="24"/>
        </w:rPr>
        <w:t>–</w:t>
      </w:r>
      <w:r w:rsidRPr="00C62E8D">
        <w:rPr>
          <w:sz w:val="24"/>
          <w:szCs w:val="24"/>
        </w:rPr>
        <w:t>15.</w:t>
      </w:r>
    </w:p>
    <w:p w14:paraId="600AAEAB" w14:textId="77777777" w:rsidR="008370E4" w:rsidRPr="00C62E8D" w:rsidRDefault="008370E4" w:rsidP="008370E4">
      <w:pPr>
        <w:pStyle w:val="EndNoteBibliography"/>
        <w:spacing w:line="480" w:lineRule="auto"/>
        <w:ind w:left="720" w:hanging="720"/>
        <w:contextualSpacing/>
        <w:rPr>
          <w:sz w:val="24"/>
          <w:szCs w:val="24"/>
        </w:rPr>
      </w:pPr>
      <w:r w:rsidRPr="00C62E8D">
        <w:rPr>
          <w:sz w:val="24"/>
          <w:szCs w:val="24"/>
        </w:rPr>
        <w:t>2.</w:t>
      </w:r>
      <w:r w:rsidRPr="00C62E8D">
        <w:rPr>
          <w:sz w:val="24"/>
          <w:szCs w:val="24"/>
        </w:rPr>
        <w:tab/>
        <w:t xml:space="preserve">Tusher VG, Tibshirani R, Chu G. Significance analysis of microarrays applied to the ionizing radiation response. </w:t>
      </w:r>
      <w:r w:rsidRPr="00C62E8D">
        <w:rPr>
          <w:i/>
          <w:sz w:val="24"/>
          <w:szCs w:val="24"/>
        </w:rPr>
        <w:t>Proc Natl Acad Sci U S A</w:t>
      </w:r>
      <w:r w:rsidRPr="00C62E8D">
        <w:rPr>
          <w:sz w:val="24"/>
          <w:szCs w:val="24"/>
        </w:rPr>
        <w:t xml:space="preserve"> </w:t>
      </w:r>
      <w:r w:rsidRPr="00C62E8D">
        <w:rPr>
          <w:b/>
          <w:sz w:val="24"/>
          <w:szCs w:val="24"/>
        </w:rPr>
        <w:t>2001</w:t>
      </w:r>
      <w:r w:rsidRPr="00C62E8D">
        <w:rPr>
          <w:sz w:val="24"/>
          <w:szCs w:val="24"/>
        </w:rPr>
        <w:t>;98:5116</w:t>
      </w:r>
      <w:r>
        <w:rPr>
          <w:sz w:val="24"/>
          <w:szCs w:val="24"/>
        </w:rPr>
        <w:t>–</w:t>
      </w:r>
      <w:r w:rsidRPr="00C62E8D">
        <w:rPr>
          <w:sz w:val="24"/>
          <w:szCs w:val="24"/>
        </w:rPr>
        <w:t>21.</w:t>
      </w:r>
    </w:p>
    <w:p w14:paraId="14DBAF24" w14:textId="77777777" w:rsidR="008370E4" w:rsidRPr="00C62E8D" w:rsidRDefault="008370E4" w:rsidP="008370E4">
      <w:pPr>
        <w:pStyle w:val="EndNoteBibliography"/>
        <w:spacing w:line="480" w:lineRule="auto"/>
        <w:ind w:left="720" w:hanging="720"/>
        <w:contextualSpacing/>
        <w:rPr>
          <w:sz w:val="24"/>
          <w:szCs w:val="24"/>
        </w:rPr>
      </w:pPr>
      <w:r w:rsidRPr="00C62E8D">
        <w:rPr>
          <w:sz w:val="24"/>
          <w:szCs w:val="24"/>
        </w:rPr>
        <w:t>3.</w:t>
      </w:r>
      <w:r w:rsidRPr="00C62E8D">
        <w:rPr>
          <w:sz w:val="24"/>
          <w:szCs w:val="24"/>
        </w:rPr>
        <w:tab/>
        <w:t xml:space="preserve">Cancer Genome Atlas Network. Comprehensive genomic characterization of head and neck squamous cell carcinomas. </w:t>
      </w:r>
      <w:r w:rsidRPr="00C62E8D">
        <w:rPr>
          <w:i/>
          <w:sz w:val="24"/>
          <w:szCs w:val="24"/>
        </w:rPr>
        <w:t>Nature</w:t>
      </w:r>
      <w:r w:rsidRPr="00C62E8D">
        <w:rPr>
          <w:sz w:val="24"/>
          <w:szCs w:val="24"/>
        </w:rPr>
        <w:t xml:space="preserve"> </w:t>
      </w:r>
      <w:r w:rsidRPr="00C62E8D">
        <w:rPr>
          <w:b/>
          <w:sz w:val="24"/>
          <w:szCs w:val="24"/>
        </w:rPr>
        <w:t>2015</w:t>
      </w:r>
      <w:r w:rsidRPr="00C62E8D">
        <w:rPr>
          <w:sz w:val="24"/>
          <w:szCs w:val="24"/>
        </w:rPr>
        <w:t>;517:576</w:t>
      </w:r>
      <w:r>
        <w:rPr>
          <w:sz w:val="24"/>
          <w:szCs w:val="24"/>
        </w:rPr>
        <w:t>–</w:t>
      </w:r>
      <w:r w:rsidRPr="00C62E8D">
        <w:rPr>
          <w:sz w:val="24"/>
          <w:szCs w:val="24"/>
        </w:rPr>
        <w:t>82.</w:t>
      </w:r>
    </w:p>
    <w:p w14:paraId="4ADAA376" w14:textId="77777777" w:rsidR="008370E4" w:rsidRPr="00C62E8D" w:rsidRDefault="008370E4" w:rsidP="008370E4">
      <w:pPr>
        <w:pStyle w:val="EndNoteBibliography"/>
        <w:spacing w:line="480" w:lineRule="auto"/>
        <w:ind w:left="720" w:hanging="720"/>
        <w:contextualSpacing/>
        <w:rPr>
          <w:sz w:val="24"/>
          <w:szCs w:val="24"/>
        </w:rPr>
      </w:pPr>
      <w:r w:rsidRPr="00C62E8D">
        <w:rPr>
          <w:sz w:val="24"/>
          <w:szCs w:val="24"/>
        </w:rPr>
        <w:t>4.</w:t>
      </w:r>
      <w:r w:rsidRPr="00C62E8D">
        <w:rPr>
          <w:sz w:val="24"/>
          <w:szCs w:val="24"/>
        </w:rPr>
        <w:tab/>
        <w:t xml:space="preserve">Li B, Dewey CN. RSEM: accurate transcript quantification from RNA-Seq data with or without a reference genome. </w:t>
      </w:r>
      <w:r w:rsidRPr="00C62E8D">
        <w:rPr>
          <w:i/>
          <w:sz w:val="24"/>
          <w:szCs w:val="24"/>
        </w:rPr>
        <w:t>BMC Bioinformatics</w:t>
      </w:r>
      <w:r w:rsidRPr="00C62E8D">
        <w:rPr>
          <w:sz w:val="24"/>
          <w:szCs w:val="24"/>
        </w:rPr>
        <w:t xml:space="preserve"> </w:t>
      </w:r>
      <w:r w:rsidRPr="00C62E8D">
        <w:rPr>
          <w:b/>
          <w:sz w:val="24"/>
          <w:szCs w:val="24"/>
        </w:rPr>
        <w:t>2011</w:t>
      </w:r>
      <w:r w:rsidRPr="00C62E8D">
        <w:rPr>
          <w:sz w:val="24"/>
          <w:szCs w:val="24"/>
        </w:rPr>
        <w:t>;12:323.</w:t>
      </w:r>
    </w:p>
    <w:p w14:paraId="40BDC63A" w14:textId="77777777" w:rsidR="008370E4" w:rsidRPr="00C62E8D" w:rsidRDefault="008370E4" w:rsidP="008370E4">
      <w:pPr>
        <w:pStyle w:val="EndNoteBibliography"/>
        <w:spacing w:line="480" w:lineRule="auto"/>
        <w:ind w:left="720" w:hanging="720"/>
        <w:contextualSpacing/>
        <w:rPr>
          <w:sz w:val="24"/>
          <w:szCs w:val="24"/>
        </w:rPr>
      </w:pPr>
      <w:r w:rsidRPr="00C62E8D">
        <w:rPr>
          <w:sz w:val="24"/>
          <w:szCs w:val="24"/>
        </w:rPr>
        <w:t>5.</w:t>
      </w:r>
      <w:r w:rsidRPr="00C62E8D">
        <w:rPr>
          <w:sz w:val="24"/>
          <w:szCs w:val="24"/>
        </w:rPr>
        <w:tab/>
        <w:t>Beroukhim R, Getz G, Nghiemphu L, Barretina J, Hsueh T, Linhart D</w:t>
      </w:r>
      <w:r w:rsidRPr="00C62E8D">
        <w:rPr>
          <w:i/>
          <w:sz w:val="24"/>
          <w:szCs w:val="24"/>
        </w:rPr>
        <w:t>, et al.</w:t>
      </w:r>
      <w:r w:rsidRPr="00C62E8D">
        <w:rPr>
          <w:sz w:val="24"/>
          <w:szCs w:val="24"/>
        </w:rPr>
        <w:t xml:space="preserve"> Assessing the significance of chromosomal aberrations in cancer: methodology and application to glioma. </w:t>
      </w:r>
      <w:r w:rsidRPr="00C62E8D">
        <w:rPr>
          <w:i/>
          <w:sz w:val="24"/>
          <w:szCs w:val="24"/>
        </w:rPr>
        <w:t>Proc Natl Acad Sci U S A</w:t>
      </w:r>
      <w:r w:rsidRPr="00C62E8D">
        <w:rPr>
          <w:sz w:val="24"/>
          <w:szCs w:val="24"/>
        </w:rPr>
        <w:t xml:space="preserve"> </w:t>
      </w:r>
      <w:r w:rsidRPr="00C62E8D">
        <w:rPr>
          <w:b/>
          <w:sz w:val="24"/>
          <w:szCs w:val="24"/>
        </w:rPr>
        <w:t>2007</w:t>
      </w:r>
      <w:r w:rsidRPr="00C62E8D">
        <w:rPr>
          <w:sz w:val="24"/>
          <w:szCs w:val="24"/>
        </w:rPr>
        <w:t>;104:20007</w:t>
      </w:r>
      <w:r>
        <w:rPr>
          <w:sz w:val="24"/>
          <w:szCs w:val="24"/>
        </w:rPr>
        <w:t>–</w:t>
      </w:r>
      <w:r w:rsidRPr="00C62E8D">
        <w:rPr>
          <w:sz w:val="24"/>
          <w:szCs w:val="24"/>
        </w:rPr>
        <w:t>12.</w:t>
      </w:r>
    </w:p>
    <w:p w14:paraId="4B6A692D" w14:textId="77777777" w:rsidR="008370E4" w:rsidRPr="00C62E8D" w:rsidRDefault="008370E4" w:rsidP="008370E4">
      <w:pPr>
        <w:pStyle w:val="EndNoteBibliography"/>
        <w:spacing w:line="480" w:lineRule="auto"/>
        <w:ind w:left="720" w:hanging="720"/>
        <w:contextualSpacing/>
        <w:rPr>
          <w:sz w:val="24"/>
          <w:szCs w:val="24"/>
        </w:rPr>
      </w:pPr>
      <w:r w:rsidRPr="00C62E8D">
        <w:rPr>
          <w:sz w:val="24"/>
          <w:szCs w:val="24"/>
        </w:rPr>
        <w:t>6.</w:t>
      </w:r>
      <w:r w:rsidRPr="00C62E8D">
        <w:rPr>
          <w:sz w:val="24"/>
          <w:szCs w:val="24"/>
        </w:rPr>
        <w:tab/>
        <w:t>Robinson JT, Thorvaldsdóttir H, Winckler W, Guttman M, Lander ES, Getz G</w:t>
      </w:r>
      <w:r w:rsidRPr="00C62E8D">
        <w:rPr>
          <w:i/>
          <w:sz w:val="24"/>
          <w:szCs w:val="24"/>
        </w:rPr>
        <w:t>, et al.</w:t>
      </w:r>
      <w:r w:rsidRPr="00C62E8D">
        <w:rPr>
          <w:sz w:val="24"/>
          <w:szCs w:val="24"/>
        </w:rPr>
        <w:t xml:space="preserve"> Integrative genomics viewer. </w:t>
      </w:r>
      <w:r w:rsidRPr="00C62E8D">
        <w:rPr>
          <w:i/>
          <w:sz w:val="24"/>
          <w:szCs w:val="24"/>
        </w:rPr>
        <w:t>Nat Biotechnol</w:t>
      </w:r>
      <w:r w:rsidRPr="00C62E8D">
        <w:rPr>
          <w:sz w:val="24"/>
          <w:szCs w:val="24"/>
        </w:rPr>
        <w:t xml:space="preserve"> </w:t>
      </w:r>
      <w:r w:rsidRPr="00C62E8D">
        <w:rPr>
          <w:b/>
          <w:sz w:val="24"/>
          <w:szCs w:val="24"/>
        </w:rPr>
        <w:t>2011</w:t>
      </w:r>
      <w:r w:rsidRPr="00C62E8D">
        <w:rPr>
          <w:sz w:val="24"/>
          <w:szCs w:val="24"/>
        </w:rPr>
        <w:t>;29:24</w:t>
      </w:r>
      <w:r>
        <w:rPr>
          <w:sz w:val="24"/>
          <w:szCs w:val="24"/>
        </w:rPr>
        <w:t>–</w:t>
      </w:r>
      <w:r w:rsidRPr="00C62E8D">
        <w:rPr>
          <w:sz w:val="24"/>
          <w:szCs w:val="24"/>
        </w:rPr>
        <w:t>6.</w:t>
      </w:r>
    </w:p>
    <w:p w14:paraId="4C51AF79" w14:textId="77777777" w:rsidR="008370E4" w:rsidRPr="00C62E8D" w:rsidRDefault="008370E4" w:rsidP="008370E4">
      <w:pPr>
        <w:pStyle w:val="EndNoteBibliography"/>
        <w:spacing w:line="480" w:lineRule="auto"/>
        <w:ind w:left="720" w:hanging="720"/>
        <w:contextualSpacing/>
        <w:rPr>
          <w:sz w:val="24"/>
          <w:szCs w:val="24"/>
        </w:rPr>
      </w:pPr>
      <w:r w:rsidRPr="00C62E8D">
        <w:rPr>
          <w:sz w:val="24"/>
          <w:szCs w:val="24"/>
        </w:rPr>
        <w:t>7.</w:t>
      </w:r>
      <w:r w:rsidRPr="00C62E8D">
        <w:rPr>
          <w:sz w:val="24"/>
          <w:szCs w:val="24"/>
        </w:rPr>
        <w:tab/>
        <w:t>Marsico A, Huska MR, Lasserre J, Hu H, Vucicevic D, Musahl A</w:t>
      </w:r>
      <w:r w:rsidRPr="00C62E8D">
        <w:rPr>
          <w:i/>
          <w:sz w:val="24"/>
          <w:szCs w:val="24"/>
        </w:rPr>
        <w:t>, et al.</w:t>
      </w:r>
      <w:r w:rsidRPr="00C62E8D">
        <w:rPr>
          <w:sz w:val="24"/>
          <w:szCs w:val="24"/>
        </w:rPr>
        <w:t xml:space="preserve"> PROmiRNA: a new miRNA promoter recognition method uncovers the complex regulation of intronic miRNAs. </w:t>
      </w:r>
      <w:r w:rsidRPr="00C62E8D">
        <w:rPr>
          <w:i/>
          <w:sz w:val="24"/>
          <w:szCs w:val="24"/>
        </w:rPr>
        <w:t>Genome Biol</w:t>
      </w:r>
      <w:r w:rsidRPr="00C62E8D">
        <w:rPr>
          <w:sz w:val="24"/>
          <w:szCs w:val="24"/>
        </w:rPr>
        <w:t xml:space="preserve"> </w:t>
      </w:r>
      <w:r w:rsidRPr="00C62E8D">
        <w:rPr>
          <w:b/>
          <w:sz w:val="24"/>
          <w:szCs w:val="24"/>
        </w:rPr>
        <w:t>2013</w:t>
      </w:r>
      <w:r w:rsidRPr="00C62E8D">
        <w:rPr>
          <w:sz w:val="24"/>
          <w:szCs w:val="24"/>
        </w:rPr>
        <w:t>;14:R84.</w:t>
      </w:r>
    </w:p>
    <w:p w14:paraId="74C5A3C6" w14:textId="77777777" w:rsidR="008370E4" w:rsidRPr="00C62E8D" w:rsidRDefault="008370E4" w:rsidP="008370E4">
      <w:pPr>
        <w:pStyle w:val="EndNoteBibliography"/>
        <w:spacing w:line="480" w:lineRule="auto"/>
        <w:ind w:left="720" w:hanging="720"/>
        <w:contextualSpacing/>
        <w:rPr>
          <w:sz w:val="24"/>
          <w:szCs w:val="24"/>
        </w:rPr>
      </w:pPr>
      <w:r w:rsidRPr="00C62E8D">
        <w:rPr>
          <w:sz w:val="24"/>
          <w:szCs w:val="24"/>
        </w:rPr>
        <w:t>8.</w:t>
      </w:r>
      <w:r w:rsidRPr="00C62E8D">
        <w:rPr>
          <w:sz w:val="24"/>
          <w:szCs w:val="24"/>
        </w:rPr>
        <w:tab/>
        <w:t xml:space="preserve">Therneau TM. A package for survival analysis in S, R package version 2.38. </w:t>
      </w:r>
      <w:r w:rsidRPr="00A70726">
        <w:rPr>
          <w:sz w:val="24"/>
          <w:szCs w:val="24"/>
        </w:rPr>
        <w:t>2015</w:t>
      </w:r>
      <w:r>
        <w:rPr>
          <w:sz w:val="24"/>
          <w:szCs w:val="24"/>
        </w:rPr>
        <w:t>.</w:t>
      </w:r>
      <w:r w:rsidRPr="00C62E8D">
        <w:rPr>
          <w:sz w:val="24"/>
          <w:szCs w:val="24"/>
        </w:rPr>
        <w:t xml:space="preserve"> </w:t>
      </w:r>
      <w:r w:rsidRPr="00AA1B02">
        <w:rPr>
          <w:sz w:val="24"/>
          <w:szCs w:val="24"/>
        </w:rPr>
        <w:t>&lt;http://CRAN.R-project.org/package=survival&gt;.</w:t>
      </w:r>
    </w:p>
    <w:p w14:paraId="5D28D592" w14:textId="77777777" w:rsidR="008370E4" w:rsidRPr="00C62E8D" w:rsidRDefault="008370E4" w:rsidP="008370E4">
      <w:pPr>
        <w:pStyle w:val="EndNoteBibliography"/>
        <w:spacing w:line="480" w:lineRule="auto"/>
        <w:ind w:left="720" w:hanging="720"/>
        <w:contextualSpacing/>
        <w:rPr>
          <w:sz w:val="24"/>
          <w:szCs w:val="24"/>
        </w:rPr>
      </w:pPr>
      <w:r w:rsidRPr="00C62E8D">
        <w:rPr>
          <w:sz w:val="24"/>
          <w:szCs w:val="24"/>
        </w:rPr>
        <w:t>9.</w:t>
      </w:r>
      <w:r w:rsidRPr="00C62E8D">
        <w:rPr>
          <w:sz w:val="24"/>
          <w:szCs w:val="24"/>
        </w:rPr>
        <w:tab/>
        <w:t>Brenner JC, Graham MP, Kumar B, Saunders LM, Kupfer R, Lyons RH</w:t>
      </w:r>
      <w:r w:rsidRPr="00C62E8D">
        <w:rPr>
          <w:i/>
          <w:sz w:val="24"/>
          <w:szCs w:val="24"/>
        </w:rPr>
        <w:t>, et al.</w:t>
      </w:r>
      <w:r w:rsidRPr="00C62E8D">
        <w:rPr>
          <w:sz w:val="24"/>
          <w:szCs w:val="24"/>
        </w:rPr>
        <w:t xml:space="preserve"> Genotyping of 73 UM-SCC head and neck squamous cell carcinoma cell lines. </w:t>
      </w:r>
      <w:r w:rsidRPr="00C62E8D">
        <w:rPr>
          <w:i/>
          <w:sz w:val="24"/>
          <w:szCs w:val="24"/>
        </w:rPr>
        <w:t>Head Neck</w:t>
      </w:r>
      <w:r w:rsidRPr="00C62E8D">
        <w:rPr>
          <w:sz w:val="24"/>
          <w:szCs w:val="24"/>
        </w:rPr>
        <w:t xml:space="preserve"> </w:t>
      </w:r>
      <w:r w:rsidRPr="00C62E8D">
        <w:rPr>
          <w:b/>
          <w:sz w:val="24"/>
          <w:szCs w:val="24"/>
        </w:rPr>
        <w:t>2010</w:t>
      </w:r>
      <w:r w:rsidRPr="00C62E8D">
        <w:rPr>
          <w:sz w:val="24"/>
          <w:szCs w:val="24"/>
        </w:rPr>
        <w:t>;32:417</w:t>
      </w:r>
      <w:r>
        <w:rPr>
          <w:sz w:val="24"/>
          <w:szCs w:val="24"/>
        </w:rPr>
        <w:t>–</w:t>
      </w:r>
      <w:r w:rsidRPr="00C62E8D">
        <w:rPr>
          <w:sz w:val="24"/>
          <w:szCs w:val="24"/>
        </w:rPr>
        <w:t>26.</w:t>
      </w:r>
    </w:p>
    <w:p w14:paraId="02961896" w14:textId="77777777" w:rsidR="008370E4" w:rsidRPr="00C62E8D" w:rsidRDefault="008370E4" w:rsidP="008370E4">
      <w:pPr>
        <w:pStyle w:val="EndNoteBibliography"/>
        <w:spacing w:line="480" w:lineRule="auto"/>
        <w:ind w:left="720" w:hanging="720"/>
        <w:contextualSpacing/>
        <w:rPr>
          <w:sz w:val="24"/>
          <w:szCs w:val="24"/>
        </w:rPr>
      </w:pPr>
      <w:r w:rsidRPr="00C62E8D">
        <w:rPr>
          <w:sz w:val="24"/>
          <w:szCs w:val="24"/>
        </w:rPr>
        <w:t>10.</w:t>
      </w:r>
      <w:r w:rsidRPr="00C62E8D">
        <w:rPr>
          <w:sz w:val="24"/>
          <w:szCs w:val="24"/>
        </w:rPr>
        <w:tab/>
        <w:t>Friedman J, Nottingham L, Duggal P, Pernas FG, Yan B, Yang XP</w:t>
      </w:r>
      <w:r w:rsidRPr="00C62E8D">
        <w:rPr>
          <w:i/>
          <w:sz w:val="24"/>
          <w:szCs w:val="24"/>
        </w:rPr>
        <w:t>, et al.</w:t>
      </w:r>
      <w:r w:rsidRPr="00C62E8D">
        <w:rPr>
          <w:sz w:val="24"/>
          <w:szCs w:val="24"/>
        </w:rPr>
        <w:t xml:space="preserve"> Deficient TP53 expression, function, and cisplatin sensitivity are restored by quinacrine in head and neck cancer. </w:t>
      </w:r>
      <w:r w:rsidRPr="00C62E8D">
        <w:rPr>
          <w:i/>
          <w:sz w:val="24"/>
          <w:szCs w:val="24"/>
        </w:rPr>
        <w:t>Clin Cancer Res</w:t>
      </w:r>
      <w:r w:rsidRPr="00C62E8D">
        <w:rPr>
          <w:sz w:val="24"/>
          <w:szCs w:val="24"/>
        </w:rPr>
        <w:t xml:space="preserve"> </w:t>
      </w:r>
      <w:r w:rsidRPr="00C62E8D">
        <w:rPr>
          <w:b/>
          <w:sz w:val="24"/>
          <w:szCs w:val="24"/>
        </w:rPr>
        <w:t>2007</w:t>
      </w:r>
      <w:r w:rsidRPr="00C62E8D">
        <w:rPr>
          <w:sz w:val="24"/>
          <w:szCs w:val="24"/>
        </w:rPr>
        <w:t>;13:6568</w:t>
      </w:r>
      <w:r>
        <w:rPr>
          <w:sz w:val="24"/>
          <w:szCs w:val="24"/>
        </w:rPr>
        <w:t>–</w:t>
      </w:r>
      <w:r w:rsidRPr="00C62E8D">
        <w:rPr>
          <w:sz w:val="24"/>
          <w:szCs w:val="24"/>
        </w:rPr>
        <w:t>78.</w:t>
      </w:r>
    </w:p>
    <w:p w14:paraId="5339DE1A" w14:textId="77777777" w:rsidR="008370E4" w:rsidRPr="00C62E8D" w:rsidRDefault="008370E4" w:rsidP="008370E4">
      <w:pPr>
        <w:pStyle w:val="EndNoteBibliography"/>
        <w:spacing w:line="480" w:lineRule="auto"/>
        <w:ind w:left="720" w:hanging="720"/>
        <w:contextualSpacing/>
        <w:rPr>
          <w:sz w:val="24"/>
          <w:szCs w:val="24"/>
        </w:rPr>
      </w:pPr>
      <w:r w:rsidRPr="00C62E8D">
        <w:rPr>
          <w:sz w:val="24"/>
          <w:szCs w:val="24"/>
        </w:rPr>
        <w:t>11.</w:t>
      </w:r>
      <w:r w:rsidRPr="00C62E8D">
        <w:rPr>
          <w:sz w:val="24"/>
          <w:szCs w:val="24"/>
        </w:rPr>
        <w:tab/>
        <w:t>Chung N, Zhang XD, Kreamer A, Locco L, Kuan PF, Bartz S</w:t>
      </w:r>
      <w:r w:rsidRPr="00C62E8D">
        <w:rPr>
          <w:i/>
          <w:sz w:val="24"/>
          <w:szCs w:val="24"/>
        </w:rPr>
        <w:t>, et al.</w:t>
      </w:r>
      <w:r w:rsidRPr="00C62E8D">
        <w:rPr>
          <w:sz w:val="24"/>
          <w:szCs w:val="24"/>
        </w:rPr>
        <w:t xml:space="preserve"> Median absolute deviation to improve hit selection for genome-scale RNAi screens. </w:t>
      </w:r>
      <w:r w:rsidRPr="00C62E8D">
        <w:rPr>
          <w:i/>
          <w:sz w:val="24"/>
          <w:szCs w:val="24"/>
        </w:rPr>
        <w:t>J Biomol Screen</w:t>
      </w:r>
      <w:r w:rsidRPr="00C62E8D">
        <w:rPr>
          <w:sz w:val="24"/>
          <w:szCs w:val="24"/>
        </w:rPr>
        <w:t xml:space="preserve"> </w:t>
      </w:r>
      <w:r w:rsidRPr="00C62E8D">
        <w:rPr>
          <w:b/>
          <w:sz w:val="24"/>
          <w:szCs w:val="24"/>
        </w:rPr>
        <w:t>2008</w:t>
      </w:r>
      <w:r w:rsidRPr="00C62E8D">
        <w:rPr>
          <w:sz w:val="24"/>
          <w:szCs w:val="24"/>
        </w:rPr>
        <w:t>;13:149</w:t>
      </w:r>
      <w:r>
        <w:rPr>
          <w:sz w:val="24"/>
          <w:szCs w:val="24"/>
        </w:rPr>
        <w:t>–</w:t>
      </w:r>
      <w:r w:rsidRPr="00C62E8D">
        <w:rPr>
          <w:sz w:val="24"/>
          <w:szCs w:val="24"/>
        </w:rPr>
        <w:t>58.</w:t>
      </w:r>
    </w:p>
    <w:p w14:paraId="6E0A5A58" w14:textId="77777777" w:rsidR="008370E4" w:rsidRPr="00C62E8D" w:rsidRDefault="008370E4" w:rsidP="008370E4">
      <w:pPr>
        <w:pStyle w:val="EndNoteBibliography"/>
        <w:spacing w:line="480" w:lineRule="auto"/>
        <w:ind w:left="720" w:hanging="720"/>
        <w:contextualSpacing/>
        <w:rPr>
          <w:sz w:val="24"/>
          <w:szCs w:val="24"/>
        </w:rPr>
      </w:pPr>
      <w:r w:rsidRPr="00C62E8D">
        <w:rPr>
          <w:sz w:val="24"/>
          <w:szCs w:val="24"/>
        </w:rPr>
        <w:t>12.</w:t>
      </w:r>
      <w:r w:rsidRPr="00C62E8D">
        <w:rPr>
          <w:sz w:val="24"/>
          <w:szCs w:val="24"/>
        </w:rPr>
        <w:tab/>
        <w:t xml:space="preserve">Schneider CA, Rasband WS, Eliceiri KW. NIH Image to ImageJ: 25 years of image analysis. </w:t>
      </w:r>
      <w:r w:rsidRPr="00C62E8D">
        <w:rPr>
          <w:i/>
          <w:sz w:val="24"/>
          <w:szCs w:val="24"/>
        </w:rPr>
        <w:t>Nat Methods</w:t>
      </w:r>
      <w:r w:rsidRPr="00C62E8D">
        <w:rPr>
          <w:sz w:val="24"/>
          <w:szCs w:val="24"/>
        </w:rPr>
        <w:t xml:space="preserve"> </w:t>
      </w:r>
      <w:r w:rsidRPr="00C62E8D">
        <w:rPr>
          <w:b/>
          <w:sz w:val="24"/>
          <w:szCs w:val="24"/>
        </w:rPr>
        <w:t>2012</w:t>
      </w:r>
      <w:r w:rsidRPr="00C62E8D">
        <w:rPr>
          <w:sz w:val="24"/>
          <w:szCs w:val="24"/>
        </w:rPr>
        <w:t>;9:671</w:t>
      </w:r>
      <w:r>
        <w:rPr>
          <w:sz w:val="24"/>
          <w:szCs w:val="24"/>
        </w:rPr>
        <w:t>–</w:t>
      </w:r>
      <w:r w:rsidRPr="00C62E8D">
        <w:rPr>
          <w:sz w:val="24"/>
          <w:szCs w:val="24"/>
        </w:rPr>
        <w:t>5.</w:t>
      </w:r>
    </w:p>
    <w:p w14:paraId="1E38DD14" w14:textId="77777777" w:rsidR="008370E4" w:rsidRPr="00C62E8D" w:rsidRDefault="008370E4" w:rsidP="008370E4">
      <w:pPr>
        <w:pStyle w:val="EndNoteBibliography"/>
        <w:spacing w:line="480" w:lineRule="auto"/>
        <w:ind w:left="720" w:hanging="720"/>
        <w:contextualSpacing/>
        <w:rPr>
          <w:sz w:val="24"/>
          <w:szCs w:val="24"/>
        </w:rPr>
      </w:pPr>
      <w:r w:rsidRPr="00C62E8D">
        <w:rPr>
          <w:sz w:val="24"/>
          <w:szCs w:val="24"/>
        </w:rPr>
        <w:t>13.</w:t>
      </w:r>
      <w:r w:rsidRPr="00C62E8D">
        <w:rPr>
          <w:sz w:val="24"/>
          <w:szCs w:val="24"/>
        </w:rPr>
        <w:tab/>
        <w:t>Pirollo KF, Zon G, Rait A, Zhou Q, Yu W, Hogrefe R</w:t>
      </w:r>
      <w:r w:rsidRPr="00C62E8D">
        <w:rPr>
          <w:i/>
          <w:sz w:val="24"/>
          <w:szCs w:val="24"/>
        </w:rPr>
        <w:t>, et al.</w:t>
      </w:r>
      <w:r w:rsidRPr="00C62E8D">
        <w:rPr>
          <w:sz w:val="24"/>
          <w:szCs w:val="24"/>
        </w:rPr>
        <w:t xml:space="preserve"> Tumor-targeting nanoimmunoliposome complex for short interfering RNA delivery. </w:t>
      </w:r>
      <w:r w:rsidRPr="00C62E8D">
        <w:rPr>
          <w:i/>
          <w:sz w:val="24"/>
          <w:szCs w:val="24"/>
        </w:rPr>
        <w:t>Hum Gene Ther</w:t>
      </w:r>
      <w:r w:rsidRPr="00C62E8D">
        <w:rPr>
          <w:sz w:val="24"/>
          <w:szCs w:val="24"/>
        </w:rPr>
        <w:t xml:space="preserve"> </w:t>
      </w:r>
      <w:r w:rsidRPr="00C62E8D">
        <w:rPr>
          <w:b/>
          <w:sz w:val="24"/>
          <w:szCs w:val="24"/>
        </w:rPr>
        <w:t>2006</w:t>
      </w:r>
      <w:r w:rsidRPr="00C62E8D">
        <w:rPr>
          <w:sz w:val="24"/>
          <w:szCs w:val="24"/>
        </w:rPr>
        <w:t>;17:117</w:t>
      </w:r>
      <w:r>
        <w:rPr>
          <w:sz w:val="24"/>
          <w:szCs w:val="24"/>
        </w:rPr>
        <w:t>–</w:t>
      </w:r>
      <w:r w:rsidRPr="00C62E8D">
        <w:rPr>
          <w:sz w:val="24"/>
          <w:szCs w:val="24"/>
        </w:rPr>
        <w:t>24.</w:t>
      </w:r>
    </w:p>
    <w:p w14:paraId="06860C87" w14:textId="77777777" w:rsidR="008370E4" w:rsidRPr="00C62E8D" w:rsidRDefault="008370E4" w:rsidP="008370E4">
      <w:pPr>
        <w:pStyle w:val="EndNoteBibliography"/>
        <w:spacing w:line="480" w:lineRule="auto"/>
        <w:ind w:left="720" w:hanging="720"/>
        <w:contextualSpacing/>
        <w:rPr>
          <w:sz w:val="24"/>
          <w:szCs w:val="24"/>
        </w:rPr>
      </w:pPr>
      <w:r w:rsidRPr="00C62E8D">
        <w:rPr>
          <w:sz w:val="24"/>
          <w:szCs w:val="24"/>
        </w:rPr>
        <w:t>14.</w:t>
      </w:r>
      <w:r w:rsidRPr="00C62E8D">
        <w:rPr>
          <w:sz w:val="24"/>
          <w:szCs w:val="24"/>
        </w:rPr>
        <w:tab/>
        <w:t>Pirollo KF, Rait A, Zhou Q, Hwang SH, Dagata JA, Zon G</w:t>
      </w:r>
      <w:r w:rsidRPr="00C62E8D">
        <w:rPr>
          <w:i/>
          <w:sz w:val="24"/>
          <w:szCs w:val="24"/>
        </w:rPr>
        <w:t>, et al.</w:t>
      </w:r>
      <w:r w:rsidRPr="00C62E8D">
        <w:rPr>
          <w:sz w:val="24"/>
          <w:szCs w:val="24"/>
        </w:rPr>
        <w:t xml:space="preserve"> Materializing the potential of small interfering RNA via a tumor-targeting nanodelivery system. </w:t>
      </w:r>
      <w:r w:rsidRPr="00C62E8D">
        <w:rPr>
          <w:i/>
          <w:sz w:val="24"/>
          <w:szCs w:val="24"/>
        </w:rPr>
        <w:t>Cancer Res</w:t>
      </w:r>
      <w:r w:rsidRPr="00C62E8D">
        <w:rPr>
          <w:sz w:val="24"/>
          <w:szCs w:val="24"/>
        </w:rPr>
        <w:t xml:space="preserve"> </w:t>
      </w:r>
      <w:r w:rsidRPr="00C62E8D">
        <w:rPr>
          <w:b/>
          <w:sz w:val="24"/>
          <w:szCs w:val="24"/>
        </w:rPr>
        <w:t>2007</w:t>
      </w:r>
      <w:r w:rsidRPr="00C62E8D">
        <w:rPr>
          <w:sz w:val="24"/>
          <w:szCs w:val="24"/>
        </w:rPr>
        <w:t>;67:2938</w:t>
      </w:r>
      <w:r>
        <w:rPr>
          <w:sz w:val="24"/>
          <w:szCs w:val="24"/>
        </w:rPr>
        <w:t>–</w:t>
      </w:r>
      <w:r w:rsidRPr="00C62E8D">
        <w:rPr>
          <w:sz w:val="24"/>
          <w:szCs w:val="24"/>
        </w:rPr>
        <w:t>43.</w:t>
      </w:r>
    </w:p>
    <w:p w14:paraId="5F9B5CBA" w14:textId="77777777" w:rsidR="008370E4" w:rsidRDefault="008370E4" w:rsidP="008370E4">
      <w:pPr>
        <w:pStyle w:val="EndNoteBibliography"/>
        <w:spacing w:line="480" w:lineRule="auto"/>
        <w:ind w:left="720" w:hanging="720"/>
        <w:contextualSpacing/>
        <w:rPr>
          <w:sz w:val="24"/>
          <w:szCs w:val="24"/>
        </w:rPr>
      </w:pPr>
      <w:r w:rsidRPr="00C62E8D">
        <w:rPr>
          <w:sz w:val="24"/>
          <w:szCs w:val="24"/>
        </w:rPr>
        <w:t>15.</w:t>
      </w:r>
      <w:r w:rsidRPr="00C62E8D">
        <w:rPr>
          <w:sz w:val="24"/>
          <w:szCs w:val="24"/>
        </w:rPr>
        <w:tab/>
        <w:t>Yu W, Pirollo KF, Yu B, Rait A, Xiang L, Huang W</w:t>
      </w:r>
      <w:r w:rsidRPr="00C62E8D">
        <w:rPr>
          <w:i/>
          <w:sz w:val="24"/>
          <w:szCs w:val="24"/>
        </w:rPr>
        <w:t>, et al.</w:t>
      </w:r>
      <w:r w:rsidRPr="00C62E8D">
        <w:rPr>
          <w:sz w:val="24"/>
          <w:szCs w:val="24"/>
        </w:rPr>
        <w:t xml:space="preserve"> Enhanced transfection efficiency of a systemically delivered tumor-targeting immunolipoplex by inclusion of a pH-sensitive histidylated oligolysine peptide. </w:t>
      </w:r>
      <w:r w:rsidRPr="00C62E8D">
        <w:rPr>
          <w:i/>
          <w:sz w:val="24"/>
          <w:szCs w:val="24"/>
        </w:rPr>
        <w:t>Nucleic Acids Res</w:t>
      </w:r>
      <w:r w:rsidRPr="00C62E8D">
        <w:rPr>
          <w:sz w:val="24"/>
          <w:szCs w:val="24"/>
        </w:rPr>
        <w:t xml:space="preserve"> </w:t>
      </w:r>
      <w:r w:rsidRPr="00C62E8D">
        <w:rPr>
          <w:b/>
          <w:sz w:val="24"/>
          <w:szCs w:val="24"/>
        </w:rPr>
        <w:t>2004</w:t>
      </w:r>
      <w:r w:rsidRPr="00C62E8D">
        <w:rPr>
          <w:sz w:val="24"/>
          <w:szCs w:val="24"/>
        </w:rPr>
        <w:t>;32:e48.</w:t>
      </w:r>
    </w:p>
    <w:p w14:paraId="6641228F" w14:textId="77777777" w:rsidR="008370E4" w:rsidRPr="00EF3D9D" w:rsidRDefault="008370E4" w:rsidP="008370E4">
      <w:pPr>
        <w:pStyle w:val="EndNoteBibliography"/>
        <w:ind w:left="720" w:hanging="720"/>
        <w:rPr>
          <w:sz w:val="24"/>
          <w:szCs w:val="24"/>
        </w:rPr>
      </w:pPr>
      <w:bookmarkStart w:id="15" w:name="_ENREF_18"/>
      <w:r w:rsidRPr="00EF3D9D">
        <w:rPr>
          <w:sz w:val="24"/>
          <w:szCs w:val="24"/>
        </w:rPr>
        <w:t>1</w:t>
      </w:r>
      <w:r>
        <w:rPr>
          <w:sz w:val="24"/>
          <w:szCs w:val="24"/>
        </w:rPr>
        <w:t>6</w:t>
      </w:r>
      <w:r w:rsidRPr="00EF3D9D">
        <w:rPr>
          <w:sz w:val="24"/>
          <w:szCs w:val="24"/>
        </w:rPr>
        <w:t>.</w:t>
      </w:r>
      <w:r w:rsidRPr="00EF3D9D">
        <w:rPr>
          <w:sz w:val="24"/>
          <w:szCs w:val="24"/>
        </w:rPr>
        <w:tab/>
        <w:t>Guide for the Care and Use of Laboratory Animal Resource. 1996.</w:t>
      </w:r>
      <w:bookmarkEnd w:id="15"/>
    </w:p>
    <w:p w14:paraId="6BD7C3BA" w14:textId="77777777" w:rsidR="008370E4" w:rsidRDefault="008370E4" w:rsidP="008370E4">
      <w:pPr>
        <w:rPr>
          <w:rFonts w:eastAsia="Calibri"/>
          <w:sz w:val="24"/>
          <w:szCs w:val="24"/>
        </w:rPr>
      </w:pPr>
      <w:r>
        <w:rPr>
          <w:rFonts w:eastAsia="Calibri"/>
          <w:sz w:val="24"/>
          <w:szCs w:val="24"/>
        </w:rPr>
        <w:br w:type="page"/>
      </w:r>
    </w:p>
    <w:p w14:paraId="5789A25F" w14:textId="77777777" w:rsidR="0035083A" w:rsidRDefault="0035083A" w:rsidP="00E93220">
      <w:pPr>
        <w:spacing w:line="480" w:lineRule="auto"/>
        <w:ind w:right="-2410"/>
        <w:contextualSpacing/>
        <w:jc w:val="both"/>
        <w:rPr>
          <w:rFonts w:eastAsia="Calibri"/>
          <w:b/>
          <w:bCs/>
          <w:sz w:val="24"/>
          <w:szCs w:val="24"/>
        </w:rPr>
      </w:pPr>
      <w:r w:rsidRPr="0035083A">
        <w:rPr>
          <w:rFonts w:eastAsia="Calibri"/>
          <w:b/>
          <w:bCs/>
          <w:sz w:val="24"/>
          <w:szCs w:val="24"/>
        </w:rPr>
        <w:t>Supplementary</w:t>
      </w:r>
      <w:r>
        <w:rPr>
          <w:rFonts w:eastAsia="Calibri"/>
          <w:b/>
          <w:bCs/>
          <w:sz w:val="24"/>
          <w:szCs w:val="24"/>
        </w:rPr>
        <w:t xml:space="preserve"> Figure Legends</w:t>
      </w:r>
    </w:p>
    <w:p w14:paraId="5626F55F" w14:textId="7CC23BE2" w:rsidR="00106E23" w:rsidRPr="008370E4" w:rsidRDefault="0035083A" w:rsidP="008370E4">
      <w:pPr>
        <w:spacing w:line="480" w:lineRule="auto"/>
        <w:ind w:right="-2410"/>
        <w:contextualSpacing/>
        <w:rPr>
          <w:rFonts w:eastAsia="Calibri"/>
          <w:bCs/>
          <w:sz w:val="24"/>
          <w:szCs w:val="24"/>
        </w:rPr>
      </w:pPr>
      <w:r w:rsidRPr="0035083A">
        <w:rPr>
          <w:rFonts w:eastAsia="Calibri"/>
          <w:b/>
          <w:bCs/>
          <w:sz w:val="24"/>
          <w:szCs w:val="24"/>
        </w:rPr>
        <w:t>Supplementary</w:t>
      </w:r>
      <w:r>
        <w:rPr>
          <w:rFonts w:eastAsia="Calibri"/>
          <w:b/>
          <w:bCs/>
          <w:sz w:val="24"/>
          <w:szCs w:val="24"/>
        </w:rPr>
        <w:t xml:space="preserve"> </w:t>
      </w:r>
      <w:r w:rsidR="0017786D" w:rsidRPr="00E93220">
        <w:rPr>
          <w:rFonts w:eastAsia="Calibri"/>
          <w:b/>
          <w:bCs/>
          <w:sz w:val="24"/>
          <w:szCs w:val="24"/>
        </w:rPr>
        <w:t>Fig</w:t>
      </w:r>
      <w:r>
        <w:rPr>
          <w:rFonts w:eastAsia="Calibri"/>
          <w:b/>
          <w:bCs/>
          <w:sz w:val="24"/>
          <w:szCs w:val="24"/>
        </w:rPr>
        <w:t>.</w:t>
      </w:r>
      <w:r w:rsidR="0017786D" w:rsidRPr="00E93220">
        <w:rPr>
          <w:rFonts w:eastAsia="Calibri"/>
          <w:b/>
          <w:bCs/>
          <w:sz w:val="24"/>
          <w:szCs w:val="24"/>
        </w:rPr>
        <w:t xml:space="preserve"> S1</w:t>
      </w:r>
      <w:r>
        <w:rPr>
          <w:rFonts w:eastAsia="Calibri"/>
          <w:b/>
          <w:bCs/>
          <w:sz w:val="24"/>
          <w:szCs w:val="24"/>
        </w:rPr>
        <w:t>.</w:t>
      </w:r>
      <w:r w:rsidR="0017786D" w:rsidRPr="00E93220">
        <w:rPr>
          <w:rFonts w:eastAsia="Calibri"/>
          <w:b/>
          <w:bCs/>
          <w:sz w:val="24"/>
          <w:szCs w:val="24"/>
        </w:rPr>
        <w:t xml:space="preserve"> Overall workflow for Analysis and approach.</w:t>
      </w:r>
      <w:r w:rsidR="00430043">
        <w:rPr>
          <w:rFonts w:eastAsia="Calibri"/>
          <w:bCs/>
          <w:sz w:val="24"/>
          <w:szCs w:val="24"/>
        </w:rPr>
        <w:t xml:space="preserve">  </w:t>
      </w:r>
    </w:p>
    <w:p w14:paraId="3E07FEA5" w14:textId="34477461" w:rsidR="00430043" w:rsidRDefault="00430043" w:rsidP="00E93220">
      <w:pPr>
        <w:spacing w:line="480" w:lineRule="auto"/>
        <w:contextualSpacing/>
        <w:jc w:val="both"/>
        <w:rPr>
          <w:rFonts w:eastAsia="Calibri"/>
          <w:bCs/>
          <w:sz w:val="24"/>
          <w:szCs w:val="24"/>
        </w:rPr>
      </w:pPr>
      <w:r>
        <w:rPr>
          <w:rFonts w:eastAsia="Calibri"/>
          <w:bCs/>
          <w:sz w:val="24"/>
          <w:szCs w:val="24"/>
        </w:rPr>
        <w:t>miRNA expression profiling from TCGA was validated against miRNA from an independent set of University of Michigan squamous carcinomas (UMSC</w:t>
      </w:r>
      <w:proofErr w:type="gramStart"/>
      <w:r>
        <w:rPr>
          <w:rFonts w:eastAsia="Calibri"/>
          <w:bCs/>
          <w:sz w:val="24"/>
          <w:szCs w:val="24"/>
        </w:rPr>
        <w:t>), and</w:t>
      </w:r>
      <w:proofErr w:type="gramEnd"/>
      <w:r>
        <w:rPr>
          <w:rFonts w:eastAsia="Calibri"/>
          <w:bCs/>
          <w:sz w:val="24"/>
          <w:szCs w:val="24"/>
        </w:rPr>
        <w:t xml:space="preserve"> compared for overlap with miRNA genome-wide anti-proliferation screen, as described in Methods. </w:t>
      </w:r>
      <w:r w:rsidR="002F6274">
        <w:rPr>
          <w:rFonts w:eastAsia="Calibri"/>
          <w:bCs/>
          <w:sz w:val="24"/>
          <w:szCs w:val="24"/>
        </w:rPr>
        <w:t>This</w:t>
      </w:r>
      <w:r>
        <w:rPr>
          <w:rFonts w:eastAsia="Calibri"/>
          <w:bCs/>
          <w:sz w:val="24"/>
          <w:szCs w:val="24"/>
        </w:rPr>
        <w:t xml:space="preserve"> uncovered decreased miR30</w:t>
      </w:r>
      <w:r w:rsidR="002F6274">
        <w:rPr>
          <w:rFonts w:eastAsia="Calibri"/>
          <w:bCs/>
          <w:sz w:val="24"/>
          <w:szCs w:val="24"/>
        </w:rPr>
        <w:t>-a, e</w:t>
      </w:r>
      <w:r>
        <w:rPr>
          <w:rFonts w:eastAsia="Calibri"/>
          <w:bCs/>
          <w:sz w:val="24"/>
          <w:szCs w:val="24"/>
        </w:rPr>
        <w:t xml:space="preserve"> family expression in tumors compared to normal mucosa</w:t>
      </w:r>
      <w:r w:rsidR="002F6274">
        <w:rPr>
          <w:rFonts w:eastAsia="Calibri"/>
          <w:bCs/>
          <w:sz w:val="24"/>
          <w:szCs w:val="24"/>
        </w:rPr>
        <w:t xml:space="preserve">. mRNAs inversely correlated with the most differentially expressed family member miR-30a were determined and filtered through </w:t>
      </w:r>
      <w:proofErr w:type="spellStart"/>
      <w:r w:rsidR="002F6274">
        <w:rPr>
          <w:rFonts w:eastAsia="Calibri"/>
          <w:bCs/>
          <w:sz w:val="24"/>
          <w:szCs w:val="24"/>
        </w:rPr>
        <w:t>miR</w:t>
      </w:r>
      <w:proofErr w:type="spellEnd"/>
      <w:r w:rsidR="002F6274">
        <w:rPr>
          <w:rFonts w:eastAsia="Calibri"/>
          <w:bCs/>
          <w:sz w:val="24"/>
          <w:szCs w:val="24"/>
        </w:rPr>
        <w:t xml:space="preserve"> databases, identifying 94mRNAs with predicted miR30 binding sites. Selected targets were validated by functional assays in vitro, and miR30a mimic nanoparticles were tested in xenograft models in vivo. The role of gene copy number and methylation in expression of decreased miR30-a/e was determined from TCGA data, and clinical correlation of expression with disease specific survival was determined from an independent dataset as described.  </w:t>
      </w:r>
    </w:p>
    <w:p w14:paraId="1FDD3AF2" w14:textId="4AC70BEC" w:rsidR="00106E23" w:rsidRPr="00E93220" w:rsidRDefault="0035083A" w:rsidP="00E93220">
      <w:pPr>
        <w:spacing w:line="480" w:lineRule="auto"/>
        <w:contextualSpacing/>
        <w:jc w:val="both"/>
        <w:rPr>
          <w:rFonts w:eastAsia="Calibri"/>
          <w:sz w:val="24"/>
          <w:szCs w:val="24"/>
        </w:rPr>
      </w:pPr>
      <w:r w:rsidRPr="0035083A">
        <w:rPr>
          <w:rFonts w:eastAsia="Calibri"/>
          <w:b/>
          <w:bCs/>
          <w:sz w:val="24"/>
          <w:szCs w:val="24"/>
        </w:rPr>
        <w:t>Supplementary</w:t>
      </w:r>
      <w:r>
        <w:rPr>
          <w:rFonts w:eastAsia="Calibri"/>
          <w:b/>
          <w:bCs/>
          <w:sz w:val="24"/>
          <w:szCs w:val="24"/>
        </w:rPr>
        <w:t xml:space="preserve"> </w:t>
      </w:r>
      <w:r w:rsidR="0017786D" w:rsidRPr="00E93220">
        <w:rPr>
          <w:rFonts w:eastAsia="Calibri"/>
          <w:b/>
          <w:bCs/>
          <w:sz w:val="24"/>
          <w:szCs w:val="24"/>
        </w:rPr>
        <w:t>Fig</w:t>
      </w:r>
      <w:r>
        <w:rPr>
          <w:rFonts w:eastAsia="Calibri"/>
          <w:b/>
          <w:bCs/>
          <w:sz w:val="24"/>
          <w:szCs w:val="24"/>
        </w:rPr>
        <w:t>.</w:t>
      </w:r>
      <w:r w:rsidR="0017786D" w:rsidRPr="00E93220">
        <w:rPr>
          <w:rFonts w:eastAsia="Calibri"/>
          <w:b/>
          <w:bCs/>
          <w:sz w:val="24"/>
          <w:szCs w:val="24"/>
        </w:rPr>
        <w:t xml:space="preserve"> S2</w:t>
      </w:r>
      <w:r>
        <w:rPr>
          <w:rFonts w:eastAsia="Calibri"/>
          <w:b/>
          <w:bCs/>
          <w:sz w:val="24"/>
          <w:szCs w:val="24"/>
        </w:rPr>
        <w:t>.</w:t>
      </w:r>
      <w:r w:rsidR="0017786D" w:rsidRPr="00E93220">
        <w:rPr>
          <w:rFonts w:eastAsia="Calibri"/>
          <w:b/>
          <w:bCs/>
          <w:sz w:val="24"/>
          <w:szCs w:val="24"/>
        </w:rPr>
        <w:t xml:space="preserve"> Differentially expressed microRNAs in HNSCC. </w:t>
      </w:r>
      <w:r w:rsidR="0017786D" w:rsidRPr="00E93220">
        <w:rPr>
          <w:rFonts w:eastAsia="Calibri"/>
          <w:sz w:val="24"/>
          <w:szCs w:val="24"/>
        </w:rPr>
        <w:t>Genome-wide microRNA profiling was</w:t>
      </w:r>
      <w:r w:rsidR="0017786D" w:rsidRPr="00E93220">
        <w:rPr>
          <w:rFonts w:eastAsia="Calibri"/>
          <w:b/>
          <w:bCs/>
          <w:sz w:val="24"/>
          <w:szCs w:val="24"/>
        </w:rPr>
        <w:t xml:space="preserve"> </w:t>
      </w:r>
      <w:r w:rsidR="0017786D" w:rsidRPr="00E93220">
        <w:rPr>
          <w:rFonts w:eastAsia="Calibri"/>
          <w:sz w:val="24"/>
          <w:szCs w:val="24"/>
        </w:rPr>
        <w:t xml:space="preserve">performed using small RNA high throughput sequencing of human HNSCC tissues. </w:t>
      </w:r>
      <w:proofErr w:type="spellStart"/>
      <w:r w:rsidR="0017786D" w:rsidRPr="00E93220">
        <w:rPr>
          <w:rFonts w:eastAsia="Calibri"/>
          <w:sz w:val="24"/>
          <w:szCs w:val="24"/>
        </w:rPr>
        <w:t>miRs</w:t>
      </w:r>
      <w:proofErr w:type="spellEnd"/>
      <w:r w:rsidR="0017786D" w:rsidRPr="00E93220">
        <w:rPr>
          <w:rFonts w:eastAsia="Calibri"/>
          <w:sz w:val="24"/>
          <w:szCs w:val="24"/>
        </w:rPr>
        <w:t xml:space="preserve"> that were differentially abundant between tumor and adjacent normal samples in TCGA and UMSC samples were determined using </w:t>
      </w:r>
      <w:proofErr w:type="spellStart"/>
      <w:r w:rsidR="0017786D" w:rsidRPr="00E93220">
        <w:rPr>
          <w:rFonts w:eastAsia="Calibri"/>
          <w:sz w:val="24"/>
          <w:szCs w:val="24"/>
        </w:rPr>
        <w:t>SAMseq</w:t>
      </w:r>
      <w:proofErr w:type="spellEnd"/>
      <w:r w:rsidR="0017786D" w:rsidRPr="00E93220">
        <w:rPr>
          <w:rFonts w:eastAsia="Calibri"/>
          <w:sz w:val="24"/>
          <w:szCs w:val="24"/>
        </w:rPr>
        <w:t xml:space="preserve"> v2.0. Results are from an unpaired analysis, samples from TCGA: tumor=244, mucosa=16; samples from UMSC: tumor=13, mucosa=9. </w:t>
      </w:r>
      <w:proofErr w:type="gramStart"/>
      <w:r w:rsidR="0017786D" w:rsidRPr="00E93220">
        <w:rPr>
          <w:rFonts w:eastAsia="Calibri"/>
          <w:sz w:val="24"/>
          <w:szCs w:val="24"/>
        </w:rPr>
        <w:t>Thirty three</w:t>
      </w:r>
      <w:proofErr w:type="gramEnd"/>
      <w:r w:rsidR="0017786D" w:rsidRPr="00E93220">
        <w:rPr>
          <w:rFonts w:eastAsia="Calibri"/>
          <w:sz w:val="24"/>
          <w:szCs w:val="24"/>
        </w:rPr>
        <w:t xml:space="preserve"> microRNAs that were identified as differentially expressed by </w:t>
      </w:r>
      <w:proofErr w:type="spellStart"/>
      <w:r w:rsidR="0017786D" w:rsidRPr="00E93220">
        <w:rPr>
          <w:rFonts w:eastAsia="Calibri"/>
          <w:sz w:val="24"/>
          <w:szCs w:val="24"/>
        </w:rPr>
        <w:t>SAMseq</w:t>
      </w:r>
      <w:proofErr w:type="spellEnd"/>
      <w:r w:rsidR="0017786D" w:rsidRPr="00E93220">
        <w:rPr>
          <w:rFonts w:eastAsia="Calibri"/>
          <w:sz w:val="24"/>
          <w:szCs w:val="24"/>
        </w:rPr>
        <w:t xml:space="preserve"> in both the TCGA </w:t>
      </w:r>
      <w:r w:rsidR="0017786D" w:rsidRPr="00E93220">
        <w:rPr>
          <w:rFonts w:eastAsia="Calibri"/>
          <w:b/>
          <w:bCs/>
          <w:sz w:val="24"/>
          <w:szCs w:val="24"/>
        </w:rPr>
        <w:t>(</w:t>
      </w:r>
      <w:r w:rsidR="0017786D" w:rsidRPr="00E93220">
        <w:rPr>
          <w:rFonts w:eastAsia="Calibri"/>
          <w:sz w:val="24"/>
          <w:szCs w:val="24"/>
        </w:rPr>
        <w:t xml:space="preserve">A) and UMSC </w:t>
      </w:r>
      <w:r w:rsidR="0017786D" w:rsidRPr="00E93220">
        <w:rPr>
          <w:rFonts w:eastAsia="Calibri"/>
          <w:b/>
          <w:bCs/>
          <w:sz w:val="24"/>
          <w:szCs w:val="24"/>
        </w:rPr>
        <w:t>(</w:t>
      </w:r>
      <w:r w:rsidR="0017786D" w:rsidRPr="00E93220">
        <w:rPr>
          <w:rFonts w:eastAsia="Calibri"/>
          <w:sz w:val="24"/>
          <w:szCs w:val="24"/>
        </w:rPr>
        <w:t>B</w:t>
      </w:r>
      <w:r w:rsidR="0017786D" w:rsidRPr="00E93220">
        <w:rPr>
          <w:rFonts w:eastAsia="Calibri"/>
          <w:b/>
          <w:bCs/>
          <w:sz w:val="24"/>
          <w:szCs w:val="24"/>
        </w:rPr>
        <w:t>)</w:t>
      </w:r>
      <w:r w:rsidR="0017786D" w:rsidRPr="00E93220">
        <w:rPr>
          <w:rFonts w:eastAsia="Calibri"/>
          <w:sz w:val="24"/>
          <w:szCs w:val="24"/>
        </w:rPr>
        <w:t xml:space="preserve"> HNSCC tumor cohorts are presented when compared with mucosa controls. Left: fold change of median expression between tumor and mucosa is </w:t>
      </w:r>
      <w:proofErr w:type="gramStart"/>
      <w:r w:rsidR="0017786D" w:rsidRPr="00E93220">
        <w:rPr>
          <w:rFonts w:eastAsia="Calibri"/>
          <w:sz w:val="24"/>
          <w:szCs w:val="24"/>
        </w:rPr>
        <w:t>displayed, and</w:t>
      </w:r>
      <w:proofErr w:type="gramEnd"/>
      <w:r w:rsidR="0017786D" w:rsidRPr="00E93220">
        <w:rPr>
          <w:rFonts w:eastAsia="Calibri"/>
          <w:sz w:val="24"/>
          <w:szCs w:val="24"/>
        </w:rPr>
        <w:t xml:space="preserve"> presented by linear scale. </w:t>
      </w:r>
      <w:proofErr w:type="spellStart"/>
      <w:r w:rsidR="0017786D" w:rsidRPr="00E93220">
        <w:rPr>
          <w:rFonts w:eastAsia="Calibri"/>
          <w:sz w:val="24"/>
          <w:szCs w:val="24"/>
        </w:rPr>
        <w:t>Right</w:t>
      </w:r>
      <w:proofErr w:type="spellEnd"/>
      <w:r w:rsidR="0017786D" w:rsidRPr="00E93220">
        <w:rPr>
          <w:rFonts w:eastAsia="Calibri"/>
          <w:sz w:val="24"/>
          <w:szCs w:val="24"/>
        </w:rPr>
        <w:t>: box and whisker plot of median expression distribution of mucosa and tumor presented on right as log10 RPM (reads per million base pairs). Medians are represented by the thick black lines in the</w:t>
      </w:r>
      <w:r>
        <w:rPr>
          <w:rFonts w:eastAsia="Calibri"/>
          <w:sz w:val="24"/>
          <w:szCs w:val="24"/>
        </w:rPr>
        <w:t xml:space="preserve"> </w:t>
      </w:r>
      <w:r w:rsidR="0017786D" w:rsidRPr="00E93220">
        <w:rPr>
          <w:rFonts w:eastAsia="Calibri"/>
          <w:sz w:val="24"/>
          <w:szCs w:val="24"/>
        </w:rPr>
        <w:t>middle, bars represent 25</w:t>
      </w:r>
      <w:r w:rsidR="0017786D" w:rsidRPr="00E93220">
        <w:rPr>
          <w:rFonts w:eastAsia="Calibri"/>
          <w:sz w:val="24"/>
          <w:szCs w:val="24"/>
          <w:vertAlign w:val="superscript"/>
        </w:rPr>
        <w:t>th</w:t>
      </w:r>
      <w:r w:rsidR="0017786D" w:rsidRPr="00E93220">
        <w:rPr>
          <w:rFonts w:eastAsia="Calibri"/>
          <w:sz w:val="24"/>
          <w:szCs w:val="24"/>
        </w:rPr>
        <w:t xml:space="preserve"> and 75</w:t>
      </w:r>
      <w:r w:rsidR="0017786D" w:rsidRPr="00E93220">
        <w:rPr>
          <w:rFonts w:eastAsia="Calibri"/>
          <w:sz w:val="24"/>
          <w:szCs w:val="24"/>
          <w:vertAlign w:val="superscript"/>
        </w:rPr>
        <w:t>th</w:t>
      </w:r>
      <w:r w:rsidR="0017786D" w:rsidRPr="00E93220">
        <w:rPr>
          <w:rFonts w:eastAsia="Calibri"/>
          <w:sz w:val="24"/>
          <w:szCs w:val="24"/>
        </w:rPr>
        <w:t xml:space="preserve"> percentile, and outliers are displayed as individual points.</w:t>
      </w:r>
      <w:r w:rsidR="007B55F9">
        <w:rPr>
          <w:rFonts w:eastAsia="Calibri"/>
          <w:sz w:val="24"/>
          <w:szCs w:val="24"/>
        </w:rPr>
        <w:t xml:space="preserve"> </w:t>
      </w:r>
      <w:r w:rsidR="0017786D" w:rsidRPr="00E93220">
        <w:rPr>
          <w:rFonts w:eastAsia="Calibri"/>
          <w:sz w:val="24"/>
          <w:szCs w:val="24"/>
        </w:rPr>
        <w:t xml:space="preserve">FDR </w:t>
      </w:r>
      <w:r w:rsidR="007B55F9">
        <w:rPr>
          <w:rFonts w:eastAsia="Calibri"/>
          <w:sz w:val="24"/>
          <w:szCs w:val="24"/>
        </w:rPr>
        <w:t>cutoff is</w:t>
      </w:r>
      <w:r w:rsidR="007B55F9" w:rsidRPr="00E93220">
        <w:rPr>
          <w:rFonts w:eastAsia="Calibri"/>
          <w:sz w:val="24"/>
          <w:szCs w:val="24"/>
        </w:rPr>
        <w:t xml:space="preserve"> </w:t>
      </w:r>
      <w:r w:rsidR="0017786D" w:rsidRPr="00E93220">
        <w:rPr>
          <w:rFonts w:eastAsia="Calibri"/>
          <w:sz w:val="24"/>
          <w:szCs w:val="24"/>
        </w:rPr>
        <w:t>0.</w:t>
      </w:r>
      <w:r w:rsidR="00C40595">
        <w:rPr>
          <w:rFonts w:eastAsia="Calibri"/>
          <w:sz w:val="24"/>
          <w:szCs w:val="24"/>
        </w:rPr>
        <w:t>2</w:t>
      </w:r>
      <w:r w:rsidR="0017786D" w:rsidRPr="00E93220">
        <w:rPr>
          <w:rFonts w:eastAsia="Calibri"/>
          <w:sz w:val="24"/>
          <w:szCs w:val="24"/>
        </w:rPr>
        <w:t>.</w:t>
      </w:r>
    </w:p>
    <w:p w14:paraId="61DA130E" w14:textId="58D10939" w:rsidR="00106E23" w:rsidRDefault="0035083A" w:rsidP="00E93220">
      <w:pPr>
        <w:spacing w:line="480" w:lineRule="auto"/>
        <w:contextualSpacing/>
        <w:jc w:val="both"/>
        <w:rPr>
          <w:sz w:val="24"/>
          <w:szCs w:val="24"/>
        </w:rPr>
      </w:pPr>
      <w:bookmarkStart w:id="16" w:name="_Hlk487033066"/>
      <w:r w:rsidRPr="0035083A">
        <w:rPr>
          <w:rFonts w:eastAsia="Calibri"/>
          <w:b/>
          <w:bCs/>
          <w:sz w:val="24"/>
          <w:szCs w:val="24"/>
        </w:rPr>
        <w:t>Supplementary</w:t>
      </w:r>
      <w:r>
        <w:rPr>
          <w:rFonts w:eastAsia="Calibri"/>
          <w:b/>
          <w:bCs/>
          <w:sz w:val="24"/>
          <w:szCs w:val="24"/>
        </w:rPr>
        <w:t xml:space="preserve"> </w:t>
      </w:r>
      <w:r w:rsidR="0017786D" w:rsidRPr="00E93220">
        <w:rPr>
          <w:rFonts w:eastAsia="Calibri"/>
          <w:b/>
          <w:bCs/>
          <w:sz w:val="24"/>
          <w:szCs w:val="24"/>
        </w:rPr>
        <w:t>Fig</w:t>
      </w:r>
      <w:r>
        <w:rPr>
          <w:rFonts w:eastAsia="Calibri"/>
          <w:b/>
          <w:bCs/>
          <w:sz w:val="24"/>
          <w:szCs w:val="24"/>
        </w:rPr>
        <w:t>.</w:t>
      </w:r>
      <w:r w:rsidR="0017786D" w:rsidRPr="00E93220">
        <w:rPr>
          <w:rFonts w:eastAsia="Calibri"/>
          <w:b/>
          <w:bCs/>
          <w:sz w:val="24"/>
          <w:szCs w:val="24"/>
        </w:rPr>
        <w:t xml:space="preserve"> S3</w:t>
      </w:r>
      <w:r>
        <w:rPr>
          <w:rFonts w:eastAsia="Calibri"/>
          <w:b/>
          <w:bCs/>
          <w:sz w:val="24"/>
          <w:szCs w:val="24"/>
        </w:rPr>
        <w:t>.</w:t>
      </w:r>
      <w:r w:rsidR="0017786D" w:rsidRPr="00E93220">
        <w:rPr>
          <w:rFonts w:eastAsia="Calibri"/>
          <w:b/>
          <w:bCs/>
          <w:sz w:val="24"/>
          <w:szCs w:val="24"/>
        </w:rPr>
        <w:t xml:space="preserve"> </w:t>
      </w:r>
      <w:r w:rsidR="00882249" w:rsidRPr="00E93220">
        <w:rPr>
          <w:rFonts w:eastAsia="Calibri"/>
          <w:b/>
          <w:bCs/>
          <w:sz w:val="24"/>
          <w:szCs w:val="24"/>
        </w:rPr>
        <w:t xml:space="preserve">miR-30 </w:t>
      </w:r>
      <w:r w:rsidR="005142DD">
        <w:rPr>
          <w:rFonts w:eastAsia="Calibri"/>
          <w:b/>
          <w:bCs/>
          <w:sz w:val="24"/>
          <w:szCs w:val="24"/>
        </w:rPr>
        <w:t xml:space="preserve">family effects </w:t>
      </w:r>
      <w:r w:rsidR="00882249" w:rsidRPr="00E93220">
        <w:rPr>
          <w:rFonts w:eastAsia="Calibri"/>
          <w:b/>
          <w:bCs/>
          <w:sz w:val="24"/>
          <w:szCs w:val="24"/>
        </w:rPr>
        <w:t>on proliferation</w:t>
      </w:r>
      <w:r w:rsidR="005142DD">
        <w:rPr>
          <w:rFonts w:eastAsia="Calibri"/>
          <w:b/>
          <w:bCs/>
          <w:sz w:val="24"/>
          <w:szCs w:val="24"/>
        </w:rPr>
        <w:t xml:space="preserve"> and relative expression</w:t>
      </w:r>
      <w:r w:rsidR="00882249" w:rsidRPr="00E93220">
        <w:rPr>
          <w:rFonts w:eastAsia="Calibri"/>
          <w:b/>
          <w:bCs/>
          <w:sz w:val="24"/>
          <w:szCs w:val="24"/>
        </w:rPr>
        <w:t xml:space="preserve"> in UM-SCC lines</w:t>
      </w:r>
      <w:r w:rsidR="005142DD">
        <w:rPr>
          <w:rFonts w:eastAsia="Calibri"/>
          <w:b/>
          <w:bCs/>
          <w:sz w:val="24"/>
          <w:szCs w:val="24"/>
        </w:rPr>
        <w:t>, and anti-correlation with selected mRNAs</w:t>
      </w:r>
      <w:r w:rsidR="005142DD" w:rsidRPr="00E93220">
        <w:rPr>
          <w:rFonts w:eastAsia="Calibri"/>
          <w:b/>
          <w:bCs/>
          <w:sz w:val="24"/>
          <w:szCs w:val="24"/>
        </w:rPr>
        <w:t xml:space="preserve"> </w:t>
      </w:r>
      <w:r w:rsidR="005142DD">
        <w:rPr>
          <w:rFonts w:eastAsia="Calibri"/>
          <w:b/>
          <w:bCs/>
          <w:sz w:val="24"/>
          <w:szCs w:val="24"/>
        </w:rPr>
        <w:t>in HNSCC tumors</w:t>
      </w:r>
      <w:r w:rsidR="0017786D" w:rsidRPr="00E93220">
        <w:rPr>
          <w:rFonts w:eastAsia="Calibri"/>
          <w:b/>
          <w:bCs/>
          <w:sz w:val="24"/>
          <w:szCs w:val="24"/>
        </w:rPr>
        <w:t xml:space="preserve">. </w:t>
      </w:r>
      <w:r w:rsidR="00882249" w:rsidRPr="00E93220">
        <w:rPr>
          <w:b/>
          <w:bCs/>
          <w:sz w:val="24"/>
          <w:szCs w:val="24"/>
        </w:rPr>
        <w:t>(A)</w:t>
      </w:r>
      <w:r w:rsidR="004440CF" w:rsidRPr="00E93220">
        <w:rPr>
          <w:sz w:val="24"/>
          <w:szCs w:val="24"/>
        </w:rPr>
        <w:t xml:space="preserve"> </w:t>
      </w:r>
      <w:r w:rsidR="0012225F" w:rsidRPr="00E93220">
        <w:rPr>
          <w:sz w:val="24"/>
          <w:szCs w:val="24"/>
        </w:rPr>
        <w:t xml:space="preserve">Proliferation was measured in UM-SCC-1 or UM-SCC-46 cells by an XTT assay in 6 replicates at day 5 following transfection with control </w:t>
      </w:r>
      <w:proofErr w:type="spellStart"/>
      <w:r w:rsidR="0012225F" w:rsidRPr="00E93220">
        <w:rPr>
          <w:sz w:val="24"/>
          <w:szCs w:val="24"/>
        </w:rPr>
        <w:t>miR</w:t>
      </w:r>
      <w:proofErr w:type="spellEnd"/>
      <w:r w:rsidR="0012225F" w:rsidRPr="00E93220">
        <w:rPr>
          <w:sz w:val="24"/>
          <w:szCs w:val="24"/>
        </w:rPr>
        <w:t xml:space="preserve"> or a miR-30-5p family members a-e. Similar inhibition of proliferation is observed between family members sharing the same seed sequence. </w:t>
      </w:r>
      <w:r w:rsidR="003460B2" w:rsidRPr="00E93220">
        <w:rPr>
          <w:sz w:val="24"/>
          <w:szCs w:val="24"/>
        </w:rPr>
        <w:t>Values represent</w:t>
      </w:r>
      <w:r w:rsidR="003460B2">
        <w:rPr>
          <w:sz w:val="24"/>
          <w:szCs w:val="24"/>
        </w:rPr>
        <w:t xml:space="preserve"> the</w:t>
      </w:r>
      <w:r w:rsidR="003460B2" w:rsidRPr="00E93220">
        <w:rPr>
          <w:sz w:val="24"/>
          <w:szCs w:val="24"/>
        </w:rPr>
        <w:t xml:space="preserve"> mean </w:t>
      </w:r>
      <w:r w:rsidR="003460B2">
        <w:rPr>
          <w:sz w:val="24"/>
          <w:szCs w:val="24"/>
        </w:rPr>
        <w:t>of six replicate transfections</w:t>
      </w:r>
      <w:r w:rsidR="003460B2" w:rsidRPr="00E93220">
        <w:rPr>
          <w:sz w:val="24"/>
          <w:szCs w:val="24"/>
        </w:rPr>
        <w:t xml:space="preserve"> and error bars represent SEM</w:t>
      </w:r>
      <w:r w:rsidR="003460B2">
        <w:rPr>
          <w:sz w:val="24"/>
          <w:szCs w:val="24"/>
        </w:rPr>
        <w:t xml:space="preserve">. </w:t>
      </w:r>
      <w:r w:rsidR="003460B2" w:rsidRPr="00E93220">
        <w:rPr>
          <w:sz w:val="24"/>
          <w:szCs w:val="24"/>
        </w:rPr>
        <w:t xml:space="preserve">(*) denotes </w:t>
      </w:r>
      <w:r w:rsidR="003460B2">
        <w:rPr>
          <w:sz w:val="24"/>
          <w:szCs w:val="24"/>
        </w:rPr>
        <w:t xml:space="preserve">a </w:t>
      </w:r>
      <w:r w:rsidR="003460B2" w:rsidRPr="00E93220">
        <w:rPr>
          <w:sz w:val="24"/>
          <w:szCs w:val="24"/>
        </w:rPr>
        <w:t>p-value &lt; 0.05 by Student’s t-test.</w:t>
      </w:r>
      <w:r w:rsidR="0012225F" w:rsidRPr="00E93220">
        <w:rPr>
          <w:sz w:val="24"/>
          <w:szCs w:val="24"/>
        </w:rPr>
        <w:t xml:space="preserve"> </w:t>
      </w:r>
      <w:r w:rsidR="0012225F" w:rsidRPr="00F76263">
        <w:rPr>
          <w:b/>
          <w:sz w:val="24"/>
          <w:szCs w:val="24"/>
        </w:rPr>
        <w:t>(B)</w:t>
      </w:r>
      <w:r w:rsidR="0012225F" w:rsidRPr="0012225F">
        <w:rPr>
          <w:sz w:val="24"/>
          <w:szCs w:val="24"/>
        </w:rPr>
        <w:t xml:space="preserve"> </w:t>
      </w:r>
      <w:r w:rsidR="0012225F" w:rsidRPr="00E93220">
        <w:rPr>
          <w:sz w:val="24"/>
          <w:szCs w:val="24"/>
        </w:rPr>
        <w:t xml:space="preserve">Basal level of miR-30a-5p and miR-30e-5p expression in HOK, UM-SCC-1 and UM-SCC-46 cell lines measured by </w:t>
      </w:r>
      <w:proofErr w:type="spellStart"/>
      <w:r w:rsidR="0012225F" w:rsidRPr="00E93220">
        <w:rPr>
          <w:sz w:val="24"/>
          <w:szCs w:val="24"/>
        </w:rPr>
        <w:t>qRT</w:t>
      </w:r>
      <w:proofErr w:type="spellEnd"/>
      <w:r w:rsidR="0012225F" w:rsidRPr="00E93220">
        <w:rPr>
          <w:sz w:val="24"/>
          <w:szCs w:val="24"/>
        </w:rPr>
        <w:t xml:space="preserve">-PCR. Total RNA was collected in three replicate experiments from HOK, UM-SCC-1 and UM-SCC-46 cell lines in log-growth phase.  </w:t>
      </w:r>
      <w:proofErr w:type="gramStart"/>
      <w:r w:rsidR="0012225F" w:rsidRPr="00E93220">
        <w:rPr>
          <w:sz w:val="24"/>
          <w:szCs w:val="24"/>
        </w:rPr>
        <w:t>Similar to</w:t>
      </w:r>
      <w:proofErr w:type="gramEnd"/>
      <w:r w:rsidR="0012225F" w:rsidRPr="00E93220">
        <w:rPr>
          <w:sz w:val="24"/>
          <w:szCs w:val="24"/>
        </w:rPr>
        <w:t xml:space="preserve"> HNSCC tumor samples, miR30a-5p is the more highly expressed miR30 family member in HOK and UM-SCC cell lines and is significantly reduced in UM-SCC-46 compared to HOK and UM-SCC-1 cells.</w:t>
      </w:r>
      <w:r w:rsidR="003460B2" w:rsidRPr="003460B2">
        <w:rPr>
          <w:sz w:val="24"/>
          <w:szCs w:val="24"/>
        </w:rPr>
        <w:t xml:space="preserve"> </w:t>
      </w:r>
      <w:r w:rsidR="003460B2" w:rsidRPr="00E93220">
        <w:rPr>
          <w:sz w:val="24"/>
          <w:szCs w:val="24"/>
        </w:rPr>
        <w:t>Values represent mean expression, and error bars represent SEM of three independent experiments, and (*) denotes</w:t>
      </w:r>
      <w:r w:rsidR="003460B2">
        <w:rPr>
          <w:sz w:val="24"/>
          <w:szCs w:val="24"/>
        </w:rPr>
        <w:t xml:space="preserve"> a</w:t>
      </w:r>
      <w:r w:rsidR="003460B2" w:rsidRPr="00E93220">
        <w:rPr>
          <w:sz w:val="24"/>
          <w:szCs w:val="24"/>
        </w:rPr>
        <w:t xml:space="preserve"> p-value &lt; 0.05 by Student’s t-test.</w:t>
      </w:r>
      <w:r w:rsidR="0012225F" w:rsidRPr="0012225F">
        <w:rPr>
          <w:b/>
          <w:bCs/>
          <w:sz w:val="24"/>
          <w:szCs w:val="24"/>
        </w:rPr>
        <w:t xml:space="preserve"> </w:t>
      </w:r>
      <w:r w:rsidR="0012225F" w:rsidRPr="00E93220">
        <w:rPr>
          <w:b/>
          <w:bCs/>
          <w:sz w:val="24"/>
          <w:szCs w:val="24"/>
        </w:rPr>
        <w:t>(C)</w:t>
      </w:r>
      <w:r w:rsidR="0012225F">
        <w:rPr>
          <w:b/>
          <w:bCs/>
          <w:sz w:val="24"/>
          <w:szCs w:val="24"/>
        </w:rPr>
        <w:t xml:space="preserve"> </w:t>
      </w:r>
      <w:r w:rsidR="004440CF" w:rsidRPr="00E93220">
        <w:rPr>
          <w:sz w:val="24"/>
          <w:szCs w:val="24"/>
        </w:rPr>
        <w:t>Significant anti-correlations between expression of miR-30a-5p and putative mRNA targets</w:t>
      </w:r>
      <w:r w:rsidR="005142DD">
        <w:rPr>
          <w:sz w:val="24"/>
          <w:szCs w:val="24"/>
        </w:rPr>
        <w:t xml:space="preserve"> in HNSCC tumors</w:t>
      </w:r>
      <w:r w:rsidR="004440CF" w:rsidRPr="00E93220">
        <w:rPr>
          <w:sz w:val="24"/>
          <w:szCs w:val="24"/>
        </w:rPr>
        <w:t xml:space="preserve">. Expression of miR-30a-5p (log2 RPM) was inversely correlated with mRNA expression [log10 RSEM (RNA-Seq by Expectation Maximization)] from </w:t>
      </w:r>
      <w:r w:rsidR="005142DD">
        <w:rPr>
          <w:sz w:val="24"/>
          <w:szCs w:val="24"/>
        </w:rPr>
        <w:t xml:space="preserve">279 </w:t>
      </w:r>
      <w:r w:rsidR="004440CF" w:rsidRPr="00E93220">
        <w:rPr>
          <w:sz w:val="24"/>
          <w:szCs w:val="24"/>
        </w:rPr>
        <w:t xml:space="preserve">HNSCC </w:t>
      </w:r>
      <w:r w:rsidR="005142DD">
        <w:rPr>
          <w:sz w:val="24"/>
          <w:szCs w:val="24"/>
        </w:rPr>
        <w:t xml:space="preserve">in the </w:t>
      </w:r>
      <w:r w:rsidR="004440CF" w:rsidRPr="00E93220">
        <w:rPr>
          <w:sz w:val="24"/>
          <w:szCs w:val="24"/>
        </w:rPr>
        <w:t xml:space="preserve">TCGA </w:t>
      </w:r>
      <w:proofErr w:type="gramStart"/>
      <w:r w:rsidR="004440CF" w:rsidRPr="00E93220">
        <w:rPr>
          <w:sz w:val="24"/>
          <w:szCs w:val="24"/>
        </w:rPr>
        <w:t>dataset, and</w:t>
      </w:r>
      <w:proofErr w:type="gramEnd"/>
      <w:r w:rsidR="004440CF" w:rsidRPr="00E93220">
        <w:rPr>
          <w:sz w:val="24"/>
          <w:szCs w:val="24"/>
        </w:rPr>
        <w:t xml:space="preserve"> filtered for mRNAs containing predicted miR-30 binding sites. Linear regression scatterplots are presented for selected mRNAs with p-</w:t>
      </w:r>
      <w:proofErr w:type="gramStart"/>
      <w:r w:rsidR="004440CF" w:rsidRPr="00E93220">
        <w:rPr>
          <w:sz w:val="24"/>
          <w:szCs w:val="24"/>
        </w:rPr>
        <w:t>values .</w:t>
      </w:r>
      <w:proofErr w:type="gramEnd"/>
      <w:r w:rsidR="004440CF" w:rsidRPr="00E93220">
        <w:rPr>
          <w:sz w:val="24"/>
          <w:szCs w:val="24"/>
        </w:rPr>
        <w:t xml:space="preserve"> Shaded bands show 95% confidence intervals on the best-fit lines.  </w:t>
      </w:r>
    </w:p>
    <w:p w14:paraId="024A76C2" w14:textId="77777777" w:rsidR="003460B2" w:rsidRDefault="003460B2" w:rsidP="00E93220">
      <w:pPr>
        <w:spacing w:line="480" w:lineRule="auto"/>
        <w:contextualSpacing/>
        <w:jc w:val="both"/>
        <w:rPr>
          <w:sz w:val="24"/>
          <w:szCs w:val="24"/>
        </w:rPr>
      </w:pPr>
    </w:p>
    <w:p w14:paraId="0FBFEE23" w14:textId="6966C4C8" w:rsidR="003460B2" w:rsidRPr="00E93220" w:rsidRDefault="003460B2" w:rsidP="00E93220">
      <w:pPr>
        <w:spacing w:line="480" w:lineRule="auto"/>
        <w:contextualSpacing/>
        <w:jc w:val="both"/>
        <w:rPr>
          <w:sz w:val="24"/>
          <w:szCs w:val="24"/>
        </w:rPr>
      </w:pPr>
      <w:r w:rsidRPr="0035083A">
        <w:rPr>
          <w:rFonts w:eastAsia="Calibri"/>
          <w:b/>
          <w:bCs/>
          <w:sz w:val="24"/>
          <w:szCs w:val="24"/>
        </w:rPr>
        <w:t>Supplementary</w:t>
      </w:r>
      <w:r>
        <w:rPr>
          <w:rFonts w:eastAsia="Calibri"/>
          <w:b/>
          <w:bCs/>
          <w:sz w:val="24"/>
          <w:szCs w:val="24"/>
        </w:rPr>
        <w:t xml:space="preserve"> </w:t>
      </w:r>
      <w:r w:rsidRPr="00E93220">
        <w:rPr>
          <w:rFonts w:eastAsia="Calibri"/>
          <w:b/>
          <w:bCs/>
          <w:sz w:val="24"/>
          <w:szCs w:val="24"/>
        </w:rPr>
        <w:t>Fig</w:t>
      </w:r>
      <w:r>
        <w:rPr>
          <w:rFonts w:eastAsia="Calibri"/>
          <w:b/>
          <w:bCs/>
          <w:sz w:val="24"/>
          <w:szCs w:val="24"/>
        </w:rPr>
        <w:t>.</w:t>
      </w:r>
      <w:r w:rsidRPr="00E93220">
        <w:rPr>
          <w:rFonts w:eastAsia="Calibri"/>
          <w:b/>
          <w:bCs/>
          <w:sz w:val="24"/>
          <w:szCs w:val="24"/>
        </w:rPr>
        <w:t xml:space="preserve"> S</w:t>
      </w:r>
      <w:r>
        <w:rPr>
          <w:rFonts w:eastAsia="Calibri"/>
          <w:b/>
          <w:bCs/>
          <w:sz w:val="24"/>
          <w:szCs w:val="24"/>
        </w:rPr>
        <w:t>4.</w:t>
      </w:r>
      <w:r w:rsidRPr="00E93220">
        <w:rPr>
          <w:rFonts w:eastAsia="Calibri"/>
          <w:b/>
          <w:bCs/>
          <w:sz w:val="24"/>
          <w:szCs w:val="24"/>
        </w:rPr>
        <w:t xml:space="preserve"> Ectopic expression of miR-30a-5p</w:t>
      </w:r>
      <w:r>
        <w:rPr>
          <w:rFonts w:eastAsia="Calibri"/>
          <w:b/>
          <w:bCs/>
          <w:sz w:val="24"/>
          <w:szCs w:val="24"/>
        </w:rPr>
        <w:t xml:space="preserve"> inhibits direct target </w:t>
      </w:r>
      <w:r w:rsidR="0046181E">
        <w:rPr>
          <w:rFonts w:eastAsia="Calibri"/>
          <w:b/>
          <w:bCs/>
          <w:sz w:val="24"/>
          <w:szCs w:val="24"/>
        </w:rPr>
        <w:t>mRNA</w:t>
      </w:r>
      <w:r w:rsidR="005142DD">
        <w:rPr>
          <w:rFonts w:eastAsia="Calibri"/>
          <w:b/>
          <w:bCs/>
          <w:sz w:val="24"/>
          <w:szCs w:val="24"/>
        </w:rPr>
        <w:t>,</w:t>
      </w:r>
      <w:r w:rsidR="0046181E">
        <w:rPr>
          <w:rFonts w:eastAsia="Calibri"/>
          <w:b/>
          <w:bCs/>
          <w:sz w:val="24"/>
          <w:szCs w:val="24"/>
        </w:rPr>
        <w:t xml:space="preserve"> </w:t>
      </w:r>
      <w:r>
        <w:rPr>
          <w:rFonts w:eastAsia="Calibri"/>
          <w:b/>
          <w:bCs/>
          <w:sz w:val="24"/>
          <w:szCs w:val="24"/>
        </w:rPr>
        <w:t>protein expression</w:t>
      </w:r>
      <w:r w:rsidR="0046181E">
        <w:rPr>
          <w:rFonts w:eastAsia="Calibri"/>
          <w:b/>
          <w:bCs/>
          <w:sz w:val="24"/>
          <w:szCs w:val="24"/>
        </w:rPr>
        <w:t>,</w:t>
      </w:r>
      <w:r>
        <w:rPr>
          <w:rFonts w:eastAsia="Calibri"/>
          <w:b/>
          <w:bCs/>
          <w:sz w:val="24"/>
          <w:szCs w:val="24"/>
        </w:rPr>
        <w:t xml:space="preserve"> and downstream signaling. </w:t>
      </w:r>
      <w:r w:rsidRPr="00E93220">
        <w:rPr>
          <w:rFonts w:eastAsia="Calibri"/>
          <w:b/>
          <w:bCs/>
          <w:sz w:val="24"/>
          <w:szCs w:val="24"/>
        </w:rPr>
        <w:t xml:space="preserve"> </w:t>
      </w:r>
      <w:r w:rsidR="0046181E" w:rsidRPr="00631A5C">
        <w:rPr>
          <w:b/>
          <w:sz w:val="24"/>
          <w:szCs w:val="24"/>
        </w:rPr>
        <w:t>(A)</w:t>
      </w:r>
      <w:r w:rsidR="0046181E">
        <w:rPr>
          <w:sz w:val="24"/>
          <w:szCs w:val="24"/>
        </w:rPr>
        <w:t xml:space="preserve"> </w:t>
      </w:r>
      <w:r w:rsidR="0046181E" w:rsidRPr="00205877">
        <w:rPr>
          <w:sz w:val="24"/>
          <w:szCs w:val="24"/>
        </w:rPr>
        <w:t xml:space="preserve">Selected miR-30-5p target genes were validated by </w:t>
      </w:r>
      <w:proofErr w:type="spellStart"/>
      <w:r w:rsidR="0046181E">
        <w:rPr>
          <w:sz w:val="24"/>
          <w:szCs w:val="24"/>
        </w:rPr>
        <w:t>qRT</w:t>
      </w:r>
      <w:proofErr w:type="spellEnd"/>
      <w:r w:rsidR="0046181E">
        <w:rPr>
          <w:sz w:val="24"/>
          <w:szCs w:val="24"/>
        </w:rPr>
        <w:t>-PCR measurement in UM-SCC-47</w:t>
      </w:r>
      <w:r w:rsidR="0046181E" w:rsidRPr="00205877">
        <w:rPr>
          <w:sz w:val="24"/>
          <w:szCs w:val="24"/>
        </w:rPr>
        <w:t xml:space="preserve"> cells transfected with </w:t>
      </w:r>
      <w:r w:rsidR="0046181E">
        <w:rPr>
          <w:sz w:val="24"/>
          <w:szCs w:val="24"/>
        </w:rPr>
        <w:t>miRNA</w:t>
      </w:r>
      <w:r w:rsidR="0046181E" w:rsidRPr="00205877">
        <w:rPr>
          <w:sz w:val="24"/>
          <w:szCs w:val="24"/>
        </w:rPr>
        <w:t xml:space="preserve"> negative control (neg Con), miR-30a</w:t>
      </w:r>
      <w:r w:rsidR="0046181E">
        <w:rPr>
          <w:sz w:val="24"/>
          <w:szCs w:val="24"/>
        </w:rPr>
        <w:t>-5p</w:t>
      </w:r>
      <w:r w:rsidR="0046181E" w:rsidRPr="00205877">
        <w:rPr>
          <w:sz w:val="24"/>
          <w:szCs w:val="24"/>
        </w:rPr>
        <w:t>, or anti-miR-30a</w:t>
      </w:r>
      <w:r w:rsidR="0046181E">
        <w:rPr>
          <w:sz w:val="24"/>
          <w:szCs w:val="24"/>
        </w:rPr>
        <w:t>-5p</w:t>
      </w:r>
      <w:r w:rsidR="0046181E" w:rsidRPr="00205877">
        <w:rPr>
          <w:sz w:val="24"/>
          <w:szCs w:val="24"/>
        </w:rPr>
        <w:t xml:space="preserve"> oligonucleotide for 72 hrs. The mean of three independent experiments, </w:t>
      </w:r>
      <w:r w:rsidR="0046181E" w:rsidRPr="00205877">
        <w:rPr>
          <w:sz w:val="24"/>
          <w:szCs w:val="24"/>
          <w:u w:val="single"/>
        </w:rPr>
        <w:t>±</w:t>
      </w:r>
      <w:r w:rsidR="0046181E" w:rsidRPr="00205877">
        <w:rPr>
          <w:sz w:val="24"/>
          <w:szCs w:val="24"/>
        </w:rPr>
        <w:t>SEM; * denotes p&lt; 0.05 by Student’s t-test.</w:t>
      </w:r>
      <w:r w:rsidR="0046181E">
        <w:rPr>
          <w:sz w:val="24"/>
          <w:szCs w:val="24"/>
        </w:rPr>
        <w:t xml:space="preserve"> </w:t>
      </w:r>
      <w:r w:rsidRPr="00E93220">
        <w:rPr>
          <w:sz w:val="24"/>
          <w:szCs w:val="24"/>
        </w:rPr>
        <w:t xml:space="preserve">Protein levels of miR-30a-5p target genes were analyzed from triplicate experiments by </w:t>
      </w:r>
      <w:r w:rsidR="0046181E">
        <w:rPr>
          <w:sz w:val="24"/>
          <w:szCs w:val="24"/>
        </w:rPr>
        <w:t>w</w:t>
      </w:r>
      <w:r w:rsidRPr="00E93220">
        <w:rPr>
          <w:sz w:val="24"/>
          <w:szCs w:val="24"/>
        </w:rPr>
        <w:t xml:space="preserve">estern blots with transfection of 15 </w:t>
      </w:r>
      <w:proofErr w:type="spellStart"/>
      <w:r w:rsidRPr="00E93220">
        <w:rPr>
          <w:sz w:val="24"/>
          <w:szCs w:val="24"/>
        </w:rPr>
        <w:t>nM</w:t>
      </w:r>
      <w:proofErr w:type="spellEnd"/>
      <w:r w:rsidRPr="00E93220">
        <w:rPr>
          <w:sz w:val="24"/>
          <w:szCs w:val="24"/>
        </w:rPr>
        <w:t xml:space="preserve"> control oligo, miR-30a-5p, or anti-miR-30a-5p into UM-SCC-46</w:t>
      </w:r>
      <w:r>
        <w:rPr>
          <w:sz w:val="24"/>
          <w:szCs w:val="24"/>
        </w:rPr>
        <w:t xml:space="preserve"> or UM-SCC-47</w:t>
      </w:r>
      <w:r w:rsidRPr="00E93220">
        <w:rPr>
          <w:sz w:val="24"/>
          <w:szCs w:val="24"/>
        </w:rPr>
        <w:t xml:space="preserve"> cells. </w:t>
      </w:r>
      <w:r>
        <w:rPr>
          <w:sz w:val="24"/>
          <w:szCs w:val="24"/>
        </w:rPr>
        <w:t>Relative b</w:t>
      </w:r>
      <w:r w:rsidRPr="00E93220">
        <w:rPr>
          <w:sz w:val="24"/>
          <w:szCs w:val="24"/>
        </w:rPr>
        <w:t>and intensity was quantitated and normalized to β-tubulin levels</w:t>
      </w:r>
      <w:r>
        <w:rPr>
          <w:sz w:val="24"/>
          <w:szCs w:val="24"/>
        </w:rPr>
        <w:t xml:space="preserve"> for direct targets</w:t>
      </w:r>
      <w:r w:rsidR="0046181E">
        <w:rPr>
          <w:sz w:val="24"/>
          <w:szCs w:val="24"/>
        </w:rPr>
        <w:t xml:space="preserve"> </w:t>
      </w:r>
      <w:r w:rsidR="0046181E" w:rsidRPr="00631A5C">
        <w:rPr>
          <w:b/>
          <w:sz w:val="24"/>
          <w:szCs w:val="24"/>
        </w:rPr>
        <w:t>(B)</w:t>
      </w:r>
      <w:r>
        <w:rPr>
          <w:sz w:val="24"/>
          <w:szCs w:val="24"/>
        </w:rPr>
        <w:t xml:space="preserve"> or phosphorylation levels of downstream signaling proteins</w:t>
      </w:r>
      <w:r w:rsidR="0046181E">
        <w:rPr>
          <w:sz w:val="24"/>
          <w:szCs w:val="24"/>
        </w:rPr>
        <w:t xml:space="preserve"> </w:t>
      </w:r>
      <w:r w:rsidR="0046181E" w:rsidRPr="00631A5C">
        <w:rPr>
          <w:b/>
          <w:sz w:val="24"/>
          <w:szCs w:val="24"/>
        </w:rPr>
        <w:t>(C</w:t>
      </w:r>
      <w:r w:rsidRPr="00631A5C">
        <w:rPr>
          <w:b/>
          <w:sz w:val="24"/>
          <w:szCs w:val="24"/>
        </w:rPr>
        <w:t>)</w:t>
      </w:r>
      <w:r w:rsidRPr="00E93220">
        <w:rPr>
          <w:sz w:val="24"/>
          <w:szCs w:val="24"/>
        </w:rPr>
        <w:t>. Values represent mean expression, and error bars represent SEM of three independent experiments, and (*) denotes p-value &lt; 0.05 by Student’s t-test.</w:t>
      </w:r>
    </w:p>
    <w:bookmarkEnd w:id="16"/>
    <w:p w14:paraId="2B67ECA3" w14:textId="73CE8881" w:rsidR="00106E23" w:rsidRPr="00E93220" w:rsidRDefault="0035083A" w:rsidP="00E93220">
      <w:pPr>
        <w:spacing w:line="480" w:lineRule="auto"/>
        <w:contextualSpacing/>
        <w:jc w:val="both"/>
        <w:rPr>
          <w:sz w:val="24"/>
          <w:szCs w:val="24"/>
        </w:rPr>
      </w:pPr>
      <w:r w:rsidRPr="0035083A">
        <w:rPr>
          <w:rFonts w:eastAsia="Calibri"/>
          <w:b/>
          <w:bCs/>
          <w:sz w:val="24"/>
          <w:szCs w:val="24"/>
        </w:rPr>
        <w:t>Supplementary</w:t>
      </w:r>
      <w:r>
        <w:rPr>
          <w:rFonts w:eastAsia="Calibri"/>
          <w:b/>
          <w:bCs/>
          <w:sz w:val="24"/>
          <w:szCs w:val="24"/>
        </w:rPr>
        <w:t xml:space="preserve"> </w:t>
      </w:r>
      <w:r w:rsidR="0017786D" w:rsidRPr="00E93220">
        <w:rPr>
          <w:rFonts w:eastAsia="Calibri"/>
          <w:b/>
          <w:bCs/>
          <w:sz w:val="24"/>
          <w:szCs w:val="24"/>
        </w:rPr>
        <w:t>Fig</w:t>
      </w:r>
      <w:r>
        <w:rPr>
          <w:rFonts w:eastAsia="Calibri"/>
          <w:b/>
          <w:bCs/>
          <w:sz w:val="24"/>
          <w:szCs w:val="24"/>
        </w:rPr>
        <w:t>.</w:t>
      </w:r>
      <w:r w:rsidR="0017786D" w:rsidRPr="00E93220">
        <w:rPr>
          <w:rFonts w:eastAsia="Calibri"/>
          <w:b/>
          <w:bCs/>
          <w:sz w:val="24"/>
          <w:szCs w:val="24"/>
        </w:rPr>
        <w:t xml:space="preserve"> </w:t>
      </w:r>
      <w:r w:rsidR="003A2069" w:rsidRPr="00E93220">
        <w:rPr>
          <w:rFonts w:eastAsia="Calibri"/>
          <w:b/>
          <w:bCs/>
          <w:sz w:val="24"/>
          <w:szCs w:val="24"/>
        </w:rPr>
        <w:t>S</w:t>
      </w:r>
      <w:r w:rsidR="0012225F">
        <w:rPr>
          <w:rFonts w:eastAsia="Calibri"/>
          <w:b/>
          <w:bCs/>
          <w:sz w:val="24"/>
          <w:szCs w:val="24"/>
        </w:rPr>
        <w:t>5</w:t>
      </w:r>
      <w:r>
        <w:rPr>
          <w:rFonts w:eastAsia="Calibri"/>
          <w:b/>
          <w:bCs/>
          <w:sz w:val="24"/>
          <w:szCs w:val="24"/>
        </w:rPr>
        <w:t>.</w:t>
      </w:r>
      <w:r w:rsidR="0017786D" w:rsidRPr="00E93220">
        <w:rPr>
          <w:rFonts w:eastAsia="Calibri"/>
          <w:b/>
          <w:bCs/>
          <w:sz w:val="24"/>
          <w:szCs w:val="24"/>
        </w:rPr>
        <w:t xml:space="preserve"> Ectopic expression of miR-30a-5p inhibits proliferation of HNSCC. (A and B)</w:t>
      </w:r>
      <w:r>
        <w:rPr>
          <w:rFonts w:eastAsia="Calibri"/>
          <w:b/>
          <w:bCs/>
          <w:sz w:val="24"/>
          <w:szCs w:val="24"/>
        </w:rPr>
        <w:t xml:space="preserve"> </w:t>
      </w:r>
      <w:r w:rsidR="0017786D" w:rsidRPr="00E93220">
        <w:rPr>
          <w:rFonts w:eastAsia="Calibri"/>
          <w:sz w:val="24"/>
          <w:szCs w:val="24"/>
        </w:rPr>
        <w:t xml:space="preserve">Proliferation was measured in UM-SCC-46 cells by an XTT assay in 6 replicates at days 0, 1, 3 and 5 following </w:t>
      </w:r>
      <w:proofErr w:type="gramStart"/>
      <w:r w:rsidR="0017786D" w:rsidRPr="00E93220">
        <w:rPr>
          <w:rFonts w:eastAsia="Calibri"/>
          <w:sz w:val="24"/>
          <w:szCs w:val="24"/>
        </w:rPr>
        <w:t>transfection</w:t>
      </w:r>
      <w:proofErr w:type="gramEnd"/>
      <w:r w:rsidR="0017786D" w:rsidRPr="00E93220">
        <w:rPr>
          <w:rFonts w:eastAsia="Calibri"/>
          <w:sz w:val="24"/>
          <w:szCs w:val="24"/>
        </w:rPr>
        <w:t xml:space="preserve"> with control, miR-30a-5p, or its anti-</w:t>
      </w:r>
      <w:proofErr w:type="spellStart"/>
      <w:r w:rsidR="0017786D" w:rsidRPr="00E93220">
        <w:rPr>
          <w:rFonts w:eastAsia="Calibri"/>
          <w:sz w:val="24"/>
          <w:szCs w:val="24"/>
        </w:rPr>
        <w:t>miR</w:t>
      </w:r>
      <w:proofErr w:type="spellEnd"/>
      <w:r w:rsidR="0017786D" w:rsidRPr="00E93220">
        <w:rPr>
          <w:rFonts w:eastAsia="Calibri"/>
          <w:sz w:val="24"/>
          <w:szCs w:val="24"/>
        </w:rPr>
        <w:t>, or in combination with cisplatin</w:t>
      </w:r>
      <w:bookmarkStart w:id="17" w:name="page4"/>
      <w:bookmarkEnd w:id="17"/>
      <w:r w:rsidR="00CE51DC" w:rsidRPr="00E93220">
        <w:rPr>
          <w:rFonts w:eastAsia="Calibri"/>
          <w:sz w:val="24"/>
          <w:szCs w:val="24"/>
        </w:rPr>
        <w:t xml:space="preserve"> </w:t>
      </w:r>
      <w:r w:rsidR="0017786D" w:rsidRPr="00E93220">
        <w:rPr>
          <w:rFonts w:eastAsia="Calibri"/>
          <w:sz w:val="24"/>
          <w:szCs w:val="24"/>
        </w:rPr>
        <w:t>treatment at the IC50 dose</w:t>
      </w:r>
      <w:r w:rsidR="0017786D" w:rsidRPr="00E93220">
        <w:rPr>
          <w:rFonts w:eastAsia="Calibri"/>
          <w:b/>
          <w:bCs/>
          <w:sz w:val="24"/>
          <w:szCs w:val="24"/>
        </w:rPr>
        <w:t>.</w:t>
      </w:r>
      <w:r w:rsidR="0017786D" w:rsidRPr="00E93220">
        <w:rPr>
          <w:rFonts w:eastAsia="Calibri"/>
          <w:sz w:val="24"/>
          <w:szCs w:val="24"/>
        </w:rPr>
        <w:t xml:space="preserve"> (</w:t>
      </w:r>
      <w:r w:rsidR="0017786D" w:rsidRPr="00E93220">
        <w:rPr>
          <w:rFonts w:eastAsia="Calibri"/>
          <w:b/>
          <w:bCs/>
          <w:sz w:val="24"/>
          <w:szCs w:val="24"/>
        </w:rPr>
        <w:t>C)</w:t>
      </w:r>
      <w:r w:rsidR="004551EC" w:rsidRPr="004551EC">
        <w:rPr>
          <w:sz w:val="24"/>
          <w:szCs w:val="24"/>
        </w:rPr>
        <w:t xml:space="preserve"> </w:t>
      </w:r>
      <w:r w:rsidR="004551EC">
        <w:rPr>
          <w:sz w:val="24"/>
          <w:szCs w:val="24"/>
        </w:rPr>
        <w:t>UM-SCC-1</w:t>
      </w:r>
      <w:r w:rsidR="004551EC" w:rsidRPr="000D4F3D">
        <w:rPr>
          <w:sz w:val="24"/>
          <w:szCs w:val="24"/>
        </w:rPr>
        <w:t xml:space="preserve"> cells were transfected with miR-30a-5p mimi</w:t>
      </w:r>
      <w:r w:rsidR="004551EC">
        <w:rPr>
          <w:sz w:val="24"/>
          <w:szCs w:val="24"/>
        </w:rPr>
        <w:t xml:space="preserve">c for 48 </w:t>
      </w:r>
      <w:proofErr w:type="spellStart"/>
      <w:proofErr w:type="gramStart"/>
      <w:r w:rsidR="004551EC">
        <w:rPr>
          <w:sz w:val="24"/>
          <w:szCs w:val="24"/>
        </w:rPr>
        <w:t>hrs</w:t>
      </w:r>
      <w:proofErr w:type="spellEnd"/>
      <w:r w:rsidR="004551EC">
        <w:rPr>
          <w:sz w:val="24"/>
          <w:szCs w:val="24"/>
        </w:rPr>
        <w:t>, and</w:t>
      </w:r>
      <w:proofErr w:type="gramEnd"/>
      <w:r w:rsidR="004551EC">
        <w:rPr>
          <w:sz w:val="24"/>
          <w:szCs w:val="24"/>
        </w:rPr>
        <w:t xml:space="preserve"> treated with 3.5</w:t>
      </w:r>
      <w:r w:rsidR="004551EC" w:rsidRPr="000D4F3D">
        <w:rPr>
          <w:sz w:val="24"/>
          <w:szCs w:val="24"/>
        </w:rPr>
        <w:t xml:space="preserve"> </w:t>
      </w:r>
      <w:r w:rsidR="004551EC">
        <w:rPr>
          <w:sz w:val="24"/>
          <w:szCs w:val="24"/>
        </w:rPr>
        <w:t xml:space="preserve">µM cisplatin for </w:t>
      </w:r>
      <w:r w:rsidR="004551EC" w:rsidRPr="000D4F3D">
        <w:rPr>
          <w:sz w:val="24"/>
          <w:szCs w:val="24"/>
        </w:rPr>
        <w:t>3 h and then washed</w:t>
      </w:r>
      <w:r w:rsidR="004551EC">
        <w:rPr>
          <w:sz w:val="24"/>
          <w:szCs w:val="24"/>
        </w:rPr>
        <w:t xml:space="preserve"> with warm media and c</w:t>
      </w:r>
      <w:r w:rsidR="004551EC" w:rsidRPr="000D4F3D">
        <w:rPr>
          <w:sz w:val="24"/>
          <w:szCs w:val="24"/>
        </w:rPr>
        <w:t xml:space="preserve">ell density was measured by XTT assay 72 h after cisplatin treatment.  The mean of at least three experiments </w:t>
      </w:r>
      <w:r w:rsidR="004551EC" w:rsidRPr="000D4F3D">
        <w:rPr>
          <w:sz w:val="24"/>
          <w:szCs w:val="24"/>
          <w:u w:val="single"/>
        </w:rPr>
        <w:t>±</w:t>
      </w:r>
      <w:r w:rsidR="004551EC" w:rsidRPr="000D4F3D">
        <w:rPr>
          <w:sz w:val="24"/>
          <w:szCs w:val="24"/>
        </w:rPr>
        <w:t>SEM, * denotes p&lt; 0.05 by a Student’s t-test.</w:t>
      </w:r>
      <w:r w:rsidR="004551EC" w:rsidRPr="004551EC">
        <w:rPr>
          <w:rFonts w:eastAsia="Calibri"/>
          <w:sz w:val="24"/>
          <w:szCs w:val="24"/>
        </w:rPr>
        <w:t xml:space="preserve"> </w:t>
      </w:r>
      <w:r w:rsidR="004551EC" w:rsidRPr="00E93220">
        <w:rPr>
          <w:rFonts w:eastAsia="Calibri"/>
          <w:sz w:val="24"/>
          <w:szCs w:val="24"/>
        </w:rPr>
        <w:t>(</w:t>
      </w:r>
      <w:r w:rsidR="004551EC" w:rsidRPr="00E93220">
        <w:rPr>
          <w:rFonts w:eastAsia="Calibri"/>
          <w:b/>
          <w:bCs/>
          <w:sz w:val="24"/>
          <w:szCs w:val="24"/>
        </w:rPr>
        <w:t>D)</w:t>
      </w:r>
      <w:r w:rsidR="004551EC">
        <w:rPr>
          <w:rFonts w:eastAsia="Calibri"/>
          <w:b/>
          <w:bCs/>
          <w:sz w:val="24"/>
          <w:szCs w:val="24"/>
        </w:rPr>
        <w:t xml:space="preserve"> </w:t>
      </w:r>
      <w:r w:rsidR="0017786D" w:rsidRPr="00E93220">
        <w:rPr>
          <w:rFonts w:eastAsia="Calibri"/>
          <w:sz w:val="24"/>
          <w:szCs w:val="24"/>
        </w:rPr>
        <w:t xml:space="preserve">Representative images of colony formation assays with control, miR-30a-5p, or anti-30a transfections. </w:t>
      </w:r>
      <w:r w:rsidR="004551EC" w:rsidRPr="00631A5C">
        <w:rPr>
          <w:rFonts w:eastAsia="Calibri"/>
          <w:b/>
          <w:sz w:val="24"/>
          <w:szCs w:val="24"/>
        </w:rPr>
        <w:t>(E)</w:t>
      </w:r>
      <w:proofErr w:type="gramStart"/>
      <w:r w:rsidR="0017786D" w:rsidRPr="00E93220">
        <w:rPr>
          <w:rFonts w:eastAsia="Calibri"/>
          <w:sz w:val="24"/>
          <w:szCs w:val="24"/>
        </w:rPr>
        <w:t>A</w:t>
      </w:r>
      <w:proofErr w:type="gramEnd"/>
      <w:r w:rsidR="0017786D" w:rsidRPr="00E93220">
        <w:rPr>
          <w:rFonts w:eastAsia="Calibri"/>
          <w:sz w:val="24"/>
          <w:szCs w:val="24"/>
        </w:rPr>
        <w:t xml:space="preserve"> UM-SCC-46 subline that stably overexpresses EGFR-GFP fusion protein without a 3’UTR was created to assess compensation for the anti-proliferative activity of miR-30-5p. EGFR protein expression was determined by Western blots. </w:t>
      </w:r>
      <w:r w:rsidR="0017786D" w:rsidRPr="00E93220">
        <w:rPr>
          <w:rFonts w:eastAsia="Calibri"/>
          <w:b/>
          <w:bCs/>
          <w:sz w:val="24"/>
          <w:szCs w:val="24"/>
        </w:rPr>
        <w:t>(</w:t>
      </w:r>
      <w:r w:rsidR="004551EC">
        <w:rPr>
          <w:rFonts w:eastAsia="Calibri"/>
          <w:b/>
          <w:bCs/>
          <w:sz w:val="24"/>
          <w:szCs w:val="24"/>
        </w:rPr>
        <w:t>F</w:t>
      </w:r>
      <w:r w:rsidR="0017786D" w:rsidRPr="00E93220">
        <w:rPr>
          <w:rFonts w:eastAsia="Calibri"/>
          <w:b/>
          <w:bCs/>
          <w:sz w:val="24"/>
          <w:szCs w:val="24"/>
        </w:rPr>
        <w:t>)</w:t>
      </w:r>
      <w:r w:rsidR="00CE51DC" w:rsidRPr="00E93220">
        <w:rPr>
          <w:rFonts w:eastAsia="Calibri"/>
          <w:b/>
          <w:bCs/>
          <w:sz w:val="24"/>
          <w:szCs w:val="24"/>
        </w:rPr>
        <w:t xml:space="preserve"> </w:t>
      </w:r>
      <w:r w:rsidR="0017786D" w:rsidRPr="00E93220">
        <w:rPr>
          <w:rFonts w:eastAsia="Calibri"/>
          <w:sz w:val="24"/>
          <w:szCs w:val="24"/>
        </w:rPr>
        <w:t>Proliferation by XTT assays on day 5 following transfection of a miR-30a-5p mimic. The proliferation rate was statistically significantly higher in the EGFR stable following miR-30-5p transfection. Error bars represent SEM, and (*) denotes p-value &lt; 0.05 by Student’s T-test.</w:t>
      </w:r>
    </w:p>
    <w:p w14:paraId="0AD19556" w14:textId="2AD9121B" w:rsidR="00671FC6" w:rsidRDefault="0035083A" w:rsidP="00E93220">
      <w:pPr>
        <w:spacing w:line="480" w:lineRule="auto"/>
        <w:contextualSpacing/>
        <w:jc w:val="both"/>
        <w:rPr>
          <w:rFonts w:eastAsia="Calibri"/>
          <w:sz w:val="24"/>
          <w:szCs w:val="24"/>
        </w:rPr>
      </w:pPr>
      <w:r w:rsidRPr="0035083A">
        <w:rPr>
          <w:rFonts w:eastAsia="Calibri"/>
          <w:b/>
          <w:bCs/>
          <w:sz w:val="24"/>
          <w:szCs w:val="24"/>
        </w:rPr>
        <w:t>Supplementary</w:t>
      </w:r>
      <w:r>
        <w:rPr>
          <w:rFonts w:eastAsia="Calibri"/>
          <w:b/>
          <w:bCs/>
          <w:sz w:val="24"/>
          <w:szCs w:val="24"/>
        </w:rPr>
        <w:t xml:space="preserve"> </w:t>
      </w:r>
      <w:r w:rsidR="0017786D" w:rsidRPr="00E93220">
        <w:rPr>
          <w:rFonts w:eastAsia="Calibri"/>
          <w:b/>
          <w:bCs/>
          <w:sz w:val="24"/>
          <w:szCs w:val="24"/>
        </w:rPr>
        <w:t>Fig</w:t>
      </w:r>
      <w:r>
        <w:rPr>
          <w:rFonts w:eastAsia="Calibri"/>
          <w:b/>
          <w:bCs/>
          <w:sz w:val="24"/>
          <w:szCs w:val="24"/>
        </w:rPr>
        <w:t>.</w:t>
      </w:r>
      <w:r w:rsidR="0017786D" w:rsidRPr="00E93220">
        <w:rPr>
          <w:rFonts w:eastAsia="Calibri"/>
          <w:b/>
          <w:bCs/>
          <w:sz w:val="24"/>
          <w:szCs w:val="24"/>
        </w:rPr>
        <w:t xml:space="preserve"> </w:t>
      </w:r>
      <w:r w:rsidR="003A2069" w:rsidRPr="00E93220">
        <w:rPr>
          <w:rFonts w:eastAsia="Calibri"/>
          <w:b/>
          <w:bCs/>
          <w:sz w:val="24"/>
          <w:szCs w:val="24"/>
        </w:rPr>
        <w:t>S</w:t>
      </w:r>
      <w:r w:rsidR="00E31F63">
        <w:rPr>
          <w:rFonts w:eastAsia="Calibri"/>
          <w:b/>
          <w:bCs/>
          <w:sz w:val="24"/>
          <w:szCs w:val="24"/>
        </w:rPr>
        <w:t>6</w:t>
      </w:r>
      <w:r>
        <w:rPr>
          <w:rFonts w:eastAsia="Calibri"/>
          <w:b/>
          <w:bCs/>
          <w:sz w:val="24"/>
          <w:szCs w:val="24"/>
        </w:rPr>
        <w:t>.</w:t>
      </w:r>
      <w:r w:rsidR="0017786D" w:rsidRPr="00E93220">
        <w:rPr>
          <w:rFonts w:eastAsia="Calibri"/>
          <w:b/>
          <w:bCs/>
          <w:sz w:val="24"/>
          <w:szCs w:val="24"/>
        </w:rPr>
        <w:t xml:space="preserve"> </w:t>
      </w:r>
      <w:r w:rsidR="0017786D" w:rsidRPr="00E93220">
        <w:rPr>
          <w:rFonts w:eastAsia="Calibri"/>
          <w:b/>
          <w:bCs/>
          <w:i/>
          <w:iCs/>
          <w:sz w:val="24"/>
          <w:szCs w:val="24"/>
        </w:rPr>
        <w:t>In vivo</w:t>
      </w:r>
      <w:r w:rsidR="0017786D" w:rsidRPr="00E93220">
        <w:rPr>
          <w:rFonts w:eastAsia="Calibri"/>
          <w:b/>
          <w:bCs/>
          <w:sz w:val="24"/>
          <w:szCs w:val="24"/>
        </w:rPr>
        <w:t xml:space="preserve"> knockdown of miR-30-5p target genes with a therapeutic mimic. </w:t>
      </w:r>
      <w:r w:rsidR="0017786D" w:rsidRPr="00E93220">
        <w:rPr>
          <w:rFonts w:eastAsia="Calibri"/>
          <w:sz w:val="24"/>
          <w:szCs w:val="24"/>
        </w:rPr>
        <w:t>Mice were</w:t>
      </w:r>
      <w:r>
        <w:rPr>
          <w:rFonts w:eastAsia="Calibri"/>
          <w:sz w:val="24"/>
          <w:szCs w:val="24"/>
        </w:rPr>
        <w:t xml:space="preserve"> </w:t>
      </w:r>
      <w:r w:rsidR="0017786D" w:rsidRPr="00E93220">
        <w:rPr>
          <w:rFonts w:eastAsia="Calibri"/>
          <w:sz w:val="24"/>
          <w:szCs w:val="24"/>
        </w:rPr>
        <w:t>implanted with UM-SCC-46 xenograft tumors. When tumors reached ~150 mm</w:t>
      </w:r>
      <w:r w:rsidR="0017786D" w:rsidRPr="00E93220">
        <w:rPr>
          <w:rFonts w:eastAsia="Calibri"/>
          <w:sz w:val="24"/>
          <w:szCs w:val="24"/>
          <w:vertAlign w:val="superscript"/>
        </w:rPr>
        <w:t>3</w:t>
      </w:r>
      <w:r w:rsidR="0017786D" w:rsidRPr="00E93220">
        <w:rPr>
          <w:rFonts w:eastAsia="Calibri"/>
          <w:sz w:val="24"/>
          <w:szCs w:val="24"/>
        </w:rPr>
        <w:t xml:space="preserve">, mice were randomized and injected IV with four doses of 60 µg of control </w:t>
      </w:r>
      <w:proofErr w:type="spellStart"/>
      <w:r w:rsidR="0017786D" w:rsidRPr="00E93220">
        <w:rPr>
          <w:rFonts w:eastAsia="Calibri"/>
          <w:sz w:val="24"/>
          <w:szCs w:val="24"/>
        </w:rPr>
        <w:t>miR-ScL</w:t>
      </w:r>
      <w:proofErr w:type="spellEnd"/>
      <w:r w:rsidR="0017786D" w:rsidRPr="00E93220">
        <w:rPr>
          <w:rFonts w:eastAsia="Calibri"/>
          <w:sz w:val="24"/>
          <w:szCs w:val="24"/>
        </w:rPr>
        <w:t xml:space="preserve"> or miR-30a-ScL on MWF schedule. On day 19, 36 </w:t>
      </w:r>
      <w:proofErr w:type="spellStart"/>
      <w:r w:rsidR="0017786D" w:rsidRPr="00E93220">
        <w:rPr>
          <w:rFonts w:eastAsia="Calibri"/>
          <w:sz w:val="24"/>
          <w:szCs w:val="24"/>
        </w:rPr>
        <w:t>hrs</w:t>
      </w:r>
      <w:proofErr w:type="spellEnd"/>
      <w:r w:rsidR="0017786D" w:rsidRPr="00E93220">
        <w:rPr>
          <w:rFonts w:eastAsia="Calibri"/>
          <w:sz w:val="24"/>
          <w:szCs w:val="24"/>
        </w:rPr>
        <w:t xml:space="preserve"> after the fourth treatment, mice were </w:t>
      </w:r>
      <w:proofErr w:type="gramStart"/>
      <w:r w:rsidR="0017786D" w:rsidRPr="00E93220">
        <w:rPr>
          <w:rFonts w:eastAsia="Calibri"/>
          <w:sz w:val="24"/>
          <w:szCs w:val="24"/>
        </w:rPr>
        <w:t>sacrificed</w:t>
      </w:r>
      <w:proofErr w:type="gramEnd"/>
      <w:r w:rsidR="0017786D" w:rsidRPr="00E93220">
        <w:rPr>
          <w:rFonts w:eastAsia="Calibri"/>
          <w:sz w:val="24"/>
          <w:szCs w:val="24"/>
        </w:rPr>
        <w:t xml:space="preserve"> and tumor tissues were collected for total RNA extraction. </w:t>
      </w:r>
      <w:r w:rsidR="0017786D" w:rsidRPr="00E93220">
        <w:rPr>
          <w:rFonts w:eastAsia="Calibri"/>
          <w:b/>
          <w:bCs/>
          <w:sz w:val="24"/>
          <w:szCs w:val="24"/>
        </w:rPr>
        <w:t>(A)</w:t>
      </w:r>
      <w:r w:rsidR="0017786D" w:rsidRPr="00E93220">
        <w:rPr>
          <w:rFonts w:eastAsia="Calibri"/>
          <w:sz w:val="24"/>
          <w:szCs w:val="24"/>
        </w:rPr>
        <w:t xml:space="preserve"> Gene expression of miR-30a-5p targets by real-time PCR. Data represents the mean of 3 animals, error bars represent SEM, and (*) denotes p-value</w:t>
      </w:r>
      <w:r>
        <w:rPr>
          <w:rFonts w:eastAsia="Calibri"/>
          <w:sz w:val="24"/>
          <w:szCs w:val="24"/>
        </w:rPr>
        <w:t xml:space="preserve"> </w:t>
      </w:r>
      <w:r w:rsidR="0017786D" w:rsidRPr="00E93220">
        <w:rPr>
          <w:rFonts w:eastAsia="Calibri"/>
          <w:sz w:val="24"/>
          <w:szCs w:val="24"/>
        </w:rPr>
        <w:t xml:space="preserve">&lt; 0.05 by student’s t-test. </w:t>
      </w:r>
      <w:r w:rsidR="0017786D" w:rsidRPr="00E93220">
        <w:rPr>
          <w:rFonts w:eastAsia="Calibri"/>
          <w:b/>
          <w:bCs/>
          <w:sz w:val="24"/>
          <w:szCs w:val="24"/>
        </w:rPr>
        <w:t>(B</w:t>
      </w:r>
      <w:r w:rsidR="00671FC6">
        <w:rPr>
          <w:rFonts w:eastAsia="Calibri"/>
          <w:b/>
          <w:bCs/>
          <w:sz w:val="24"/>
          <w:szCs w:val="24"/>
        </w:rPr>
        <w:t>, C</w:t>
      </w:r>
      <w:r w:rsidR="0017786D" w:rsidRPr="00E93220">
        <w:rPr>
          <w:rFonts w:eastAsia="Calibri"/>
          <w:b/>
          <w:bCs/>
          <w:sz w:val="24"/>
          <w:szCs w:val="24"/>
        </w:rPr>
        <w:t>)</w:t>
      </w:r>
      <w:r w:rsidR="00CE51DC" w:rsidRPr="00E93220">
        <w:rPr>
          <w:rFonts w:eastAsia="Calibri"/>
          <w:sz w:val="24"/>
          <w:szCs w:val="24"/>
        </w:rPr>
        <w:t xml:space="preserve"> Representative images and quantification of UM-SCC-46 xenograft tumors stained for Ki-67 by immunohistochemistry. Values represent mean intensity </w:t>
      </w:r>
      <w:r w:rsidR="00CE51DC" w:rsidRPr="00E93220">
        <w:rPr>
          <w:sz w:val="24"/>
          <w:szCs w:val="24"/>
        </w:rPr>
        <w:t xml:space="preserve">quantified from six independent 20x fields and error bars represent </w:t>
      </w:r>
      <w:r w:rsidR="00CE51DC" w:rsidRPr="00E93220">
        <w:rPr>
          <w:sz w:val="24"/>
          <w:szCs w:val="24"/>
          <w:u w:val="single"/>
        </w:rPr>
        <w:t>±</w:t>
      </w:r>
      <w:r w:rsidR="00CE51DC" w:rsidRPr="00E93220">
        <w:rPr>
          <w:sz w:val="24"/>
          <w:szCs w:val="24"/>
        </w:rPr>
        <w:t xml:space="preserve">SEM, (*) denotes p&lt; 0.05 by a student’s t-test. </w:t>
      </w:r>
    </w:p>
    <w:p w14:paraId="541D3026" w14:textId="6498513A" w:rsidR="00420D16" w:rsidRDefault="00671FC6" w:rsidP="00420D16">
      <w:pPr>
        <w:spacing w:line="480" w:lineRule="auto"/>
        <w:contextualSpacing/>
        <w:jc w:val="both"/>
        <w:rPr>
          <w:sz w:val="24"/>
          <w:szCs w:val="24"/>
        </w:rPr>
      </w:pPr>
      <w:r w:rsidRPr="008370E4">
        <w:rPr>
          <w:rFonts w:eastAsia="Calibri"/>
          <w:b/>
          <w:sz w:val="24"/>
          <w:szCs w:val="24"/>
        </w:rPr>
        <w:t>Supplementary Figure S</w:t>
      </w:r>
      <w:r w:rsidR="00E31F63">
        <w:rPr>
          <w:rFonts w:eastAsia="Calibri"/>
          <w:b/>
          <w:sz w:val="24"/>
          <w:szCs w:val="24"/>
        </w:rPr>
        <w:t>7</w:t>
      </w:r>
      <w:r>
        <w:rPr>
          <w:rFonts w:eastAsia="Calibri"/>
          <w:sz w:val="24"/>
          <w:szCs w:val="24"/>
        </w:rPr>
        <w:t xml:space="preserve">. </w:t>
      </w:r>
      <w:r w:rsidR="00420D16" w:rsidRPr="000D4F3D">
        <w:rPr>
          <w:b/>
          <w:sz w:val="24"/>
          <w:szCs w:val="24"/>
        </w:rPr>
        <w:t xml:space="preserve">Decreased expression of miR-30a-5p target genes in tumor specimens after treatment by miR-30a-5p nanoparticles </w:t>
      </w:r>
      <w:r w:rsidR="00420D16" w:rsidRPr="000D4F3D">
        <w:rPr>
          <w:b/>
          <w:i/>
          <w:sz w:val="24"/>
          <w:szCs w:val="24"/>
        </w:rPr>
        <w:t>in vivo</w:t>
      </w:r>
      <w:r w:rsidR="00420D16" w:rsidRPr="000D4F3D">
        <w:rPr>
          <w:b/>
          <w:sz w:val="24"/>
          <w:szCs w:val="24"/>
        </w:rPr>
        <w:t xml:space="preserve">. </w:t>
      </w:r>
      <w:r w:rsidR="00420D16" w:rsidRPr="000D4F3D">
        <w:rPr>
          <w:sz w:val="24"/>
          <w:szCs w:val="24"/>
        </w:rPr>
        <w:t xml:space="preserve">Immunofluorescent staining of EGFR and MET were performed in frozen sections harvested from xenograft tumors after control </w:t>
      </w:r>
      <w:proofErr w:type="spellStart"/>
      <w:r w:rsidR="00420D16" w:rsidRPr="000D4F3D">
        <w:rPr>
          <w:sz w:val="24"/>
          <w:szCs w:val="24"/>
        </w:rPr>
        <w:t>miR-scL</w:t>
      </w:r>
      <w:proofErr w:type="spellEnd"/>
      <w:r w:rsidR="00420D16" w:rsidRPr="000D4F3D">
        <w:rPr>
          <w:sz w:val="24"/>
          <w:szCs w:val="24"/>
        </w:rPr>
        <w:t xml:space="preserve"> or miR-30a-scL treatment </w:t>
      </w:r>
      <w:r w:rsidR="00420D16" w:rsidRPr="000D4F3D">
        <w:rPr>
          <w:i/>
          <w:sz w:val="24"/>
          <w:szCs w:val="24"/>
        </w:rPr>
        <w:t>in vivo</w:t>
      </w:r>
      <w:r w:rsidR="00420D16" w:rsidRPr="000D4F3D">
        <w:rPr>
          <w:sz w:val="24"/>
          <w:szCs w:val="24"/>
        </w:rPr>
        <w:t xml:space="preserve">. On day 25, 36 h after the last treatment, tumor tissue was collected for molecular analysis. Representative microscopy images with decreased immunofluorescent staining intensities of EGFR and MET were observed in miR-30a-scL treated </w:t>
      </w:r>
      <w:r w:rsidR="00420D16" w:rsidRPr="000D4F3D">
        <w:rPr>
          <w:b/>
          <w:sz w:val="24"/>
          <w:szCs w:val="24"/>
        </w:rPr>
        <w:t>(A)</w:t>
      </w:r>
      <w:r w:rsidR="00420D16" w:rsidRPr="000D4F3D">
        <w:rPr>
          <w:sz w:val="24"/>
          <w:szCs w:val="24"/>
        </w:rPr>
        <w:t xml:space="preserve"> </w:t>
      </w:r>
      <w:r w:rsidR="00420D16">
        <w:rPr>
          <w:sz w:val="24"/>
          <w:szCs w:val="24"/>
        </w:rPr>
        <w:t xml:space="preserve">UM-SCC-46 and </w:t>
      </w:r>
      <w:r w:rsidR="00420D16" w:rsidRPr="008370E4">
        <w:rPr>
          <w:b/>
          <w:sz w:val="24"/>
          <w:szCs w:val="24"/>
        </w:rPr>
        <w:t>(B)</w:t>
      </w:r>
      <w:r w:rsidR="00420D16">
        <w:rPr>
          <w:sz w:val="24"/>
          <w:szCs w:val="24"/>
        </w:rPr>
        <w:t xml:space="preserve"> UM-SCC-47 </w:t>
      </w:r>
      <w:r w:rsidR="00420D16" w:rsidRPr="000D4F3D">
        <w:rPr>
          <w:sz w:val="24"/>
          <w:szCs w:val="24"/>
        </w:rPr>
        <w:t xml:space="preserve">samples. Scale bars, 20 µm. </w:t>
      </w:r>
      <w:r w:rsidR="00420D16" w:rsidRPr="000D4F3D">
        <w:rPr>
          <w:b/>
          <w:sz w:val="24"/>
          <w:szCs w:val="24"/>
        </w:rPr>
        <w:t>(</w:t>
      </w:r>
      <w:r w:rsidR="00420D16">
        <w:rPr>
          <w:b/>
          <w:sz w:val="24"/>
          <w:szCs w:val="24"/>
        </w:rPr>
        <w:t>C</w:t>
      </w:r>
      <w:r w:rsidR="00420D16" w:rsidRPr="000D4F3D">
        <w:rPr>
          <w:b/>
          <w:sz w:val="24"/>
          <w:szCs w:val="24"/>
        </w:rPr>
        <w:t>)</w:t>
      </w:r>
      <w:r w:rsidR="00420D16" w:rsidRPr="000D4F3D">
        <w:rPr>
          <w:sz w:val="24"/>
          <w:szCs w:val="24"/>
        </w:rPr>
        <w:t xml:space="preserve"> Mean florescence intensity was quantified from six independent 40x fields and error bars </w:t>
      </w:r>
      <w:proofErr w:type="gramStart"/>
      <w:r w:rsidR="00420D16" w:rsidRPr="000D4F3D">
        <w:rPr>
          <w:sz w:val="24"/>
          <w:szCs w:val="24"/>
        </w:rPr>
        <w:t>represent</w:t>
      </w:r>
      <w:r w:rsidR="00420D16" w:rsidRPr="000D4F3D" w:rsidDel="00134A0F">
        <w:rPr>
          <w:sz w:val="24"/>
          <w:szCs w:val="24"/>
        </w:rPr>
        <w:t xml:space="preserve"> </w:t>
      </w:r>
      <w:r w:rsidR="00420D16" w:rsidRPr="000D4F3D">
        <w:rPr>
          <w:sz w:val="24"/>
          <w:szCs w:val="24"/>
        </w:rPr>
        <w:t xml:space="preserve"> </w:t>
      </w:r>
      <w:r w:rsidR="00420D16" w:rsidRPr="000D4F3D">
        <w:rPr>
          <w:sz w:val="24"/>
          <w:szCs w:val="24"/>
          <w:u w:val="single"/>
        </w:rPr>
        <w:t>±</w:t>
      </w:r>
      <w:proofErr w:type="gramEnd"/>
      <w:r w:rsidR="00420D16" w:rsidRPr="000D4F3D">
        <w:rPr>
          <w:sz w:val="24"/>
          <w:szCs w:val="24"/>
        </w:rPr>
        <w:t xml:space="preserve">SEM, (*) denotes p&lt; 0.05 by a student’s t-test. </w:t>
      </w:r>
      <w:r w:rsidR="00420D16" w:rsidRPr="000D4F3D">
        <w:rPr>
          <w:b/>
          <w:sz w:val="24"/>
          <w:szCs w:val="24"/>
        </w:rPr>
        <w:t>(C)</w:t>
      </w:r>
      <w:r w:rsidR="00420D16" w:rsidRPr="000D4F3D">
        <w:rPr>
          <w:sz w:val="24"/>
          <w:szCs w:val="24"/>
        </w:rPr>
        <w:t xml:space="preserve"> </w:t>
      </w:r>
    </w:p>
    <w:p w14:paraId="3C935604" w14:textId="4270F97C" w:rsidR="00420D16" w:rsidRPr="000D4F3D" w:rsidRDefault="008370E4" w:rsidP="00420D16">
      <w:pPr>
        <w:spacing w:line="480" w:lineRule="auto"/>
        <w:contextualSpacing/>
        <w:jc w:val="both"/>
        <w:rPr>
          <w:sz w:val="24"/>
          <w:szCs w:val="24"/>
        </w:rPr>
      </w:pPr>
      <w:r w:rsidRPr="008370E4">
        <w:rPr>
          <w:b/>
          <w:sz w:val="24"/>
          <w:szCs w:val="24"/>
        </w:rPr>
        <w:t>Supplementary Figure S</w:t>
      </w:r>
      <w:r w:rsidR="00E31F63">
        <w:rPr>
          <w:b/>
          <w:sz w:val="24"/>
          <w:szCs w:val="24"/>
        </w:rPr>
        <w:t>8</w:t>
      </w:r>
      <w:r>
        <w:rPr>
          <w:sz w:val="24"/>
          <w:szCs w:val="24"/>
        </w:rPr>
        <w:t xml:space="preserve">. </w:t>
      </w:r>
      <w:r w:rsidR="00420D16" w:rsidRPr="008370E4">
        <w:rPr>
          <w:b/>
          <w:sz w:val="24"/>
          <w:szCs w:val="24"/>
        </w:rPr>
        <w:t>Ingenuity Pathway Analysis networks constructed miR-30-5p target mRNAs with reported interactions and function in relation to proliferation and migration</w:t>
      </w:r>
      <w:r w:rsidR="00420D16" w:rsidRPr="000D4F3D">
        <w:rPr>
          <w:sz w:val="24"/>
          <w:szCs w:val="24"/>
        </w:rPr>
        <w:t>. Molecules denoted in red are validated miR-30a-5p target genes with inverse relationships to miR-30a-5p expression in HNSCC tumors. Molecules denoted in blue are direct binding or signaling intermediaries</w:t>
      </w:r>
      <w:r w:rsidR="00420D16">
        <w:rPr>
          <w:sz w:val="24"/>
          <w:szCs w:val="24"/>
        </w:rPr>
        <w:t>.</w:t>
      </w:r>
    </w:p>
    <w:p w14:paraId="76A19929" w14:textId="031FD49B" w:rsidR="00B625D1" w:rsidRPr="00E93220" w:rsidRDefault="0035083A" w:rsidP="00E93220">
      <w:pPr>
        <w:spacing w:line="480" w:lineRule="auto"/>
        <w:contextualSpacing/>
        <w:jc w:val="both"/>
        <w:rPr>
          <w:sz w:val="24"/>
          <w:szCs w:val="24"/>
        </w:rPr>
      </w:pPr>
      <w:r w:rsidRPr="0035083A">
        <w:rPr>
          <w:rFonts w:eastAsia="Calibri"/>
          <w:b/>
          <w:bCs/>
          <w:sz w:val="24"/>
          <w:szCs w:val="24"/>
        </w:rPr>
        <w:t>Supplementary</w:t>
      </w:r>
      <w:r>
        <w:rPr>
          <w:rFonts w:eastAsia="Calibri"/>
          <w:b/>
          <w:bCs/>
          <w:sz w:val="24"/>
          <w:szCs w:val="24"/>
        </w:rPr>
        <w:t xml:space="preserve"> </w:t>
      </w:r>
      <w:r w:rsidR="007C5FF2" w:rsidRPr="00E93220">
        <w:rPr>
          <w:rFonts w:eastAsia="Calibri"/>
          <w:b/>
          <w:bCs/>
          <w:sz w:val="24"/>
          <w:szCs w:val="24"/>
        </w:rPr>
        <w:t>Fig</w:t>
      </w:r>
      <w:r>
        <w:rPr>
          <w:rFonts w:eastAsia="Calibri"/>
          <w:b/>
          <w:bCs/>
          <w:sz w:val="24"/>
          <w:szCs w:val="24"/>
        </w:rPr>
        <w:t>.</w:t>
      </w:r>
      <w:r w:rsidR="007C5FF2" w:rsidRPr="00E93220">
        <w:rPr>
          <w:rFonts w:eastAsia="Calibri"/>
          <w:b/>
          <w:bCs/>
          <w:sz w:val="24"/>
          <w:szCs w:val="24"/>
        </w:rPr>
        <w:t xml:space="preserve"> </w:t>
      </w:r>
      <w:r w:rsidR="008370E4" w:rsidRPr="00E93220">
        <w:rPr>
          <w:rFonts w:eastAsia="Calibri"/>
          <w:b/>
          <w:bCs/>
          <w:sz w:val="24"/>
          <w:szCs w:val="24"/>
        </w:rPr>
        <w:t>S</w:t>
      </w:r>
      <w:r w:rsidR="00E31F63">
        <w:rPr>
          <w:rFonts w:eastAsia="Calibri"/>
          <w:b/>
          <w:bCs/>
          <w:sz w:val="24"/>
          <w:szCs w:val="24"/>
        </w:rPr>
        <w:t>9</w:t>
      </w:r>
      <w:r>
        <w:rPr>
          <w:rFonts w:eastAsia="Calibri"/>
          <w:b/>
          <w:bCs/>
          <w:sz w:val="24"/>
          <w:szCs w:val="24"/>
        </w:rPr>
        <w:t>.</w:t>
      </w:r>
      <w:r w:rsidR="00B625D1" w:rsidRPr="00E93220">
        <w:rPr>
          <w:rFonts w:eastAsia="Calibri"/>
          <w:b/>
          <w:bCs/>
          <w:sz w:val="24"/>
          <w:szCs w:val="24"/>
        </w:rPr>
        <w:t xml:space="preserve"> Analysis of miR-30a/e-5p expression in relation to survival.</w:t>
      </w:r>
      <w:r>
        <w:rPr>
          <w:rFonts w:eastAsia="Calibri"/>
          <w:b/>
          <w:bCs/>
          <w:sz w:val="24"/>
          <w:szCs w:val="24"/>
        </w:rPr>
        <w:t xml:space="preserve"> </w:t>
      </w:r>
      <w:bookmarkStart w:id="18" w:name="page5"/>
      <w:bookmarkEnd w:id="18"/>
      <w:r w:rsidR="00B625D1" w:rsidRPr="00E93220">
        <w:rPr>
          <w:sz w:val="24"/>
          <w:szCs w:val="24"/>
        </w:rPr>
        <w:t xml:space="preserve">Kaplan-Meier plots and log rank test p-values comparing overall survival. </w:t>
      </w:r>
      <w:r w:rsidR="00B625D1" w:rsidRPr="00E93220">
        <w:rPr>
          <w:b/>
          <w:sz w:val="24"/>
          <w:szCs w:val="24"/>
        </w:rPr>
        <w:t>(A)</w:t>
      </w:r>
      <w:r w:rsidR="00B625D1" w:rsidRPr="00E93220">
        <w:rPr>
          <w:sz w:val="24"/>
          <w:szCs w:val="24"/>
        </w:rPr>
        <w:t xml:space="preserve"> for miR-30a-5p expression segregated into high and low by median expression from the TCGA dataset. </w:t>
      </w:r>
      <w:r w:rsidR="00B625D1" w:rsidRPr="00E93220">
        <w:rPr>
          <w:b/>
          <w:sz w:val="24"/>
          <w:szCs w:val="24"/>
        </w:rPr>
        <w:t>(B)</w:t>
      </w:r>
      <w:r w:rsidR="00B625D1" w:rsidRPr="00E93220">
        <w:rPr>
          <w:sz w:val="24"/>
          <w:szCs w:val="24"/>
        </w:rPr>
        <w:t xml:space="preserve"> </w:t>
      </w:r>
      <w:proofErr w:type="gramStart"/>
      <w:r w:rsidR="00B625D1" w:rsidRPr="00E93220">
        <w:rPr>
          <w:sz w:val="24"/>
          <w:szCs w:val="24"/>
        </w:rPr>
        <w:t>for  miR</w:t>
      </w:r>
      <w:proofErr w:type="gramEnd"/>
      <w:r w:rsidR="00B625D1" w:rsidRPr="00E93220">
        <w:rPr>
          <w:sz w:val="24"/>
          <w:szCs w:val="24"/>
        </w:rPr>
        <w:t xml:space="preserve">-30e-5p. Left, expression segregated into high and low by median expression; middle, copy number deletion of MIR30E gene locus versus non-deletion; right, median low vs high miR-30e-5p expression in patients with oropharynx cancer from the TCGA dataset.  </w:t>
      </w:r>
      <w:r w:rsidR="00B625D1" w:rsidRPr="00E93220">
        <w:rPr>
          <w:b/>
          <w:sz w:val="24"/>
          <w:szCs w:val="24"/>
        </w:rPr>
        <w:t>(C)</w:t>
      </w:r>
      <w:r w:rsidR="00B625D1" w:rsidRPr="00E93220">
        <w:rPr>
          <w:sz w:val="24"/>
          <w:szCs w:val="24"/>
        </w:rPr>
        <w:t xml:space="preserve"> Median low vs high miR-30e-5p expression in patients with oropharynx cancer from the Einstein dataset.</w:t>
      </w:r>
    </w:p>
    <w:p w14:paraId="307DA69E" w14:textId="77777777" w:rsidR="00357220" w:rsidRPr="00E93220" w:rsidRDefault="00357220" w:rsidP="00E93220">
      <w:pPr>
        <w:spacing w:line="480" w:lineRule="auto"/>
        <w:contextualSpacing/>
        <w:jc w:val="both"/>
        <w:rPr>
          <w:rFonts w:eastAsia="Calibri"/>
          <w:b/>
          <w:bCs/>
          <w:sz w:val="24"/>
          <w:szCs w:val="24"/>
        </w:rPr>
      </w:pPr>
      <w:r w:rsidRPr="00E93220">
        <w:rPr>
          <w:rFonts w:eastAsia="Calibri"/>
          <w:b/>
          <w:bCs/>
          <w:sz w:val="24"/>
          <w:szCs w:val="24"/>
        </w:rPr>
        <w:br w:type="page"/>
      </w:r>
    </w:p>
    <w:p w14:paraId="595F4DEE" w14:textId="77777777" w:rsidR="0068431A" w:rsidRPr="00E93220" w:rsidRDefault="00C12EB5" w:rsidP="00AA1B02">
      <w:pPr>
        <w:spacing w:line="480" w:lineRule="auto"/>
        <w:contextualSpacing/>
        <w:jc w:val="both"/>
        <w:rPr>
          <w:b/>
          <w:sz w:val="24"/>
          <w:szCs w:val="24"/>
          <w:lang w:eastAsia="ja-JP"/>
        </w:rPr>
      </w:pPr>
      <w:r w:rsidRPr="00C12EB5">
        <w:rPr>
          <w:b/>
          <w:sz w:val="24"/>
          <w:szCs w:val="24"/>
          <w:lang w:eastAsia="ja-JP"/>
        </w:rPr>
        <w:t>Supplementary</w:t>
      </w:r>
      <w:r>
        <w:rPr>
          <w:b/>
          <w:sz w:val="24"/>
          <w:szCs w:val="24"/>
          <w:lang w:eastAsia="ja-JP"/>
        </w:rPr>
        <w:t xml:space="preserve"> </w:t>
      </w:r>
      <w:r w:rsidR="0068431A" w:rsidRPr="00E93220">
        <w:rPr>
          <w:b/>
          <w:sz w:val="24"/>
          <w:szCs w:val="24"/>
          <w:lang w:eastAsia="ja-JP"/>
        </w:rPr>
        <w:t>Table S2. Tumor, treatment, and outcome characteristics of human HNSCC specimens</w:t>
      </w:r>
      <w:r>
        <w:rPr>
          <w:b/>
          <w:sz w:val="24"/>
          <w:szCs w:val="24"/>
          <w:lang w:eastAsia="ja-JP"/>
        </w:rPr>
        <w:t>.</w:t>
      </w:r>
    </w:p>
    <w:p w14:paraId="383D8565" w14:textId="77777777" w:rsidR="0068431A" w:rsidRPr="0068431A" w:rsidRDefault="0068431A" w:rsidP="00AA1B02">
      <w:pPr>
        <w:rPr>
          <w:rFonts w:ascii="Times" w:hAnsi="Times"/>
          <w:b/>
          <w:sz w:val="20"/>
          <w:szCs w:val="20"/>
          <w:lang w:eastAsia="ja-JP"/>
        </w:rPr>
      </w:pPr>
      <w:r w:rsidRPr="0068431A">
        <w:rPr>
          <w:rFonts w:ascii="Times" w:hAnsi="Times"/>
          <w:b/>
          <w:sz w:val="20"/>
          <w:szCs w:val="20"/>
          <w:lang w:eastAsia="ja-JP"/>
        </w:rPr>
        <w:t>__________________________________________________________________________________________________________________</w:t>
      </w:r>
    </w:p>
    <w:p w14:paraId="2B3336AE" w14:textId="77777777" w:rsidR="0068431A" w:rsidRPr="0068431A" w:rsidRDefault="0068431A" w:rsidP="0068431A">
      <w:pPr>
        <w:rPr>
          <w:rFonts w:ascii="Times" w:hAnsi="Times"/>
          <w:b/>
          <w:sz w:val="20"/>
          <w:szCs w:val="20"/>
          <w:lang w:eastAsia="ja-JP"/>
        </w:rPr>
      </w:pPr>
      <w:r w:rsidRPr="0068431A">
        <w:rPr>
          <w:rFonts w:ascii="Times" w:hAnsi="Times"/>
          <w:b/>
          <w:sz w:val="20"/>
          <w:szCs w:val="20"/>
          <w:lang w:eastAsia="ja-JP"/>
        </w:rPr>
        <w:t xml:space="preserve">Specimens        Gender </w:t>
      </w:r>
      <w:r w:rsidRPr="0068431A">
        <w:rPr>
          <w:rFonts w:ascii="Times" w:hAnsi="Times"/>
          <w:b/>
          <w:sz w:val="20"/>
          <w:szCs w:val="20"/>
          <w:lang w:eastAsia="ja-JP"/>
        </w:rPr>
        <w:tab/>
        <w:t>Age</w:t>
      </w:r>
      <w:r w:rsidRPr="0068431A">
        <w:rPr>
          <w:rFonts w:ascii="Times" w:hAnsi="Times"/>
          <w:b/>
          <w:sz w:val="20"/>
          <w:szCs w:val="20"/>
          <w:lang w:eastAsia="ja-JP"/>
        </w:rPr>
        <w:tab/>
        <w:t xml:space="preserve">Primary </w:t>
      </w:r>
      <w:proofErr w:type="gramStart"/>
      <w:r w:rsidRPr="0068431A">
        <w:rPr>
          <w:rFonts w:ascii="Times" w:hAnsi="Times"/>
          <w:b/>
          <w:sz w:val="20"/>
          <w:szCs w:val="20"/>
          <w:lang w:eastAsia="ja-JP"/>
        </w:rPr>
        <w:t>sites</w:t>
      </w:r>
      <w:proofErr w:type="gramEnd"/>
      <w:r w:rsidRPr="0068431A">
        <w:rPr>
          <w:rFonts w:ascii="Times" w:hAnsi="Times"/>
          <w:b/>
          <w:sz w:val="20"/>
          <w:szCs w:val="20"/>
          <w:lang w:eastAsia="ja-JP"/>
        </w:rPr>
        <w:tab/>
      </w:r>
      <w:r w:rsidRPr="0068431A">
        <w:rPr>
          <w:rFonts w:ascii="Times" w:hAnsi="Times"/>
          <w:b/>
          <w:sz w:val="20"/>
          <w:szCs w:val="20"/>
          <w:lang w:eastAsia="ja-JP"/>
        </w:rPr>
        <w:tab/>
        <w:t>Stage/TNM</w:t>
      </w:r>
      <w:r w:rsidRPr="0068431A">
        <w:rPr>
          <w:rFonts w:ascii="Times" w:hAnsi="Times"/>
          <w:b/>
          <w:sz w:val="20"/>
          <w:szCs w:val="20"/>
          <w:lang w:eastAsia="ja-JP"/>
        </w:rPr>
        <w:tab/>
        <w:t>Differentiation</w:t>
      </w:r>
      <w:r w:rsidRPr="0068431A">
        <w:rPr>
          <w:rFonts w:ascii="Times" w:hAnsi="Times"/>
          <w:b/>
          <w:sz w:val="20"/>
          <w:szCs w:val="20"/>
          <w:lang w:eastAsia="ja-JP"/>
        </w:rPr>
        <w:tab/>
        <w:t>Tobacco/pack</w:t>
      </w:r>
      <w:r w:rsidRPr="0068431A">
        <w:rPr>
          <w:rFonts w:ascii="Times" w:hAnsi="Times"/>
          <w:b/>
          <w:sz w:val="20"/>
          <w:szCs w:val="20"/>
          <w:lang w:eastAsia="ja-JP"/>
        </w:rPr>
        <w:tab/>
        <w:t>Alcohol/Quit</w:t>
      </w:r>
      <w:r w:rsidRPr="0068431A">
        <w:rPr>
          <w:rFonts w:ascii="Times" w:hAnsi="Times"/>
          <w:b/>
          <w:sz w:val="20"/>
          <w:szCs w:val="20"/>
          <w:lang w:eastAsia="ja-JP"/>
        </w:rPr>
        <w:tab/>
      </w:r>
    </w:p>
    <w:p w14:paraId="66C57385" w14:textId="77777777" w:rsidR="0068431A" w:rsidRPr="00C466EC" w:rsidRDefault="0068431A" w:rsidP="0068431A">
      <w:pPr>
        <w:rPr>
          <w:rFonts w:ascii="Times" w:hAnsi="Times"/>
          <w:sz w:val="20"/>
          <w:szCs w:val="20"/>
          <w:lang w:val="pt-BR" w:eastAsia="ja-JP"/>
        </w:rPr>
      </w:pPr>
      <w:r w:rsidRPr="00C466EC">
        <w:rPr>
          <w:rFonts w:ascii="Times" w:hAnsi="Times"/>
          <w:sz w:val="20"/>
          <w:szCs w:val="20"/>
          <w:lang w:val="pt-BR" w:eastAsia="ja-JP"/>
        </w:rPr>
        <w:t>----------------------------------------------------------------------------------------------------------------------------------------------------------------------------</w:t>
      </w:r>
      <w:r w:rsidRPr="00C466EC">
        <w:rPr>
          <w:rFonts w:ascii="Times" w:hAnsi="Times"/>
          <w:sz w:val="20"/>
          <w:szCs w:val="20"/>
          <w:lang w:val="pt-BR" w:eastAsia="ja-JP"/>
        </w:rPr>
        <w:tab/>
      </w:r>
    </w:p>
    <w:p w14:paraId="3FEDAC01" w14:textId="77777777" w:rsidR="0068431A" w:rsidRPr="00C466EC" w:rsidRDefault="0068431A" w:rsidP="0068431A">
      <w:pPr>
        <w:rPr>
          <w:rFonts w:ascii="Times" w:hAnsi="Times"/>
          <w:lang w:val="pt-BR" w:eastAsia="ja-JP"/>
        </w:rPr>
      </w:pPr>
      <w:r w:rsidRPr="00C466EC">
        <w:rPr>
          <w:rFonts w:ascii="Times" w:hAnsi="Times"/>
          <w:lang w:val="pt-BR" w:eastAsia="ja-JP"/>
        </w:rPr>
        <w:t>UMSC 2900</w:t>
      </w:r>
      <w:r w:rsidRPr="00C466EC">
        <w:rPr>
          <w:rFonts w:ascii="Times" w:hAnsi="Times"/>
          <w:lang w:val="pt-BR" w:eastAsia="ja-JP"/>
        </w:rPr>
        <w:tab/>
        <w:t>M</w:t>
      </w:r>
      <w:r w:rsidRPr="00C466EC">
        <w:rPr>
          <w:rFonts w:ascii="Times" w:hAnsi="Times"/>
          <w:lang w:val="pt-BR" w:eastAsia="ja-JP"/>
        </w:rPr>
        <w:tab/>
        <w:t>57</w:t>
      </w:r>
      <w:r w:rsidRPr="00C466EC">
        <w:rPr>
          <w:rFonts w:ascii="Times" w:hAnsi="Times"/>
          <w:lang w:val="pt-BR" w:eastAsia="ja-JP"/>
        </w:rPr>
        <w:tab/>
        <w:t>Lateral Tongue</w:t>
      </w:r>
      <w:r w:rsidRPr="00C466EC">
        <w:rPr>
          <w:rFonts w:ascii="Times" w:hAnsi="Times"/>
          <w:lang w:val="pt-BR" w:eastAsia="ja-JP"/>
        </w:rPr>
        <w:tab/>
      </w:r>
      <w:r w:rsidRPr="00C466EC">
        <w:rPr>
          <w:rFonts w:ascii="Times" w:hAnsi="Times"/>
          <w:lang w:val="pt-BR" w:eastAsia="ja-JP"/>
        </w:rPr>
        <w:tab/>
        <w:t>T2N0M0</w:t>
      </w:r>
      <w:r w:rsidRPr="00C466EC">
        <w:rPr>
          <w:rFonts w:ascii="Times" w:hAnsi="Times"/>
          <w:lang w:val="pt-BR" w:eastAsia="ja-JP"/>
        </w:rPr>
        <w:tab/>
        <w:t>Moderate</w:t>
      </w:r>
      <w:r w:rsidRPr="00C466EC">
        <w:rPr>
          <w:rFonts w:ascii="Times" w:hAnsi="Times"/>
          <w:lang w:val="pt-BR" w:eastAsia="ja-JP"/>
        </w:rPr>
        <w:tab/>
        <w:t xml:space="preserve">           NA</w:t>
      </w:r>
      <w:r w:rsidRPr="00C466EC">
        <w:rPr>
          <w:rFonts w:ascii="Times" w:hAnsi="Times"/>
          <w:lang w:val="pt-BR" w:eastAsia="ja-JP"/>
        </w:rPr>
        <w:tab/>
        <w:t xml:space="preserve">         NA</w:t>
      </w:r>
    </w:p>
    <w:p w14:paraId="1BEC716A" w14:textId="77777777" w:rsidR="0068431A" w:rsidRPr="00C466EC" w:rsidRDefault="0068431A" w:rsidP="0068431A">
      <w:pPr>
        <w:rPr>
          <w:rFonts w:ascii="Times" w:hAnsi="Times"/>
          <w:lang w:val="pt-BR" w:eastAsia="ja-JP"/>
        </w:rPr>
      </w:pPr>
      <w:r w:rsidRPr="00C466EC">
        <w:rPr>
          <w:rFonts w:ascii="Times" w:hAnsi="Times"/>
          <w:lang w:val="pt-BR" w:eastAsia="ja-JP"/>
        </w:rPr>
        <w:t>UMSC 3100</w:t>
      </w:r>
      <w:r w:rsidRPr="00C466EC">
        <w:rPr>
          <w:rFonts w:ascii="Times" w:hAnsi="Times"/>
          <w:lang w:val="pt-BR" w:eastAsia="ja-JP"/>
        </w:rPr>
        <w:tab/>
        <w:t>M</w:t>
      </w:r>
      <w:r w:rsidRPr="00C466EC">
        <w:rPr>
          <w:rFonts w:ascii="Times" w:hAnsi="Times"/>
          <w:lang w:val="pt-BR" w:eastAsia="ja-JP"/>
        </w:rPr>
        <w:tab/>
        <w:t>75</w:t>
      </w:r>
      <w:r w:rsidRPr="00C466EC">
        <w:rPr>
          <w:rFonts w:ascii="Times" w:hAnsi="Times"/>
          <w:lang w:val="pt-BR" w:eastAsia="ja-JP"/>
        </w:rPr>
        <w:tab/>
        <w:t>Anterior Tongue</w:t>
      </w:r>
      <w:r w:rsidRPr="00C466EC">
        <w:rPr>
          <w:rFonts w:ascii="Times" w:hAnsi="Times"/>
          <w:lang w:val="pt-BR" w:eastAsia="ja-JP"/>
        </w:rPr>
        <w:tab/>
        <w:t>T1N0M0</w:t>
      </w:r>
      <w:r w:rsidRPr="00C466EC">
        <w:rPr>
          <w:rFonts w:ascii="Times" w:hAnsi="Times"/>
          <w:lang w:val="pt-BR" w:eastAsia="ja-JP"/>
        </w:rPr>
        <w:tab/>
        <w:t>Poor</w:t>
      </w:r>
      <w:r w:rsidRPr="00C466EC">
        <w:rPr>
          <w:rFonts w:ascii="Times" w:hAnsi="Times"/>
          <w:lang w:val="pt-BR" w:eastAsia="ja-JP"/>
        </w:rPr>
        <w:tab/>
      </w:r>
      <w:r w:rsidRPr="00C466EC">
        <w:rPr>
          <w:rFonts w:ascii="Times" w:hAnsi="Times"/>
          <w:lang w:val="pt-BR" w:eastAsia="ja-JP"/>
        </w:rPr>
        <w:tab/>
        <w:t xml:space="preserve">           MD</w:t>
      </w:r>
      <w:r w:rsidRPr="00C466EC">
        <w:rPr>
          <w:rFonts w:ascii="Times" w:hAnsi="Times"/>
          <w:lang w:val="pt-BR" w:eastAsia="ja-JP"/>
        </w:rPr>
        <w:tab/>
        <w:t xml:space="preserve">         MD</w:t>
      </w:r>
      <w:r w:rsidRPr="00C466EC">
        <w:rPr>
          <w:rFonts w:ascii="Times" w:hAnsi="Times"/>
          <w:lang w:val="pt-BR" w:eastAsia="ja-JP"/>
        </w:rPr>
        <w:tab/>
      </w:r>
    </w:p>
    <w:p w14:paraId="58C7BB2F" w14:textId="77777777" w:rsidR="0068431A" w:rsidRPr="00C466EC" w:rsidRDefault="0068431A" w:rsidP="0068431A">
      <w:pPr>
        <w:rPr>
          <w:rFonts w:ascii="Times" w:hAnsi="Times"/>
          <w:lang w:val="pt-BR" w:eastAsia="ja-JP"/>
        </w:rPr>
      </w:pPr>
      <w:r w:rsidRPr="00C466EC">
        <w:rPr>
          <w:rFonts w:ascii="Times" w:hAnsi="Times"/>
          <w:lang w:val="pt-BR" w:eastAsia="ja-JP"/>
        </w:rPr>
        <w:t>UMSC 3300</w:t>
      </w:r>
      <w:r w:rsidRPr="00C466EC">
        <w:rPr>
          <w:rFonts w:ascii="Times" w:hAnsi="Times"/>
          <w:lang w:val="pt-BR" w:eastAsia="ja-JP"/>
        </w:rPr>
        <w:tab/>
        <w:t>F</w:t>
      </w:r>
      <w:r w:rsidRPr="00C466EC">
        <w:rPr>
          <w:rFonts w:ascii="Times" w:hAnsi="Times"/>
          <w:lang w:val="pt-BR" w:eastAsia="ja-JP"/>
        </w:rPr>
        <w:tab/>
        <w:t>60</w:t>
      </w:r>
      <w:r w:rsidRPr="00C466EC">
        <w:rPr>
          <w:rFonts w:ascii="Times" w:hAnsi="Times"/>
          <w:lang w:val="pt-BR" w:eastAsia="ja-JP"/>
        </w:rPr>
        <w:tab/>
        <w:t>Lateral Tongue</w:t>
      </w:r>
      <w:r w:rsidRPr="00C466EC">
        <w:rPr>
          <w:rFonts w:ascii="Times" w:hAnsi="Times"/>
          <w:lang w:val="pt-BR" w:eastAsia="ja-JP"/>
        </w:rPr>
        <w:tab/>
      </w:r>
      <w:r w:rsidRPr="00C466EC">
        <w:rPr>
          <w:rFonts w:ascii="Times" w:hAnsi="Times"/>
          <w:lang w:val="pt-BR" w:eastAsia="ja-JP"/>
        </w:rPr>
        <w:tab/>
        <w:t>T3N1M0</w:t>
      </w:r>
      <w:r w:rsidRPr="00C466EC">
        <w:rPr>
          <w:rFonts w:ascii="Times" w:hAnsi="Times"/>
          <w:lang w:val="pt-BR" w:eastAsia="ja-JP"/>
        </w:rPr>
        <w:tab/>
        <w:t>Moderate</w:t>
      </w:r>
      <w:r w:rsidRPr="00C466EC">
        <w:rPr>
          <w:rFonts w:ascii="Times" w:hAnsi="Times"/>
          <w:lang w:val="pt-BR" w:eastAsia="ja-JP"/>
        </w:rPr>
        <w:tab/>
        <w:t xml:space="preserve">            NA</w:t>
      </w:r>
      <w:r w:rsidRPr="00C466EC">
        <w:rPr>
          <w:rFonts w:ascii="Times" w:hAnsi="Times"/>
          <w:lang w:val="pt-BR" w:eastAsia="ja-JP"/>
        </w:rPr>
        <w:tab/>
        <w:t xml:space="preserve">          NA</w:t>
      </w:r>
    </w:p>
    <w:p w14:paraId="0164E573" w14:textId="77777777" w:rsidR="0068431A" w:rsidRPr="00C466EC" w:rsidRDefault="0068431A" w:rsidP="0068431A">
      <w:pPr>
        <w:rPr>
          <w:rFonts w:ascii="Times" w:hAnsi="Times"/>
          <w:lang w:val="pt-BR" w:eastAsia="ja-JP"/>
        </w:rPr>
      </w:pPr>
      <w:r w:rsidRPr="00C466EC">
        <w:rPr>
          <w:rFonts w:ascii="Times" w:hAnsi="Times"/>
          <w:lang w:val="pt-BR" w:eastAsia="ja-JP"/>
        </w:rPr>
        <w:t>UMSC 4300</w:t>
      </w:r>
      <w:r w:rsidRPr="00C466EC">
        <w:rPr>
          <w:rFonts w:ascii="Times" w:hAnsi="Times"/>
          <w:lang w:val="pt-BR" w:eastAsia="ja-JP"/>
        </w:rPr>
        <w:tab/>
        <w:t>F</w:t>
      </w:r>
      <w:r w:rsidRPr="00C466EC">
        <w:rPr>
          <w:rFonts w:ascii="Times" w:hAnsi="Times"/>
          <w:lang w:val="pt-BR" w:eastAsia="ja-JP"/>
        </w:rPr>
        <w:tab/>
        <w:t>47</w:t>
      </w:r>
      <w:r w:rsidRPr="00C466EC">
        <w:rPr>
          <w:rFonts w:ascii="Times" w:hAnsi="Times"/>
          <w:lang w:val="pt-BR" w:eastAsia="ja-JP"/>
        </w:rPr>
        <w:tab/>
        <w:t>Lateral Tongue</w:t>
      </w:r>
      <w:r w:rsidRPr="00C466EC">
        <w:rPr>
          <w:rFonts w:ascii="Times" w:hAnsi="Times"/>
          <w:lang w:val="pt-BR" w:eastAsia="ja-JP"/>
        </w:rPr>
        <w:tab/>
      </w:r>
      <w:r w:rsidRPr="00C466EC">
        <w:rPr>
          <w:rFonts w:ascii="Times" w:hAnsi="Times"/>
          <w:lang w:val="pt-BR" w:eastAsia="ja-JP"/>
        </w:rPr>
        <w:tab/>
        <w:t>T3N0M0</w:t>
      </w:r>
      <w:r w:rsidRPr="00C466EC">
        <w:rPr>
          <w:rFonts w:ascii="Times" w:hAnsi="Times"/>
          <w:lang w:val="pt-BR" w:eastAsia="ja-JP"/>
        </w:rPr>
        <w:tab/>
        <w:t>Well</w:t>
      </w:r>
      <w:r w:rsidRPr="00C466EC">
        <w:rPr>
          <w:rFonts w:ascii="Times" w:hAnsi="Times"/>
          <w:lang w:val="pt-BR" w:eastAsia="ja-JP"/>
        </w:rPr>
        <w:tab/>
      </w:r>
      <w:r w:rsidRPr="00C466EC">
        <w:rPr>
          <w:rFonts w:ascii="Times" w:hAnsi="Times"/>
          <w:lang w:val="pt-BR" w:eastAsia="ja-JP"/>
        </w:rPr>
        <w:tab/>
        <w:t xml:space="preserve">           Y/14</w:t>
      </w:r>
      <w:r w:rsidRPr="00C466EC">
        <w:rPr>
          <w:rFonts w:ascii="Times" w:hAnsi="Times"/>
          <w:lang w:val="pt-BR" w:eastAsia="ja-JP"/>
        </w:rPr>
        <w:tab/>
        <w:t xml:space="preserve">          NA</w:t>
      </w:r>
    </w:p>
    <w:p w14:paraId="16C32B6C" w14:textId="77777777" w:rsidR="0068431A" w:rsidRPr="00C466EC" w:rsidRDefault="0068431A" w:rsidP="0068431A">
      <w:pPr>
        <w:rPr>
          <w:rFonts w:ascii="Times" w:hAnsi="Times"/>
          <w:lang w:val="pt-BR" w:eastAsia="ja-JP"/>
        </w:rPr>
      </w:pPr>
      <w:r w:rsidRPr="00C466EC">
        <w:rPr>
          <w:rFonts w:ascii="Times" w:hAnsi="Times"/>
          <w:lang w:val="pt-BR" w:eastAsia="ja-JP"/>
        </w:rPr>
        <w:t>UMSC 4500</w:t>
      </w:r>
      <w:r w:rsidRPr="00C466EC">
        <w:rPr>
          <w:rFonts w:ascii="Times" w:hAnsi="Times"/>
          <w:lang w:val="pt-BR" w:eastAsia="ja-JP"/>
        </w:rPr>
        <w:tab/>
        <w:t>F</w:t>
      </w:r>
      <w:r w:rsidRPr="00C466EC">
        <w:rPr>
          <w:rFonts w:ascii="Times" w:hAnsi="Times"/>
          <w:lang w:val="pt-BR" w:eastAsia="ja-JP"/>
        </w:rPr>
        <w:tab/>
        <w:t>25</w:t>
      </w:r>
      <w:r w:rsidRPr="00C466EC">
        <w:rPr>
          <w:rFonts w:ascii="Times" w:hAnsi="Times"/>
          <w:lang w:val="pt-BR" w:eastAsia="ja-JP"/>
        </w:rPr>
        <w:tab/>
        <w:t>Anterior Tongue</w:t>
      </w:r>
      <w:r w:rsidRPr="00C466EC">
        <w:rPr>
          <w:rFonts w:ascii="Times" w:hAnsi="Times"/>
          <w:lang w:val="pt-BR" w:eastAsia="ja-JP"/>
        </w:rPr>
        <w:tab/>
        <w:t>T4N2cM0</w:t>
      </w:r>
      <w:r w:rsidRPr="00C466EC">
        <w:rPr>
          <w:rFonts w:ascii="Times" w:hAnsi="Times"/>
          <w:lang w:val="pt-BR" w:eastAsia="ja-JP"/>
        </w:rPr>
        <w:tab/>
        <w:t>Moderate</w:t>
      </w:r>
      <w:r w:rsidRPr="00C466EC">
        <w:rPr>
          <w:rFonts w:ascii="Times" w:hAnsi="Times"/>
          <w:lang w:val="pt-BR" w:eastAsia="ja-JP"/>
        </w:rPr>
        <w:tab/>
      </w:r>
      <w:r w:rsidRPr="00C466EC">
        <w:rPr>
          <w:rFonts w:ascii="Times" w:hAnsi="Times"/>
          <w:lang w:val="pt-BR" w:eastAsia="ja-JP"/>
        </w:rPr>
        <w:tab/>
        <w:t>NA</w:t>
      </w:r>
      <w:r w:rsidRPr="00C466EC">
        <w:rPr>
          <w:rFonts w:ascii="Times" w:hAnsi="Times"/>
          <w:lang w:val="pt-BR" w:eastAsia="ja-JP"/>
        </w:rPr>
        <w:tab/>
        <w:t xml:space="preserve">          NA</w:t>
      </w:r>
    </w:p>
    <w:p w14:paraId="58657C04" w14:textId="77777777" w:rsidR="0068431A" w:rsidRPr="00C466EC" w:rsidRDefault="0068431A" w:rsidP="0068431A">
      <w:pPr>
        <w:rPr>
          <w:rFonts w:ascii="Times" w:hAnsi="Times"/>
          <w:lang w:val="pt-BR" w:eastAsia="ja-JP"/>
        </w:rPr>
      </w:pPr>
      <w:r w:rsidRPr="00C466EC">
        <w:rPr>
          <w:rFonts w:ascii="Times" w:hAnsi="Times"/>
          <w:lang w:val="pt-BR" w:eastAsia="ja-JP"/>
        </w:rPr>
        <w:t>UMSC 8200</w:t>
      </w:r>
      <w:r w:rsidRPr="00C466EC">
        <w:rPr>
          <w:rFonts w:ascii="Times" w:hAnsi="Times"/>
          <w:lang w:val="pt-BR" w:eastAsia="ja-JP"/>
        </w:rPr>
        <w:tab/>
        <w:t>M</w:t>
      </w:r>
      <w:r w:rsidRPr="00C466EC">
        <w:rPr>
          <w:rFonts w:ascii="Times" w:hAnsi="Times"/>
          <w:lang w:val="pt-BR" w:eastAsia="ja-JP"/>
        </w:rPr>
        <w:tab/>
        <w:t>72</w:t>
      </w:r>
      <w:r w:rsidRPr="00C466EC">
        <w:rPr>
          <w:rFonts w:ascii="Times" w:hAnsi="Times"/>
          <w:lang w:val="pt-BR" w:eastAsia="ja-JP"/>
        </w:rPr>
        <w:tab/>
        <w:t>Tonsil</w:t>
      </w:r>
      <w:r w:rsidRPr="00C466EC">
        <w:rPr>
          <w:rFonts w:ascii="Times" w:hAnsi="Times"/>
          <w:lang w:val="pt-BR" w:eastAsia="ja-JP"/>
        </w:rPr>
        <w:tab/>
      </w:r>
      <w:r w:rsidRPr="00C466EC">
        <w:rPr>
          <w:rFonts w:ascii="Times" w:hAnsi="Times"/>
          <w:lang w:val="pt-BR" w:eastAsia="ja-JP"/>
        </w:rPr>
        <w:tab/>
      </w:r>
      <w:r w:rsidRPr="00C466EC">
        <w:rPr>
          <w:rFonts w:ascii="Times" w:hAnsi="Times"/>
          <w:lang w:val="pt-BR" w:eastAsia="ja-JP"/>
        </w:rPr>
        <w:tab/>
        <w:t>T4N0M0</w:t>
      </w:r>
      <w:r w:rsidRPr="00C466EC">
        <w:rPr>
          <w:rFonts w:ascii="Times" w:hAnsi="Times"/>
          <w:lang w:val="pt-BR" w:eastAsia="ja-JP"/>
        </w:rPr>
        <w:tab/>
        <w:t>Well</w:t>
      </w:r>
      <w:r w:rsidRPr="00C466EC">
        <w:rPr>
          <w:rFonts w:ascii="Times" w:hAnsi="Times"/>
          <w:lang w:val="pt-BR" w:eastAsia="ja-JP"/>
        </w:rPr>
        <w:tab/>
      </w:r>
      <w:r w:rsidRPr="00C466EC">
        <w:rPr>
          <w:rFonts w:ascii="Times" w:hAnsi="Times"/>
          <w:lang w:val="pt-BR" w:eastAsia="ja-JP"/>
        </w:rPr>
        <w:tab/>
        <w:t xml:space="preserve">           Y/150</w:t>
      </w:r>
      <w:r w:rsidRPr="00C466EC">
        <w:rPr>
          <w:rFonts w:ascii="Times" w:hAnsi="Times"/>
          <w:lang w:val="pt-BR" w:eastAsia="ja-JP"/>
        </w:rPr>
        <w:tab/>
        <w:t xml:space="preserve">           Y</w:t>
      </w:r>
      <w:r w:rsidRPr="00C466EC">
        <w:rPr>
          <w:rFonts w:ascii="Times" w:hAnsi="Times"/>
          <w:lang w:val="pt-BR" w:eastAsia="ja-JP"/>
        </w:rPr>
        <w:tab/>
      </w:r>
    </w:p>
    <w:p w14:paraId="48538A1E" w14:textId="77777777" w:rsidR="0068431A" w:rsidRPr="00C466EC" w:rsidRDefault="0068431A" w:rsidP="0068431A">
      <w:pPr>
        <w:rPr>
          <w:rFonts w:ascii="Times" w:hAnsi="Times"/>
          <w:lang w:val="pt-BR" w:eastAsia="ja-JP"/>
        </w:rPr>
      </w:pPr>
      <w:r w:rsidRPr="00C466EC">
        <w:rPr>
          <w:rFonts w:ascii="Times" w:hAnsi="Times"/>
          <w:lang w:val="pt-BR" w:eastAsia="ja-JP"/>
        </w:rPr>
        <w:t>UMSC 8400</w:t>
      </w:r>
      <w:r w:rsidRPr="00C466EC">
        <w:rPr>
          <w:rFonts w:ascii="Times" w:hAnsi="Times"/>
          <w:lang w:val="pt-BR" w:eastAsia="ja-JP"/>
        </w:rPr>
        <w:tab/>
        <w:t>M</w:t>
      </w:r>
      <w:r w:rsidRPr="00C466EC">
        <w:rPr>
          <w:rFonts w:ascii="Times" w:hAnsi="Times"/>
          <w:lang w:val="pt-BR" w:eastAsia="ja-JP"/>
        </w:rPr>
        <w:tab/>
        <w:t>44</w:t>
      </w:r>
      <w:r w:rsidRPr="00C466EC">
        <w:rPr>
          <w:rFonts w:ascii="Times" w:hAnsi="Times"/>
          <w:lang w:val="pt-BR" w:eastAsia="ja-JP"/>
        </w:rPr>
        <w:tab/>
        <w:t>Lateral Tongue</w:t>
      </w:r>
      <w:r w:rsidRPr="00C466EC">
        <w:rPr>
          <w:rFonts w:ascii="Times" w:hAnsi="Times"/>
          <w:lang w:val="pt-BR" w:eastAsia="ja-JP"/>
        </w:rPr>
        <w:tab/>
      </w:r>
      <w:r w:rsidRPr="00C466EC">
        <w:rPr>
          <w:rFonts w:ascii="Times" w:hAnsi="Times"/>
          <w:lang w:val="pt-BR" w:eastAsia="ja-JP"/>
        </w:rPr>
        <w:tab/>
        <w:t>T2N0M0</w:t>
      </w:r>
      <w:r w:rsidRPr="00C466EC">
        <w:rPr>
          <w:rFonts w:ascii="Times" w:hAnsi="Times"/>
          <w:lang w:val="pt-BR" w:eastAsia="ja-JP"/>
        </w:rPr>
        <w:tab/>
        <w:t>Well</w:t>
      </w:r>
      <w:r w:rsidRPr="00C466EC">
        <w:rPr>
          <w:rFonts w:ascii="Times" w:hAnsi="Times"/>
          <w:lang w:val="pt-BR" w:eastAsia="ja-JP"/>
        </w:rPr>
        <w:tab/>
      </w:r>
      <w:r w:rsidRPr="00C466EC">
        <w:rPr>
          <w:rFonts w:ascii="Times" w:hAnsi="Times"/>
          <w:lang w:val="pt-BR" w:eastAsia="ja-JP"/>
        </w:rPr>
        <w:tab/>
        <w:t xml:space="preserve">            Y/20</w:t>
      </w:r>
      <w:r w:rsidRPr="00C466EC">
        <w:rPr>
          <w:rFonts w:ascii="Times" w:hAnsi="Times"/>
          <w:lang w:val="pt-BR" w:eastAsia="ja-JP"/>
        </w:rPr>
        <w:tab/>
        <w:t xml:space="preserve">          Y/Y</w:t>
      </w:r>
    </w:p>
    <w:p w14:paraId="47E68F31" w14:textId="77777777" w:rsidR="0068431A" w:rsidRPr="00C466EC" w:rsidRDefault="0068431A" w:rsidP="0068431A">
      <w:pPr>
        <w:rPr>
          <w:rFonts w:ascii="Times" w:hAnsi="Times"/>
          <w:lang w:val="pt-BR" w:eastAsia="ja-JP"/>
        </w:rPr>
      </w:pPr>
      <w:r w:rsidRPr="00C466EC">
        <w:rPr>
          <w:rFonts w:ascii="Times" w:hAnsi="Times"/>
          <w:lang w:val="pt-BR" w:eastAsia="ja-JP"/>
        </w:rPr>
        <w:t>UMSC 8500</w:t>
      </w:r>
      <w:r w:rsidRPr="00C466EC">
        <w:rPr>
          <w:rFonts w:ascii="Times" w:hAnsi="Times"/>
          <w:lang w:val="pt-BR" w:eastAsia="ja-JP"/>
        </w:rPr>
        <w:tab/>
        <w:t>F</w:t>
      </w:r>
      <w:r w:rsidRPr="00C466EC">
        <w:rPr>
          <w:rFonts w:ascii="Times" w:hAnsi="Times"/>
          <w:lang w:val="pt-BR" w:eastAsia="ja-JP"/>
        </w:rPr>
        <w:tab/>
        <w:t>40</w:t>
      </w:r>
      <w:r w:rsidRPr="00C466EC">
        <w:rPr>
          <w:rFonts w:ascii="Times" w:hAnsi="Times"/>
          <w:lang w:val="pt-BR" w:eastAsia="ja-JP"/>
        </w:rPr>
        <w:tab/>
        <w:t>Lateral Tongue</w:t>
      </w:r>
      <w:r w:rsidRPr="00C466EC">
        <w:rPr>
          <w:rFonts w:ascii="Times" w:hAnsi="Times"/>
          <w:lang w:val="pt-BR" w:eastAsia="ja-JP"/>
        </w:rPr>
        <w:tab/>
      </w:r>
      <w:r w:rsidRPr="00C466EC">
        <w:rPr>
          <w:rFonts w:ascii="Times" w:hAnsi="Times"/>
          <w:lang w:val="pt-BR" w:eastAsia="ja-JP"/>
        </w:rPr>
        <w:tab/>
        <w:t>T2N0M0</w:t>
      </w:r>
      <w:r w:rsidRPr="00C466EC">
        <w:rPr>
          <w:rFonts w:ascii="Times" w:hAnsi="Times"/>
          <w:lang w:val="pt-BR" w:eastAsia="ja-JP"/>
        </w:rPr>
        <w:tab/>
        <w:t>Well</w:t>
      </w:r>
      <w:r w:rsidRPr="00C466EC">
        <w:rPr>
          <w:rFonts w:ascii="Times" w:hAnsi="Times"/>
          <w:lang w:val="pt-BR" w:eastAsia="ja-JP"/>
        </w:rPr>
        <w:tab/>
      </w:r>
      <w:r w:rsidRPr="00C466EC">
        <w:rPr>
          <w:rFonts w:ascii="Times" w:hAnsi="Times"/>
          <w:lang w:val="pt-BR" w:eastAsia="ja-JP"/>
        </w:rPr>
        <w:tab/>
      </w:r>
      <w:r w:rsidRPr="00C466EC">
        <w:rPr>
          <w:rFonts w:ascii="Times" w:hAnsi="Times"/>
          <w:lang w:val="pt-BR" w:eastAsia="ja-JP"/>
        </w:rPr>
        <w:tab/>
        <w:t xml:space="preserve"> NA</w:t>
      </w:r>
      <w:r w:rsidRPr="00C466EC">
        <w:rPr>
          <w:rFonts w:ascii="Times" w:hAnsi="Times"/>
          <w:lang w:val="pt-BR" w:eastAsia="ja-JP"/>
        </w:rPr>
        <w:tab/>
        <w:t xml:space="preserve">           NA</w:t>
      </w:r>
    </w:p>
    <w:p w14:paraId="73103306" w14:textId="77777777" w:rsidR="0068431A" w:rsidRPr="0068431A" w:rsidRDefault="0068431A" w:rsidP="0068431A">
      <w:pPr>
        <w:rPr>
          <w:rFonts w:ascii="Times" w:hAnsi="Times"/>
          <w:lang w:eastAsia="ja-JP"/>
        </w:rPr>
      </w:pPr>
      <w:r w:rsidRPr="0068431A">
        <w:rPr>
          <w:rFonts w:ascii="Times" w:hAnsi="Times"/>
          <w:lang w:eastAsia="ja-JP"/>
        </w:rPr>
        <w:t>UMSC 8800</w:t>
      </w:r>
      <w:r w:rsidRPr="0068431A">
        <w:rPr>
          <w:rFonts w:ascii="Times" w:hAnsi="Times"/>
          <w:lang w:eastAsia="ja-JP"/>
        </w:rPr>
        <w:tab/>
        <w:t>M</w:t>
      </w:r>
      <w:r w:rsidRPr="0068431A">
        <w:rPr>
          <w:rFonts w:ascii="Times" w:hAnsi="Times"/>
          <w:lang w:eastAsia="ja-JP"/>
        </w:rPr>
        <w:tab/>
        <w:t>47</w:t>
      </w:r>
      <w:r w:rsidRPr="0068431A">
        <w:rPr>
          <w:rFonts w:ascii="Times" w:hAnsi="Times"/>
          <w:lang w:eastAsia="ja-JP"/>
        </w:rPr>
        <w:tab/>
        <w:t>Floor of Mouth</w:t>
      </w:r>
      <w:r w:rsidRPr="0068431A">
        <w:rPr>
          <w:rFonts w:ascii="Times" w:hAnsi="Times"/>
          <w:lang w:eastAsia="ja-JP"/>
        </w:rPr>
        <w:tab/>
      </w:r>
      <w:r w:rsidRPr="0068431A">
        <w:rPr>
          <w:rFonts w:ascii="Times" w:hAnsi="Times"/>
          <w:lang w:eastAsia="ja-JP"/>
        </w:rPr>
        <w:tab/>
        <w:t>T4N2bM0</w:t>
      </w:r>
      <w:r w:rsidRPr="0068431A">
        <w:rPr>
          <w:rFonts w:ascii="Times" w:hAnsi="Times"/>
          <w:lang w:eastAsia="ja-JP"/>
        </w:rPr>
        <w:tab/>
        <w:t>Moderate</w:t>
      </w:r>
      <w:r w:rsidRPr="0068431A">
        <w:rPr>
          <w:rFonts w:ascii="Times" w:hAnsi="Times"/>
          <w:lang w:eastAsia="ja-JP"/>
        </w:rPr>
        <w:tab/>
      </w:r>
      <w:r w:rsidRPr="0068431A">
        <w:rPr>
          <w:rFonts w:ascii="Times" w:hAnsi="Times"/>
          <w:lang w:eastAsia="ja-JP"/>
        </w:rPr>
        <w:tab/>
        <w:t>Y/45</w:t>
      </w:r>
      <w:r w:rsidRPr="0068431A">
        <w:rPr>
          <w:rFonts w:ascii="Times" w:hAnsi="Times"/>
          <w:lang w:eastAsia="ja-JP"/>
        </w:rPr>
        <w:tab/>
        <w:t xml:space="preserve">             Y</w:t>
      </w:r>
    </w:p>
    <w:p w14:paraId="4F82606B" w14:textId="77777777" w:rsidR="0068431A" w:rsidRPr="0068431A" w:rsidRDefault="0068431A" w:rsidP="0068431A">
      <w:pPr>
        <w:rPr>
          <w:rFonts w:ascii="Times" w:hAnsi="Times"/>
          <w:lang w:eastAsia="ja-JP"/>
        </w:rPr>
      </w:pPr>
      <w:r w:rsidRPr="0068431A">
        <w:rPr>
          <w:rFonts w:ascii="Times" w:hAnsi="Times"/>
          <w:lang w:eastAsia="ja-JP"/>
        </w:rPr>
        <w:t>UMSC 4400</w:t>
      </w:r>
      <w:r w:rsidRPr="0068431A">
        <w:rPr>
          <w:rFonts w:ascii="Times" w:hAnsi="Times"/>
          <w:lang w:eastAsia="ja-JP"/>
        </w:rPr>
        <w:tab/>
        <w:t>F</w:t>
      </w:r>
      <w:r w:rsidRPr="0068431A">
        <w:rPr>
          <w:rFonts w:ascii="Times" w:hAnsi="Times"/>
          <w:lang w:eastAsia="ja-JP"/>
        </w:rPr>
        <w:tab/>
        <w:t>41</w:t>
      </w:r>
      <w:r w:rsidRPr="0068431A">
        <w:rPr>
          <w:rFonts w:ascii="Times" w:hAnsi="Times"/>
          <w:lang w:eastAsia="ja-JP"/>
        </w:rPr>
        <w:tab/>
        <w:t>Floor of Mouth</w:t>
      </w:r>
      <w:r w:rsidRPr="0068431A">
        <w:rPr>
          <w:rFonts w:ascii="Times" w:hAnsi="Times"/>
          <w:lang w:eastAsia="ja-JP"/>
        </w:rPr>
        <w:tab/>
      </w:r>
      <w:r w:rsidRPr="0068431A">
        <w:rPr>
          <w:rFonts w:ascii="Times" w:hAnsi="Times"/>
          <w:lang w:eastAsia="ja-JP"/>
        </w:rPr>
        <w:tab/>
        <w:t>T1N0M0</w:t>
      </w:r>
      <w:r w:rsidRPr="0068431A">
        <w:rPr>
          <w:rFonts w:ascii="Times" w:hAnsi="Times"/>
          <w:lang w:eastAsia="ja-JP"/>
        </w:rPr>
        <w:tab/>
        <w:t>Well</w:t>
      </w:r>
      <w:r w:rsidRPr="0068431A">
        <w:rPr>
          <w:rFonts w:ascii="Times" w:hAnsi="Times"/>
          <w:lang w:eastAsia="ja-JP"/>
        </w:rPr>
        <w:tab/>
      </w:r>
      <w:r w:rsidRPr="0068431A">
        <w:rPr>
          <w:rFonts w:ascii="Times" w:hAnsi="Times"/>
          <w:lang w:eastAsia="ja-JP"/>
        </w:rPr>
        <w:tab/>
      </w:r>
      <w:r w:rsidRPr="0068431A">
        <w:rPr>
          <w:rFonts w:ascii="Times" w:hAnsi="Times"/>
          <w:lang w:eastAsia="ja-JP"/>
        </w:rPr>
        <w:tab/>
        <w:t>Y/60</w:t>
      </w:r>
      <w:r w:rsidRPr="0068431A">
        <w:rPr>
          <w:rFonts w:ascii="Times" w:hAnsi="Times"/>
          <w:lang w:eastAsia="ja-JP"/>
        </w:rPr>
        <w:tab/>
        <w:t xml:space="preserve">           Y/Y</w:t>
      </w:r>
    </w:p>
    <w:p w14:paraId="57B9D0CC" w14:textId="77777777" w:rsidR="0068431A" w:rsidRPr="0068431A" w:rsidRDefault="0068431A" w:rsidP="0068431A">
      <w:pPr>
        <w:rPr>
          <w:rFonts w:ascii="Times" w:hAnsi="Times"/>
          <w:lang w:eastAsia="ja-JP"/>
        </w:rPr>
      </w:pPr>
      <w:r w:rsidRPr="0068431A">
        <w:rPr>
          <w:rFonts w:ascii="Times" w:hAnsi="Times"/>
          <w:lang w:eastAsia="ja-JP"/>
        </w:rPr>
        <w:t>UMSC 7300</w:t>
      </w:r>
      <w:r w:rsidRPr="0068431A">
        <w:rPr>
          <w:rFonts w:ascii="Times" w:hAnsi="Times"/>
          <w:lang w:eastAsia="ja-JP"/>
        </w:rPr>
        <w:tab/>
        <w:t>M</w:t>
      </w:r>
      <w:r w:rsidRPr="0068431A">
        <w:rPr>
          <w:rFonts w:ascii="Times" w:hAnsi="Times"/>
          <w:lang w:eastAsia="ja-JP"/>
        </w:rPr>
        <w:tab/>
        <w:t>55</w:t>
      </w:r>
      <w:r w:rsidRPr="0068431A">
        <w:rPr>
          <w:rFonts w:ascii="Times" w:hAnsi="Times"/>
          <w:lang w:eastAsia="ja-JP"/>
        </w:rPr>
        <w:tab/>
        <w:t>Floor of Mouth</w:t>
      </w:r>
      <w:r w:rsidRPr="0068431A">
        <w:rPr>
          <w:rFonts w:ascii="Times" w:hAnsi="Times"/>
          <w:lang w:eastAsia="ja-JP"/>
        </w:rPr>
        <w:tab/>
      </w:r>
      <w:r w:rsidRPr="0068431A">
        <w:rPr>
          <w:rFonts w:ascii="Times" w:hAnsi="Times"/>
          <w:lang w:eastAsia="ja-JP"/>
        </w:rPr>
        <w:tab/>
        <w:t>T4N2cM0</w:t>
      </w:r>
      <w:r w:rsidRPr="0068431A">
        <w:rPr>
          <w:rFonts w:ascii="Times" w:hAnsi="Times"/>
          <w:lang w:eastAsia="ja-JP"/>
        </w:rPr>
        <w:tab/>
        <w:t>Well</w:t>
      </w:r>
      <w:r w:rsidRPr="0068431A">
        <w:rPr>
          <w:rFonts w:ascii="Times" w:hAnsi="Times"/>
          <w:lang w:eastAsia="ja-JP"/>
        </w:rPr>
        <w:tab/>
      </w:r>
      <w:r w:rsidRPr="0068431A">
        <w:rPr>
          <w:rFonts w:ascii="Times" w:hAnsi="Times"/>
          <w:lang w:eastAsia="ja-JP"/>
        </w:rPr>
        <w:tab/>
      </w:r>
      <w:r w:rsidRPr="0068431A">
        <w:rPr>
          <w:rFonts w:ascii="Times" w:hAnsi="Times"/>
          <w:lang w:eastAsia="ja-JP"/>
        </w:rPr>
        <w:tab/>
        <w:t>Y/30</w:t>
      </w:r>
      <w:r w:rsidRPr="0068431A">
        <w:rPr>
          <w:rFonts w:ascii="Times" w:hAnsi="Times"/>
          <w:lang w:eastAsia="ja-JP"/>
        </w:rPr>
        <w:tab/>
        <w:t xml:space="preserve">             Y</w:t>
      </w:r>
    </w:p>
    <w:p w14:paraId="0E8BF97B" w14:textId="77777777" w:rsidR="0068431A" w:rsidRPr="00C466EC" w:rsidRDefault="0068431A" w:rsidP="0068431A">
      <w:pPr>
        <w:rPr>
          <w:rFonts w:ascii="Times" w:hAnsi="Times"/>
          <w:lang w:val="pt-BR" w:eastAsia="ja-JP"/>
        </w:rPr>
      </w:pPr>
      <w:r w:rsidRPr="00C466EC">
        <w:rPr>
          <w:rFonts w:ascii="Times" w:hAnsi="Times"/>
          <w:lang w:val="pt-BR" w:eastAsia="ja-JP"/>
        </w:rPr>
        <w:t>UMSC 7500</w:t>
      </w:r>
      <w:r w:rsidRPr="00C466EC">
        <w:rPr>
          <w:rFonts w:ascii="Times" w:hAnsi="Times"/>
          <w:lang w:val="pt-BR" w:eastAsia="ja-JP"/>
        </w:rPr>
        <w:tab/>
        <w:t>F</w:t>
      </w:r>
      <w:r w:rsidRPr="00C466EC">
        <w:rPr>
          <w:rFonts w:ascii="Times" w:hAnsi="Times"/>
          <w:lang w:val="pt-BR" w:eastAsia="ja-JP"/>
        </w:rPr>
        <w:tab/>
        <w:t>71</w:t>
      </w:r>
      <w:r w:rsidRPr="00C466EC">
        <w:rPr>
          <w:rFonts w:ascii="Times" w:hAnsi="Times"/>
          <w:lang w:val="pt-BR" w:eastAsia="ja-JP"/>
        </w:rPr>
        <w:tab/>
        <w:t>Hard Palate</w:t>
      </w:r>
      <w:r w:rsidRPr="00C466EC">
        <w:rPr>
          <w:rFonts w:ascii="Times" w:hAnsi="Times"/>
          <w:lang w:val="pt-BR" w:eastAsia="ja-JP"/>
        </w:rPr>
        <w:tab/>
      </w:r>
      <w:r w:rsidRPr="00C466EC">
        <w:rPr>
          <w:rFonts w:ascii="Times" w:hAnsi="Times"/>
          <w:lang w:val="pt-BR" w:eastAsia="ja-JP"/>
        </w:rPr>
        <w:tab/>
        <w:t>T4N0M0</w:t>
      </w:r>
      <w:r w:rsidRPr="00C466EC">
        <w:rPr>
          <w:rFonts w:ascii="Times" w:hAnsi="Times"/>
          <w:lang w:val="pt-BR" w:eastAsia="ja-JP"/>
        </w:rPr>
        <w:tab/>
        <w:t>Moderate</w:t>
      </w:r>
      <w:r w:rsidRPr="00C466EC">
        <w:rPr>
          <w:rFonts w:ascii="Times" w:hAnsi="Times"/>
          <w:lang w:val="pt-BR" w:eastAsia="ja-JP"/>
        </w:rPr>
        <w:tab/>
      </w:r>
      <w:r w:rsidRPr="00C466EC">
        <w:rPr>
          <w:rFonts w:ascii="Times" w:hAnsi="Times"/>
          <w:lang w:val="pt-BR" w:eastAsia="ja-JP"/>
        </w:rPr>
        <w:tab/>
        <w:t xml:space="preserve">  NA</w:t>
      </w:r>
      <w:r w:rsidRPr="00C466EC">
        <w:rPr>
          <w:rFonts w:ascii="Times" w:hAnsi="Times"/>
          <w:lang w:val="pt-BR" w:eastAsia="ja-JP"/>
        </w:rPr>
        <w:tab/>
        <w:t xml:space="preserve">            NA</w:t>
      </w:r>
    </w:p>
    <w:p w14:paraId="2AEE8F38" w14:textId="77777777" w:rsidR="0068431A" w:rsidRPr="00C466EC" w:rsidRDefault="0068431A" w:rsidP="0068431A">
      <w:pPr>
        <w:rPr>
          <w:rFonts w:ascii="Times" w:hAnsi="Times"/>
          <w:lang w:val="pt-BR" w:eastAsia="ja-JP"/>
        </w:rPr>
      </w:pPr>
      <w:r w:rsidRPr="00C466EC">
        <w:rPr>
          <w:rFonts w:ascii="Times" w:hAnsi="Times"/>
          <w:lang w:val="pt-BR" w:eastAsia="ja-JP"/>
        </w:rPr>
        <w:t>UMSC 7800</w:t>
      </w:r>
      <w:r w:rsidRPr="00C466EC">
        <w:rPr>
          <w:rFonts w:ascii="Times" w:hAnsi="Times"/>
          <w:lang w:val="pt-BR" w:eastAsia="ja-JP"/>
        </w:rPr>
        <w:tab/>
        <w:t>M</w:t>
      </w:r>
      <w:r w:rsidRPr="00C466EC">
        <w:rPr>
          <w:rFonts w:ascii="Times" w:hAnsi="Times"/>
          <w:lang w:val="pt-BR" w:eastAsia="ja-JP"/>
        </w:rPr>
        <w:tab/>
        <w:t>55</w:t>
      </w:r>
      <w:r w:rsidRPr="00C466EC">
        <w:rPr>
          <w:rFonts w:ascii="Times" w:hAnsi="Times"/>
          <w:lang w:val="pt-BR" w:eastAsia="ja-JP"/>
        </w:rPr>
        <w:tab/>
        <w:t>Lateral Tongue</w:t>
      </w:r>
      <w:r w:rsidRPr="00C466EC">
        <w:rPr>
          <w:rFonts w:ascii="Times" w:hAnsi="Times"/>
          <w:lang w:val="pt-BR" w:eastAsia="ja-JP"/>
        </w:rPr>
        <w:tab/>
      </w:r>
      <w:r w:rsidRPr="00C466EC">
        <w:rPr>
          <w:rFonts w:ascii="Times" w:hAnsi="Times"/>
          <w:lang w:val="pt-BR" w:eastAsia="ja-JP"/>
        </w:rPr>
        <w:tab/>
        <w:t>T4N2bM0</w:t>
      </w:r>
      <w:r w:rsidRPr="00C466EC">
        <w:rPr>
          <w:rFonts w:ascii="Times" w:hAnsi="Times"/>
          <w:lang w:val="pt-BR" w:eastAsia="ja-JP"/>
        </w:rPr>
        <w:tab/>
        <w:t>Poor</w:t>
      </w:r>
      <w:r w:rsidRPr="00C466EC">
        <w:rPr>
          <w:rFonts w:ascii="Times" w:hAnsi="Times"/>
          <w:lang w:val="pt-BR" w:eastAsia="ja-JP"/>
        </w:rPr>
        <w:tab/>
      </w:r>
      <w:r w:rsidRPr="00C466EC">
        <w:rPr>
          <w:rFonts w:ascii="Times" w:hAnsi="Times"/>
          <w:lang w:val="pt-BR" w:eastAsia="ja-JP"/>
        </w:rPr>
        <w:tab/>
      </w:r>
      <w:r w:rsidRPr="00C466EC">
        <w:rPr>
          <w:rFonts w:ascii="Times" w:hAnsi="Times"/>
          <w:lang w:val="pt-BR" w:eastAsia="ja-JP"/>
        </w:rPr>
        <w:tab/>
        <w:t xml:space="preserve"> Y/60</w:t>
      </w:r>
      <w:r w:rsidRPr="00C466EC">
        <w:rPr>
          <w:rFonts w:ascii="Times" w:hAnsi="Times"/>
          <w:lang w:val="pt-BR" w:eastAsia="ja-JP"/>
        </w:rPr>
        <w:tab/>
        <w:t xml:space="preserve">           Y/Y</w:t>
      </w:r>
    </w:p>
    <w:p w14:paraId="1CF91F47" w14:textId="77777777" w:rsidR="0068431A" w:rsidRPr="00C466EC" w:rsidRDefault="0068431A" w:rsidP="0068431A">
      <w:pPr>
        <w:rPr>
          <w:rFonts w:ascii="Times" w:hAnsi="Times"/>
          <w:lang w:val="pt-BR" w:eastAsia="ja-JP"/>
        </w:rPr>
      </w:pPr>
      <w:r w:rsidRPr="00C466EC">
        <w:rPr>
          <w:rFonts w:ascii="Times" w:hAnsi="Times"/>
          <w:lang w:val="pt-BR" w:eastAsia="ja-JP"/>
        </w:rPr>
        <w:t>UMSC 8300</w:t>
      </w:r>
      <w:r w:rsidRPr="00C466EC">
        <w:rPr>
          <w:rFonts w:ascii="Times" w:hAnsi="Times"/>
          <w:lang w:val="pt-BR" w:eastAsia="ja-JP"/>
        </w:rPr>
        <w:tab/>
        <w:t>F</w:t>
      </w:r>
      <w:r w:rsidRPr="00C466EC">
        <w:rPr>
          <w:rFonts w:ascii="Times" w:hAnsi="Times"/>
          <w:lang w:val="pt-BR" w:eastAsia="ja-JP"/>
        </w:rPr>
        <w:tab/>
        <w:t>50</w:t>
      </w:r>
      <w:r w:rsidRPr="00C466EC">
        <w:rPr>
          <w:rFonts w:ascii="Times" w:hAnsi="Times"/>
          <w:lang w:val="pt-BR" w:eastAsia="ja-JP"/>
        </w:rPr>
        <w:tab/>
        <w:t>Lateral Tongue</w:t>
      </w:r>
      <w:r w:rsidRPr="00C466EC">
        <w:rPr>
          <w:rFonts w:ascii="Times" w:hAnsi="Times"/>
          <w:lang w:val="pt-BR" w:eastAsia="ja-JP"/>
        </w:rPr>
        <w:tab/>
      </w:r>
      <w:r w:rsidRPr="00C466EC">
        <w:rPr>
          <w:rFonts w:ascii="Times" w:hAnsi="Times"/>
          <w:lang w:val="pt-BR" w:eastAsia="ja-JP"/>
        </w:rPr>
        <w:tab/>
        <w:t>T2N0M0</w:t>
      </w:r>
      <w:r w:rsidRPr="00C466EC">
        <w:rPr>
          <w:rFonts w:ascii="Times" w:hAnsi="Times"/>
          <w:lang w:val="pt-BR" w:eastAsia="ja-JP"/>
        </w:rPr>
        <w:tab/>
        <w:t>Well</w:t>
      </w:r>
      <w:r w:rsidRPr="00C466EC">
        <w:rPr>
          <w:rFonts w:ascii="Times" w:hAnsi="Times"/>
          <w:lang w:val="pt-BR" w:eastAsia="ja-JP"/>
        </w:rPr>
        <w:tab/>
      </w:r>
      <w:r w:rsidRPr="00C466EC">
        <w:rPr>
          <w:rFonts w:ascii="Times" w:hAnsi="Times"/>
          <w:lang w:val="pt-BR" w:eastAsia="ja-JP"/>
        </w:rPr>
        <w:tab/>
      </w:r>
      <w:r w:rsidRPr="00C466EC">
        <w:rPr>
          <w:rFonts w:ascii="Times" w:hAnsi="Times"/>
          <w:lang w:val="pt-BR" w:eastAsia="ja-JP"/>
        </w:rPr>
        <w:tab/>
        <w:t xml:space="preserve"> Y/28</w:t>
      </w:r>
      <w:r w:rsidRPr="00C466EC">
        <w:rPr>
          <w:rFonts w:ascii="Times" w:hAnsi="Times"/>
          <w:lang w:val="pt-BR" w:eastAsia="ja-JP"/>
        </w:rPr>
        <w:tab/>
        <w:t xml:space="preserve">            NA</w:t>
      </w:r>
    </w:p>
    <w:p w14:paraId="1C31A8A8" w14:textId="77777777" w:rsidR="0068431A" w:rsidRPr="00C466EC" w:rsidRDefault="0068431A" w:rsidP="0068431A">
      <w:pPr>
        <w:rPr>
          <w:rFonts w:ascii="Times" w:hAnsi="Times"/>
          <w:lang w:val="pt-BR" w:eastAsia="ja-JP"/>
        </w:rPr>
      </w:pPr>
      <w:r w:rsidRPr="00C466EC">
        <w:rPr>
          <w:rFonts w:ascii="Times" w:hAnsi="Times"/>
          <w:lang w:val="pt-BR" w:eastAsia="ja-JP"/>
        </w:rPr>
        <w:t>________________________________________________________________________________________________________</w:t>
      </w:r>
    </w:p>
    <w:p w14:paraId="382001E9" w14:textId="77777777" w:rsidR="0068431A" w:rsidRDefault="0068431A" w:rsidP="00C62E8D">
      <w:pPr>
        <w:spacing w:line="480" w:lineRule="auto"/>
        <w:contextualSpacing/>
        <w:jc w:val="both"/>
        <w:rPr>
          <w:rFonts w:ascii="Calibri" w:eastAsia="Calibri" w:hAnsi="Calibri" w:cs="Calibri"/>
          <w:sz w:val="24"/>
          <w:szCs w:val="24"/>
        </w:rPr>
      </w:pPr>
      <w:r w:rsidRPr="00C466EC">
        <w:rPr>
          <w:sz w:val="24"/>
          <w:szCs w:val="24"/>
          <w:lang w:val="pt-BR" w:eastAsia="ja-JP"/>
        </w:rPr>
        <w:t xml:space="preserve">HNSCC tumor specimens from oral cavity were obtained from University of Michigan and designated as UMSC. </w:t>
      </w:r>
      <w:r w:rsidRPr="00E93220">
        <w:rPr>
          <w:sz w:val="24"/>
          <w:szCs w:val="24"/>
          <w:lang w:eastAsia="ja-JP"/>
        </w:rPr>
        <w:t>Clinical information was provided by Dr. Douglas Chepeha. Primary sites, the origin of the primary tumor; TNM, tumor-node-metastasis (staging syst</w:t>
      </w:r>
      <w:r w:rsidR="00C12EB5">
        <w:rPr>
          <w:sz w:val="24"/>
          <w:szCs w:val="24"/>
          <w:lang w:eastAsia="ja-JP"/>
        </w:rPr>
        <w:t>em). Y: Yes; NA: not available.</w:t>
      </w:r>
    </w:p>
    <w:sectPr w:rsidR="0068431A" w:rsidSect="00746CD1">
      <w:footerReference w:type="default" r:id="rId9"/>
      <w:pgSz w:w="12240" w:h="15840" w:code="1"/>
      <w:pgMar w:top="1440" w:right="1440" w:bottom="1440" w:left="1440" w:header="720" w:footer="72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669C1" w14:textId="77777777" w:rsidR="00026ACB" w:rsidRDefault="00026ACB" w:rsidP="00396521">
      <w:r>
        <w:separator/>
      </w:r>
    </w:p>
  </w:endnote>
  <w:endnote w:type="continuationSeparator" w:id="0">
    <w:p w14:paraId="7B04A1A7" w14:textId="77777777" w:rsidR="00026ACB" w:rsidRDefault="00026ACB" w:rsidP="0039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Cambria Math"/>
    <w:panose1 w:val="02020603050405020304"/>
    <w:charset w:val="00"/>
    <w:family w:val="roman"/>
    <w:pitch w:val="variable"/>
    <w:sig w:usb0="E0002AF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705269"/>
      <w:docPartObj>
        <w:docPartGallery w:val="Page Numbers (Bottom of Page)"/>
        <w:docPartUnique/>
      </w:docPartObj>
    </w:sdtPr>
    <w:sdtEndPr>
      <w:rPr>
        <w:noProof/>
      </w:rPr>
    </w:sdtEndPr>
    <w:sdtContent>
      <w:p w14:paraId="00381612" w14:textId="6A265036" w:rsidR="002F6274" w:rsidRDefault="002F6274">
        <w:pPr>
          <w:pStyle w:val="Footer"/>
          <w:jc w:val="right"/>
        </w:pPr>
        <w:r>
          <w:fldChar w:fldCharType="begin"/>
        </w:r>
        <w:r>
          <w:instrText xml:space="preserve"> PAGE   \* MERGEFORMAT </w:instrText>
        </w:r>
        <w:r>
          <w:fldChar w:fldCharType="separate"/>
        </w:r>
        <w:r w:rsidR="008370E4">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3A657" w14:textId="77777777" w:rsidR="00026ACB" w:rsidRDefault="00026ACB" w:rsidP="00396521">
      <w:r>
        <w:separator/>
      </w:r>
    </w:p>
  </w:footnote>
  <w:footnote w:type="continuationSeparator" w:id="0">
    <w:p w14:paraId="200A9B42" w14:textId="77777777" w:rsidR="00026ACB" w:rsidRDefault="00026ACB" w:rsidP="00396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400A38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849A80F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3F8A24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E4ABB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CDCADA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7B23C6"/>
    <w:multiLevelType w:val="hybridMultilevel"/>
    <w:tmpl w:val="C65C35F8"/>
    <w:lvl w:ilvl="0" w:tplc="EEF2565E">
      <w:start w:val="1"/>
      <w:numFmt w:val="decimal"/>
      <w:lvlText w:val="%1"/>
      <w:lvlJc w:val="left"/>
    </w:lvl>
    <w:lvl w:ilvl="1" w:tplc="D382AACE">
      <w:numFmt w:val="decimal"/>
      <w:lvlText w:val=""/>
      <w:lvlJc w:val="left"/>
    </w:lvl>
    <w:lvl w:ilvl="2" w:tplc="51A21B72">
      <w:numFmt w:val="decimal"/>
      <w:lvlText w:val=""/>
      <w:lvlJc w:val="left"/>
    </w:lvl>
    <w:lvl w:ilvl="3" w:tplc="66B21E52">
      <w:numFmt w:val="decimal"/>
      <w:lvlText w:val=""/>
      <w:lvlJc w:val="left"/>
    </w:lvl>
    <w:lvl w:ilvl="4" w:tplc="852A32AE">
      <w:numFmt w:val="decimal"/>
      <w:lvlText w:val=""/>
      <w:lvlJc w:val="left"/>
    </w:lvl>
    <w:lvl w:ilvl="5" w:tplc="C2D87A28">
      <w:numFmt w:val="decimal"/>
      <w:lvlText w:val=""/>
      <w:lvlJc w:val="left"/>
    </w:lvl>
    <w:lvl w:ilvl="6" w:tplc="D7F8D94A">
      <w:numFmt w:val="decimal"/>
      <w:lvlText w:val=""/>
      <w:lvlJc w:val="left"/>
    </w:lvl>
    <w:lvl w:ilvl="7" w:tplc="8E108B96">
      <w:numFmt w:val="decimal"/>
      <w:lvlText w:val=""/>
      <w:lvlJc w:val="left"/>
    </w:lvl>
    <w:lvl w:ilvl="8" w:tplc="89DC4806">
      <w:numFmt w:val="decimal"/>
      <w:lvlText w:val=""/>
      <w:lvlJc w:val="left"/>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MwNLQ0MjQ2s7SwNDVU0lEKTi0uzszPAykwqwUA4Wh2rSwAAAA="/>
    <w:docVar w:name="EN.InstantFormat" w:val="&lt;ENInstantFormat&gt;&lt;Enabled&gt;1&lt;/Enabled&gt;&lt;ScanUnformatted&gt;1&lt;/ScanUnformatted&gt;&lt;ScanChanges&gt;1&lt;/ScanChanges&gt;&lt;Suspended&gt;0&lt;/Suspended&gt;&lt;/ENInstantFormat&gt;"/>
    <w:docVar w:name="EN.Layout" w:val="&lt;ENLayout&gt;&lt;Style&gt;Clinical Cancer Researc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r9d2peb99r5veffap5t5p2xvap2zzstxre&quot;&gt;4G7DMMPR SuppL&lt;record-ids&gt;&lt;item&gt;1&lt;/item&gt;&lt;item&gt;2&lt;/item&gt;&lt;item&gt;3&lt;/item&gt;&lt;item&gt;4&lt;/item&gt;&lt;item&gt;5&lt;/item&gt;&lt;item&gt;6&lt;/item&gt;&lt;item&gt;7&lt;/item&gt;&lt;item&gt;8&lt;/item&gt;&lt;item&gt;9&lt;/item&gt;&lt;item&gt;10&lt;/item&gt;&lt;item&gt;11&lt;/item&gt;&lt;item&gt;12&lt;/item&gt;&lt;item&gt;13&lt;/item&gt;&lt;item&gt;14&lt;/item&gt;&lt;item&gt;15&lt;/item&gt;&lt;/record-ids&gt;&lt;/item&gt;&lt;/Libraries&gt;"/>
  </w:docVars>
  <w:rsids>
    <w:rsidRoot w:val="00106E23"/>
    <w:rsid w:val="00026ACB"/>
    <w:rsid w:val="00063730"/>
    <w:rsid w:val="00071A4B"/>
    <w:rsid w:val="0007674C"/>
    <w:rsid w:val="0009378F"/>
    <w:rsid w:val="000D7E16"/>
    <w:rsid w:val="000E79D6"/>
    <w:rsid w:val="00106E23"/>
    <w:rsid w:val="0012225F"/>
    <w:rsid w:val="0012562B"/>
    <w:rsid w:val="0013639B"/>
    <w:rsid w:val="0017786D"/>
    <w:rsid w:val="001959A6"/>
    <w:rsid w:val="00197798"/>
    <w:rsid w:val="00227AF7"/>
    <w:rsid w:val="00292EBE"/>
    <w:rsid w:val="00297AEE"/>
    <w:rsid w:val="002C636A"/>
    <w:rsid w:val="002E117B"/>
    <w:rsid w:val="002F6274"/>
    <w:rsid w:val="003206F3"/>
    <w:rsid w:val="0032404A"/>
    <w:rsid w:val="00330BBF"/>
    <w:rsid w:val="00343520"/>
    <w:rsid w:val="003460B2"/>
    <w:rsid w:val="0035083A"/>
    <w:rsid w:val="00357220"/>
    <w:rsid w:val="00396521"/>
    <w:rsid w:val="003A2069"/>
    <w:rsid w:val="003D0711"/>
    <w:rsid w:val="003E6002"/>
    <w:rsid w:val="003F0DF2"/>
    <w:rsid w:val="00420D16"/>
    <w:rsid w:val="00430043"/>
    <w:rsid w:val="00431414"/>
    <w:rsid w:val="0044252B"/>
    <w:rsid w:val="004440CF"/>
    <w:rsid w:val="004551EC"/>
    <w:rsid w:val="0046181E"/>
    <w:rsid w:val="00480CCD"/>
    <w:rsid w:val="00490171"/>
    <w:rsid w:val="004B3439"/>
    <w:rsid w:val="004C191D"/>
    <w:rsid w:val="005142DD"/>
    <w:rsid w:val="005959BA"/>
    <w:rsid w:val="005A0C60"/>
    <w:rsid w:val="005C31A9"/>
    <w:rsid w:val="005C50AF"/>
    <w:rsid w:val="005E6D97"/>
    <w:rsid w:val="00631A5C"/>
    <w:rsid w:val="00671FC6"/>
    <w:rsid w:val="0068431A"/>
    <w:rsid w:val="006879DB"/>
    <w:rsid w:val="006B3311"/>
    <w:rsid w:val="00746CD1"/>
    <w:rsid w:val="007902C3"/>
    <w:rsid w:val="007B55F9"/>
    <w:rsid w:val="007C0FEA"/>
    <w:rsid w:val="007C4930"/>
    <w:rsid w:val="007C5FF2"/>
    <w:rsid w:val="00825300"/>
    <w:rsid w:val="008348BC"/>
    <w:rsid w:val="008370E4"/>
    <w:rsid w:val="0088113E"/>
    <w:rsid w:val="00882249"/>
    <w:rsid w:val="008A1C8F"/>
    <w:rsid w:val="008C7DAC"/>
    <w:rsid w:val="008E7F4B"/>
    <w:rsid w:val="00933599"/>
    <w:rsid w:val="00977442"/>
    <w:rsid w:val="00994242"/>
    <w:rsid w:val="009C0CF1"/>
    <w:rsid w:val="00A17D8C"/>
    <w:rsid w:val="00A70726"/>
    <w:rsid w:val="00AA1B02"/>
    <w:rsid w:val="00AA610A"/>
    <w:rsid w:val="00AC7189"/>
    <w:rsid w:val="00AE7430"/>
    <w:rsid w:val="00B15BFC"/>
    <w:rsid w:val="00B2558A"/>
    <w:rsid w:val="00B42A72"/>
    <w:rsid w:val="00B45D01"/>
    <w:rsid w:val="00B625D1"/>
    <w:rsid w:val="00B72771"/>
    <w:rsid w:val="00BF781B"/>
    <w:rsid w:val="00C12EB5"/>
    <w:rsid w:val="00C40595"/>
    <w:rsid w:val="00C466EC"/>
    <w:rsid w:val="00C62E8D"/>
    <w:rsid w:val="00CB3B9D"/>
    <w:rsid w:val="00CB7A22"/>
    <w:rsid w:val="00CE51DC"/>
    <w:rsid w:val="00D10E8A"/>
    <w:rsid w:val="00D218E5"/>
    <w:rsid w:val="00D911F2"/>
    <w:rsid w:val="00E27DE2"/>
    <w:rsid w:val="00E305E3"/>
    <w:rsid w:val="00E31F63"/>
    <w:rsid w:val="00E93220"/>
    <w:rsid w:val="00EC3F64"/>
    <w:rsid w:val="00EE14A4"/>
    <w:rsid w:val="00EF3D9D"/>
    <w:rsid w:val="00EF7E99"/>
    <w:rsid w:val="00F0476A"/>
    <w:rsid w:val="00F07410"/>
    <w:rsid w:val="00F32B70"/>
    <w:rsid w:val="00F76263"/>
    <w:rsid w:val="00FE5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57F8"/>
  <w15:docId w15:val="{91641D77-6D18-4505-89BD-5D64B783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521"/>
    <w:pPr>
      <w:tabs>
        <w:tab w:val="center" w:pos="4680"/>
        <w:tab w:val="right" w:pos="9360"/>
      </w:tabs>
    </w:pPr>
  </w:style>
  <w:style w:type="character" w:customStyle="1" w:styleId="HeaderChar">
    <w:name w:val="Header Char"/>
    <w:basedOn w:val="DefaultParagraphFont"/>
    <w:link w:val="Header"/>
    <w:uiPriority w:val="99"/>
    <w:rsid w:val="00396521"/>
  </w:style>
  <w:style w:type="paragraph" w:styleId="Footer">
    <w:name w:val="footer"/>
    <w:basedOn w:val="Normal"/>
    <w:link w:val="FooterChar"/>
    <w:uiPriority w:val="99"/>
    <w:unhideWhenUsed/>
    <w:rsid w:val="00BF781B"/>
    <w:pPr>
      <w:tabs>
        <w:tab w:val="center" w:pos="4680"/>
        <w:tab w:val="right" w:pos="9360"/>
      </w:tabs>
    </w:pPr>
    <w:rPr>
      <w:sz w:val="24"/>
    </w:rPr>
  </w:style>
  <w:style w:type="character" w:customStyle="1" w:styleId="FooterChar">
    <w:name w:val="Footer Char"/>
    <w:basedOn w:val="DefaultParagraphFont"/>
    <w:link w:val="Footer"/>
    <w:uiPriority w:val="99"/>
    <w:rsid w:val="00BF781B"/>
    <w:rPr>
      <w:sz w:val="24"/>
    </w:rPr>
  </w:style>
  <w:style w:type="paragraph" w:styleId="BalloonText">
    <w:name w:val="Balloon Text"/>
    <w:basedOn w:val="Normal"/>
    <w:link w:val="BalloonTextChar"/>
    <w:uiPriority w:val="99"/>
    <w:semiHidden/>
    <w:unhideWhenUsed/>
    <w:rsid w:val="005A0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C60"/>
    <w:rPr>
      <w:rFonts w:ascii="Segoe UI" w:hAnsi="Segoe UI" w:cs="Segoe UI"/>
      <w:sz w:val="18"/>
      <w:szCs w:val="18"/>
    </w:rPr>
  </w:style>
  <w:style w:type="paragraph" w:styleId="ListParagraph">
    <w:name w:val="List Paragraph"/>
    <w:basedOn w:val="Normal"/>
    <w:uiPriority w:val="34"/>
    <w:qFormat/>
    <w:rsid w:val="0068431A"/>
    <w:pPr>
      <w:ind w:left="720"/>
      <w:contextualSpacing/>
    </w:pPr>
  </w:style>
  <w:style w:type="character" w:styleId="CommentReference">
    <w:name w:val="annotation reference"/>
    <w:basedOn w:val="DefaultParagraphFont"/>
    <w:uiPriority w:val="99"/>
    <w:semiHidden/>
    <w:unhideWhenUsed/>
    <w:rsid w:val="006879DB"/>
    <w:rPr>
      <w:sz w:val="16"/>
      <w:szCs w:val="16"/>
    </w:rPr>
  </w:style>
  <w:style w:type="paragraph" w:styleId="CommentText">
    <w:name w:val="annotation text"/>
    <w:basedOn w:val="Normal"/>
    <w:link w:val="CommentTextChar"/>
    <w:uiPriority w:val="99"/>
    <w:semiHidden/>
    <w:unhideWhenUsed/>
    <w:rsid w:val="006879DB"/>
    <w:rPr>
      <w:sz w:val="20"/>
      <w:szCs w:val="20"/>
    </w:rPr>
  </w:style>
  <w:style w:type="character" w:customStyle="1" w:styleId="CommentTextChar">
    <w:name w:val="Comment Text Char"/>
    <w:basedOn w:val="DefaultParagraphFont"/>
    <w:link w:val="CommentText"/>
    <w:uiPriority w:val="99"/>
    <w:semiHidden/>
    <w:rsid w:val="006879DB"/>
    <w:rPr>
      <w:sz w:val="20"/>
      <w:szCs w:val="20"/>
    </w:rPr>
  </w:style>
  <w:style w:type="paragraph" w:styleId="CommentSubject">
    <w:name w:val="annotation subject"/>
    <w:basedOn w:val="CommentText"/>
    <w:next w:val="CommentText"/>
    <w:link w:val="CommentSubjectChar"/>
    <w:uiPriority w:val="99"/>
    <w:semiHidden/>
    <w:unhideWhenUsed/>
    <w:rsid w:val="006879DB"/>
    <w:rPr>
      <w:b/>
      <w:bCs/>
    </w:rPr>
  </w:style>
  <w:style w:type="character" w:customStyle="1" w:styleId="CommentSubjectChar">
    <w:name w:val="Comment Subject Char"/>
    <w:basedOn w:val="CommentTextChar"/>
    <w:link w:val="CommentSubject"/>
    <w:uiPriority w:val="99"/>
    <w:semiHidden/>
    <w:rsid w:val="006879DB"/>
    <w:rPr>
      <w:b/>
      <w:bCs/>
      <w:sz w:val="20"/>
      <w:szCs w:val="20"/>
    </w:rPr>
  </w:style>
  <w:style w:type="paragraph" w:customStyle="1" w:styleId="EndNoteBibliographyTitle">
    <w:name w:val="EndNote Bibliography Title"/>
    <w:basedOn w:val="Normal"/>
    <w:link w:val="EndNoteBibliographyTitleChar"/>
    <w:rsid w:val="00FE59B7"/>
    <w:pPr>
      <w:jc w:val="center"/>
    </w:pPr>
    <w:rPr>
      <w:noProof/>
    </w:rPr>
  </w:style>
  <w:style w:type="character" w:customStyle="1" w:styleId="EndNoteBibliographyTitleChar">
    <w:name w:val="EndNote Bibliography Title Char"/>
    <w:basedOn w:val="DefaultParagraphFont"/>
    <w:link w:val="EndNoteBibliographyTitle"/>
    <w:rsid w:val="00FE59B7"/>
    <w:rPr>
      <w:noProof/>
    </w:rPr>
  </w:style>
  <w:style w:type="paragraph" w:customStyle="1" w:styleId="EndNoteBibliography">
    <w:name w:val="EndNote Bibliography"/>
    <w:basedOn w:val="Normal"/>
    <w:link w:val="EndNoteBibliographyChar"/>
    <w:rsid w:val="00FE59B7"/>
    <w:pPr>
      <w:jc w:val="both"/>
    </w:pPr>
    <w:rPr>
      <w:noProof/>
    </w:rPr>
  </w:style>
  <w:style w:type="character" w:customStyle="1" w:styleId="EndNoteBibliographyChar">
    <w:name w:val="EndNote Bibliography Char"/>
    <w:basedOn w:val="DefaultParagraphFont"/>
    <w:link w:val="EndNoteBibliography"/>
    <w:rsid w:val="00FE59B7"/>
    <w:rPr>
      <w:noProof/>
    </w:rPr>
  </w:style>
  <w:style w:type="character" w:styleId="Hyperlink">
    <w:name w:val="Hyperlink"/>
    <w:basedOn w:val="DefaultParagraphFont"/>
    <w:uiPriority w:val="99"/>
    <w:unhideWhenUsed/>
    <w:rsid w:val="00FE59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53141">
      <w:bodyDiv w:val="1"/>
      <w:marLeft w:val="0"/>
      <w:marRight w:val="0"/>
      <w:marTop w:val="0"/>
      <w:marBottom w:val="0"/>
      <w:divBdr>
        <w:top w:val="none" w:sz="0" w:space="0" w:color="auto"/>
        <w:left w:val="none" w:sz="0" w:space="0" w:color="auto"/>
        <w:bottom w:val="none" w:sz="0" w:space="0" w:color="auto"/>
        <w:right w:val="none" w:sz="0" w:space="0" w:color="auto"/>
      </w:divBdr>
      <w:divsChild>
        <w:div w:id="1906799709">
          <w:marLeft w:val="0"/>
          <w:marRight w:val="0"/>
          <w:marTop w:val="0"/>
          <w:marBottom w:val="0"/>
          <w:divBdr>
            <w:top w:val="none" w:sz="0" w:space="0" w:color="auto"/>
            <w:left w:val="none" w:sz="0" w:space="0" w:color="auto"/>
            <w:bottom w:val="none" w:sz="0" w:space="0" w:color="auto"/>
            <w:right w:val="none" w:sz="0" w:space="0" w:color="auto"/>
          </w:divBdr>
          <w:divsChild>
            <w:div w:id="941492203">
              <w:marLeft w:val="0"/>
              <w:marRight w:val="0"/>
              <w:marTop w:val="0"/>
              <w:marBottom w:val="0"/>
              <w:divBdr>
                <w:top w:val="none" w:sz="0" w:space="0" w:color="auto"/>
                <w:left w:val="none" w:sz="0" w:space="0" w:color="auto"/>
                <w:bottom w:val="none" w:sz="0" w:space="0" w:color="auto"/>
                <w:right w:val="none" w:sz="0" w:space="0" w:color="auto"/>
              </w:divBdr>
              <w:divsChild>
                <w:div w:id="1079401620">
                  <w:marLeft w:val="0"/>
                  <w:marRight w:val="0"/>
                  <w:marTop w:val="0"/>
                  <w:marBottom w:val="0"/>
                  <w:divBdr>
                    <w:top w:val="none" w:sz="0" w:space="0" w:color="auto"/>
                    <w:left w:val="none" w:sz="0" w:space="0" w:color="auto"/>
                    <w:bottom w:val="none" w:sz="0" w:space="0" w:color="auto"/>
                    <w:right w:val="none" w:sz="0" w:space="0" w:color="auto"/>
                  </w:divBdr>
                </w:div>
              </w:divsChild>
            </w:div>
            <w:div w:id="396519962">
              <w:marLeft w:val="0"/>
              <w:marRight w:val="0"/>
              <w:marTop w:val="0"/>
              <w:marBottom w:val="0"/>
              <w:divBdr>
                <w:top w:val="none" w:sz="0" w:space="0" w:color="auto"/>
                <w:left w:val="none" w:sz="0" w:space="0" w:color="auto"/>
                <w:bottom w:val="none" w:sz="0" w:space="0" w:color="auto"/>
                <w:right w:val="none" w:sz="0" w:space="0" w:color="auto"/>
              </w:divBdr>
              <w:divsChild>
                <w:div w:id="1267077642">
                  <w:marLeft w:val="0"/>
                  <w:marRight w:val="0"/>
                  <w:marTop w:val="0"/>
                  <w:marBottom w:val="0"/>
                  <w:divBdr>
                    <w:top w:val="none" w:sz="0" w:space="0" w:color="auto"/>
                    <w:left w:val="none" w:sz="0" w:space="0" w:color="auto"/>
                    <w:bottom w:val="none" w:sz="0" w:space="0" w:color="auto"/>
                    <w:right w:val="none" w:sz="0" w:space="0" w:color="auto"/>
                  </w:divBdr>
                </w:div>
              </w:divsChild>
            </w:div>
            <w:div w:id="2035182399">
              <w:marLeft w:val="0"/>
              <w:marRight w:val="0"/>
              <w:marTop w:val="0"/>
              <w:marBottom w:val="0"/>
              <w:divBdr>
                <w:top w:val="none" w:sz="0" w:space="0" w:color="auto"/>
                <w:left w:val="none" w:sz="0" w:space="0" w:color="auto"/>
                <w:bottom w:val="none" w:sz="0" w:space="0" w:color="auto"/>
                <w:right w:val="none" w:sz="0" w:space="0" w:color="auto"/>
              </w:divBdr>
              <w:divsChild>
                <w:div w:id="449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4722">
          <w:marLeft w:val="0"/>
          <w:marRight w:val="0"/>
          <w:marTop w:val="0"/>
          <w:marBottom w:val="0"/>
          <w:divBdr>
            <w:top w:val="none" w:sz="0" w:space="0" w:color="auto"/>
            <w:left w:val="none" w:sz="0" w:space="0" w:color="auto"/>
            <w:bottom w:val="none" w:sz="0" w:space="0" w:color="auto"/>
            <w:right w:val="none" w:sz="0" w:space="0" w:color="auto"/>
          </w:divBdr>
          <w:divsChild>
            <w:div w:id="847524726">
              <w:marLeft w:val="0"/>
              <w:marRight w:val="0"/>
              <w:marTop w:val="0"/>
              <w:marBottom w:val="0"/>
              <w:divBdr>
                <w:top w:val="none" w:sz="0" w:space="0" w:color="auto"/>
                <w:left w:val="none" w:sz="0" w:space="0" w:color="auto"/>
                <w:bottom w:val="none" w:sz="0" w:space="0" w:color="auto"/>
                <w:right w:val="none" w:sz="0" w:space="0" w:color="auto"/>
              </w:divBdr>
              <w:divsChild>
                <w:div w:id="1103502633">
                  <w:marLeft w:val="0"/>
                  <w:marRight w:val="0"/>
                  <w:marTop w:val="0"/>
                  <w:marBottom w:val="0"/>
                  <w:divBdr>
                    <w:top w:val="none" w:sz="0" w:space="0" w:color="auto"/>
                    <w:left w:val="none" w:sz="0" w:space="0" w:color="auto"/>
                    <w:bottom w:val="none" w:sz="0" w:space="0" w:color="auto"/>
                    <w:right w:val="none" w:sz="0" w:space="0" w:color="auto"/>
                  </w:divBdr>
                </w:div>
              </w:divsChild>
            </w:div>
            <w:div w:id="1504277808">
              <w:marLeft w:val="0"/>
              <w:marRight w:val="0"/>
              <w:marTop w:val="0"/>
              <w:marBottom w:val="0"/>
              <w:divBdr>
                <w:top w:val="none" w:sz="0" w:space="0" w:color="auto"/>
                <w:left w:val="none" w:sz="0" w:space="0" w:color="auto"/>
                <w:bottom w:val="none" w:sz="0" w:space="0" w:color="auto"/>
                <w:right w:val="none" w:sz="0" w:space="0" w:color="auto"/>
              </w:divBdr>
              <w:divsChild>
                <w:div w:id="1146971479">
                  <w:marLeft w:val="0"/>
                  <w:marRight w:val="0"/>
                  <w:marTop w:val="0"/>
                  <w:marBottom w:val="0"/>
                  <w:divBdr>
                    <w:top w:val="none" w:sz="0" w:space="0" w:color="auto"/>
                    <w:left w:val="none" w:sz="0" w:space="0" w:color="auto"/>
                    <w:bottom w:val="none" w:sz="0" w:space="0" w:color="auto"/>
                    <w:right w:val="none" w:sz="0" w:space="0" w:color="auto"/>
                  </w:divBdr>
                </w:div>
              </w:divsChild>
            </w:div>
            <w:div w:id="1602881944">
              <w:marLeft w:val="0"/>
              <w:marRight w:val="0"/>
              <w:marTop w:val="0"/>
              <w:marBottom w:val="0"/>
              <w:divBdr>
                <w:top w:val="none" w:sz="0" w:space="0" w:color="auto"/>
                <w:left w:val="none" w:sz="0" w:space="0" w:color="auto"/>
                <w:bottom w:val="none" w:sz="0" w:space="0" w:color="auto"/>
                <w:right w:val="none" w:sz="0" w:space="0" w:color="auto"/>
              </w:divBdr>
              <w:divsChild>
                <w:div w:id="283775760">
                  <w:marLeft w:val="0"/>
                  <w:marRight w:val="0"/>
                  <w:marTop w:val="0"/>
                  <w:marBottom w:val="0"/>
                  <w:divBdr>
                    <w:top w:val="none" w:sz="0" w:space="0" w:color="auto"/>
                    <w:left w:val="none" w:sz="0" w:space="0" w:color="auto"/>
                    <w:bottom w:val="none" w:sz="0" w:space="0" w:color="auto"/>
                    <w:right w:val="none" w:sz="0" w:space="0" w:color="auto"/>
                  </w:divBdr>
                </w:div>
              </w:divsChild>
            </w:div>
            <w:div w:id="1754544403">
              <w:marLeft w:val="0"/>
              <w:marRight w:val="0"/>
              <w:marTop w:val="0"/>
              <w:marBottom w:val="0"/>
              <w:divBdr>
                <w:top w:val="none" w:sz="0" w:space="0" w:color="auto"/>
                <w:left w:val="none" w:sz="0" w:space="0" w:color="auto"/>
                <w:bottom w:val="none" w:sz="0" w:space="0" w:color="auto"/>
                <w:right w:val="none" w:sz="0" w:space="0" w:color="auto"/>
              </w:divBdr>
              <w:divsChild>
                <w:div w:id="3827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1982">
      <w:bodyDiv w:val="1"/>
      <w:marLeft w:val="0"/>
      <w:marRight w:val="0"/>
      <w:marTop w:val="0"/>
      <w:marBottom w:val="0"/>
      <w:divBdr>
        <w:top w:val="none" w:sz="0" w:space="0" w:color="auto"/>
        <w:left w:val="none" w:sz="0" w:space="0" w:color="auto"/>
        <w:bottom w:val="none" w:sz="0" w:space="0" w:color="auto"/>
        <w:right w:val="none" w:sz="0" w:space="0" w:color="auto"/>
      </w:divBdr>
    </w:div>
    <w:div w:id="815994698">
      <w:bodyDiv w:val="1"/>
      <w:marLeft w:val="0"/>
      <w:marRight w:val="0"/>
      <w:marTop w:val="0"/>
      <w:marBottom w:val="0"/>
      <w:divBdr>
        <w:top w:val="none" w:sz="0" w:space="0" w:color="auto"/>
        <w:left w:val="none" w:sz="0" w:space="0" w:color="auto"/>
        <w:bottom w:val="none" w:sz="0" w:space="0" w:color="auto"/>
        <w:right w:val="none" w:sz="0" w:space="0" w:color="auto"/>
      </w:divBdr>
    </w:div>
    <w:div w:id="1181243369">
      <w:bodyDiv w:val="1"/>
      <w:marLeft w:val="0"/>
      <w:marRight w:val="0"/>
      <w:marTop w:val="0"/>
      <w:marBottom w:val="0"/>
      <w:divBdr>
        <w:top w:val="none" w:sz="0" w:space="0" w:color="auto"/>
        <w:left w:val="none" w:sz="0" w:space="0" w:color="auto"/>
        <w:bottom w:val="none" w:sz="0" w:space="0" w:color="auto"/>
        <w:right w:val="none" w:sz="0" w:space="0" w:color="auto"/>
      </w:divBdr>
    </w:div>
    <w:div w:id="1280726724">
      <w:bodyDiv w:val="1"/>
      <w:marLeft w:val="0"/>
      <w:marRight w:val="0"/>
      <w:marTop w:val="0"/>
      <w:marBottom w:val="0"/>
      <w:divBdr>
        <w:top w:val="none" w:sz="0" w:space="0" w:color="auto"/>
        <w:left w:val="none" w:sz="0" w:space="0" w:color="auto"/>
        <w:bottom w:val="none" w:sz="0" w:space="0" w:color="auto"/>
        <w:right w:val="none" w:sz="0" w:space="0" w:color="auto"/>
      </w:divBdr>
    </w:div>
    <w:div w:id="1409494135">
      <w:bodyDiv w:val="1"/>
      <w:marLeft w:val="0"/>
      <w:marRight w:val="0"/>
      <w:marTop w:val="0"/>
      <w:marBottom w:val="0"/>
      <w:divBdr>
        <w:top w:val="none" w:sz="0" w:space="0" w:color="auto"/>
        <w:left w:val="none" w:sz="0" w:space="0" w:color="auto"/>
        <w:bottom w:val="none" w:sz="0" w:space="0" w:color="auto"/>
        <w:right w:val="none" w:sz="0" w:space="0" w:color="auto"/>
      </w:divBdr>
    </w:div>
    <w:div w:id="150270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ED6D-F0F8-446B-BF2B-ECA74569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6322</Words>
  <Characters>36038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VanWaes, Carter (NIH/NIDCD) [E]</cp:lastModifiedBy>
  <cp:revision>3</cp:revision>
  <dcterms:created xsi:type="dcterms:W3CDTF">2018-11-03T02:04:00Z</dcterms:created>
  <dcterms:modified xsi:type="dcterms:W3CDTF">2018-12-14T17:51:00Z</dcterms:modified>
</cp:coreProperties>
</file>