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FB64" w14:textId="77777777" w:rsidR="000812FA" w:rsidRPr="001614AF" w:rsidRDefault="000812FA" w:rsidP="000812FA">
      <w:pPr>
        <w:pStyle w:val="Paragraph"/>
        <w:spacing w:line="480" w:lineRule="auto"/>
        <w:ind w:firstLine="0"/>
        <w:rPr>
          <w:b/>
          <w:u w:val="single"/>
        </w:rPr>
      </w:pPr>
      <w:r w:rsidRPr="001614AF">
        <w:rPr>
          <w:b/>
          <w:u w:val="single"/>
        </w:rPr>
        <w:t>Supplementary Materials</w:t>
      </w:r>
    </w:p>
    <w:p w14:paraId="6DBBEE3D" w14:textId="77777777" w:rsidR="000812FA" w:rsidRPr="000812FA" w:rsidRDefault="000812FA" w:rsidP="000812FA">
      <w:pPr>
        <w:pStyle w:val="Paragraph"/>
        <w:spacing w:line="480" w:lineRule="auto"/>
        <w:ind w:firstLine="0"/>
      </w:pPr>
      <w:r w:rsidRPr="000812FA">
        <w:t>Fig. S1. Derivation of the B7-H3 CAR</w:t>
      </w:r>
    </w:p>
    <w:p w14:paraId="5DAF7BDD" w14:textId="77777777" w:rsidR="000812FA" w:rsidRPr="000812FA" w:rsidRDefault="000812FA" w:rsidP="000812FA">
      <w:pPr>
        <w:pStyle w:val="Paragraph"/>
        <w:spacing w:line="480" w:lineRule="auto"/>
        <w:ind w:firstLine="0"/>
      </w:pPr>
      <w:r w:rsidRPr="000812FA">
        <w:t>Fig. S2. CAR efficacy is not limited by secreted soluble B7-H3 or antigen loss/downregulation in our models</w:t>
      </w:r>
    </w:p>
    <w:p w14:paraId="302FC818" w14:textId="77777777" w:rsidR="000812FA" w:rsidRPr="000812FA" w:rsidRDefault="000812FA" w:rsidP="000812FA">
      <w:pPr>
        <w:pStyle w:val="Paragraph"/>
        <w:spacing w:line="480" w:lineRule="auto"/>
        <w:ind w:firstLine="0"/>
      </w:pPr>
      <w:r w:rsidRPr="000812FA">
        <w:t xml:space="preserve">Fig. S3. B7-H3 CAR T cells exert </w:t>
      </w:r>
      <w:r w:rsidRPr="000812FA">
        <w:rPr>
          <w:i/>
        </w:rPr>
        <w:t xml:space="preserve">in vivo </w:t>
      </w:r>
      <w:r w:rsidRPr="000812FA">
        <w:t>activity against NALM6-B7-H3-High expressing cells</w:t>
      </w:r>
      <w:r w:rsidRPr="000812FA" w:rsidDel="000812FA">
        <w:t xml:space="preserve"> </w:t>
      </w:r>
    </w:p>
    <w:p w14:paraId="341C0F65" w14:textId="77777777" w:rsidR="000812FA" w:rsidRPr="000812FA" w:rsidRDefault="000812FA" w:rsidP="000812FA">
      <w:pPr>
        <w:pStyle w:val="Paragraph"/>
        <w:spacing w:line="480" w:lineRule="auto"/>
        <w:ind w:firstLine="0"/>
      </w:pPr>
      <w:r w:rsidRPr="000812FA">
        <w:t>Fig. S4. Differentiated dendritic cells but not monocytes express significant amounts of surface B7-H3</w:t>
      </w:r>
    </w:p>
    <w:p w14:paraId="338764E4" w14:textId="77777777" w:rsidR="000812FA" w:rsidRDefault="000812FA">
      <w:pPr>
        <w:rPr>
          <w:b/>
        </w:rPr>
      </w:pPr>
      <w:r>
        <w:rPr>
          <w:b/>
        </w:rPr>
        <w:br w:type="page"/>
      </w:r>
    </w:p>
    <w:p w14:paraId="6C365871" w14:textId="77777777" w:rsidR="00CB3764" w:rsidRDefault="00CB3764" w:rsidP="00CB3764">
      <w:r>
        <w:rPr>
          <w:b/>
        </w:rPr>
        <w:lastRenderedPageBreak/>
        <w:t>Figure S1</w:t>
      </w:r>
    </w:p>
    <w:p w14:paraId="7BEBCA2D" w14:textId="77777777" w:rsidR="00CB3764" w:rsidRDefault="001D0222" w:rsidP="00CB3764">
      <w:pPr>
        <w:outlineLvl w:val="0"/>
        <w:rPr>
          <w:rFonts w:ascii="Times" w:hAnsi="Times"/>
        </w:rPr>
      </w:pPr>
      <w:r w:rsidRPr="001D0222">
        <w:rPr>
          <w:noProof/>
        </w:rPr>
        <w:t xml:space="preserve"> </w:t>
      </w:r>
      <w:r w:rsidRPr="001D0222">
        <w:rPr>
          <w:b/>
          <w:noProof/>
        </w:rPr>
        <w:drawing>
          <wp:inline distT="0" distB="0" distL="0" distR="0" wp14:anchorId="646F5457" wp14:editId="1E038C76">
            <wp:extent cx="64008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764">
        <w:rPr>
          <w:b/>
        </w:rPr>
        <w:t>Figure S1: Derivation of the B7-H3 CAR</w:t>
      </w:r>
      <w:r w:rsidR="00CB3764">
        <w:t xml:space="preserve">.  </w:t>
      </w:r>
      <w:r w:rsidR="00B345A6">
        <w:t xml:space="preserve">(A) Structure of the </w:t>
      </w:r>
      <w:r w:rsidR="009F2F1F">
        <w:t xml:space="preserve">CAR </w:t>
      </w:r>
      <w:r w:rsidR="00B345A6">
        <w:t xml:space="preserve">backbone used </w:t>
      </w:r>
      <w:r w:rsidR="00CB3764">
        <w:t xml:space="preserve">to create second generation anti-B7-H3 CARs </w:t>
      </w:r>
      <w:r w:rsidR="009F2F1F">
        <w:t xml:space="preserve">combining six </w:t>
      </w:r>
      <w:proofErr w:type="spellStart"/>
      <w:r w:rsidR="009F2F1F">
        <w:t>scFvs</w:t>
      </w:r>
      <w:proofErr w:type="spellEnd"/>
      <w:r w:rsidR="009F2F1F">
        <w:t xml:space="preserve"> </w:t>
      </w:r>
      <w:r w:rsidR="00CB3764">
        <w:t>with a 4-1BB costimulatory domain and a short hinge</w:t>
      </w:r>
      <w:r w:rsidR="00E51717">
        <w:t>-transmembrane</w:t>
      </w:r>
      <w:r w:rsidR="00CB3764">
        <w:t xml:space="preserve"> region derived from CD8</w:t>
      </w:r>
      <w:r w:rsidR="00CB3764">
        <w:sym w:font="Symbol" w:char="F061"/>
      </w:r>
      <w:r w:rsidR="00CB3764">
        <w:t xml:space="preserve">.  </w:t>
      </w:r>
      <w:r w:rsidR="00B345A6">
        <w:t xml:space="preserve">(B) </w:t>
      </w:r>
      <w:r w:rsidR="00CB3764">
        <w:t xml:space="preserve">CARs were expressed on T cells using a gamma retrovirus and expression was confirmed by </w:t>
      </w:r>
      <w:r w:rsidR="00B345A6">
        <w:t xml:space="preserve">flow cytometry after </w:t>
      </w:r>
      <w:r w:rsidR="00CB3764">
        <w:t xml:space="preserve">staining with Protein L.  </w:t>
      </w:r>
      <w:r w:rsidR="00B345A6">
        <w:t>(C) T cells expressing different versions of the B7-H3 CAR were co-cultured with tumor cells and, 24h later,</w:t>
      </w:r>
      <w:r w:rsidR="00CB3764">
        <w:t xml:space="preserve"> levels of interferon-gamma </w:t>
      </w:r>
      <w:r w:rsidR="00B345A6">
        <w:t>were measured by ELISA</w:t>
      </w:r>
      <w:r w:rsidR="00CB3764">
        <w:t xml:space="preserve">.  </w:t>
      </w:r>
      <w:r w:rsidR="00B345A6">
        <w:t xml:space="preserve">(D) </w:t>
      </w:r>
      <w:r w:rsidR="00B345A6" w:rsidRPr="003256CC">
        <w:t xml:space="preserve">Structure of </w:t>
      </w:r>
      <w:r w:rsidR="009F2F1F" w:rsidRPr="003256CC">
        <w:t xml:space="preserve">the CAR </w:t>
      </w:r>
      <w:r w:rsidR="00B345A6" w:rsidRPr="003256CC">
        <w:t xml:space="preserve">backbone </w:t>
      </w:r>
      <w:r w:rsidR="00CB3764" w:rsidRPr="003256CC">
        <w:t>reengineered to contain either a</w:t>
      </w:r>
      <w:r w:rsidR="00E51717" w:rsidRPr="003256CC">
        <w:t>n</w:t>
      </w:r>
      <w:r w:rsidR="00CB3764" w:rsidRPr="003256CC">
        <w:t xml:space="preserve"> IgG1 spacer domain or </w:t>
      </w:r>
      <w:r w:rsidR="009F2F1F" w:rsidRPr="003256CC">
        <w:t xml:space="preserve">(E) </w:t>
      </w:r>
      <w:r w:rsidR="00CB3764" w:rsidRPr="003256CC">
        <w:t xml:space="preserve">CD28 as an additional costimulatory domain.  </w:t>
      </w:r>
      <w:r w:rsidR="009F2F1F" w:rsidRPr="003256CC">
        <w:t>(F) C</w:t>
      </w:r>
      <w:r w:rsidR="00CB3764" w:rsidRPr="003256CC">
        <w:t xml:space="preserve">ytokine production </w:t>
      </w:r>
      <w:r w:rsidR="009F2F1F" w:rsidRPr="003256CC">
        <w:t>of T cells bearing CD276.MG-</w:t>
      </w:r>
      <w:r w:rsidR="009F2F1F" w:rsidRPr="003256CC">
        <w:rPr>
          <w:rFonts w:ascii="Times" w:hAnsi="Times"/>
        </w:rPr>
        <w:t>41BB-</w:t>
      </w:r>
      <w:r w:rsidR="009F2F1F" w:rsidRPr="003256CC">
        <w:rPr>
          <w:rFonts w:ascii="Times" w:hAnsi="Times"/>
        </w:rPr>
        <w:sym w:font="Symbol" w:char="F07A"/>
      </w:r>
      <w:r w:rsidR="009F2F1F" w:rsidRPr="003256CC">
        <w:rPr>
          <w:rFonts w:ascii="Times" w:hAnsi="Times"/>
        </w:rPr>
        <w:t xml:space="preserve"> (CD276.MG) and CD276.3-41BB-</w:t>
      </w:r>
      <w:r w:rsidR="009F2F1F" w:rsidRPr="003256CC">
        <w:rPr>
          <w:rFonts w:ascii="Times" w:hAnsi="Times"/>
        </w:rPr>
        <w:sym w:font="Symbol" w:char="F07A"/>
      </w:r>
      <w:r w:rsidR="009F2F1F" w:rsidRPr="003256CC">
        <w:rPr>
          <w:rFonts w:ascii="Times" w:hAnsi="Times"/>
        </w:rPr>
        <w:t xml:space="preserve"> (CD276.3) </w:t>
      </w:r>
      <w:r w:rsidR="009F2F1F" w:rsidRPr="003256CC">
        <w:lastRenderedPageBreak/>
        <w:t xml:space="preserve">CARs </w:t>
      </w:r>
      <w:r w:rsidR="003256CC" w:rsidRPr="00F42904">
        <w:t xml:space="preserve">engineered using backbones shown in (A), </w:t>
      </w:r>
      <w:r w:rsidR="009F2F1F" w:rsidRPr="003256CC">
        <w:t xml:space="preserve">(D) and (E) </w:t>
      </w:r>
      <w:r w:rsidR="00CB3764" w:rsidRPr="003256CC">
        <w:t>in response to co-culture with B7-H3 expressing osteosarcoma cell lines.</w:t>
      </w:r>
      <w:r w:rsidR="00CB3764">
        <w:t xml:space="preserve">  </w:t>
      </w:r>
      <w:r w:rsidR="003256CC">
        <w:t>(G) Flow cytometric analysis of the levels of expression of PD-1, LAG-3 and TIM-3 on the surface of T cells expressing</w:t>
      </w:r>
      <w:r w:rsidR="00CB3764">
        <w:t xml:space="preserve"> CD276.MG-</w:t>
      </w:r>
      <w:r w:rsidR="00CB3764" w:rsidRPr="00423262">
        <w:rPr>
          <w:rFonts w:ascii="Times" w:hAnsi="Times"/>
        </w:rPr>
        <w:t>41BB-</w:t>
      </w:r>
      <w:r w:rsidR="00CB3764">
        <w:rPr>
          <w:rFonts w:ascii="Times" w:hAnsi="Times"/>
        </w:rPr>
        <w:sym w:font="Symbol" w:char="F07A"/>
      </w:r>
      <w:r w:rsidR="00CB3764">
        <w:rPr>
          <w:rFonts w:ascii="Times" w:hAnsi="Times"/>
        </w:rPr>
        <w:t xml:space="preserve"> </w:t>
      </w:r>
      <w:r w:rsidR="003256CC">
        <w:rPr>
          <w:rFonts w:ascii="Times" w:hAnsi="Times"/>
        </w:rPr>
        <w:t xml:space="preserve">or </w:t>
      </w:r>
      <w:r w:rsidR="00CB3764">
        <w:rPr>
          <w:rFonts w:ascii="Times" w:hAnsi="Times"/>
        </w:rPr>
        <w:t>CD276.3-</w:t>
      </w:r>
      <w:r w:rsidR="00CB3764" w:rsidRPr="00423262">
        <w:rPr>
          <w:rFonts w:ascii="Times" w:hAnsi="Times"/>
        </w:rPr>
        <w:t>41BB-</w:t>
      </w:r>
      <w:r w:rsidR="00CB3764">
        <w:rPr>
          <w:rFonts w:ascii="Times" w:hAnsi="Times"/>
        </w:rPr>
        <w:sym w:font="Symbol" w:char="F07A"/>
      </w:r>
      <w:r w:rsidR="00CB3764">
        <w:rPr>
          <w:rFonts w:ascii="Times" w:hAnsi="Times"/>
        </w:rPr>
        <w:t xml:space="preserve"> on day 10 after activation </w:t>
      </w:r>
      <w:r w:rsidR="003256CC">
        <w:rPr>
          <w:rFonts w:ascii="Times" w:hAnsi="Times"/>
        </w:rPr>
        <w:t>with CD3/CD28 beads</w:t>
      </w:r>
      <w:r w:rsidR="00CB3764">
        <w:rPr>
          <w:rFonts w:ascii="Times" w:hAnsi="Times"/>
        </w:rPr>
        <w:t xml:space="preserve">.  </w:t>
      </w:r>
      <w:r w:rsidR="003256CC">
        <w:rPr>
          <w:rFonts w:ascii="Times" w:hAnsi="Times"/>
        </w:rPr>
        <w:t xml:space="preserve">(H) Flow cytometric analysis of the percentage of </w:t>
      </w:r>
      <w:r w:rsidR="00CB3764">
        <w:rPr>
          <w:rFonts w:ascii="Times" w:hAnsi="Times"/>
        </w:rPr>
        <w:t xml:space="preserve">CD4 </w:t>
      </w:r>
      <w:r w:rsidR="003256CC">
        <w:rPr>
          <w:rFonts w:ascii="Times" w:hAnsi="Times"/>
        </w:rPr>
        <w:t xml:space="preserve">or </w:t>
      </w:r>
      <w:r w:rsidR="00CB3764">
        <w:rPr>
          <w:rFonts w:ascii="Times" w:hAnsi="Times"/>
        </w:rPr>
        <w:t xml:space="preserve">CD8 </w:t>
      </w:r>
      <w:r w:rsidR="003256CC">
        <w:rPr>
          <w:rFonts w:ascii="Times" w:hAnsi="Times"/>
        </w:rPr>
        <w:t xml:space="preserve">positive population in </w:t>
      </w:r>
      <w:r w:rsidR="00CB3764">
        <w:rPr>
          <w:rFonts w:ascii="Times" w:hAnsi="Times"/>
        </w:rPr>
        <w:t xml:space="preserve">transduced </w:t>
      </w:r>
      <w:r w:rsidR="003256CC">
        <w:rPr>
          <w:rFonts w:ascii="Times" w:hAnsi="Times"/>
        </w:rPr>
        <w:t xml:space="preserve">CD276.MG </w:t>
      </w:r>
      <w:r w:rsidR="00CB3764">
        <w:rPr>
          <w:rFonts w:ascii="Times" w:hAnsi="Times"/>
        </w:rPr>
        <w:t xml:space="preserve">CAR </w:t>
      </w:r>
      <w:r w:rsidR="003256CC">
        <w:rPr>
          <w:rFonts w:ascii="Times" w:hAnsi="Times"/>
        </w:rPr>
        <w:t xml:space="preserve">or MOCK </w:t>
      </w:r>
      <w:r w:rsidR="00CB3764">
        <w:rPr>
          <w:rFonts w:ascii="Times" w:hAnsi="Times"/>
        </w:rPr>
        <w:t>T cells</w:t>
      </w:r>
      <w:r w:rsidR="003256CC">
        <w:rPr>
          <w:rFonts w:ascii="Times" w:hAnsi="Times"/>
        </w:rPr>
        <w:t xml:space="preserve">. </w:t>
      </w:r>
    </w:p>
    <w:p w14:paraId="1FB82C8A" w14:textId="77777777" w:rsidR="00CB3764" w:rsidRDefault="00CB3764" w:rsidP="00CB376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7917E46" w14:textId="77777777" w:rsidR="00CB3764" w:rsidRDefault="00CB3764" w:rsidP="00CB3764">
      <w:pPr>
        <w:outlineLvl w:val="0"/>
      </w:pPr>
      <w:r>
        <w:rPr>
          <w:b/>
        </w:rPr>
        <w:lastRenderedPageBreak/>
        <w:t>Figure S2</w:t>
      </w:r>
      <w:r w:rsidRPr="00441E1B">
        <w:rPr>
          <w:noProof/>
        </w:rPr>
        <w:drawing>
          <wp:inline distT="0" distB="0" distL="0" distR="0" wp14:anchorId="09305234" wp14:editId="1DCE455F">
            <wp:extent cx="6400800" cy="48930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3557"/>
                    <a:stretch/>
                  </pic:blipFill>
                  <pic:spPr bwMode="auto">
                    <a:xfrm>
                      <a:off x="0" y="0"/>
                      <a:ext cx="6400800" cy="489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642F6" w14:textId="77777777" w:rsidR="00CB3764" w:rsidRDefault="00CB3764" w:rsidP="00CB3764">
      <w:r>
        <w:rPr>
          <w:b/>
        </w:rPr>
        <w:t xml:space="preserve">Figure S2: </w:t>
      </w:r>
      <w:r w:rsidRPr="00441E1B">
        <w:rPr>
          <w:b/>
        </w:rPr>
        <w:t xml:space="preserve">CAR efficacy is not limited by secreted soluble B7-H3 or antigen loss/downregulation in our models.   </w:t>
      </w:r>
      <w:r w:rsidR="004134FF" w:rsidRPr="00441E1B">
        <w:t>(A)</w:t>
      </w:r>
      <w:r w:rsidR="004134FF">
        <w:t xml:space="preserve"> </w:t>
      </w:r>
      <w:r>
        <w:t>Tumor culture supernatant</w:t>
      </w:r>
      <w:r w:rsidRPr="00441E1B">
        <w:t xml:space="preserve"> was collected</w:t>
      </w:r>
      <w:r>
        <w:t xml:space="preserve"> and measured for soluble B7-H3</w:t>
      </w:r>
      <w:r w:rsidR="004134FF">
        <w:t xml:space="preserve"> by ELISA</w:t>
      </w:r>
      <w:r>
        <w:t xml:space="preserve">. </w:t>
      </w:r>
      <w:r w:rsidR="004134FF">
        <w:t xml:space="preserve"> (B)</w:t>
      </w:r>
      <w:r w:rsidR="000677A5">
        <w:t xml:space="preserve"> Flow cytometric analysis of the expression levels of B7-H3 on the surface of t</w:t>
      </w:r>
      <w:r w:rsidRPr="00441E1B">
        <w:t xml:space="preserve">umor cells </w:t>
      </w:r>
      <w:r w:rsidR="000677A5">
        <w:t xml:space="preserve">maintained in culture (blue plots) or </w:t>
      </w:r>
      <w:r w:rsidRPr="00441E1B">
        <w:t>engrafted in</w:t>
      </w:r>
      <w:r>
        <w:t>to mice</w:t>
      </w:r>
      <w:r w:rsidR="000677A5">
        <w:t xml:space="preserve"> (orange plots)</w:t>
      </w:r>
      <w:r>
        <w:t xml:space="preserve">.  </w:t>
      </w:r>
      <w:r w:rsidR="000677A5">
        <w:t xml:space="preserve">(C) Flow cytometry mean fluorescence index (MFI) of B7-H3 expression on tumor cells co-cultured in the presence of </w:t>
      </w:r>
      <w:r>
        <w:t xml:space="preserve">B7-H3 CAR </w:t>
      </w:r>
      <w:r w:rsidR="000677A5">
        <w:t xml:space="preserve">or MOCK </w:t>
      </w:r>
      <w:r>
        <w:t>T cells for 80 hours. Error bars represent SEM.</w:t>
      </w:r>
    </w:p>
    <w:p w14:paraId="3C6390D6" w14:textId="77777777" w:rsidR="00CB3764" w:rsidRDefault="00CB3764" w:rsidP="00CB3764">
      <w:r>
        <w:br w:type="page"/>
      </w:r>
    </w:p>
    <w:p w14:paraId="52B847CB" w14:textId="77777777" w:rsidR="00CB3764" w:rsidRDefault="00CB3764" w:rsidP="00CB3764">
      <w:r>
        <w:rPr>
          <w:b/>
        </w:rPr>
        <w:lastRenderedPageBreak/>
        <w:t>Figure S3</w:t>
      </w:r>
      <w:r w:rsidRPr="001A4DDD">
        <w:rPr>
          <w:noProof/>
        </w:rPr>
        <w:drawing>
          <wp:inline distT="0" distB="0" distL="0" distR="0" wp14:anchorId="0D4814FF" wp14:editId="215A390E">
            <wp:extent cx="6400800" cy="2159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6261"/>
                    <a:stretch/>
                  </pic:blipFill>
                  <pic:spPr bwMode="auto">
                    <a:xfrm>
                      <a:off x="0" y="0"/>
                      <a:ext cx="6400800" cy="215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71FBA" w14:textId="77777777" w:rsidR="00CB3764" w:rsidRDefault="00CB3764" w:rsidP="00CB3764"/>
    <w:p w14:paraId="6078C20A" w14:textId="77777777" w:rsidR="00CB3764" w:rsidRDefault="00CB3764" w:rsidP="00CB3764">
      <w:r>
        <w:rPr>
          <w:b/>
        </w:rPr>
        <w:t xml:space="preserve">Figure S3: B7-H3 CAR T cells exert </w:t>
      </w:r>
      <w:r>
        <w:rPr>
          <w:b/>
          <w:i/>
        </w:rPr>
        <w:t xml:space="preserve">in vivo </w:t>
      </w:r>
      <w:r>
        <w:rPr>
          <w:b/>
        </w:rPr>
        <w:t>activity against NALM6-B7-H3-High expressing cells</w:t>
      </w:r>
      <w:r w:rsidRPr="00441E1B">
        <w:rPr>
          <w:b/>
        </w:rPr>
        <w:t xml:space="preserve">.   </w:t>
      </w:r>
      <w:r>
        <w:t>1e6 NALM6 cells expressing high amounts of surface B7-H3 were engrafted into mice by tail vein injection.  Three days later, mice were injected with 1e7 B7-H3 CAR</w:t>
      </w:r>
      <w:r>
        <w:rPr>
          <w:vertAlign w:val="superscript"/>
        </w:rPr>
        <w:t>+</w:t>
      </w:r>
      <w:r>
        <w:t xml:space="preserve"> T cells or mock transduced control T cells. </w:t>
      </w:r>
      <w:r w:rsidR="00E01513">
        <w:t>Tumor progression was measured by bioluminescence photometry and flux values (photons per second) were calculated using Living Image software. Values for individual mice are shown.</w:t>
      </w:r>
    </w:p>
    <w:p w14:paraId="13B8DE91" w14:textId="77777777" w:rsidR="00CB3764" w:rsidRDefault="00CB3764" w:rsidP="00CB3764">
      <w:r>
        <w:br w:type="page"/>
      </w:r>
    </w:p>
    <w:p w14:paraId="363F1E7E" w14:textId="77777777" w:rsidR="00CB3764" w:rsidRDefault="00CB3764" w:rsidP="00CB3764">
      <w:r>
        <w:rPr>
          <w:b/>
        </w:rPr>
        <w:lastRenderedPageBreak/>
        <w:t>Figure S4</w:t>
      </w:r>
      <w:r w:rsidRPr="0019188E">
        <w:rPr>
          <w:noProof/>
        </w:rPr>
        <w:drawing>
          <wp:inline distT="0" distB="0" distL="0" distR="0" wp14:anchorId="1D4B8D54" wp14:editId="76798EAD">
            <wp:extent cx="6400800" cy="22548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19BFF" w14:textId="77777777" w:rsidR="00CB3764" w:rsidRPr="00082A21" w:rsidRDefault="00CB3764" w:rsidP="00CB3764">
      <w:r>
        <w:rPr>
          <w:b/>
        </w:rPr>
        <w:t>Figure S4: Differentiated dendritic cells but not monocytes express significant amounts of surface B7-H3.</w:t>
      </w:r>
      <w:r>
        <w:t xml:space="preserve"> </w:t>
      </w:r>
      <w:r w:rsidR="00E01513">
        <w:t xml:space="preserve">  (A) Flow cytometric analysis of B7-H3 expression on the surface of </w:t>
      </w:r>
      <w:r w:rsidR="002C3E63">
        <w:t xml:space="preserve">MG63.3 tumor cell line, </w:t>
      </w:r>
      <w:bookmarkStart w:id="0" w:name="_GoBack"/>
      <w:bookmarkEnd w:id="0"/>
      <w:r w:rsidR="00E01513">
        <w:t xml:space="preserve">monocytes </w:t>
      </w:r>
      <w:r>
        <w:t>from a healthy donor</w:t>
      </w:r>
      <w:r w:rsidR="00E01513">
        <w:t xml:space="preserve"> and</w:t>
      </w:r>
      <w:r>
        <w:t xml:space="preserve"> </w:t>
      </w:r>
      <w:r w:rsidR="002C3E63">
        <w:t>derived</w:t>
      </w:r>
      <w:r>
        <w:t xml:space="preserve"> dendritic cells.</w:t>
      </w:r>
      <w:r w:rsidR="002C3E63">
        <w:t xml:space="preserve"> </w:t>
      </w:r>
      <w:r>
        <w:t xml:space="preserve"> </w:t>
      </w:r>
      <w:r w:rsidR="002C3E63">
        <w:t xml:space="preserve">(B) IL-2 secretion levels measured by ELISA in supernatants from B7-H3 </w:t>
      </w:r>
      <w:r>
        <w:t xml:space="preserve">CAR </w:t>
      </w:r>
      <w:r w:rsidR="002C3E63">
        <w:t xml:space="preserve">or MOCK </w:t>
      </w:r>
      <w:r>
        <w:t xml:space="preserve">T cells </w:t>
      </w:r>
      <w:r w:rsidR="002C3E63">
        <w:t>co-cultured with same cells as in (A) for 24h. Error bars represent SEM</w:t>
      </w:r>
      <w:r w:rsidR="002C3E63" w:rsidDel="002C3E63">
        <w:t xml:space="preserve"> </w:t>
      </w:r>
    </w:p>
    <w:p w14:paraId="3D4A3F68" w14:textId="77777777" w:rsidR="00301385" w:rsidRDefault="003E6B8A"/>
    <w:sectPr w:rsidR="00301385" w:rsidSect="00203556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B9C4F" w14:textId="77777777" w:rsidR="003E6B8A" w:rsidRDefault="003E6B8A">
      <w:r>
        <w:separator/>
      </w:r>
    </w:p>
  </w:endnote>
  <w:endnote w:type="continuationSeparator" w:id="0">
    <w:p w14:paraId="37C824C4" w14:textId="77777777" w:rsidR="003E6B8A" w:rsidRDefault="003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B574" w14:textId="77777777" w:rsidR="00196217" w:rsidRDefault="00965124" w:rsidP="005036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8F556" w14:textId="77777777" w:rsidR="00196217" w:rsidRDefault="003E6B8A" w:rsidP="006D6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4C1A" w14:textId="77777777" w:rsidR="00196217" w:rsidRDefault="00965124" w:rsidP="005036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E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74FD3" w14:textId="77777777" w:rsidR="00196217" w:rsidRDefault="003E6B8A" w:rsidP="006D6A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BA16" w14:textId="77777777" w:rsidR="003E6B8A" w:rsidRDefault="003E6B8A">
      <w:r>
        <w:separator/>
      </w:r>
    </w:p>
  </w:footnote>
  <w:footnote w:type="continuationSeparator" w:id="0">
    <w:p w14:paraId="58E3B153" w14:textId="77777777" w:rsidR="003E6B8A" w:rsidRDefault="003E6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E76E" w14:textId="77777777" w:rsidR="00196217" w:rsidRDefault="003E6B8A" w:rsidP="00645D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4"/>
    <w:rsid w:val="0001573D"/>
    <w:rsid w:val="00042B3A"/>
    <w:rsid w:val="000629E7"/>
    <w:rsid w:val="000677A5"/>
    <w:rsid w:val="000812FA"/>
    <w:rsid w:val="00091EFF"/>
    <w:rsid w:val="000947A3"/>
    <w:rsid w:val="000B0C7D"/>
    <w:rsid w:val="000D133E"/>
    <w:rsid w:val="000D624E"/>
    <w:rsid w:val="000E5641"/>
    <w:rsid w:val="000E5DDB"/>
    <w:rsid w:val="001445A8"/>
    <w:rsid w:val="00161A16"/>
    <w:rsid w:val="00192EE0"/>
    <w:rsid w:val="001B1FC8"/>
    <w:rsid w:val="001B20CB"/>
    <w:rsid w:val="001D00AC"/>
    <w:rsid w:val="001D0222"/>
    <w:rsid w:val="001F1239"/>
    <w:rsid w:val="00213F22"/>
    <w:rsid w:val="00244D54"/>
    <w:rsid w:val="002C3E63"/>
    <w:rsid w:val="002C4DD4"/>
    <w:rsid w:val="002C5000"/>
    <w:rsid w:val="002D3721"/>
    <w:rsid w:val="00305DD6"/>
    <w:rsid w:val="003135EA"/>
    <w:rsid w:val="00321190"/>
    <w:rsid w:val="00324A97"/>
    <w:rsid w:val="00324EE9"/>
    <w:rsid w:val="003256CC"/>
    <w:rsid w:val="003271B0"/>
    <w:rsid w:val="00343AF0"/>
    <w:rsid w:val="00354E2F"/>
    <w:rsid w:val="003A3CCD"/>
    <w:rsid w:val="003C7375"/>
    <w:rsid w:val="003E27E3"/>
    <w:rsid w:val="003E6B8A"/>
    <w:rsid w:val="003F6D3D"/>
    <w:rsid w:val="00406460"/>
    <w:rsid w:val="00407D7C"/>
    <w:rsid w:val="004134FF"/>
    <w:rsid w:val="004162F5"/>
    <w:rsid w:val="0041662A"/>
    <w:rsid w:val="00426B38"/>
    <w:rsid w:val="00451756"/>
    <w:rsid w:val="00452977"/>
    <w:rsid w:val="00457998"/>
    <w:rsid w:val="00492B06"/>
    <w:rsid w:val="004B2C55"/>
    <w:rsid w:val="004D33F4"/>
    <w:rsid w:val="004E191E"/>
    <w:rsid w:val="004F10F7"/>
    <w:rsid w:val="00501905"/>
    <w:rsid w:val="005365EF"/>
    <w:rsid w:val="0056035B"/>
    <w:rsid w:val="005622E1"/>
    <w:rsid w:val="00577AFF"/>
    <w:rsid w:val="00581EC1"/>
    <w:rsid w:val="0058262E"/>
    <w:rsid w:val="005830D9"/>
    <w:rsid w:val="005837D7"/>
    <w:rsid w:val="00584C0C"/>
    <w:rsid w:val="0059037D"/>
    <w:rsid w:val="00592984"/>
    <w:rsid w:val="005A1B5E"/>
    <w:rsid w:val="005C642C"/>
    <w:rsid w:val="005F1812"/>
    <w:rsid w:val="00600EC3"/>
    <w:rsid w:val="006078EF"/>
    <w:rsid w:val="0063728A"/>
    <w:rsid w:val="006442E5"/>
    <w:rsid w:val="006618D4"/>
    <w:rsid w:val="00672E3E"/>
    <w:rsid w:val="006B40E9"/>
    <w:rsid w:val="006B735A"/>
    <w:rsid w:val="006C62A7"/>
    <w:rsid w:val="006D25A3"/>
    <w:rsid w:val="006D709A"/>
    <w:rsid w:val="006F3E64"/>
    <w:rsid w:val="006F54B6"/>
    <w:rsid w:val="007053AF"/>
    <w:rsid w:val="00716E70"/>
    <w:rsid w:val="0072468D"/>
    <w:rsid w:val="00730781"/>
    <w:rsid w:val="007376C4"/>
    <w:rsid w:val="00737A8A"/>
    <w:rsid w:val="00737FF7"/>
    <w:rsid w:val="00745A37"/>
    <w:rsid w:val="00747478"/>
    <w:rsid w:val="00761021"/>
    <w:rsid w:val="0077729E"/>
    <w:rsid w:val="00780E9B"/>
    <w:rsid w:val="007A07F7"/>
    <w:rsid w:val="007C00D7"/>
    <w:rsid w:val="007E7C50"/>
    <w:rsid w:val="007F2226"/>
    <w:rsid w:val="00802EF8"/>
    <w:rsid w:val="00816B93"/>
    <w:rsid w:val="008262AD"/>
    <w:rsid w:val="0084029A"/>
    <w:rsid w:val="008D7684"/>
    <w:rsid w:val="00936654"/>
    <w:rsid w:val="00940252"/>
    <w:rsid w:val="009505CC"/>
    <w:rsid w:val="00952C80"/>
    <w:rsid w:val="0096353D"/>
    <w:rsid w:val="00965124"/>
    <w:rsid w:val="00981634"/>
    <w:rsid w:val="009B2720"/>
    <w:rsid w:val="009E22B0"/>
    <w:rsid w:val="009F15A1"/>
    <w:rsid w:val="009F2F1F"/>
    <w:rsid w:val="00A03D0B"/>
    <w:rsid w:val="00A1089B"/>
    <w:rsid w:val="00A13855"/>
    <w:rsid w:val="00A43427"/>
    <w:rsid w:val="00A8090A"/>
    <w:rsid w:val="00A84A27"/>
    <w:rsid w:val="00AB4A96"/>
    <w:rsid w:val="00AC3661"/>
    <w:rsid w:val="00AC43BF"/>
    <w:rsid w:val="00AC5DC3"/>
    <w:rsid w:val="00AD127B"/>
    <w:rsid w:val="00AE3625"/>
    <w:rsid w:val="00AE6FB4"/>
    <w:rsid w:val="00AF0B90"/>
    <w:rsid w:val="00AF20B9"/>
    <w:rsid w:val="00AF4D57"/>
    <w:rsid w:val="00B345A6"/>
    <w:rsid w:val="00B526C6"/>
    <w:rsid w:val="00B73A23"/>
    <w:rsid w:val="00B82449"/>
    <w:rsid w:val="00B83970"/>
    <w:rsid w:val="00BC4E3A"/>
    <w:rsid w:val="00BC786A"/>
    <w:rsid w:val="00BD1716"/>
    <w:rsid w:val="00BD1D7B"/>
    <w:rsid w:val="00BF2A0D"/>
    <w:rsid w:val="00C65FF1"/>
    <w:rsid w:val="00C66889"/>
    <w:rsid w:val="00C971AD"/>
    <w:rsid w:val="00CA056C"/>
    <w:rsid w:val="00CB3764"/>
    <w:rsid w:val="00CD4CB2"/>
    <w:rsid w:val="00CE16CE"/>
    <w:rsid w:val="00CE4098"/>
    <w:rsid w:val="00D20108"/>
    <w:rsid w:val="00D251AD"/>
    <w:rsid w:val="00D72352"/>
    <w:rsid w:val="00DA545B"/>
    <w:rsid w:val="00DC7ED6"/>
    <w:rsid w:val="00DD213C"/>
    <w:rsid w:val="00DD6F5A"/>
    <w:rsid w:val="00DE0A5E"/>
    <w:rsid w:val="00DF162E"/>
    <w:rsid w:val="00E00DC2"/>
    <w:rsid w:val="00E01513"/>
    <w:rsid w:val="00E05ACF"/>
    <w:rsid w:val="00E05FA7"/>
    <w:rsid w:val="00E42736"/>
    <w:rsid w:val="00E51717"/>
    <w:rsid w:val="00E61F60"/>
    <w:rsid w:val="00E8657B"/>
    <w:rsid w:val="00EC2645"/>
    <w:rsid w:val="00ED11B3"/>
    <w:rsid w:val="00ED3927"/>
    <w:rsid w:val="00F0125A"/>
    <w:rsid w:val="00F0547A"/>
    <w:rsid w:val="00F10C9B"/>
    <w:rsid w:val="00F13930"/>
    <w:rsid w:val="00F25306"/>
    <w:rsid w:val="00F42904"/>
    <w:rsid w:val="00F46637"/>
    <w:rsid w:val="00F717BD"/>
    <w:rsid w:val="00F800F0"/>
    <w:rsid w:val="00F81B5A"/>
    <w:rsid w:val="00F93078"/>
    <w:rsid w:val="00F97224"/>
    <w:rsid w:val="00FC7DCE"/>
    <w:rsid w:val="00FD6F16"/>
    <w:rsid w:val="00FD7235"/>
    <w:rsid w:val="00FE279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F7CD7"/>
  <w14:defaultImageDpi w14:val="32767"/>
  <w15:chartTrackingRefBased/>
  <w15:docId w15:val="{130333AE-5384-8445-BC47-4DF1EAC4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76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64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B3764"/>
  </w:style>
  <w:style w:type="paragraph" w:styleId="Footer">
    <w:name w:val="footer"/>
    <w:basedOn w:val="Normal"/>
    <w:link w:val="FooterChar"/>
    <w:uiPriority w:val="99"/>
    <w:unhideWhenUsed/>
    <w:rsid w:val="00CB3764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B3764"/>
  </w:style>
  <w:style w:type="character" w:styleId="PageNumber">
    <w:name w:val="page number"/>
    <w:basedOn w:val="DefaultParagraphFont"/>
    <w:uiPriority w:val="99"/>
    <w:semiHidden/>
    <w:unhideWhenUsed/>
    <w:rsid w:val="00CB3764"/>
  </w:style>
  <w:style w:type="paragraph" w:styleId="BalloonText">
    <w:name w:val="Balloon Text"/>
    <w:basedOn w:val="Normal"/>
    <w:link w:val="BalloonTextChar"/>
    <w:uiPriority w:val="99"/>
    <w:semiHidden/>
    <w:unhideWhenUsed/>
    <w:rsid w:val="00B34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A6"/>
    <w:rPr>
      <w:rFonts w:ascii="Times New Roman" w:hAnsi="Times New Roman"/>
      <w:sz w:val="18"/>
      <w:szCs w:val="18"/>
    </w:rPr>
  </w:style>
  <w:style w:type="paragraph" w:customStyle="1" w:styleId="Paragraph">
    <w:name w:val="Paragraph"/>
    <w:basedOn w:val="Normal"/>
    <w:rsid w:val="000812FA"/>
    <w:pPr>
      <w:spacing w:before="120"/>
      <w:ind w:firstLine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Majzner</dc:creator>
  <cp:keywords/>
  <dc:description/>
  <cp:lastModifiedBy>Vanessa Lebron</cp:lastModifiedBy>
  <cp:revision>2</cp:revision>
  <dcterms:created xsi:type="dcterms:W3CDTF">2018-12-11T17:13:00Z</dcterms:created>
  <dcterms:modified xsi:type="dcterms:W3CDTF">2018-12-11T17:13:00Z</dcterms:modified>
</cp:coreProperties>
</file>